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7BE0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678A45F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B424529">
      <w:pPr>
        <w:pStyle w:val="9"/>
      </w:pPr>
    </w:p>
    <w:p w14:paraId="24C373D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29DA0E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7B06C4A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5AA5E5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D9F3799">
      <w:pPr>
        <w:pStyle w:val="9"/>
      </w:pPr>
    </w:p>
    <w:p w14:paraId="12426B1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113686B">
      <w:pPr>
        <w:pStyle w:val="9"/>
      </w:pPr>
    </w:p>
    <w:p w14:paraId="24BBBFC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81217A7">
      <w:pPr>
        <w:tabs>
          <w:tab w:val="left" w:pos="2410"/>
        </w:tabs>
        <w:autoSpaceDE w:val="0"/>
        <w:autoSpaceDN w:val="0"/>
        <w:adjustRightInd w:val="0"/>
        <w:snapToGrid w:val="0"/>
        <w:spacing w:line="360" w:lineRule="auto"/>
        <w:ind w:left="1806" w:hanging="1806" w:hangingChars="5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安徽交通职业技术学院土木建筑学院公路养护技术实验室建设项目</w:t>
      </w:r>
    </w:p>
    <w:p w14:paraId="51E8447C">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BJJZ-AH-2025051</w:t>
      </w:r>
    </w:p>
    <w:p w14:paraId="702C6FA6">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安徽交通职业技术学院</w:t>
      </w:r>
    </w:p>
    <w:p w14:paraId="20B9C745">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北京市建壮咨询有限公司</w:t>
      </w:r>
    </w:p>
    <w:p w14:paraId="507C89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2E665AE">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10</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4CB9A139">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4EC9A5D">
      <w:pPr>
        <w:pStyle w:val="17"/>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_Toc3652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_Toc3652 \h </w:instrText>
      </w:r>
      <w:r>
        <w:fldChar w:fldCharType="separate"/>
      </w:r>
      <w:r>
        <w:t>1</w:t>
      </w:r>
      <w:r>
        <w:fldChar w:fldCharType="end"/>
      </w:r>
      <w:r>
        <w:rPr>
          <w:rFonts w:asciiTheme="minorEastAsia" w:hAnsiTheme="minorEastAsia"/>
          <w:color w:val="auto"/>
          <w:szCs w:val="24"/>
          <w:highlight w:val="none"/>
        </w:rPr>
        <w:fldChar w:fldCharType="end"/>
      </w:r>
    </w:p>
    <w:p w14:paraId="1EF8BA69">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_Toc8206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一、项目基本情况</w:t>
      </w:r>
      <w:r>
        <w:tab/>
      </w:r>
      <w:r>
        <w:fldChar w:fldCharType="begin"/>
      </w:r>
      <w:r>
        <w:instrText xml:space="preserve"> PAGEREF _Toc8206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2556A5D1">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_Toc8543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二、申请人的资格要求</w:t>
      </w:r>
      <w:r>
        <w:tab/>
      </w:r>
      <w:r>
        <w:fldChar w:fldCharType="begin"/>
      </w:r>
      <w:r>
        <w:instrText xml:space="preserve"> PAGEREF _Toc8543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783E0FC5">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_Toc5968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三、获取招标文件</w:t>
      </w:r>
      <w:r>
        <w:tab/>
      </w:r>
      <w:r>
        <w:fldChar w:fldCharType="begin"/>
      </w:r>
      <w:r>
        <w:instrText xml:space="preserve"> PAGEREF _Toc5968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0BF03011">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_Toc11776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四、提交投标文件截止时间、开标时间和地点</w:t>
      </w:r>
      <w:r>
        <w:tab/>
      </w:r>
      <w:r>
        <w:fldChar w:fldCharType="begin"/>
      </w:r>
      <w:r>
        <w:instrText xml:space="preserve"> PAGEREF _Toc11776 \h </w:instrText>
      </w:r>
      <w:r>
        <w:fldChar w:fldCharType="separate"/>
      </w:r>
      <w:r>
        <w:t>2</w:t>
      </w:r>
      <w:r>
        <w:fldChar w:fldCharType="end"/>
      </w:r>
      <w:r>
        <w:rPr>
          <w:rFonts w:asciiTheme="minorEastAsia" w:hAnsiTheme="minorEastAsia" w:eastAsiaTheme="minorEastAsia"/>
          <w:color w:val="auto"/>
          <w:szCs w:val="24"/>
          <w:highlight w:val="none"/>
        </w:rPr>
        <w:fldChar w:fldCharType="end"/>
      </w:r>
    </w:p>
    <w:p w14:paraId="2D360C58">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_Toc3540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五、公告期限</w:t>
      </w:r>
      <w:r>
        <w:tab/>
      </w:r>
      <w:r>
        <w:fldChar w:fldCharType="begin"/>
      </w:r>
      <w:r>
        <w:instrText xml:space="preserve"> PAGEREF _Toc3540 \h </w:instrText>
      </w:r>
      <w:r>
        <w:fldChar w:fldCharType="separate"/>
      </w:r>
      <w:r>
        <w:t>2</w:t>
      </w:r>
      <w:r>
        <w:fldChar w:fldCharType="end"/>
      </w:r>
      <w:r>
        <w:rPr>
          <w:rFonts w:asciiTheme="minorEastAsia" w:hAnsiTheme="minorEastAsia" w:eastAsiaTheme="minorEastAsia"/>
          <w:color w:val="auto"/>
          <w:szCs w:val="24"/>
          <w:highlight w:val="none"/>
        </w:rPr>
        <w:fldChar w:fldCharType="end"/>
      </w:r>
    </w:p>
    <w:p w14:paraId="250E1D95">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_Toc6753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六、其他补充事宜</w:t>
      </w:r>
      <w:r>
        <w:tab/>
      </w:r>
      <w:r>
        <w:fldChar w:fldCharType="begin"/>
      </w:r>
      <w:r>
        <w:instrText xml:space="preserve"> PAGEREF _Toc6753 \h </w:instrText>
      </w:r>
      <w:r>
        <w:fldChar w:fldCharType="separate"/>
      </w:r>
      <w:r>
        <w:t>2</w:t>
      </w:r>
      <w:r>
        <w:fldChar w:fldCharType="end"/>
      </w:r>
      <w:r>
        <w:rPr>
          <w:rFonts w:asciiTheme="minorEastAsia" w:hAnsiTheme="minorEastAsia" w:eastAsiaTheme="minorEastAsia"/>
          <w:color w:val="auto"/>
          <w:szCs w:val="24"/>
          <w:highlight w:val="none"/>
        </w:rPr>
        <w:fldChar w:fldCharType="end"/>
      </w:r>
    </w:p>
    <w:p w14:paraId="62AD828B">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_Toc27021 </w:instrText>
      </w:r>
      <w:r>
        <w:rPr>
          <w:rFonts w:asciiTheme="minorEastAsia" w:hAnsiTheme="minorEastAsia" w:eastAsiaTheme="minorEastAsia"/>
          <w:szCs w:val="24"/>
          <w:highlight w:val="none"/>
        </w:rPr>
        <w:fldChar w:fldCharType="separate"/>
      </w:r>
      <w:r>
        <w:rPr>
          <w:rFonts w:hint="eastAsia" w:ascii="宋体" w:hAnsi="宋体" w:eastAsia="宋体"/>
          <w:bCs/>
          <w:szCs w:val="18"/>
          <w:highlight w:val="none"/>
        </w:rPr>
        <w:t>七、对本次招标提出询问，请按以下方式联系</w:t>
      </w:r>
      <w:r>
        <w:tab/>
      </w:r>
      <w:r>
        <w:fldChar w:fldCharType="begin"/>
      </w:r>
      <w:r>
        <w:instrText xml:space="preserve"> PAGEREF _Toc27021 \h </w:instrText>
      </w:r>
      <w:r>
        <w:fldChar w:fldCharType="separate"/>
      </w:r>
      <w:r>
        <w:t>2</w:t>
      </w:r>
      <w:r>
        <w:fldChar w:fldCharType="end"/>
      </w:r>
      <w:r>
        <w:rPr>
          <w:rFonts w:asciiTheme="minorEastAsia" w:hAnsiTheme="minorEastAsia" w:eastAsiaTheme="minorEastAsia"/>
          <w:color w:val="auto"/>
          <w:szCs w:val="24"/>
          <w:highlight w:val="none"/>
        </w:rPr>
        <w:fldChar w:fldCharType="end"/>
      </w:r>
    </w:p>
    <w:p w14:paraId="39A8FFF3">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_Toc29374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_Toc29374 \h </w:instrText>
      </w:r>
      <w:r>
        <w:fldChar w:fldCharType="separate"/>
      </w:r>
      <w:r>
        <w:t>4</w:t>
      </w:r>
      <w:r>
        <w:fldChar w:fldCharType="end"/>
      </w:r>
      <w:r>
        <w:rPr>
          <w:rFonts w:asciiTheme="minorEastAsia" w:hAnsiTheme="minorEastAsia" w:eastAsiaTheme="minorEastAsia"/>
          <w:color w:val="auto"/>
          <w:szCs w:val="24"/>
          <w:highlight w:val="none"/>
        </w:rPr>
        <w:fldChar w:fldCharType="end"/>
      </w:r>
    </w:p>
    <w:p w14:paraId="56299E14">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_Toc13179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一、</w:t>
      </w:r>
      <w:r>
        <w:rPr>
          <w:rFonts w:asciiTheme="minorEastAsia" w:hAnsiTheme="minorEastAsia" w:eastAsiaTheme="minorEastAsia"/>
          <w:highlight w:val="none"/>
        </w:rPr>
        <w:t>投标人须知前附表</w:t>
      </w:r>
      <w:r>
        <w:tab/>
      </w:r>
      <w:r>
        <w:fldChar w:fldCharType="begin"/>
      </w:r>
      <w:r>
        <w:instrText xml:space="preserve"> PAGEREF _Toc13179 \h </w:instrText>
      </w:r>
      <w:r>
        <w:fldChar w:fldCharType="separate"/>
      </w:r>
      <w:r>
        <w:t>4</w:t>
      </w:r>
      <w:r>
        <w:fldChar w:fldCharType="end"/>
      </w:r>
      <w:r>
        <w:rPr>
          <w:rFonts w:asciiTheme="minorEastAsia" w:hAnsiTheme="minorEastAsia" w:eastAsiaTheme="minorEastAsia"/>
          <w:color w:val="auto"/>
          <w:szCs w:val="24"/>
          <w:highlight w:val="none"/>
        </w:rPr>
        <w:fldChar w:fldCharType="end"/>
      </w:r>
    </w:p>
    <w:p w14:paraId="4B545E6D">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_Toc23301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szCs w:val="24"/>
          <w:highlight w:val="none"/>
        </w:rPr>
        <w:t>二、</w:t>
      </w:r>
      <w:r>
        <w:rPr>
          <w:rFonts w:asciiTheme="minorEastAsia" w:hAnsiTheme="minorEastAsia" w:eastAsiaTheme="minorEastAsia"/>
          <w:szCs w:val="24"/>
          <w:highlight w:val="none"/>
        </w:rPr>
        <w:t>投标人须知</w:t>
      </w:r>
      <w:r>
        <w:rPr>
          <w:rFonts w:hint="eastAsia" w:asciiTheme="minorEastAsia" w:hAnsiTheme="minorEastAsia" w:eastAsiaTheme="minorEastAsia"/>
          <w:szCs w:val="24"/>
          <w:highlight w:val="none"/>
        </w:rPr>
        <w:t>正文</w:t>
      </w:r>
      <w:r>
        <w:tab/>
      </w:r>
      <w:r>
        <w:fldChar w:fldCharType="begin"/>
      </w:r>
      <w:r>
        <w:instrText xml:space="preserve"> PAGEREF _Toc23301 \h </w:instrText>
      </w:r>
      <w:r>
        <w:fldChar w:fldCharType="separate"/>
      </w:r>
      <w:r>
        <w:t>8</w:t>
      </w:r>
      <w:r>
        <w:fldChar w:fldCharType="end"/>
      </w:r>
      <w:r>
        <w:rPr>
          <w:rFonts w:asciiTheme="minorEastAsia" w:hAnsiTheme="minorEastAsia" w:eastAsiaTheme="minorEastAsia"/>
          <w:color w:val="auto"/>
          <w:szCs w:val="24"/>
          <w:highlight w:val="none"/>
        </w:rPr>
        <w:fldChar w:fldCharType="end"/>
      </w:r>
    </w:p>
    <w:p w14:paraId="1BCC98A1">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_Toc27413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_Toc27413 \h </w:instrText>
      </w:r>
      <w:r>
        <w:fldChar w:fldCharType="separate"/>
      </w:r>
      <w:r>
        <w:t>19</w:t>
      </w:r>
      <w:r>
        <w:fldChar w:fldCharType="end"/>
      </w:r>
      <w:r>
        <w:rPr>
          <w:rFonts w:asciiTheme="minorEastAsia" w:hAnsiTheme="minorEastAsia" w:eastAsiaTheme="minorEastAsia"/>
          <w:color w:val="auto"/>
          <w:szCs w:val="24"/>
          <w:highlight w:val="none"/>
        </w:rPr>
        <w:fldChar w:fldCharType="end"/>
      </w:r>
    </w:p>
    <w:p w14:paraId="7BFA62E8">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_Toc6919 </w:instrText>
      </w:r>
      <w:r>
        <w:rPr>
          <w:rFonts w:asciiTheme="minorEastAsia" w:hAnsiTheme="minorEastAsia" w:eastAsiaTheme="minorEastAsia"/>
          <w:szCs w:val="24"/>
          <w:highlight w:val="none"/>
        </w:rPr>
        <w:fldChar w:fldCharType="separate"/>
      </w:r>
      <w:r>
        <w:rPr>
          <w:rFonts w:hint="eastAsia" w:ascii="宋体" w:hAnsi="宋体" w:eastAsia="宋体"/>
          <w:szCs w:val="18"/>
          <w:highlight w:val="none"/>
        </w:rPr>
        <w:t>一、采购需求前附表</w:t>
      </w:r>
      <w:r>
        <w:tab/>
      </w:r>
      <w:r>
        <w:fldChar w:fldCharType="begin"/>
      </w:r>
      <w:r>
        <w:instrText xml:space="preserve"> PAGEREF _Toc6919 \h </w:instrText>
      </w:r>
      <w:r>
        <w:fldChar w:fldCharType="separate"/>
      </w:r>
      <w:r>
        <w:t>19</w:t>
      </w:r>
      <w:r>
        <w:fldChar w:fldCharType="end"/>
      </w:r>
      <w:r>
        <w:rPr>
          <w:rFonts w:asciiTheme="minorEastAsia" w:hAnsiTheme="minorEastAsia" w:eastAsiaTheme="minorEastAsia"/>
          <w:color w:val="auto"/>
          <w:szCs w:val="24"/>
          <w:highlight w:val="none"/>
        </w:rPr>
        <w:fldChar w:fldCharType="end"/>
      </w:r>
    </w:p>
    <w:p w14:paraId="3638411D">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_Toc20027 </w:instrText>
      </w:r>
      <w:r>
        <w:rPr>
          <w:rFonts w:asciiTheme="minorEastAsia" w:hAnsiTheme="minorEastAsia" w:eastAsiaTheme="minorEastAsia"/>
          <w:szCs w:val="24"/>
          <w:highlight w:val="none"/>
        </w:rPr>
        <w:fldChar w:fldCharType="separate"/>
      </w:r>
      <w:r>
        <w:rPr>
          <w:rFonts w:hint="eastAsia" w:ascii="宋体" w:hAnsi="宋体" w:eastAsia="宋体"/>
          <w:bCs/>
          <w:szCs w:val="18"/>
        </w:rPr>
        <w:t xml:space="preserve">二、 </w:t>
      </w:r>
      <w:r>
        <w:rPr>
          <w:rFonts w:hint="eastAsia" w:ascii="宋体" w:hAnsi="宋体" w:eastAsia="宋体"/>
          <w:szCs w:val="18"/>
          <w:highlight w:val="none"/>
        </w:rPr>
        <w:t>货物</w:t>
      </w:r>
      <w:r>
        <w:rPr>
          <w:rFonts w:hint="eastAsia" w:ascii="宋体" w:hAnsi="宋体" w:eastAsia="宋体"/>
          <w:bCs/>
          <w:szCs w:val="18"/>
          <w:highlight w:val="none"/>
        </w:rPr>
        <w:t>需求</w:t>
      </w:r>
      <w:r>
        <w:tab/>
      </w:r>
      <w:r>
        <w:fldChar w:fldCharType="begin"/>
      </w:r>
      <w:r>
        <w:instrText xml:space="preserve"> PAGEREF _Toc20027 \h </w:instrText>
      </w:r>
      <w:r>
        <w:fldChar w:fldCharType="separate"/>
      </w:r>
      <w:r>
        <w:t>19</w:t>
      </w:r>
      <w:r>
        <w:fldChar w:fldCharType="end"/>
      </w:r>
      <w:r>
        <w:rPr>
          <w:rFonts w:asciiTheme="minorEastAsia" w:hAnsiTheme="minorEastAsia" w:eastAsiaTheme="minorEastAsia"/>
          <w:color w:val="auto"/>
          <w:szCs w:val="24"/>
          <w:highlight w:val="none"/>
        </w:rPr>
        <w:fldChar w:fldCharType="end"/>
      </w:r>
    </w:p>
    <w:p w14:paraId="131E445C">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_Toc307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r>
        <w:tab/>
      </w:r>
      <w:r>
        <w:fldChar w:fldCharType="begin"/>
      </w:r>
      <w:r>
        <w:instrText xml:space="preserve"> PAGEREF _Toc307 \h </w:instrText>
      </w:r>
      <w:r>
        <w:fldChar w:fldCharType="separate"/>
      </w:r>
      <w:r>
        <w:t>31</w:t>
      </w:r>
      <w:r>
        <w:fldChar w:fldCharType="end"/>
      </w:r>
      <w:r>
        <w:rPr>
          <w:rFonts w:asciiTheme="minorEastAsia" w:hAnsiTheme="minorEastAsia" w:eastAsiaTheme="minorEastAsia"/>
          <w:color w:val="auto"/>
          <w:szCs w:val="24"/>
          <w:highlight w:val="none"/>
        </w:rPr>
        <w:fldChar w:fldCharType="end"/>
      </w:r>
    </w:p>
    <w:p w14:paraId="4BD3F40D">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_Toc386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一、总则</w:t>
      </w:r>
      <w:r>
        <w:tab/>
      </w:r>
      <w:r>
        <w:fldChar w:fldCharType="begin"/>
      </w:r>
      <w:r>
        <w:instrText xml:space="preserve"> PAGEREF _Toc386 \h </w:instrText>
      </w:r>
      <w:r>
        <w:fldChar w:fldCharType="separate"/>
      </w:r>
      <w:r>
        <w:t>31</w:t>
      </w:r>
      <w:r>
        <w:fldChar w:fldCharType="end"/>
      </w:r>
      <w:r>
        <w:rPr>
          <w:rFonts w:asciiTheme="minorEastAsia" w:hAnsiTheme="minorEastAsia" w:eastAsiaTheme="minorEastAsia"/>
          <w:color w:val="auto"/>
          <w:szCs w:val="24"/>
          <w:highlight w:val="none"/>
        </w:rPr>
        <w:fldChar w:fldCharType="end"/>
      </w:r>
    </w:p>
    <w:p w14:paraId="6CE20939">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_Toc30751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二、评标方法</w:t>
      </w:r>
      <w:r>
        <w:tab/>
      </w:r>
      <w:r>
        <w:fldChar w:fldCharType="begin"/>
      </w:r>
      <w:r>
        <w:instrText xml:space="preserve"> PAGEREF _Toc30751 \h </w:instrText>
      </w:r>
      <w:r>
        <w:fldChar w:fldCharType="separate"/>
      </w:r>
      <w:r>
        <w:t>31</w:t>
      </w:r>
      <w:r>
        <w:fldChar w:fldCharType="end"/>
      </w:r>
      <w:r>
        <w:rPr>
          <w:rFonts w:asciiTheme="minorEastAsia" w:hAnsiTheme="minorEastAsia" w:eastAsiaTheme="minorEastAsia"/>
          <w:color w:val="auto"/>
          <w:szCs w:val="24"/>
          <w:highlight w:val="none"/>
        </w:rPr>
        <w:fldChar w:fldCharType="end"/>
      </w:r>
    </w:p>
    <w:p w14:paraId="6CA84485">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_Toc9240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_Toc9240 \h </w:instrText>
      </w:r>
      <w:r>
        <w:fldChar w:fldCharType="separate"/>
      </w:r>
      <w:r>
        <w:t>36</w:t>
      </w:r>
      <w:r>
        <w:fldChar w:fldCharType="end"/>
      </w:r>
      <w:r>
        <w:rPr>
          <w:rFonts w:asciiTheme="minorEastAsia" w:hAnsiTheme="minorEastAsia" w:eastAsiaTheme="minorEastAsia"/>
          <w:color w:val="auto"/>
          <w:szCs w:val="24"/>
          <w:highlight w:val="none"/>
        </w:rPr>
        <w:fldChar w:fldCharType="end"/>
      </w:r>
    </w:p>
    <w:p w14:paraId="718A3E84">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_Toc10446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_Toc10446 \h </w:instrText>
      </w:r>
      <w:r>
        <w:fldChar w:fldCharType="separate"/>
      </w:r>
      <w:r>
        <w:t>56</w:t>
      </w:r>
      <w:r>
        <w:fldChar w:fldCharType="end"/>
      </w:r>
      <w:r>
        <w:rPr>
          <w:rFonts w:asciiTheme="minorEastAsia" w:hAnsiTheme="minorEastAsia" w:eastAsiaTheme="minorEastAsia"/>
          <w:color w:val="auto"/>
          <w:szCs w:val="24"/>
          <w:highlight w:val="none"/>
        </w:rPr>
        <w:fldChar w:fldCharType="end"/>
      </w:r>
    </w:p>
    <w:p w14:paraId="3489BCD6">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_Toc14327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_Toc14327 \h </w:instrText>
      </w:r>
      <w:r>
        <w:fldChar w:fldCharType="separate"/>
      </w:r>
      <w:r>
        <w:t>69</w:t>
      </w:r>
      <w:r>
        <w:fldChar w:fldCharType="end"/>
      </w:r>
      <w:r>
        <w:rPr>
          <w:rFonts w:asciiTheme="minorEastAsia" w:hAnsiTheme="minorEastAsia" w:eastAsiaTheme="minorEastAsia"/>
          <w:color w:val="auto"/>
          <w:szCs w:val="24"/>
          <w:highlight w:val="none"/>
        </w:rPr>
        <w:fldChar w:fldCharType="end"/>
      </w:r>
    </w:p>
    <w:p w14:paraId="701EB86F">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4D12017C">
      <w:pPr>
        <w:pStyle w:val="9"/>
        <w:sectPr>
          <w:headerReference r:id="rId3" w:type="default"/>
          <w:footerReference r:id="rId4" w:type="default"/>
          <w:pgSz w:w="11906" w:h="16838"/>
          <w:pgMar w:top="1440" w:right="1080" w:bottom="1440" w:left="1080" w:header="851" w:footer="992" w:gutter="0"/>
          <w:cols w:space="425" w:num="1"/>
          <w:docGrid w:type="lines" w:linePitch="312" w:charSpace="0"/>
        </w:sectPr>
      </w:pPr>
    </w:p>
    <w:p w14:paraId="2F8B3661">
      <w:pPr>
        <w:spacing w:line="360" w:lineRule="auto"/>
        <w:jc w:val="center"/>
        <w:outlineLvl w:val="0"/>
        <w:rPr>
          <w:rFonts w:asciiTheme="minorEastAsia" w:hAnsiTheme="minorEastAsia" w:eastAsiaTheme="minorEastAsia"/>
          <w:b/>
          <w:color w:val="auto"/>
          <w:sz w:val="28"/>
          <w:highlight w:val="none"/>
        </w:rPr>
      </w:pPr>
      <w:bookmarkStart w:id="1" w:name="_Toc365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12852222">
      <w:pPr>
        <w:spacing w:line="360" w:lineRule="auto"/>
        <w:ind w:firstLine="437"/>
        <w:outlineLvl w:val="1"/>
        <w:rPr>
          <w:rFonts w:hint="eastAsia" w:ascii="宋体" w:hAnsi="宋体" w:eastAsia="宋体"/>
          <w:b/>
          <w:bCs/>
          <w:color w:val="auto"/>
          <w:sz w:val="24"/>
          <w:szCs w:val="18"/>
          <w:highlight w:val="none"/>
        </w:rPr>
      </w:pPr>
      <w:bookmarkStart w:id="2" w:name="_Toc13530"/>
      <w:bookmarkStart w:id="3" w:name="_Toc26178"/>
      <w:bookmarkStart w:id="4" w:name="_Toc8543"/>
      <w:bookmarkStart w:id="5" w:name="_Toc1381"/>
      <w:bookmarkStart w:id="6" w:name="_Toc8206"/>
      <w:bookmarkStart w:id="7" w:name="_Toc5842"/>
      <w:r>
        <w:rPr>
          <w:rFonts w:hint="eastAsia" w:ascii="宋体" w:hAnsi="宋体" w:eastAsia="宋体"/>
          <w:b/>
          <w:bCs/>
          <w:color w:val="auto"/>
          <w:sz w:val="24"/>
          <w:szCs w:val="18"/>
          <w:highlight w:val="none"/>
        </w:rPr>
        <w:t>二、</w:t>
      </w:r>
      <w:bookmarkEnd w:id="2"/>
      <w:r>
        <w:rPr>
          <w:rFonts w:hint="eastAsia" w:ascii="宋体" w:hAnsi="宋体" w:eastAsia="宋体"/>
          <w:b/>
          <w:bCs/>
          <w:color w:val="auto"/>
          <w:sz w:val="24"/>
          <w:szCs w:val="18"/>
          <w:highlight w:val="none"/>
        </w:rPr>
        <w:t>申请人的资格要求</w:t>
      </w:r>
      <w:bookmarkEnd w:id="3"/>
      <w:bookmarkEnd w:id="4"/>
    </w:p>
    <w:p w14:paraId="04D67E9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71715A9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2.落实政府采购政策需满足的资格要求：</w:t>
      </w:r>
      <w:r>
        <w:rPr>
          <w:rFonts w:hint="eastAsia" w:asciiTheme="minorEastAsia" w:hAnsiTheme="minorEastAsia" w:eastAsiaTheme="minorEastAsia"/>
          <w:color w:val="auto"/>
          <w:sz w:val="24"/>
          <w:highlight w:val="none"/>
          <w:lang w:val="en-US" w:eastAsia="zh-CN"/>
        </w:rPr>
        <w:t>无</w:t>
      </w:r>
    </w:p>
    <w:p w14:paraId="299B6045">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5D87885D">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w:t>
      </w:r>
      <w:r>
        <w:rPr>
          <w:rFonts w:hint="eastAsia" w:asciiTheme="minorEastAsia" w:hAnsiTheme="minorEastAsia" w:eastAsiaTheme="minorEastAsia"/>
          <w:color w:val="auto"/>
          <w:sz w:val="24"/>
          <w:highlight w:val="none"/>
          <w:lang w:val="en-US" w:eastAsia="zh-CN"/>
        </w:rPr>
        <w:sym w:font="Wingdings 2" w:char="0052"/>
      </w:r>
      <w:r>
        <w:rPr>
          <w:rFonts w:hint="eastAsia" w:asciiTheme="minorEastAsia" w:hAnsiTheme="minorEastAsia" w:eastAsiaTheme="minorEastAsia"/>
          <w:color w:val="auto"/>
          <w:sz w:val="24"/>
          <w:highlight w:val="none"/>
          <w:lang w:val="en-US" w:eastAsia="zh-CN"/>
        </w:rPr>
        <w:t>本项目不专门面向中小企业预留采购份额。</w:t>
      </w:r>
    </w:p>
    <w:p w14:paraId="279ACB55">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采购。</w:t>
      </w:r>
    </w:p>
    <w:p w14:paraId="2A0E8E2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7548B30A">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2B8003E0">
      <w:pPr>
        <w:spacing w:line="360" w:lineRule="auto"/>
        <w:ind w:firstLine="435"/>
        <w:outlineLvl w:val="9"/>
        <w:rPr>
          <w:rFonts w:hint="eastAsia"/>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29F3516A">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一、</w:t>
      </w:r>
      <w:bookmarkEnd w:id="5"/>
      <w:r>
        <w:rPr>
          <w:rFonts w:hint="eastAsia" w:ascii="宋体" w:hAnsi="宋体" w:eastAsia="宋体"/>
          <w:b/>
          <w:bCs/>
          <w:color w:val="auto"/>
          <w:sz w:val="24"/>
          <w:szCs w:val="18"/>
          <w:highlight w:val="none"/>
        </w:rPr>
        <w:t>项目基本情况</w:t>
      </w:r>
      <w:bookmarkEnd w:id="6"/>
      <w:bookmarkEnd w:id="7"/>
    </w:p>
    <w:p w14:paraId="36B6C9E3">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1.项目编号：BJJZ-AH-20250</w:t>
      </w:r>
      <w:r>
        <w:rPr>
          <w:rFonts w:hint="eastAsia" w:asciiTheme="minorEastAsia" w:hAnsiTheme="minorEastAsia" w:eastAsiaTheme="minorEastAsia"/>
          <w:color w:val="auto"/>
          <w:sz w:val="24"/>
          <w:highlight w:val="none"/>
          <w:lang w:val="en-US" w:eastAsia="zh-CN"/>
        </w:rPr>
        <w:t>51</w:t>
      </w:r>
    </w:p>
    <w:p w14:paraId="104A03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2.项目名称：安徽交通职业技术学院土木建筑学院公路养护技术实验室建设项目</w:t>
      </w:r>
    </w:p>
    <w:p w14:paraId="4EC5F88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3.预算金额：67.8万元</w:t>
      </w:r>
    </w:p>
    <w:p w14:paraId="01B3AA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4.最高限价：67.8万元</w:t>
      </w:r>
    </w:p>
    <w:p w14:paraId="181086C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安徽交通职业技术学院土木建筑学院公路养护技术实验室建设项目采购冲击声频缺陷检测仪2套、敲击式隧道衬砌缺陷检测仪2套、桥隧工竞赛隧道衬砌缺陷检测模型1套、桥梁物联网安全监测系统2套、盖梁钢筋可拼装实体教学模型2套、竞赛配件6套、孔道灌浆缺陷定位仪维修1套、孔道灌浆缺陷定位模型1套、裂缝监测动态模型系统升级1套、分光光度计1套、分析天平1套、实验室温湿度计2套、安瓿瓶2套、透明干燥器2套等，能够满足隧道衬砌及混凝土构件缺陷检测，能够满足桥梁物联网监测设备安装调试，数据采集、传输、分析、展现、应用的全流程实训功能，能够开展公路养护相关实训、实习，为学生提供更加贴近实际工程环境的学习体验，提升技能培养，增强毕业生就业竞争力，具体内容详见招标文件。</w:t>
      </w:r>
    </w:p>
    <w:p w14:paraId="340EBE8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6.合同履行期限：合同签订后20个工作日内完成交付、安装与调试。</w:t>
      </w:r>
    </w:p>
    <w:p w14:paraId="452C244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7.本项目（否）接受联合体投标。</w:t>
      </w:r>
    </w:p>
    <w:p w14:paraId="28E77023">
      <w:pPr>
        <w:spacing w:line="360" w:lineRule="auto"/>
        <w:ind w:firstLine="437"/>
        <w:outlineLvl w:val="1"/>
        <w:rPr>
          <w:rFonts w:hint="eastAsia" w:ascii="宋体" w:hAnsi="宋体" w:eastAsia="宋体"/>
          <w:b/>
          <w:bCs/>
          <w:color w:val="auto"/>
          <w:sz w:val="24"/>
          <w:szCs w:val="18"/>
          <w:highlight w:val="none"/>
        </w:rPr>
      </w:pPr>
      <w:bookmarkStart w:id="8" w:name="_Toc30110"/>
      <w:bookmarkStart w:id="9" w:name="_Toc32089"/>
      <w:bookmarkStart w:id="10" w:name="_Toc5968"/>
      <w:r>
        <w:rPr>
          <w:rFonts w:hint="eastAsia" w:ascii="宋体" w:hAnsi="宋体" w:eastAsia="宋体"/>
          <w:b/>
          <w:bCs/>
          <w:color w:val="auto"/>
          <w:sz w:val="24"/>
          <w:szCs w:val="18"/>
          <w:highlight w:val="none"/>
        </w:rPr>
        <w:t>三、</w:t>
      </w:r>
      <w:bookmarkEnd w:id="8"/>
      <w:r>
        <w:rPr>
          <w:rFonts w:hint="eastAsia" w:ascii="宋体" w:hAnsi="宋体" w:eastAsia="宋体"/>
          <w:b/>
          <w:bCs/>
          <w:color w:val="auto"/>
          <w:sz w:val="24"/>
          <w:szCs w:val="18"/>
          <w:highlight w:val="none"/>
        </w:rPr>
        <w:t>获取招标文件</w:t>
      </w:r>
      <w:bookmarkEnd w:id="9"/>
      <w:bookmarkEnd w:id="10"/>
    </w:p>
    <w:p w14:paraId="08B63B57">
      <w:pPr>
        <w:spacing w:line="360" w:lineRule="auto"/>
        <w:ind w:firstLine="540"/>
        <w:rPr>
          <w:rFonts w:hint="eastAsia" w:asciiTheme="minorEastAsia" w:hAnsiTheme="minorEastAsia" w:eastAsiaTheme="minorEastAsia" w:cstheme="minorEastAsia"/>
          <w:i/>
          <w:iCs/>
          <w:sz w:val="24"/>
          <w:szCs w:val="24"/>
          <w:u w:val="none"/>
        </w:rPr>
      </w:pPr>
      <w:bookmarkStart w:id="11" w:name="_Toc7957"/>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none"/>
        </w:rPr>
        <w:t>：2025年10月2</w:t>
      </w:r>
      <w:r>
        <w:rPr>
          <w:rFonts w:hint="eastAsia" w:asciiTheme="minorEastAsia" w:hAnsiTheme="minorEastAsia" w:eastAsia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rPr>
        <w:t>日</w:t>
      </w:r>
      <w:r>
        <w:rPr>
          <w:rFonts w:hint="eastAsia" w:asciiTheme="minorEastAsia" w:hAnsiTheme="minorEastAsia" w:eastAsiaTheme="minorEastAsia" w:cstheme="minorEastAsia"/>
          <w:sz w:val="24"/>
          <w:szCs w:val="24"/>
          <w:u w:val="none"/>
          <w:lang w:val="en-US" w:eastAsia="zh-CN"/>
        </w:rPr>
        <w:t>至</w:t>
      </w:r>
      <w:r>
        <w:rPr>
          <w:rFonts w:hint="eastAsia" w:asciiTheme="minorEastAsia" w:hAnsiTheme="minorEastAsia" w:eastAsiaTheme="minorEastAsia" w:cstheme="minorEastAsia"/>
          <w:sz w:val="24"/>
          <w:szCs w:val="24"/>
          <w:u w:val="none"/>
        </w:rPr>
        <w:t>2025年1</w:t>
      </w:r>
      <w:r>
        <w:rPr>
          <w:rFonts w:hint="eastAsia" w:asciiTheme="minorEastAsia" w:hAnsiTheme="minorEastAsia" w:eastAsia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none"/>
          <w:lang w:val="en-US" w:eastAsia="zh-CN"/>
        </w:rPr>
        <w:t>10</w:t>
      </w:r>
      <w:r>
        <w:rPr>
          <w:rFonts w:hint="eastAsia" w:asciiTheme="minorEastAsia" w:hAnsiTheme="minorEastAsia" w:eastAsiaTheme="minorEastAsia" w:cstheme="minorEastAsia"/>
          <w:sz w:val="24"/>
          <w:szCs w:val="24"/>
          <w:u w:val="none"/>
        </w:rPr>
        <w:t>日，每天上午00:00至12:00，下午12:00至23:59（北京时间，法定节假日外）</w:t>
      </w:r>
    </w:p>
    <w:p w14:paraId="3B19FCC2">
      <w:pPr>
        <w:spacing w:line="360" w:lineRule="auto"/>
        <w:ind w:firstLine="540"/>
        <w:rPr>
          <w:rFonts w:hint="eastAsia" w:ascii="宋体" w:hAnsi="宋体" w:eastAsia="宋体"/>
          <w:color w:val="auto"/>
          <w:sz w:val="24"/>
          <w:szCs w:val="18"/>
          <w:highlight w:val="none"/>
          <w:u w:val="none"/>
        </w:rPr>
      </w:pPr>
      <w:r>
        <w:rPr>
          <w:rFonts w:hint="eastAsia" w:asciiTheme="minorEastAsia" w:hAnsiTheme="minorEastAsia" w:eastAsiaTheme="minorEastAsia" w:cstheme="minorEastAsia"/>
          <w:sz w:val="24"/>
          <w:szCs w:val="24"/>
          <w:u w:val="none"/>
        </w:rPr>
        <w:t>地点：</w:t>
      </w:r>
      <w:r>
        <w:rPr>
          <w:rFonts w:hint="eastAsia" w:ascii="宋体" w:hAnsi="宋体" w:eastAsia="宋体"/>
          <w:color w:val="auto"/>
          <w:sz w:val="24"/>
          <w:szCs w:val="18"/>
          <w:highlight w:val="none"/>
          <w:u w:val="none"/>
        </w:rPr>
        <w:t>“徽采云”电子交易系统</w:t>
      </w:r>
    </w:p>
    <w:p w14:paraId="2EE5402C">
      <w:pPr>
        <w:spacing w:line="360" w:lineRule="auto"/>
        <w:ind w:firstLine="54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方式：</w:t>
      </w:r>
      <w:r>
        <w:rPr>
          <w:rFonts w:hint="eastAsia" w:ascii="宋体" w:hAnsi="宋体" w:eastAsia="宋体"/>
          <w:color w:val="auto"/>
          <w:sz w:val="24"/>
          <w:szCs w:val="18"/>
          <w:highlight w:val="none"/>
          <w:u w:val="none"/>
        </w:rPr>
        <w:t>供应商登录“徽采云”电子交易系统（https://www.ccgp-anhui.gov.c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119CF58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u w:val="none"/>
        </w:rPr>
      </w:pPr>
      <w:bookmarkStart w:id="12" w:name="_Toc11776"/>
      <w:bookmarkStart w:id="13" w:name="_Toc19726"/>
      <w:r>
        <w:rPr>
          <w:rFonts w:hint="eastAsia" w:ascii="宋体" w:hAnsi="宋体" w:eastAsia="宋体"/>
          <w:b/>
          <w:bCs/>
          <w:color w:val="auto"/>
          <w:sz w:val="24"/>
          <w:szCs w:val="18"/>
          <w:highlight w:val="none"/>
          <w:u w:val="none"/>
        </w:rPr>
        <w:t>四、</w:t>
      </w:r>
      <w:bookmarkEnd w:id="11"/>
      <w:r>
        <w:rPr>
          <w:rFonts w:hint="eastAsia" w:ascii="宋体" w:hAnsi="宋体" w:eastAsia="宋体"/>
          <w:b/>
          <w:bCs/>
          <w:color w:val="auto"/>
          <w:sz w:val="24"/>
          <w:szCs w:val="18"/>
          <w:highlight w:val="none"/>
          <w:u w:val="none"/>
        </w:rPr>
        <w:t>提交投标文件截止时间、开标时间和地点</w:t>
      </w:r>
      <w:bookmarkEnd w:id="12"/>
      <w:bookmarkEnd w:id="13"/>
    </w:p>
    <w:p w14:paraId="19D13A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4" w:name="_Toc5082"/>
      <w:r>
        <w:rPr>
          <w:rFonts w:hint="eastAsia" w:asciiTheme="minorEastAsia" w:hAnsiTheme="minorEastAsia" w:eastAsiaTheme="minorEastAsia" w:cstheme="minorEastAsia"/>
          <w:bCs/>
          <w:sz w:val="24"/>
          <w:szCs w:val="24"/>
          <w:u w:val="none"/>
          <w:lang w:val="en-US" w:eastAsia="zh-CN"/>
        </w:rPr>
        <w:t>时间：</w:t>
      </w:r>
      <w:r>
        <w:rPr>
          <w:rFonts w:hint="eastAsia" w:asciiTheme="minorEastAsia" w:hAnsiTheme="minorEastAsia" w:eastAsiaTheme="minorEastAsia" w:cstheme="minorEastAsia"/>
          <w:bCs/>
          <w:sz w:val="24"/>
          <w:szCs w:val="24"/>
          <w:u w:val="none"/>
        </w:rPr>
        <w:t>2025年11月</w:t>
      </w:r>
      <w:r>
        <w:rPr>
          <w:rFonts w:hint="eastAsia" w:asciiTheme="minorEastAsia" w:hAnsiTheme="minorEastAsia" w:eastAsiaTheme="minorEastAsia" w:cstheme="minorEastAsia"/>
          <w:bCs/>
          <w:sz w:val="24"/>
          <w:szCs w:val="24"/>
          <w:u w:val="none"/>
          <w:lang w:val="en-US" w:eastAsia="zh-CN"/>
        </w:rPr>
        <w:t>11</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none"/>
          <w:lang w:val="en-US" w:eastAsia="zh-CN"/>
        </w:rPr>
        <w:t>09</w:t>
      </w:r>
      <w:r>
        <w:rPr>
          <w:rFonts w:hint="eastAsia" w:asciiTheme="minorEastAsia" w:hAnsiTheme="minorEastAsia" w:eastAsiaTheme="minorEastAsia" w:cstheme="minorEastAsia"/>
          <w:bCs/>
          <w:sz w:val="24"/>
          <w:szCs w:val="24"/>
          <w:u w:val="none"/>
        </w:rPr>
        <w:t>时</w:t>
      </w:r>
      <w:r>
        <w:rPr>
          <w:rFonts w:hint="eastAsia" w:asciiTheme="minorEastAsia" w:hAnsiTheme="minorEastAsia" w:eastAsiaTheme="minorEastAsia" w:cstheme="minorEastAsia"/>
          <w:bCs/>
          <w:sz w:val="24"/>
          <w:szCs w:val="24"/>
          <w:u w:val="none"/>
          <w:lang w:val="en-US" w:eastAsia="zh-CN"/>
        </w:rPr>
        <w:t>3</w:t>
      </w:r>
      <w:r>
        <w:rPr>
          <w:rFonts w:hint="eastAsia" w:asciiTheme="minorEastAsia" w:hAnsiTheme="minorEastAsia" w:eastAsiaTheme="minorEastAsia" w:cstheme="minorEastAsia"/>
          <w:bCs/>
          <w:sz w:val="24"/>
          <w:szCs w:val="24"/>
          <w:u w:val="none"/>
        </w:rPr>
        <w:t>0分（北京时间）</w:t>
      </w:r>
    </w:p>
    <w:p w14:paraId="12ADC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none"/>
        </w:rPr>
        <w:t>安徽省合肥市高新区红枫路7号富邻广场A座15楼。</w:t>
      </w:r>
    </w:p>
    <w:p w14:paraId="3197AC4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5" w:name="_Toc3540"/>
      <w:bookmarkStart w:id="16" w:name="_Toc28531"/>
      <w:r>
        <w:rPr>
          <w:rFonts w:hint="eastAsia" w:ascii="宋体" w:hAnsi="宋体" w:eastAsia="宋体"/>
          <w:b/>
          <w:bCs/>
          <w:color w:val="auto"/>
          <w:sz w:val="24"/>
          <w:szCs w:val="18"/>
          <w:highlight w:val="none"/>
        </w:rPr>
        <w:t>五、</w:t>
      </w:r>
      <w:bookmarkEnd w:id="14"/>
      <w:r>
        <w:rPr>
          <w:rFonts w:hint="eastAsia" w:ascii="宋体" w:hAnsi="宋体" w:eastAsia="宋体"/>
          <w:b/>
          <w:bCs/>
          <w:color w:val="auto"/>
          <w:sz w:val="24"/>
          <w:szCs w:val="18"/>
          <w:highlight w:val="none"/>
        </w:rPr>
        <w:t>公告期限</w:t>
      </w:r>
      <w:bookmarkEnd w:id="15"/>
      <w:bookmarkEnd w:id="16"/>
    </w:p>
    <w:p w14:paraId="31FF131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7" w:name="_Toc1215"/>
      <w:r>
        <w:rPr>
          <w:rFonts w:hint="eastAsia" w:ascii="宋体" w:hAnsi="宋体" w:eastAsia="宋体"/>
          <w:b w:val="0"/>
          <w:bCs w:val="0"/>
          <w:color w:val="auto"/>
          <w:sz w:val="24"/>
          <w:szCs w:val="18"/>
          <w:highlight w:val="none"/>
        </w:rPr>
        <w:t>自本公告发布之日起5个工作日。</w:t>
      </w:r>
    </w:p>
    <w:p w14:paraId="1103E05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626"/>
      <w:bookmarkStart w:id="19" w:name="_Toc35393795"/>
      <w:bookmarkStart w:id="20" w:name="_Toc8807"/>
      <w:bookmarkStart w:id="21" w:name="_Toc6753"/>
      <w:r>
        <w:rPr>
          <w:rFonts w:hint="eastAsia" w:ascii="宋体" w:hAnsi="宋体" w:eastAsia="宋体"/>
          <w:b/>
          <w:bCs/>
          <w:color w:val="auto"/>
          <w:sz w:val="24"/>
          <w:szCs w:val="18"/>
          <w:highlight w:val="none"/>
        </w:rPr>
        <w:t>六、其他补充事宜</w:t>
      </w:r>
      <w:bookmarkEnd w:id="18"/>
      <w:bookmarkEnd w:id="19"/>
      <w:bookmarkEnd w:id="20"/>
      <w:bookmarkEnd w:id="21"/>
    </w:p>
    <w:p w14:paraId="5FEA2C53">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1.投标文件递交方式：纸质文件递交。</w:t>
      </w:r>
    </w:p>
    <w:p w14:paraId="1ECE0500">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2.本次招标公告同时在安徽交通职业技术学院官网、安徽省招标投标信息网、北京市建壮咨询有限公司安徽分公司网上发布。</w:t>
      </w:r>
    </w:p>
    <w:p w14:paraId="7446AC8B">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3.报名后若放弃投标，必须在投标文件递交截止日期前3天书面通知采购代理机构，否则将承担采购人拒绝其参与后续项目的风险。</w:t>
      </w:r>
    </w:p>
    <w:bookmarkEnd w:id="17"/>
    <w:p w14:paraId="419FECC5">
      <w:pPr>
        <w:spacing w:line="360" w:lineRule="auto"/>
        <w:ind w:firstLine="437"/>
        <w:outlineLvl w:val="1"/>
        <w:rPr>
          <w:rFonts w:hint="eastAsia" w:ascii="宋体" w:hAnsi="宋体" w:eastAsia="宋体"/>
          <w:b/>
          <w:bCs/>
          <w:color w:val="auto"/>
          <w:sz w:val="24"/>
          <w:szCs w:val="18"/>
          <w:highlight w:val="none"/>
        </w:rPr>
      </w:pPr>
      <w:bookmarkStart w:id="22" w:name="_Toc7265"/>
      <w:bookmarkStart w:id="23" w:name="_Toc3854"/>
      <w:bookmarkStart w:id="24" w:name="_Toc27021"/>
      <w:r>
        <w:rPr>
          <w:rFonts w:hint="eastAsia" w:ascii="宋体" w:hAnsi="宋体" w:eastAsia="宋体"/>
          <w:b/>
          <w:bCs/>
          <w:color w:val="auto"/>
          <w:sz w:val="24"/>
          <w:szCs w:val="18"/>
          <w:highlight w:val="none"/>
        </w:rPr>
        <w:t>七、</w:t>
      </w:r>
      <w:bookmarkEnd w:id="22"/>
      <w:r>
        <w:rPr>
          <w:rFonts w:hint="eastAsia" w:ascii="宋体" w:hAnsi="宋体" w:eastAsia="宋体"/>
          <w:b/>
          <w:bCs/>
          <w:color w:val="auto"/>
          <w:sz w:val="24"/>
          <w:szCs w:val="18"/>
          <w:highlight w:val="none"/>
        </w:rPr>
        <w:t>对本次招标提出询问，请按以下方式联系</w:t>
      </w:r>
      <w:bookmarkEnd w:id="23"/>
      <w:bookmarkEnd w:id="24"/>
    </w:p>
    <w:p w14:paraId="67893D4C">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0AEB103">
      <w:pPr>
        <w:spacing w:line="360" w:lineRule="auto"/>
        <w:ind w:firstLine="435"/>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u w:val="single"/>
          <w:lang w:val="en-US" w:eastAsia="zh-CN"/>
        </w:rPr>
        <w:t>安徽交通职业技术学院</w:t>
      </w:r>
    </w:p>
    <w:p w14:paraId="042DD58D">
      <w:pPr>
        <w:spacing w:line="360" w:lineRule="auto"/>
        <w:ind w:firstLine="435"/>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eastAsia="宋体" w:cs="宋体"/>
          <w:color w:val="auto"/>
          <w:sz w:val="24"/>
          <w:szCs w:val="24"/>
          <w:highlight w:val="none"/>
          <w:u w:val="single"/>
          <w:lang w:val="en-US" w:eastAsia="zh-CN"/>
        </w:rPr>
        <w:t>安徽省新桥国际产业园寿州大道16号</w:t>
      </w:r>
    </w:p>
    <w:p w14:paraId="4A07392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u w:val="single"/>
          <w:lang w:val="en-US" w:eastAsia="zh-CN"/>
        </w:rPr>
        <w:t>孙老师</w:t>
      </w:r>
    </w:p>
    <w:p w14:paraId="46B4C0A7">
      <w:pPr>
        <w:spacing w:line="360" w:lineRule="auto"/>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u w:val="none"/>
        </w:rPr>
        <w:t>联系方式：</w:t>
      </w:r>
      <w:r>
        <w:rPr>
          <w:rFonts w:hint="eastAsia" w:ascii="宋体" w:hAnsi="宋体" w:eastAsia="宋体"/>
          <w:color w:val="auto"/>
          <w:sz w:val="24"/>
          <w:szCs w:val="18"/>
          <w:highlight w:val="none"/>
          <w:u w:val="single"/>
        </w:rPr>
        <w:t>13349092390</w:t>
      </w:r>
    </w:p>
    <w:p w14:paraId="7FD78C96">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8A4D824">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北京市建壮咨询有限公司</w:t>
      </w:r>
    </w:p>
    <w:p w14:paraId="65681FE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安徽省合肥市高新区红枫路7号富邻广场A座15楼</w:t>
      </w:r>
    </w:p>
    <w:p w14:paraId="7396B86E">
      <w:pPr>
        <w:spacing w:line="360" w:lineRule="auto"/>
        <w:ind w:firstLine="435"/>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周工、郑工</w:t>
      </w:r>
    </w:p>
    <w:p w14:paraId="10CE2A9C">
      <w:pPr>
        <w:spacing w:line="360" w:lineRule="auto"/>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0551-63535715，15256001880，13385609887</w:t>
      </w:r>
    </w:p>
    <w:p w14:paraId="142F63DA">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4CE3FE3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41714E3F">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6472C9B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0551-68150413</w:t>
      </w:r>
    </w:p>
    <w:p w14:paraId="13A23D0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E1E68AD">
      <w:pPr>
        <w:spacing w:line="360" w:lineRule="auto"/>
        <w:jc w:val="center"/>
        <w:outlineLvl w:val="0"/>
        <w:rPr>
          <w:rFonts w:asciiTheme="minorEastAsia" w:hAnsiTheme="minorEastAsia" w:eastAsiaTheme="minorEastAsia"/>
          <w:b/>
          <w:color w:val="auto"/>
          <w:sz w:val="28"/>
          <w:highlight w:val="none"/>
        </w:rPr>
      </w:pPr>
      <w:bookmarkStart w:id="25" w:name="_Toc29374"/>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5"/>
    </w:p>
    <w:p w14:paraId="7EFAB08A">
      <w:pPr>
        <w:spacing w:line="360" w:lineRule="auto"/>
        <w:jc w:val="center"/>
        <w:outlineLvl w:val="1"/>
        <w:rPr>
          <w:rFonts w:asciiTheme="minorEastAsia" w:hAnsiTheme="minorEastAsia" w:eastAsiaTheme="minorEastAsia"/>
          <w:b/>
          <w:color w:val="auto"/>
          <w:sz w:val="24"/>
          <w:highlight w:val="none"/>
        </w:rPr>
      </w:pPr>
      <w:bookmarkStart w:id="26" w:name="_Toc13179"/>
      <w:bookmarkStart w:id="27" w:name="_Toc3114"/>
      <w:bookmarkStart w:id="28"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6"/>
      <w:bookmarkEnd w:id="27"/>
      <w:bookmarkEnd w:id="28"/>
    </w:p>
    <w:p w14:paraId="384CB99A">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3"/>
        <w:tblW w:w="50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564"/>
      </w:tblGrid>
      <w:tr w14:paraId="3B01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F48CB17">
            <w:pPr>
              <w:pStyle w:val="31"/>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0210EB">
            <w:pPr>
              <w:pStyle w:val="31"/>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9058D0D">
            <w:pPr>
              <w:pStyle w:val="31"/>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363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B7D02B">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0E8618AF">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415789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rPr>
              <w:sym w:font="Wingdings 2" w:char="0052"/>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5BDA6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2CF90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42D76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p>
          <w:p w14:paraId="68EA4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p>
          <w:p w14:paraId="0C219185">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65A5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565AA3">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3FD6B66F">
            <w:pPr>
              <w:pStyle w:val="31"/>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E81EAAB">
            <w:pPr>
              <w:pStyle w:val="31"/>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rPr>
              <w:t>2025 年10月2</w:t>
            </w:r>
            <w:r>
              <w:rPr>
                <w:rFonts w:hint="eastAsia" w:ascii="宋体" w:hAnsi="宋体" w:eastAsia="宋体"/>
                <w:b w:val="0"/>
                <w:color w:val="auto"/>
                <w:sz w:val="24"/>
                <w:highlight w:val="none"/>
                <w:u w:val="single"/>
                <w:lang w:val="en-US" w:eastAsia="zh-CN"/>
              </w:rPr>
              <w:t>8</w:t>
            </w:r>
            <w:r>
              <w:rPr>
                <w:rFonts w:hint="eastAsia" w:ascii="宋体" w:hAnsi="宋体" w:eastAsia="宋体"/>
                <w:b w:val="0"/>
                <w:color w:val="auto"/>
                <w:sz w:val="24"/>
                <w:highlight w:val="none"/>
                <w:u w:val="single"/>
              </w:rPr>
              <w:t>日17时00分</w:t>
            </w:r>
          </w:p>
        </w:tc>
      </w:tr>
      <w:tr w14:paraId="59DA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77170F">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3B575787">
            <w:pPr>
              <w:pStyle w:val="31"/>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41589F1F">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default" w:ascii="宋体" w:hAnsi="宋体" w:eastAsia="宋体"/>
                <w:b w:val="0"/>
                <w:color w:val="auto"/>
                <w:sz w:val="24"/>
                <w:highlight w:val="none"/>
              </w:rPr>
              <w:t>不分包     □分为  个包</w:t>
            </w:r>
          </w:p>
          <w:p w14:paraId="0429E704">
            <w:pPr>
              <w:pStyle w:val="31"/>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7FF9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F7FEB7B">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76DCC875">
            <w:pPr>
              <w:pStyle w:val="31"/>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4AA51B1">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4723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04C5601">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499BFE0F">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2CB0649B">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120 </w:t>
            </w:r>
            <w:r>
              <w:rPr>
                <w:rFonts w:hint="eastAsia" w:ascii="宋体" w:hAnsi="宋体" w:eastAsia="宋体"/>
                <w:b w:val="0"/>
                <w:color w:val="auto"/>
                <w:sz w:val="24"/>
                <w:highlight w:val="none"/>
              </w:rPr>
              <w:t>日历日</w:t>
            </w:r>
          </w:p>
        </w:tc>
      </w:tr>
      <w:tr w14:paraId="0E57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9A28278">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12.3</w:t>
            </w:r>
          </w:p>
        </w:tc>
        <w:tc>
          <w:tcPr>
            <w:tcW w:w="1174" w:type="pct"/>
            <w:vAlign w:val="center"/>
          </w:tcPr>
          <w:p w14:paraId="2FFDBA95">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投标文件要求</w:t>
            </w:r>
          </w:p>
        </w:tc>
        <w:tc>
          <w:tcPr>
            <w:tcW w:w="3244" w:type="pct"/>
            <w:vAlign w:val="center"/>
          </w:tcPr>
          <w:p w14:paraId="3CBF586E">
            <w:pPr>
              <w:keepNext w:val="0"/>
              <w:keepLines w:val="0"/>
              <w:suppressLineNumbers w:val="0"/>
              <w:spacing w:before="0" w:beforeAutospacing="0" w:after="0" w:afterAutospacing="0" w:line="276" w:lineRule="auto"/>
              <w:ind w:left="0" w:right="0"/>
              <w:jc w:val="left"/>
              <w:rPr>
                <w:rFonts w:hint="eastAsia" w:ascii="宋体" w:hAnsi="宋体" w:eastAsia="宋体" w:cs="宋体"/>
                <w:b/>
                <w:sz w:val="24"/>
                <w:szCs w:val="24"/>
              </w:rPr>
            </w:pPr>
            <w:r>
              <w:rPr>
                <w:rFonts w:hint="eastAsia" w:ascii="宋体" w:hAnsi="宋体" w:eastAsia="宋体" w:cs="宋体"/>
                <w:b/>
                <w:sz w:val="24"/>
                <w:szCs w:val="24"/>
              </w:rPr>
              <w:t>1、投标文件纸质版：</w:t>
            </w:r>
          </w:p>
          <w:p w14:paraId="578D57A7">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rPr>
              <w:t>4</w:t>
            </w:r>
            <w:r>
              <w:rPr>
                <w:rFonts w:hint="eastAsia" w:ascii="宋体" w:hAnsi="宋体" w:eastAsia="宋体" w:cs="宋体"/>
                <w:sz w:val="24"/>
                <w:szCs w:val="24"/>
              </w:rPr>
              <w:t>份，密封提交；</w:t>
            </w:r>
          </w:p>
          <w:p w14:paraId="209F77F0">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投标人应将投标文件正本和所有副本分开密封提交。</w:t>
            </w:r>
          </w:p>
          <w:p w14:paraId="6DCDA6CB">
            <w:pPr>
              <w:keepNext w:val="0"/>
              <w:keepLines w:val="0"/>
              <w:suppressLineNumbers w:val="0"/>
              <w:spacing w:before="0" w:beforeAutospacing="0" w:after="0" w:afterAutospacing="0" w:line="276" w:lineRule="auto"/>
              <w:ind w:left="0" w:right="0"/>
              <w:jc w:val="left"/>
              <w:rPr>
                <w:rFonts w:hint="eastAsia" w:ascii="宋体" w:hAnsi="宋体" w:eastAsia="宋体" w:cs="宋体"/>
                <w:b/>
                <w:sz w:val="24"/>
                <w:szCs w:val="24"/>
              </w:rPr>
            </w:pPr>
            <w:r>
              <w:rPr>
                <w:rFonts w:hint="eastAsia" w:ascii="宋体" w:hAnsi="宋体" w:eastAsia="宋体" w:cs="宋体"/>
                <w:b/>
                <w:sz w:val="24"/>
                <w:szCs w:val="24"/>
              </w:rPr>
              <w:t>2、投标文件电子版：</w:t>
            </w:r>
          </w:p>
          <w:p w14:paraId="44574BCB">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□不要求</w:t>
            </w:r>
          </w:p>
          <w:p w14:paraId="60DA1536">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u w:val="single"/>
              </w:rPr>
            </w:pPr>
            <w:r>
              <w:rPr>
                <w:rFonts w:hint="eastAsia" w:ascii="宋体" w:hAnsi="宋体" w:eastAsia="宋体" w:cs="宋体"/>
                <w:sz w:val="24"/>
                <w:szCs w:val="24"/>
              </w:rPr>
              <w:t>☑要求，投标文件电子版内容：</w:t>
            </w:r>
            <w:r>
              <w:rPr>
                <w:rFonts w:hint="eastAsia" w:ascii="宋体" w:hAnsi="宋体" w:eastAsia="宋体" w:cs="宋体"/>
                <w:sz w:val="24"/>
                <w:szCs w:val="24"/>
                <w:u w:val="single"/>
              </w:rPr>
              <w:t xml:space="preserve">投标文件全部内容 </w:t>
            </w:r>
          </w:p>
          <w:p w14:paraId="217AC3A1">
            <w:pPr>
              <w:keepNext w:val="0"/>
              <w:keepLines w:val="0"/>
              <w:suppressLineNumbers w:val="0"/>
              <w:spacing w:before="0" w:beforeAutospacing="0" w:after="0" w:afterAutospacing="0" w:line="276" w:lineRule="auto"/>
              <w:ind w:left="0" w:right="0" w:firstLine="960" w:firstLineChars="400"/>
              <w:jc w:val="left"/>
              <w:rPr>
                <w:rFonts w:hint="eastAsia" w:ascii="宋体" w:hAnsi="宋体" w:eastAsia="宋体" w:cs="宋体"/>
                <w:b/>
                <w:sz w:val="24"/>
                <w:szCs w:val="24"/>
              </w:rPr>
            </w:pPr>
            <w:r>
              <w:rPr>
                <w:rFonts w:hint="eastAsia" w:ascii="宋体" w:hAnsi="宋体" w:eastAsia="宋体" w:cs="宋体"/>
                <w:sz w:val="24"/>
                <w:szCs w:val="24"/>
              </w:rPr>
              <w:t>投标文件电子版格式：</w:t>
            </w:r>
            <w:r>
              <w:rPr>
                <w:rFonts w:hint="eastAsia" w:ascii="宋体" w:hAnsi="宋体" w:eastAsia="宋体" w:cs="宋体"/>
                <w:b/>
                <w:sz w:val="24"/>
                <w:szCs w:val="24"/>
                <w:u w:val="single"/>
              </w:rPr>
              <w:t>word版（无需签字盖章）</w:t>
            </w:r>
          </w:p>
          <w:p w14:paraId="42B0EF5C">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投标文件电子版份数：</w:t>
            </w:r>
            <w:r>
              <w:rPr>
                <w:rFonts w:hint="eastAsia" w:ascii="宋体" w:hAnsi="宋体" w:eastAsia="宋体" w:cs="宋体"/>
                <w:sz w:val="24"/>
                <w:szCs w:val="24"/>
                <w:u w:val="single"/>
              </w:rPr>
              <w:t>1份</w:t>
            </w:r>
          </w:p>
          <w:p w14:paraId="4F5F5D0A">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投标文件电子版形式：</w:t>
            </w:r>
            <w:r>
              <w:rPr>
                <w:rFonts w:hint="eastAsia" w:ascii="宋体" w:hAnsi="宋体" w:eastAsia="宋体" w:cs="宋体"/>
                <w:sz w:val="24"/>
                <w:szCs w:val="24"/>
                <w:u w:val="single"/>
              </w:rPr>
              <w:t>限U盘（随投标文件正本封装）</w:t>
            </w:r>
          </w:p>
          <w:p w14:paraId="26060A0E">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cs="宋体"/>
                <w:sz w:val="24"/>
                <w:szCs w:val="24"/>
              </w:rPr>
              <w:t>注：投标文件全本附页码，只接受A4大小的版本，不得采用活页夹等可随时拆换的方式装订，不得有零散页。</w:t>
            </w:r>
          </w:p>
        </w:tc>
      </w:tr>
      <w:tr w14:paraId="0088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25E00AC">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6CFDDF08">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5753977C">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6426B81F">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0EE3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E1062D6">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816359E">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6D94CFD7">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default"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8F08E4F">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综合评分法</w:t>
            </w:r>
          </w:p>
        </w:tc>
      </w:tr>
      <w:tr w14:paraId="5097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8CA0A0">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.3</w:t>
            </w:r>
          </w:p>
        </w:tc>
        <w:tc>
          <w:tcPr>
            <w:tcW w:w="1174" w:type="pct"/>
            <w:vAlign w:val="center"/>
          </w:tcPr>
          <w:p w14:paraId="15C8017C">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报价扣除</w:t>
            </w:r>
          </w:p>
          <w:p w14:paraId="47621FD0">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09168F1A">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6% </w:t>
            </w:r>
            <w:r>
              <w:rPr>
                <w:rFonts w:hint="eastAsia" w:ascii="宋体" w:hAnsi="宋体" w:eastAsia="宋体"/>
                <w:b w:val="0"/>
                <w:color w:val="auto"/>
                <w:sz w:val="24"/>
                <w:highlight w:val="none"/>
              </w:rPr>
              <w:t>。</w:t>
            </w:r>
          </w:p>
          <w:p w14:paraId="10766BFE">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5E4EF5E">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BC5F9E7">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4823FAB1">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E39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0E35B0">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8450E02">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12F8DA60">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1-3家</w:t>
            </w:r>
          </w:p>
        </w:tc>
      </w:tr>
      <w:tr w14:paraId="6B89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4C49327">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364D51ED">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A160F7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☑采购人委托评标委员会确定</w:t>
            </w:r>
          </w:p>
          <w:p w14:paraId="27C17B89">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4DB5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220533">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1174" w:type="pct"/>
            <w:vAlign w:val="center"/>
          </w:tcPr>
          <w:p w14:paraId="7999AC25">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D2E03E6">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3E9FDB04">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5AE48A4">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14:paraId="5A089A65">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tc>
      </w:tr>
      <w:tr w14:paraId="25AE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09FC90">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320FDB9A">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CE21ABC">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FF4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A74BC3">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6B256BB5">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79447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t>☑</w:t>
            </w:r>
            <w:r>
              <w:rPr>
                <w:rFonts w:hint="eastAsia" w:asciiTheme="minorEastAsia" w:hAnsiTheme="minorEastAsia" w:eastAsiaTheme="minorEastAsia"/>
                <w:color w:val="auto"/>
                <w:kern w:val="0"/>
                <w:sz w:val="24"/>
                <w:szCs w:val="24"/>
                <w:highlight w:val="none"/>
              </w:rPr>
              <w:t>投标人自行登录系统查看</w:t>
            </w:r>
          </w:p>
          <w:p w14:paraId="3C560D5F">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28E2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5262E607">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0D1EBED7">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B44C59F">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（1）金额： </w:t>
            </w:r>
          </w:p>
          <w:p w14:paraId="6E68562B">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□免收 </w:t>
            </w:r>
          </w:p>
          <w:p w14:paraId="714CE5C6">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0"/>
                <w:sz w:val="24"/>
                <w:szCs w:val="24"/>
                <w:lang w:val="en-US" w:eastAsia="zh-CN" w:bidi="ar"/>
              </w:rPr>
              <w:t xml:space="preserve">☑合同价的2.5% </w:t>
            </w:r>
          </w:p>
          <w:p w14:paraId="6E156A34">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□定额收取：人民币</w:t>
            </w:r>
            <w:r>
              <w:rPr>
                <w:rFonts w:hint="eastAsia" w:ascii="宋体" w:hAnsi="宋体" w:eastAsia="宋体" w:cs="宋体"/>
                <w:kern w:val="0"/>
                <w:sz w:val="24"/>
                <w:szCs w:val="24"/>
                <w:u w:val="single"/>
                <w:lang w:val="en-US" w:eastAsia="zh-CN" w:bidi="ar"/>
              </w:rPr>
              <w:t xml:space="preserve"> / </w:t>
            </w:r>
            <w:r>
              <w:rPr>
                <w:rFonts w:hint="eastAsia" w:ascii="宋体" w:hAnsi="宋体" w:eastAsia="宋体" w:cs="宋体"/>
                <w:kern w:val="0"/>
                <w:sz w:val="24"/>
                <w:szCs w:val="24"/>
                <w:lang w:val="en-US" w:eastAsia="zh-CN" w:bidi="ar"/>
              </w:rPr>
              <w:t xml:space="preserve">元 </w:t>
            </w:r>
          </w:p>
          <w:p w14:paraId="4333C49D">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（2）支付方式： </w:t>
            </w:r>
          </w:p>
          <w:p w14:paraId="7774BEE1">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☑转账/电汇 ☑支票 ☑汇票 ☑本票 ☑保险 ☑保函 </w:t>
            </w:r>
          </w:p>
          <w:p w14:paraId="1642913D">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（3）收取单位：采购人 </w:t>
            </w:r>
          </w:p>
          <w:p w14:paraId="3EBCCE15">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（4）缴纳时间：合同签订前</w:t>
            </w:r>
          </w:p>
          <w:p w14:paraId="73F543F0">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（5）退还时间：验收合格后1年</w:t>
            </w:r>
          </w:p>
          <w:p w14:paraId="56E793E7">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b/>
                <w:bCs/>
                <w:kern w:val="0"/>
                <w:sz w:val="24"/>
                <w:szCs w:val="24"/>
                <w:lang w:val="en-US" w:eastAsia="zh-CN" w:bidi="ar"/>
              </w:rPr>
              <w:t xml:space="preserve">注意事项： </w:t>
            </w:r>
          </w:p>
          <w:p w14:paraId="053E9312">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b/>
                <w:bCs/>
                <w:kern w:val="0"/>
                <w:sz w:val="24"/>
                <w:szCs w:val="24"/>
                <w:lang w:val="en-US" w:eastAsia="zh-CN" w:bidi="ar"/>
              </w:rPr>
              <w:t xml:space="preserve">（1）以上各类机构出具的以担保函、保证保险承担责任的方式均须满足无条件见索即付条件。 </w:t>
            </w:r>
          </w:p>
          <w:p w14:paraId="414E93CB">
            <w:pPr>
              <w:keepNext w:val="0"/>
              <w:keepLines w:val="0"/>
              <w:widowControl w:val="0"/>
              <w:suppressLineNumbers w:val="0"/>
              <w:spacing w:before="0" w:beforeAutospacing="0" w:after="0" w:afterAutospacing="0"/>
              <w:ind w:left="0" w:right="0"/>
              <w:jc w:val="both"/>
              <w:rPr>
                <w:rFonts w:hint="default" w:ascii="宋体" w:hAnsi="宋体" w:eastAsia="宋体"/>
                <w:b/>
                <w:bCs/>
                <w:color w:val="auto"/>
                <w:kern w:val="0"/>
                <w:sz w:val="24"/>
                <w:szCs w:val="24"/>
                <w:highlight w:val="none"/>
              </w:rPr>
            </w:pPr>
            <w:r>
              <w:rPr>
                <w:rFonts w:hint="eastAsia" w:ascii="宋体" w:hAnsi="宋体" w:eastAsia="宋体" w:cs="宋体"/>
                <w:b/>
                <w:bCs/>
                <w:kern w:val="0"/>
                <w:sz w:val="24"/>
                <w:szCs w:val="24"/>
                <w:lang w:val="en-US" w:eastAsia="zh-CN" w:bidi="ar"/>
              </w:rPr>
              <w:t>（2）以担保函、保证保险形式缴纳履约保证金的，受益人和收取单位须为采购人。</w:t>
            </w:r>
          </w:p>
        </w:tc>
      </w:tr>
      <w:tr w14:paraId="6005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81" w:type="pct"/>
            <w:vAlign w:val="center"/>
          </w:tcPr>
          <w:p w14:paraId="762472F0">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60DB07F3">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2190C5C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73644165">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6E89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F9863DA">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10C29417">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7E66245">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t>☑</w:t>
            </w:r>
            <w:r>
              <w:rPr>
                <w:rFonts w:hint="default" w:ascii="宋体" w:hAnsi="宋体" w:eastAsia="宋体" w:cs="宋体"/>
                <w:spacing w:val="14"/>
                <w:sz w:val="24"/>
                <w:szCs w:val="24"/>
              </w:rPr>
              <w:t>中标人</w:t>
            </w:r>
          </w:p>
          <w:p w14:paraId="15C46B7E">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rPr>
              <w:t>：</w:t>
            </w:r>
            <w:r>
              <w:rPr>
                <w:rFonts w:hint="eastAsia" w:ascii="宋体" w:hAnsi="宋体" w:eastAsia="宋体" w:cs="宋体"/>
                <w:sz w:val="24"/>
                <w:szCs w:val="24"/>
                <w:u w:val="single" w:color="auto"/>
              </w:rPr>
              <w:t>转账</w:t>
            </w:r>
          </w:p>
          <w:p w14:paraId="209A0CB3">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u w:val="single" w:color="auto"/>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u w:val="single" w:color="auto"/>
              </w:rPr>
              <w:t>按照《招标代理服务收费管理暂行办法》（国家计委计价格[2002]1980号文）规定的收费标准的60%收取。</w:t>
            </w:r>
            <w:r>
              <w:rPr>
                <w:rFonts w:hint="eastAsia" w:ascii="宋体" w:hAnsi="宋体" w:eastAsia="宋体" w:cs="宋体"/>
                <w:b w:val="0"/>
                <w:bCs w:val="0"/>
                <w:sz w:val="24"/>
                <w:szCs w:val="24"/>
                <w:u w:val="none" w:color="auto"/>
              </w:rPr>
              <w:t xml:space="preserve"> </w:t>
            </w:r>
          </w:p>
        </w:tc>
      </w:tr>
      <w:tr w14:paraId="73DE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14C9F8">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23486864">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2869FF2E">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递交方式（任选其一）：</w:t>
            </w:r>
          </w:p>
          <w:p w14:paraId="09F4D0E4">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（1）书面形式递交</w:t>
            </w:r>
          </w:p>
          <w:p w14:paraId="66CC2E06">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（2）通过电子邮箱递交</w:t>
            </w:r>
          </w:p>
          <w:p w14:paraId="6B98EE5D">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接收部门：北京市建壮咨询有限公司</w:t>
            </w:r>
          </w:p>
          <w:p w14:paraId="49D313AE">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联系电话：0551-63535715</w:t>
            </w:r>
          </w:p>
          <w:p w14:paraId="1DACD105">
            <w:pPr>
              <w:pStyle w:val="31"/>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通讯地址：安徽省合肥市高新区红枫路7号富邻广场A座15楼</w:t>
            </w:r>
          </w:p>
          <w:p w14:paraId="79FB9E26">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电子邮箱：3653610893@qq.com</w:t>
            </w:r>
          </w:p>
        </w:tc>
      </w:tr>
      <w:tr w14:paraId="30FB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23C530">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52BDDFB8">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45F6A465">
            <w:pPr>
              <w:pStyle w:val="31"/>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FEA1E0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10492AB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6367F59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385440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7D2EBA56">
            <w:pPr>
              <w:pStyle w:val="31"/>
              <w:keepNext w:val="0"/>
              <w:keepLines w:val="0"/>
              <w:widowControl w:val="0"/>
              <w:numPr>
                <w:ilvl w:val="0"/>
                <w:numId w:val="0"/>
              </w:numPr>
              <w:suppressLineNumbers w:val="0"/>
              <w:spacing w:before="0" w:beforeAutospacing="0" w:after="0" w:afterAutospacing="0" w:line="360" w:lineRule="auto"/>
              <w:ind w:left="0" w:right="0"/>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p w14:paraId="1DC195A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4A715F69">
            <w:pPr>
              <w:pStyle w:val="31"/>
              <w:keepNext w:val="0"/>
              <w:keepLines w:val="0"/>
              <w:widowControl w:val="0"/>
              <w:numPr>
                <w:ilvl w:val="0"/>
                <w:numId w:val="0"/>
              </w:numPr>
              <w:suppressLineNumbers w:val="0"/>
              <w:spacing w:before="0" w:beforeAutospacing="0" w:after="0" w:afterAutospacing="0" w:line="360" w:lineRule="auto"/>
              <w:ind w:left="0" w:right="0"/>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25267EA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9" w:name="_Toc24882"/>
      <w:bookmarkStart w:id="30" w:name="_Toc14880"/>
      <w:bookmarkStart w:id="31" w:name="_Toc23301"/>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9"/>
      <w:bookmarkEnd w:id="30"/>
      <w:bookmarkEnd w:id="31"/>
    </w:p>
    <w:p w14:paraId="2A11A3EA">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2A3491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D9E43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71FCE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FDAA5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571EE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A2EC3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50DD9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05AC81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AB832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275966F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A8745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088052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03AAA4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B38CF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16C9F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4BC2C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28964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B214BA0">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8474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E25C00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6B0A71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CAAB70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1007A2A5">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8FB270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5998E5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28E6D70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6830C4D">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22C6E21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8B4B56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CB8EF8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5AA1D5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2AE8593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E7DAF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CB237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5C1689D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4DF55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629A1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2D718F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截止时间前提交给采购代理机构。</w:t>
      </w:r>
    </w:p>
    <w:p w14:paraId="7E34A6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37D8C6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A26FC4E">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CA9FC46">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7DE7D6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50A7D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F245CE7">
      <w:pPr>
        <w:spacing w:line="360" w:lineRule="auto"/>
        <w:ind w:firstLine="435"/>
        <w:rPr>
          <w:rFonts w:asciiTheme="minorEastAsia" w:hAnsiTheme="minorEastAsia" w:eastAsiaTheme="minorEastAsia"/>
          <w:color w:val="auto"/>
          <w:sz w:val="24"/>
          <w:highlight w:val="none"/>
        </w:rPr>
      </w:pPr>
      <w:bookmarkStart w:id="32"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2"/>
    <w:p w14:paraId="38BD58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69A3C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4AD436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7D3D9C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13767FB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3" w:name="_Hlk11703583"/>
      <w:r>
        <w:rPr>
          <w:rFonts w:hint="eastAsia" w:asciiTheme="minorEastAsia" w:hAnsiTheme="minorEastAsia" w:eastAsiaTheme="minorEastAsia"/>
          <w:color w:val="auto"/>
          <w:sz w:val="24"/>
          <w:highlight w:val="none"/>
          <w:lang w:val="en-US" w:eastAsia="zh-CN"/>
        </w:rPr>
        <w:t>等。</w:t>
      </w:r>
    </w:p>
    <w:bookmarkEnd w:id="33"/>
    <w:p w14:paraId="01E856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0E111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9FFA6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67AEF2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482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0788A5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A713A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544A6F8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C1494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6E48D5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2C800B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A9054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63FC2B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4CDBCC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w:t>
      </w:r>
      <w:r>
        <w:rPr>
          <w:rFonts w:hint="eastAsia" w:asciiTheme="minorEastAsia" w:hAnsiTheme="minorEastAsia" w:eastAsiaTheme="minorEastAsia"/>
          <w:b/>
          <w:color w:val="auto"/>
          <w:sz w:val="24"/>
          <w:highlight w:val="none"/>
          <w:lang w:val="en-US" w:eastAsia="zh-CN"/>
        </w:rPr>
        <w:t>制作、</w:t>
      </w:r>
      <w:r>
        <w:rPr>
          <w:rFonts w:hint="eastAsia" w:asciiTheme="minorEastAsia" w:hAnsiTheme="minorEastAsia" w:eastAsiaTheme="minorEastAsia"/>
          <w:b/>
          <w:color w:val="auto"/>
          <w:sz w:val="24"/>
          <w:highlight w:val="none"/>
        </w:rPr>
        <w:t>递交、修改与撤回</w:t>
      </w:r>
    </w:p>
    <w:p w14:paraId="41A7706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12.1</w:t>
      </w:r>
      <w:r>
        <w:rPr>
          <w:rFonts w:hint="eastAsia" w:asciiTheme="minorEastAsia" w:hAnsiTheme="minorEastAsia" w:eastAsiaTheme="minorEastAsia"/>
          <w:color w:val="auto"/>
          <w:sz w:val="24"/>
          <w:highlight w:val="none"/>
        </w:rPr>
        <w:t>投标文件的正本和所有副本须用不褪色的墨水书写或打印，装订成册，修改处应加盖公章。</w:t>
      </w:r>
    </w:p>
    <w:p w14:paraId="5F25D41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w:t>
      </w:r>
      <w:r>
        <w:rPr>
          <w:rFonts w:hint="eastAsia" w:asciiTheme="minorEastAsia" w:hAnsiTheme="minorEastAsia" w:eastAsiaTheme="minorEastAsia"/>
          <w:color w:val="auto"/>
          <w:sz w:val="24"/>
          <w:highlight w:val="none"/>
        </w:rPr>
        <w:t>投标人应填写全称，投标文件应由投标人负责人或授权代表在凡规定签字或签章处逐一签字或签章及加盖单位的公章。</w:t>
      </w:r>
    </w:p>
    <w:p w14:paraId="581912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.3投标文件的份数：正本一份，副本见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，电子版本一份。并在每份文件上注明“正本”、“副本”字样，正本和副本不一致时，以正本为准。</w:t>
      </w:r>
    </w:p>
    <w:p w14:paraId="21463B8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.4除投标人对错误处做必要修改外，投标文件不得行间插字、涂改或增删，如有修改错漏处，必须由投标人负责人或其授权代表签字和盖章。</w:t>
      </w:r>
    </w:p>
    <w:p w14:paraId="6998B26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.5投标文件的书写应清楚工整,字迹潦草、表达不清、未按要求填写或可能导致非唯一理解的投标文件可能被认定为无效，或按照不利于投标人的理解认定。</w:t>
      </w:r>
    </w:p>
    <w:p w14:paraId="653238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.6开标现场提交的其他材料要求详见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0881E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提交投标文件</w:t>
      </w:r>
      <w:r>
        <w:rPr>
          <w:rFonts w:asciiTheme="minorEastAsia" w:hAnsiTheme="minorEastAsia" w:eastAsiaTheme="minorEastAsia"/>
          <w:color w:val="auto"/>
          <w:sz w:val="24"/>
          <w:highlight w:val="none"/>
        </w:rPr>
        <w:t>。</w:t>
      </w:r>
    </w:p>
    <w:p w14:paraId="393E2E8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投标人应当在投标截止时间前完成投标文件的</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。投标截止时间前未完成投标文件的，视为撤回投标文件。未按规定时间送达的投标文件，</w:t>
      </w:r>
      <w:r>
        <w:rPr>
          <w:rFonts w:hint="eastAsia" w:asciiTheme="minorEastAsia" w:hAnsiTheme="minorEastAsia" w:eastAsiaTheme="minorEastAsia"/>
          <w:color w:val="auto"/>
          <w:sz w:val="24"/>
          <w:highlight w:val="none"/>
          <w:lang w:val="en-US" w:eastAsia="zh-CN"/>
        </w:rPr>
        <w:t>采购代理机构</w:t>
      </w:r>
      <w:r>
        <w:rPr>
          <w:rFonts w:hint="eastAsia" w:asciiTheme="minorEastAsia" w:hAnsiTheme="minorEastAsia" w:eastAsiaTheme="minorEastAsia"/>
          <w:color w:val="auto"/>
          <w:sz w:val="24"/>
          <w:highlight w:val="none"/>
        </w:rPr>
        <w:t>应当拒收。</w:t>
      </w:r>
    </w:p>
    <w:p w14:paraId="6E53D170">
      <w:pPr>
        <w:spacing w:line="360" w:lineRule="auto"/>
        <w:ind w:firstLine="435"/>
        <w:rPr>
          <w:rFonts w:hint="eastAsia" w:ascii="宋体" w:hAnsi="宋体" w:eastAsia="宋体" w:cs="宋体"/>
          <w:sz w:val="24"/>
        </w:rPr>
      </w:pPr>
      <w:r>
        <w:rPr>
          <w:rFonts w:hint="eastAsia" w:ascii="宋体" w:hAnsi="宋体" w:eastAsia="宋体" w:cs="宋体"/>
          <w:sz w:val="24"/>
          <w:lang w:val="en-US" w:eastAsia="zh-CN"/>
        </w:rPr>
        <w:t>12.9</w:t>
      </w:r>
      <w:r>
        <w:rPr>
          <w:rFonts w:hint="eastAsia" w:ascii="宋体" w:hAnsi="宋体" w:eastAsia="宋体" w:cs="宋体"/>
          <w:sz w:val="24"/>
        </w:rPr>
        <w:t>投标人须将投标文件的正本和所有副本分别装订成册，在每个文本封面上标明“正本”或“副本”，以及项目名称、编号、投标人名称等内容。将投标文件正本和所有副本分别装入两个文件袋内加以密封并在每一封贴处加盖公章。投标文件应提供U盘，含全部投标文件的电子版内容，U盘应与投标文件正本密封在同一文件袋中。</w:t>
      </w:r>
    </w:p>
    <w:p w14:paraId="4F82D2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49A9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采购人和采购代理机构将按投标人须知前附表中规定的开标时间和地点组织公开开标</w:t>
      </w:r>
      <w:r>
        <w:rPr>
          <w:rFonts w:asciiTheme="minorEastAsia" w:hAnsiTheme="minorEastAsia" w:eastAsiaTheme="minorEastAsia"/>
          <w:color w:val="auto"/>
          <w:sz w:val="24"/>
          <w:highlight w:val="none"/>
        </w:rPr>
        <w:t>。</w:t>
      </w:r>
    </w:p>
    <w:p w14:paraId="2835C6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开标时，采购代理机构将公布开标结果，公布内容包括投标人名称、投标价格及招标文件规定的内容。</w:t>
      </w:r>
    </w:p>
    <w:p w14:paraId="480F62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239A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C3483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575D8F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1ECEF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A25A834">
      <w:pPr>
        <w:spacing w:line="360" w:lineRule="auto"/>
        <w:ind w:firstLine="435"/>
        <w:rPr>
          <w:rFonts w:hint="eastAsia" w:ascii="宋体" w:hAnsi="宋体" w:eastAsia="宋体" w:cs="宋体"/>
          <w:color w:val="auto"/>
          <w:sz w:val="24"/>
          <w:szCs w:val="24"/>
          <w:highlight w:val="none"/>
        </w:rPr>
      </w:pPr>
      <w:bookmarkStart w:id="34"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080CB0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3A7A31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4"/>
    <w:p w14:paraId="13060CA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F02AD2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943F3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DD4C2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3BFE1E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41B7C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0C8028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7E31FE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6D3A90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33FDA3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如有询标，投标人授权代表（或法定代表人）可通过网上询标，也可凭本人有效身份证明参加询标。因投标人授权代表联系不上、没有及时接受评标委员会询标的，投标人自行承担相关风险。</w:t>
      </w:r>
    </w:p>
    <w:p w14:paraId="2FF615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568B2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75FF54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0AEAB4B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D1580F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37527D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3A6421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6DEA15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EEBB37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6242F4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583035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86D9E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E5C0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73E01E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EC76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F991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E315D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E9C7D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4BE78CF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27F6CE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1F7CDE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405D6A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CDBAE3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FF521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E1ECC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5AD36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1E7BB6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7A0FE8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156371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9809D4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3F9CB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DA848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323155C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28A6B56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（5）如评标过程中出现各投标人得分情况悬殊，个别投标人综合得分大幅高于其他投标人，由评标委员会认定有明显围标、陪标现象的或各投标人之间明显不具备竞争性的。</w:t>
      </w:r>
    </w:p>
    <w:p w14:paraId="0813B7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5496F4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2B020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37D74D2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EC41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35ECB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A1165B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AB06BE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6EAF01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002F02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5C6FCA1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3675C1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C8A1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5133DB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71E26C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013875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54502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A3DDD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D96F9A0">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288378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A3A0C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03A774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251D27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1ACECF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819C6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2CA0BD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16F74D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2D9590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D37BE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781754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73969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42A2A3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7BE81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CF9F71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F67E54A">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628943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5B1E59AC">
      <w:pPr>
        <w:spacing w:line="360" w:lineRule="auto"/>
        <w:ind w:firstLine="437"/>
        <w:outlineLvl w:val="2"/>
        <w:rPr>
          <w:rFonts w:asciiTheme="minorEastAsia" w:hAnsiTheme="minorEastAsia" w:eastAsiaTheme="minorEastAsia"/>
          <w:b/>
          <w:color w:val="auto"/>
          <w:sz w:val="24"/>
          <w:highlight w:val="none"/>
        </w:rPr>
      </w:pPr>
      <w:bookmarkStart w:id="35" w:name="_Toc2583661"/>
      <w:bookmarkStart w:id="36"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5"/>
      <w:bookmarkEnd w:id="36"/>
    </w:p>
    <w:p w14:paraId="5105C1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6770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7B3A63DF">
      <w:pPr>
        <w:spacing w:line="360" w:lineRule="auto"/>
        <w:ind w:firstLine="437"/>
        <w:outlineLvl w:val="2"/>
        <w:rPr>
          <w:rFonts w:asciiTheme="minorEastAsia" w:hAnsiTheme="minorEastAsia" w:eastAsiaTheme="minorEastAsia"/>
          <w:b/>
          <w:color w:val="auto"/>
          <w:sz w:val="24"/>
          <w:highlight w:val="none"/>
        </w:rPr>
      </w:pPr>
      <w:bookmarkStart w:id="37" w:name="_Toc518923101"/>
      <w:bookmarkStart w:id="38"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7"/>
      <w:bookmarkEnd w:id="38"/>
    </w:p>
    <w:p w14:paraId="315FE33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2CB00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84B99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6FC6FD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B73462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2643DB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注：上述条款中所要求的书面形式包含网上递交方式。</w:t>
      </w:r>
    </w:p>
    <w:p w14:paraId="04268B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3E49F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E8D27F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AF32321">
      <w:pPr>
        <w:spacing w:line="360" w:lineRule="auto"/>
        <w:jc w:val="center"/>
        <w:outlineLvl w:val="0"/>
        <w:rPr>
          <w:rFonts w:hint="eastAsia" w:asciiTheme="minorEastAsia" w:hAnsiTheme="minorEastAsia" w:eastAsiaTheme="minorEastAsia"/>
          <w:b/>
          <w:color w:val="auto"/>
          <w:sz w:val="28"/>
          <w:highlight w:val="none"/>
          <w:lang w:eastAsia="zh-CN"/>
        </w:rPr>
      </w:pPr>
      <w:bookmarkStart w:id="39" w:name="_Toc27413"/>
      <w:r>
        <w:rPr>
          <w:rFonts w:hint="eastAsia" w:asciiTheme="minorEastAsia" w:hAnsiTheme="minorEastAsia" w:eastAsiaTheme="minorEastAsia"/>
          <w:b/>
          <w:color w:val="auto"/>
          <w:sz w:val="28"/>
          <w:highlight w:val="none"/>
        </w:rPr>
        <w:t>第三章  采购需求</w:t>
      </w:r>
      <w:bookmarkEnd w:id="39"/>
    </w:p>
    <w:p w14:paraId="6F24612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2897122">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1F372AE6">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3A6626D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DE3A6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4084D6">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27B88060">
      <w:pPr>
        <w:spacing w:line="360" w:lineRule="auto"/>
        <w:ind w:firstLine="437"/>
        <w:outlineLvl w:val="1"/>
        <w:rPr>
          <w:rFonts w:ascii="宋体" w:hAnsi="宋体" w:eastAsia="宋体"/>
          <w:b/>
          <w:color w:val="auto"/>
          <w:sz w:val="24"/>
          <w:szCs w:val="18"/>
          <w:highlight w:val="none"/>
        </w:rPr>
      </w:pPr>
      <w:bookmarkStart w:id="40" w:name="_Toc6919"/>
      <w:bookmarkStart w:id="41" w:name="_Toc32151"/>
      <w:bookmarkStart w:id="42" w:name="_Toc2554"/>
      <w:r>
        <w:rPr>
          <w:rFonts w:hint="eastAsia" w:ascii="宋体" w:hAnsi="宋体" w:eastAsia="宋体"/>
          <w:b/>
          <w:color w:val="auto"/>
          <w:sz w:val="24"/>
          <w:szCs w:val="18"/>
          <w:highlight w:val="none"/>
        </w:rPr>
        <w:t>一、采购需求前附表</w:t>
      </w:r>
      <w:bookmarkEnd w:id="40"/>
      <w:bookmarkEnd w:id="41"/>
      <w:bookmarkEnd w:id="42"/>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411"/>
      </w:tblGrid>
      <w:tr w14:paraId="6E4E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EBBD724">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F7B2FFA">
            <w:pPr>
              <w:pStyle w:val="31"/>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31E2B877">
            <w:pPr>
              <w:pStyle w:val="31"/>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5F1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31A14A0">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42530C96">
            <w:pPr>
              <w:pStyle w:val="31"/>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4006D26A">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rPr>
              <w:t>项目验收合格并双方签署验收文件后，乙方须向甲方出具全额增值税发票。甲方于收到合规发票之日起20个工作日内，向乙方一次性付清合同全款。</w:t>
            </w:r>
          </w:p>
        </w:tc>
      </w:tr>
      <w:tr w14:paraId="79EB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FDBCA2">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1E7CD1F2">
            <w:pPr>
              <w:pStyle w:val="31"/>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1CF6E38D">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rPr>
              <w:t>安徽交通职业技术学院新桥校区，采购人指定地点。</w:t>
            </w:r>
          </w:p>
        </w:tc>
      </w:tr>
      <w:tr w14:paraId="4F65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FFF043">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62D48FCB">
            <w:pPr>
              <w:pStyle w:val="31"/>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5C03B7B4">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rPr>
              <w:t>合同签订后20个工作日内完成交付、安装与调试。</w:t>
            </w:r>
          </w:p>
        </w:tc>
      </w:tr>
      <w:tr w14:paraId="2528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5FF8586">
            <w:pPr>
              <w:pStyle w:val="32"/>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11A9CC1D">
            <w:pPr>
              <w:pStyle w:val="31"/>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349F2593">
            <w:pPr>
              <w:pStyle w:val="31"/>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rPr>
              <w:t>验收合格之日起2年。</w:t>
            </w:r>
          </w:p>
        </w:tc>
      </w:tr>
    </w:tbl>
    <w:p w14:paraId="28605009">
      <w:pPr>
        <w:numPr>
          <w:ilvl w:val="0"/>
          <w:numId w:val="0"/>
        </w:numPr>
        <w:spacing w:line="360" w:lineRule="auto"/>
        <w:outlineLvl w:val="9"/>
        <w:rPr>
          <w:rFonts w:hint="eastAsia" w:ascii="宋体" w:hAnsi="宋体" w:eastAsia="宋体"/>
          <w:b/>
          <w:color w:val="auto"/>
          <w:sz w:val="24"/>
          <w:szCs w:val="18"/>
          <w:highlight w:val="none"/>
        </w:rPr>
      </w:pPr>
      <w:bookmarkStart w:id="43" w:name="_Toc7671"/>
      <w:bookmarkStart w:id="44" w:name="_Toc5944"/>
    </w:p>
    <w:p w14:paraId="567FB006">
      <w:pPr>
        <w:numPr>
          <w:ilvl w:val="0"/>
          <w:numId w:val="1"/>
        </w:numPr>
        <w:spacing w:line="360" w:lineRule="auto"/>
        <w:outlineLvl w:val="1"/>
        <w:rPr>
          <w:rFonts w:hint="eastAsia" w:ascii="宋体" w:hAnsi="宋体" w:eastAsia="宋体"/>
          <w:b/>
          <w:bCs/>
          <w:color w:val="auto"/>
          <w:sz w:val="24"/>
          <w:szCs w:val="18"/>
          <w:highlight w:val="none"/>
        </w:rPr>
      </w:pPr>
      <w:bookmarkStart w:id="45" w:name="_Toc20027"/>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43"/>
      <w:bookmarkEnd w:id="44"/>
      <w:bookmarkEnd w:id="45"/>
    </w:p>
    <w:p w14:paraId="769211B3">
      <w:pPr>
        <w:pStyle w:val="9"/>
        <w:numPr>
          <w:ilvl w:val="0"/>
          <w:numId w:val="0"/>
        </w:numPr>
        <w:rPr>
          <w:rFonts w:hint="eastAsia" w:ascii="宋体" w:hAnsi="宋体" w:eastAsia="宋体" w:cs="宋体"/>
        </w:rPr>
      </w:pPr>
      <w:r>
        <w:rPr>
          <w:rFonts w:hint="eastAsia" w:ascii="宋体" w:hAnsi="宋体" w:eastAsia="宋体" w:cs="宋体"/>
        </w:rPr>
        <w:t>1、货物指标要求</w:t>
      </w:r>
    </w:p>
    <w:tbl>
      <w:tblPr>
        <w:tblStyle w:val="2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1544"/>
        <w:gridCol w:w="6040"/>
      </w:tblGrid>
      <w:tr w14:paraId="1EAB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86" w:type="dxa"/>
            <w:vAlign w:val="center"/>
          </w:tcPr>
          <w:p w14:paraId="46C7AA80">
            <w:pPr>
              <w:keepNext w:val="0"/>
              <w:keepLines w:val="0"/>
              <w:suppressLineNumbers w:val="0"/>
              <w:spacing w:before="0" w:beforeAutospacing="0" w:after="0" w:afterAutospacing="0" w:line="360" w:lineRule="auto"/>
              <w:ind w:left="0" w:right="0"/>
              <w:jc w:val="center"/>
              <w:rPr>
                <w:rFonts w:hint="eastAsia" w:ascii="宋体" w:hAnsi="宋体" w:eastAsia="宋体"/>
                <w:b/>
                <w:bCs/>
                <w:kern w:val="0"/>
                <w:sz w:val="22"/>
                <w:szCs w:val="22"/>
              </w:rPr>
            </w:pPr>
            <w:r>
              <w:rPr>
                <w:rFonts w:hint="eastAsia" w:ascii="宋体" w:hAnsi="宋体" w:eastAsia="宋体"/>
                <w:b/>
                <w:bCs/>
                <w:kern w:val="0"/>
                <w:sz w:val="22"/>
                <w:szCs w:val="22"/>
              </w:rPr>
              <w:t>标识重要性</w:t>
            </w:r>
          </w:p>
        </w:tc>
        <w:tc>
          <w:tcPr>
            <w:tcW w:w="1544" w:type="dxa"/>
            <w:vAlign w:val="center"/>
          </w:tcPr>
          <w:p w14:paraId="74E4D906">
            <w:pPr>
              <w:keepNext w:val="0"/>
              <w:keepLines w:val="0"/>
              <w:suppressLineNumbers w:val="0"/>
              <w:spacing w:before="0" w:beforeAutospacing="0" w:after="0" w:afterAutospacing="0" w:line="360" w:lineRule="auto"/>
              <w:ind w:left="0" w:right="0"/>
              <w:jc w:val="center"/>
              <w:rPr>
                <w:rFonts w:hint="eastAsia" w:ascii="宋体" w:hAnsi="宋体" w:eastAsia="宋体"/>
                <w:b/>
                <w:bCs/>
                <w:kern w:val="0"/>
                <w:sz w:val="22"/>
                <w:szCs w:val="22"/>
              </w:rPr>
            </w:pPr>
            <w:r>
              <w:rPr>
                <w:rFonts w:hint="eastAsia" w:ascii="宋体" w:hAnsi="宋体" w:eastAsia="宋体"/>
                <w:b/>
                <w:bCs/>
                <w:kern w:val="0"/>
                <w:sz w:val="22"/>
                <w:szCs w:val="22"/>
              </w:rPr>
              <w:t>标识符号</w:t>
            </w:r>
          </w:p>
        </w:tc>
        <w:tc>
          <w:tcPr>
            <w:tcW w:w="6040" w:type="dxa"/>
            <w:vAlign w:val="center"/>
          </w:tcPr>
          <w:p w14:paraId="0A66A3EF">
            <w:pPr>
              <w:keepNext w:val="0"/>
              <w:keepLines w:val="0"/>
              <w:suppressLineNumbers w:val="0"/>
              <w:spacing w:before="0" w:beforeAutospacing="0" w:after="0" w:afterAutospacing="0" w:line="360" w:lineRule="auto"/>
              <w:ind w:left="0" w:right="0"/>
              <w:jc w:val="center"/>
              <w:rPr>
                <w:rFonts w:hint="eastAsia" w:ascii="宋体" w:hAnsi="宋体" w:eastAsia="宋体"/>
                <w:b/>
                <w:bCs/>
                <w:kern w:val="0"/>
                <w:sz w:val="22"/>
                <w:szCs w:val="22"/>
              </w:rPr>
            </w:pPr>
            <w:r>
              <w:rPr>
                <w:rFonts w:hint="eastAsia" w:ascii="宋体" w:hAnsi="宋体" w:eastAsia="宋体"/>
                <w:b/>
                <w:bCs/>
                <w:kern w:val="0"/>
                <w:sz w:val="22"/>
                <w:szCs w:val="22"/>
              </w:rPr>
              <w:t>代表意思</w:t>
            </w:r>
          </w:p>
        </w:tc>
      </w:tr>
      <w:tr w14:paraId="033C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86" w:type="dxa"/>
            <w:vAlign w:val="center"/>
          </w:tcPr>
          <w:p w14:paraId="2E728A49">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kern w:val="0"/>
                <w:sz w:val="22"/>
                <w:szCs w:val="22"/>
                <w:lang w:val="en-US" w:eastAsia="zh-CN"/>
              </w:rPr>
              <w:t>关键性</w:t>
            </w:r>
            <w:r>
              <w:rPr>
                <w:rFonts w:hint="eastAsia" w:ascii="宋体" w:hAnsi="宋体" w:eastAsia="宋体"/>
                <w:kern w:val="0"/>
                <w:sz w:val="22"/>
                <w:szCs w:val="22"/>
              </w:rPr>
              <w:t>指标项</w:t>
            </w:r>
          </w:p>
        </w:tc>
        <w:tc>
          <w:tcPr>
            <w:tcW w:w="1544" w:type="dxa"/>
            <w:vAlign w:val="center"/>
          </w:tcPr>
          <w:p w14:paraId="7B2FDDD2">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cs="宋体"/>
                <w:kern w:val="0"/>
                <w:sz w:val="22"/>
                <w:szCs w:val="22"/>
              </w:rPr>
              <w:t>★</w:t>
            </w:r>
          </w:p>
        </w:tc>
        <w:tc>
          <w:tcPr>
            <w:tcW w:w="6040" w:type="dxa"/>
            <w:vAlign w:val="center"/>
          </w:tcPr>
          <w:p w14:paraId="765DB02E">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cs="宋体"/>
                <w:kern w:val="0"/>
                <w:sz w:val="22"/>
                <w:szCs w:val="22"/>
              </w:rPr>
              <w:t>不满足该指标项将导致投标被拒绝</w:t>
            </w:r>
          </w:p>
        </w:tc>
      </w:tr>
      <w:tr w14:paraId="276B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86" w:type="dxa"/>
            <w:vAlign w:val="center"/>
          </w:tcPr>
          <w:p w14:paraId="47F41464">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kern w:val="0"/>
                <w:sz w:val="22"/>
                <w:szCs w:val="22"/>
              </w:rPr>
              <w:t>重要指标项</w:t>
            </w:r>
          </w:p>
        </w:tc>
        <w:tc>
          <w:tcPr>
            <w:tcW w:w="1544" w:type="dxa"/>
            <w:vAlign w:val="center"/>
          </w:tcPr>
          <w:p w14:paraId="79BF1020">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rPr>
              <w:t>■</w:t>
            </w:r>
          </w:p>
        </w:tc>
        <w:tc>
          <w:tcPr>
            <w:tcW w:w="6040" w:type="dxa"/>
            <w:vAlign w:val="center"/>
          </w:tcPr>
          <w:p w14:paraId="31DA86A0">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rPr>
              <w:t>评分项，每满足一项得1分</w:t>
            </w:r>
            <w:bookmarkStart w:id="127" w:name="_GoBack"/>
            <w:bookmarkEnd w:id="127"/>
          </w:p>
        </w:tc>
      </w:tr>
      <w:tr w14:paraId="18D3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86" w:type="dxa"/>
            <w:vAlign w:val="center"/>
          </w:tcPr>
          <w:p w14:paraId="35A8305B">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kern w:val="0"/>
                <w:sz w:val="22"/>
                <w:szCs w:val="22"/>
              </w:rPr>
              <w:t>一般指标项</w:t>
            </w:r>
          </w:p>
        </w:tc>
        <w:tc>
          <w:tcPr>
            <w:tcW w:w="1544" w:type="dxa"/>
            <w:vAlign w:val="center"/>
          </w:tcPr>
          <w:p w14:paraId="39836D38">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rPr>
              <w:t>●</w:t>
            </w:r>
          </w:p>
        </w:tc>
        <w:tc>
          <w:tcPr>
            <w:tcW w:w="6040" w:type="dxa"/>
            <w:vAlign w:val="center"/>
          </w:tcPr>
          <w:p w14:paraId="459613A0">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2"/>
                <w:szCs w:val="22"/>
              </w:rPr>
            </w:pPr>
            <w:r>
              <w:rPr>
                <w:rFonts w:hint="eastAsia" w:ascii="宋体" w:hAnsi="宋体" w:eastAsia="宋体" w:cs="宋体"/>
                <w:kern w:val="0"/>
                <w:sz w:val="22"/>
                <w:szCs w:val="22"/>
              </w:rPr>
              <w:t>评分项，每满足一项得0.5分</w:t>
            </w:r>
          </w:p>
        </w:tc>
      </w:tr>
      <w:tr w14:paraId="005D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4EC3F222">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kern w:val="0"/>
                <w:sz w:val="22"/>
                <w:szCs w:val="22"/>
              </w:rPr>
              <w:t>无标识项</w:t>
            </w:r>
          </w:p>
        </w:tc>
        <w:tc>
          <w:tcPr>
            <w:tcW w:w="1544" w:type="dxa"/>
            <w:vAlign w:val="center"/>
          </w:tcPr>
          <w:p w14:paraId="4E2CF418">
            <w:pPr>
              <w:keepNext w:val="0"/>
              <w:keepLines w:val="0"/>
              <w:suppressLineNumbers w:val="0"/>
              <w:spacing w:before="0" w:beforeAutospacing="0" w:after="0" w:afterAutospacing="0" w:line="360" w:lineRule="auto"/>
              <w:ind w:left="0" w:right="0"/>
              <w:jc w:val="center"/>
              <w:rPr>
                <w:rFonts w:hint="eastAsia" w:ascii="宋体" w:hAnsi="宋体" w:eastAsia="宋体"/>
                <w:kern w:val="0"/>
                <w:sz w:val="22"/>
                <w:szCs w:val="22"/>
              </w:rPr>
            </w:pPr>
            <w:r>
              <w:rPr>
                <w:rFonts w:hint="eastAsia" w:ascii="宋体" w:hAnsi="宋体" w:eastAsia="宋体"/>
                <w:kern w:val="0"/>
                <w:sz w:val="22"/>
                <w:szCs w:val="22"/>
              </w:rPr>
              <w:t>/</w:t>
            </w:r>
          </w:p>
        </w:tc>
        <w:tc>
          <w:tcPr>
            <w:tcW w:w="6040" w:type="dxa"/>
            <w:vAlign w:val="center"/>
          </w:tcPr>
          <w:p w14:paraId="45DD393C">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无标识项的技术参数及要求作为基础指标，必须满足或优于。</w:t>
            </w:r>
          </w:p>
          <w:p w14:paraId="2D9D2339">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b/>
                <w:bCs/>
                <w:kern w:val="0"/>
                <w:sz w:val="22"/>
                <w:szCs w:val="22"/>
              </w:rPr>
            </w:pPr>
            <w:r>
              <w:rPr>
                <w:rFonts w:hint="eastAsia" w:ascii="宋体" w:hAnsi="宋体" w:eastAsia="宋体" w:cs="宋体"/>
                <w:kern w:val="0"/>
                <w:sz w:val="22"/>
                <w:szCs w:val="22"/>
              </w:rPr>
              <w:t>投标文件中须提供承诺，承诺无标识项技术参数及要求完全满足采购文件要求，如履约验收期间所投产品及服务不满足采购文件要求，采购人有权追究违约责任，中标人承担由此产生的一切后果及责任。投标文件中未提供相应承诺或承诺的内容不满足要求的，响应无效。</w:t>
            </w:r>
            <w:r>
              <w:rPr>
                <w:rFonts w:hint="eastAsia" w:ascii="宋体" w:hAnsi="宋体" w:eastAsia="宋体" w:cs="宋体"/>
                <w:b/>
                <w:bCs/>
                <w:kern w:val="0"/>
                <w:sz w:val="22"/>
                <w:szCs w:val="22"/>
              </w:rPr>
              <w:t>（承诺函格式详见投标文件格式）</w:t>
            </w:r>
          </w:p>
        </w:tc>
      </w:tr>
      <w:tr w14:paraId="6D1C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3"/>
            <w:vAlign w:val="center"/>
          </w:tcPr>
          <w:p w14:paraId="0BFFBDAD">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kern w:val="0"/>
                <w:sz w:val="22"/>
                <w:szCs w:val="22"/>
              </w:rPr>
            </w:pPr>
            <w:r>
              <w:rPr>
                <w:rFonts w:hint="eastAsia" w:ascii="宋体" w:hAnsi="宋体" w:eastAsia="宋体" w:cs="宋体"/>
                <w:b/>
                <w:bCs/>
                <w:kern w:val="0"/>
                <w:sz w:val="22"/>
                <w:szCs w:val="22"/>
              </w:rPr>
              <w:t>注：如某项标识中包含多条参数或要求，则该项标识所含内容均需满足或优于招标文件要求，否则不予认可。</w:t>
            </w:r>
          </w:p>
        </w:tc>
      </w:tr>
    </w:tbl>
    <w:p w14:paraId="6FB8205B">
      <w:pPr>
        <w:pStyle w:val="9"/>
        <w:numPr>
          <w:ilvl w:val="0"/>
          <w:numId w:val="0"/>
        </w:numPr>
      </w:pPr>
    </w:p>
    <w:p w14:paraId="38079805">
      <w:pPr>
        <w:pStyle w:val="9"/>
        <w:numPr>
          <w:ilvl w:val="0"/>
          <w:numId w:val="0"/>
        </w:numPr>
        <w:rPr>
          <w:rFonts w:hint="eastAsia" w:ascii="宋体" w:hAnsi="宋体" w:eastAsia="宋体" w:cs="宋体"/>
        </w:rPr>
      </w:pPr>
      <w:r>
        <w:rPr>
          <w:rFonts w:hint="eastAsia" w:ascii="宋体" w:hAnsi="宋体" w:eastAsia="宋体" w:cs="宋体"/>
        </w:rPr>
        <w:t>2、货物需求</w:t>
      </w:r>
    </w:p>
    <w:tbl>
      <w:tblPr>
        <w:tblStyle w:val="23"/>
        <w:tblpPr w:leftFromText="180" w:rightFromText="180" w:vertAnchor="text" w:horzAnchor="page" w:tblpX="1192" w:tblpY="461"/>
        <w:tblOverlap w:val="never"/>
        <w:tblW w:w="96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4"/>
        <w:gridCol w:w="1451"/>
        <w:gridCol w:w="4938"/>
        <w:gridCol w:w="1131"/>
        <w:gridCol w:w="857"/>
        <w:gridCol w:w="686"/>
      </w:tblGrid>
      <w:tr w14:paraId="271C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61D2DE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2B036A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货物名称</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1AAC5AEF">
            <w:pPr>
              <w:keepNext w:val="0"/>
              <w:keepLines w:val="0"/>
              <w:widowControl/>
              <w:suppressLineNumbers w:val="0"/>
              <w:spacing w:before="0" w:beforeAutospacing="0" w:after="0" w:afterAutospacing="0" w:line="360" w:lineRule="auto"/>
              <w:ind w:left="0" w:right="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技术参数及要求</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F082AC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数量（单位）</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3946D3D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所属行业</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559AAF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066F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D4852C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DBD40A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▲冲击声频缺陷检测仪</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38F6D22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★1.图形处理模式：等值线，支持AI图形辅助判读</w:t>
            </w:r>
          </w:p>
          <w:p w14:paraId="78AF5B8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★2.噪音处理及频谱分析：移动平滑、BPF、EMD、小波降噪，FFT、MEM</w:t>
            </w:r>
            <w:r>
              <w:rPr>
                <w:rFonts w:hint="eastAsia" w:ascii="宋体" w:hAnsi="宋体" w:eastAsia="宋体" w:cs="宋体"/>
                <w:b/>
                <w:bCs/>
                <w:i w:val="0"/>
                <w:iCs w:val="0"/>
                <w:color w:val="auto"/>
                <w:kern w:val="0"/>
                <w:sz w:val="24"/>
                <w:szCs w:val="24"/>
                <w:u w:val="none"/>
                <w:lang w:val="en-US" w:eastAsia="zh-CN" w:bidi="ar"/>
              </w:rPr>
              <w:t>（投标文件中提供软件截图）</w:t>
            </w:r>
          </w:p>
          <w:p w14:paraId="4943C38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★3.耦合方式：非接触式（传声器），按压接触（加速度）双方式</w:t>
            </w:r>
          </w:p>
          <w:p w14:paraId="184217B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■4.功能：仪器用于衬砌结构的厚度变化及内部缺陷检测</w:t>
            </w:r>
          </w:p>
          <w:p w14:paraId="67CA08EA">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■5.供电方式：内置充电电池，满电量可供工作时间&gt;5h</w:t>
            </w:r>
          </w:p>
          <w:p w14:paraId="32C6A99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■6.通讯方式：无线</w:t>
            </w:r>
          </w:p>
          <w:p w14:paraId="1DE452C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●7.通讯距离：显示端与采集端远距离交互，可达20M</w:t>
            </w:r>
          </w:p>
          <w:p w14:paraId="1202A0A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●8.触发模式：外触发，软件内特征波形触发</w:t>
            </w:r>
          </w:p>
          <w:p w14:paraId="5EBA587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●9.测试通道数：≥2通道</w:t>
            </w:r>
          </w:p>
          <w:p w14:paraId="0C26EB9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●10.采样点数：默认8192，可扩展</w:t>
            </w:r>
          </w:p>
          <w:p w14:paraId="5E59F0D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●11.采样频率：≥500kHz，可调</w:t>
            </w:r>
          </w:p>
          <w:p w14:paraId="0A95F0B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●12.采样精度：≥24位</w:t>
            </w:r>
          </w:p>
          <w:p w14:paraId="0204AD6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●13.传感器类型：传声器</w:t>
            </w:r>
          </w:p>
          <w:p w14:paraId="0C3E8A0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14.最适频率范围：1～10kHz</w:t>
            </w:r>
          </w:p>
          <w:p w14:paraId="1AE9750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15.运行内存：≥8GB</w:t>
            </w:r>
          </w:p>
          <w:p w14:paraId="75E7338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16.存储空间：&gt;100GB，可存储大量数据</w:t>
            </w:r>
          </w:p>
          <w:p w14:paraId="4D733E8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17.屏幕显示：高清液晶显示屏，并支持多点触控</w:t>
            </w:r>
          </w:p>
          <w:p w14:paraId="29CC5FB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18.采样模式：单次、连续</w:t>
            </w:r>
          </w:p>
          <w:p w14:paraId="3CD19F4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●19.设备可扩展数据云平台，平台具备存储、搜索、统计、报告浏览等功能，支持云端AI（人工智能）分析。</w:t>
            </w:r>
          </w:p>
          <w:p w14:paraId="5FE56E4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●20.支持设备运维管理服务</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37207C3A">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D064EBF">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DDB69D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6D89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6F2C5E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BB98B9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敲击式隧道衬砌缺陷检测仪</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11A6405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1.仪器系统：能满足敲击式隧道衬砌缺陷检测App安装。</w:t>
            </w:r>
          </w:p>
          <w:p w14:paraId="11E1162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■2.检测对象：隧道衬砌及混凝土构件</w:t>
            </w:r>
          </w:p>
          <w:p w14:paraId="528FA3C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■3.信号影响范围：表层至0.3m</w:t>
            </w:r>
          </w:p>
          <w:p w14:paraId="27E6D77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4.仪器硬件性能：运行内存≥4GB，存储空间≥32GB</w:t>
            </w:r>
          </w:p>
          <w:p w14:paraId="5ABE7CC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5.相机像素：≥10MP</w:t>
            </w:r>
          </w:p>
          <w:p w14:paraId="1DDB027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6.环境降噪：可进行多级降噪，适应不同工作环境</w:t>
            </w:r>
          </w:p>
          <w:p w14:paraId="6B77160C">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7.图形模式：平面等值线</w:t>
            </w:r>
          </w:p>
          <w:p w14:paraId="7540477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8.外触发检测装置：识别敲击波形，蓝牙通讯</w:t>
            </w:r>
          </w:p>
          <w:p w14:paraId="471769D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●9.多材质、结构混凝土可现场自标定</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0BE7B422">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92C82C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ECE04E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1827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2C1908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AB3B14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桥隧工竞赛</w:t>
            </w:r>
          </w:p>
          <w:p w14:paraId="4FDED91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隧道衬砌缺陷检测模型</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377BFB5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1.C40混凝土方形构件</w:t>
            </w:r>
          </w:p>
          <w:p w14:paraId="120586C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2.尺寸为3200mm*2000mm*400mm：隧道衬砌及混凝土构件</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60C93532">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469C4EE">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619D2F0">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42F1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6ABC42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8276F6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桥梁物联网安全监测系统</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5276D60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★1.全自动动态加载车辆配置不同重量砝码，具备对桥梁动态激励功能，可动态模拟桥梁的多种运行工况；</w:t>
            </w:r>
          </w:p>
          <w:p w14:paraId="51EB5BE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■2.系统可桥梁物联网监测设备安装调试，数据采集、传输、分析、展现、应用的全流程实训功能，实现教学、实现、竞赛等多种应用功能；</w:t>
            </w:r>
          </w:p>
          <w:p w14:paraId="636A230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■3.通道数量：8通道，每通道最大负载32个传感器；</w:t>
            </w:r>
          </w:p>
          <w:p w14:paraId="0A6B153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●4.算法：内置算法库，集成国内大多数数字传感器，可直接输出传感器的物理量；</w:t>
            </w:r>
          </w:p>
          <w:p w14:paraId="6300AF6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●5.对于振弦式传感器可设置初始频率、K值，可直接输出应变值；对于静力水准仪类传感器支持分组计算，可直接输出每个传感器的沉降值；</w:t>
            </w:r>
          </w:p>
          <w:p w14:paraId="33227B2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■6.一体化管理平台一个账户可实现对不同设施结构同时进行监测，不同结构不同项目不必重复采购安装监测软件；</w:t>
            </w:r>
          </w:p>
          <w:p w14:paraId="44C8F1C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■7.支持 BIM 模型实现被监测结构三维可视化展示和管理，测点通过颜色变化进行与报警展示及具备测点位置调整设置功能；</w:t>
            </w:r>
          </w:p>
          <w:p w14:paraId="2CA53FC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8.桥梁监测模型尺寸：长度≥2300mm，宽≥300mm；净空≥800mm；</w:t>
            </w:r>
          </w:p>
          <w:p w14:paraId="3C5D27B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9.桥梁监测模型材质：金属，拼装结构；</w:t>
            </w:r>
          </w:p>
          <w:p w14:paraId="425230F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10.模型结构设置传感器不同模式的安装孔位，对应实训、竞赛需求；</w:t>
            </w:r>
          </w:p>
          <w:p w14:paraId="47F041C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■11.配套设备：多功能数据采集仪*1、振弦数据模块*1、视频位移计*1、应变计*2、加速度传感器*1、温湿度传感器*1</w:t>
            </w:r>
          </w:p>
          <w:p w14:paraId="707ECFC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12.多功能数据采集仪处理器：≥四核Cortex-A72 (ARM v8)，1.5GHz；</w:t>
            </w:r>
          </w:p>
          <w:p w14:paraId="75EC745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13.多功能数据采集仪内存：≥4G LPDDR4；</w:t>
            </w:r>
          </w:p>
          <w:p w14:paraId="0E196FE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14.多功能数据采集仪通讯方式：2G/3G/4G；</w:t>
            </w:r>
          </w:p>
          <w:p w14:paraId="1EC737C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15.多功能数据采集仪硬件接口：RS485x8、USBx1、LANx1、SIM卡插口x1、天线口x1、AI口x2、IO口x6；</w:t>
            </w:r>
          </w:p>
          <w:p w14:paraId="52EA7CE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16.云端管理：支持设备远程管理和配置；</w:t>
            </w:r>
          </w:p>
          <w:p w14:paraId="6747924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17.通讯协议：标准Modbus RTU/自定义；</w:t>
            </w:r>
          </w:p>
          <w:p w14:paraId="4E9BBCCA">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18.监测系统可实现用户自定义配置监测项目、添加测点、BIM模型导入、实时曲线展示、报表生成等;</w:t>
            </w:r>
          </w:p>
          <w:p w14:paraId="376A7D7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19.实时监测：通过对桥梁自动化在线监测，实时掌握建设及运行的安全状态；</w:t>
            </w:r>
          </w:p>
          <w:p w14:paraId="2EA3AC4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20.报表生成：监测结果实时显示发布，自动生成日、月、年报表，用户可自行下载</w:t>
            </w:r>
          </w:p>
          <w:p w14:paraId="46A32D9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21.监测预警：针对不同工程、不同传感器设置阈值，当结构监测数据异常时，系统核实后触发相应报警机制，第一时间告知用户，实现综合预警功能；</w:t>
            </w:r>
          </w:p>
          <w:p w14:paraId="4B41E17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22.历史资料存储：监测数据的存储，为今后同类工程设计、施工提供类比依据；</w:t>
            </w:r>
          </w:p>
          <w:p w14:paraId="6C5FB3D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23.项目信息资料管理设置功能；</w:t>
            </w:r>
          </w:p>
          <w:p w14:paraId="36E1145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24.预报警信息展示：可采用系统页面实时显示、查询、信息推送等方式。</w:t>
            </w:r>
          </w:p>
          <w:p w14:paraId="0F960C2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25.竞赛模式可进行进行竞赛登录，流程实训、成绩查询等功能</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3241F91E">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1428E71">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08ED69C">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5943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A11B6A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C90AED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盖梁钢筋可拼装实体教学模型</w:t>
            </w:r>
          </w:p>
        </w:tc>
        <w:tc>
          <w:tcPr>
            <w:tcW w:w="4938" w:type="dxa"/>
            <w:tcBorders>
              <w:top w:val="single" w:color="000000" w:sz="4" w:space="0"/>
              <w:left w:val="single" w:color="000000" w:sz="4" w:space="0"/>
              <w:bottom w:val="single" w:color="auto" w:sz="4" w:space="0"/>
              <w:right w:val="single" w:color="000000" w:sz="4" w:space="0"/>
            </w:tcBorders>
            <w:noWrap w:val="0"/>
            <w:vAlign w:val="center"/>
          </w:tcPr>
          <w:p w14:paraId="070595C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配备“资源管理系统”，可进行线上学习。三维模型可以通过学习系统进行应用，支持放大、缩小、旋转、切割、隐藏隔离、三维测量等功能，同时具备查看模型构件树、各构件基本信息及调用、增加相关教学资源的功能</w:t>
            </w:r>
            <w:r>
              <w:rPr>
                <w:rFonts w:hint="eastAsia" w:ascii="宋体" w:hAnsi="宋体" w:eastAsia="宋体" w:cs="宋体"/>
                <w:b/>
                <w:bCs/>
                <w:i w:val="0"/>
                <w:iCs w:val="0"/>
                <w:color w:val="auto"/>
                <w:kern w:val="0"/>
                <w:sz w:val="24"/>
                <w:szCs w:val="24"/>
                <w:u w:val="none"/>
                <w:lang w:val="en-US" w:eastAsia="zh-CN" w:bidi="ar"/>
              </w:rPr>
              <w:t>（提供系统截图）</w:t>
            </w:r>
            <w:r>
              <w:rPr>
                <w:rFonts w:hint="eastAsia" w:ascii="宋体" w:hAnsi="宋体" w:eastAsia="宋体" w:cs="宋体"/>
                <w:i w:val="0"/>
                <w:iCs w:val="0"/>
                <w:color w:val="auto"/>
                <w:kern w:val="0"/>
                <w:sz w:val="24"/>
                <w:szCs w:val="24"/>
                <w:u w:val="none"/>
                <w:lang w:val="en-US" w:eastAsia="zh-CN" w:bidi="ar"/>
              </w:rPr>
              <w:t>。</w:t>
            </w:r>
          </w:p>
          <w:p w14:paraId="6429C3EA">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■2.配套资源：教学视频、对应盖梁钢筋的三维模型、作业指导书；教学视频能完整清晰指导学生操作</w:t>
            </w:r>
            <w:r>
              <w:rPr>
                <w:rFonts w:hint="eastAsia" w:ascii="宋体" w:hAnsi="宋体" w:eastAsia="宋体" w:cs="宋体"/>
                <w:b/>
                <w:bCs/>
                <w:i w:val="0"/>
                <w:iCs w:val="0"/>
                <w:color w:val="auto"/>
                <w:kern w:val="0"/>
                <w:sz w:val="24"/>
                <w:szCs w:val="24"/>
                <w:u w:val="none"/>
                <w:lang w:val="en-US" w:eastAsia="zh-CN" w:bidi="ar"/>
              </w:rPr>
              <w:t>（提供视频截图）</w:t>
            </w:r>
            <w:r>
              <w:rPr>
                <w:rFonts w:hint="eastAsia" w:ascii="宋体" w:hAnsi="宋体" w:eastAsia="宋体" w:cs="宋体"/>
                <w:i w:val="0"/>
                <w:iCs w:val="0"/>
                <w:color w:val="auto"/>
                <w:kern w:val="0"/>
                <w:sz w:val="24"/>
                <w:szCs w:val="24"/>
                <w:u w:val="none"/>
                <w:lang w:val="en-US" w:eastAsia="zh-CN" w:bidi="ar"/>
              </w:rPr>
              <w:t>。</w:t>
            </w:r>
          </w:p>
          <w:p w14:paraId="3B2B4D7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■3.钢筋绑扎支架需结实稳固，能够有效的辅助钢筋绑扎操作。</w:t>
            </w:r>
          </w:p>
          <w:p w14:paraId="075D5E9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■4.设计依据：实际工程案例及相关规范，结合教学功能设计微缩构件，配套详细设计图纸和三维模型，并按照设计图纸进行钢筋半成品模型下料及加工</w:t>
            </w:r>
            <w:r>
              <w:rPr>
                <w:rFonts w:hint="eastAsia" w:ascii="宋体" w:hAnsi="宋体" w:eastAsia="宋体" w:cs="宋体"/>
                <w:b/>
                <w:bCs/>
                <w:i w:val="0"/>
                <w:iCs w:val="0"/>
                <w:color w:val="auto"/>
                <w:kern w:val="0"/>
                <w:sz w:val="24"/>
                <w:szCs w:val="24"/>
                <w:u w:val="none"/>
                <w:lang w:val="en-US" w:eastAsia="zh-CN" w:bidi="ar"/>
              </w:rPr>
              <w:t>（提供设计图纸截图）</w:t>
            </w:r>
            <w:r>
              <w:rPr>
                <w:rFonts w:hint="eastAsia" w:ascii="宋体" w:hAnsi="宋体" w:eastAsia="宋体" w:cs="宋体"/>
                <w:i w:val="0"/>
                <w:iCs w:val="0"/>
                <w:color w:val="auto"/>
                <w:kern w:val="0"/>
                <w:sz w:val="24"/>
                <w:szCs w:val="24"/>
                <w:u w:val="none"/>
                <w:lang w:val="en-US" w:eastAsia="zh-CN" w:bidi="ar"/>
              </w:rPr>
              <w:t>。</w:t>
            </w:r>
          </w:p>
          <w:p w14:paraId="79ABE17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●5.钢筋骨架半成品构造：钢筋骨架半成品各类钢筋构造与实际钢筋结构保持一致，钢筋长度误差≤2mm，绑扎钢筋骨架成品长度为1m。</w:t>
            </w:r>
          </w:p>
          <w:p w14:paraId="08D662A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钢筋骨架半成品材料：采用直径2.0mm~5.0mm优质碳钢材料模拟实体钢筋，部分钢筋材料进行螺纹加工，模拟带肋钢筋；钢筋模型外表面采用静电喷涂技术进行上色，便于根据颜色区分各类钢筋构造，颜色种类不少于三种；各类型钢筋半成品需有一定富余，富余量不少于10%。</w:t>
            </w:r>
          </w:p>
          <w:p w14:paraId="7335FDA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7.各类辅助工具:包括钢板尺、小型工具钳、可擦记号笔、定制钢筋绑扎钩、定制绑丝、钢筋绑扎支架等必备品。</w:t>
            </w:r>
          </w:p>
          <w:p w14:paraId="20ED5F9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8.模型工具箱：长*宽*高≥0.60m*0.35m*0.10m，采用金属骨架，不锈钢包角，环保型板材；箱体内按照装载的钢筋及各类工具形状定制凹槽，配备工具锁及把手。</w:t>
            </w:r>
          </w:p>
          <w:p w14:paraId="6F519CE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9.标准版配置包含钢筋识图与绑扎实训专用耗材套装：缩微钢筋弯曲机两套、缩微钢筋800根、简易支架一套、扎丝10捆、绑扎钩6个。</w:t>
            </w:r>
          </w:p>
          <w:p w14:paraId="1A37794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10.模型为盖梁钢筋模型，包括钢筋骨架半成品以及各类辅助工具。</w:t>
            </w:r>
          </w:p>
        </w:tc>
        <w:tc>
          <w:tcPr>
            <w:tcW w:w="1131" w:type="dxa"/>
            <w:tcBorders>
              <w:top w:val="single" w:color="000000" w:sz="4" w:space="0"/>
              <w:left w:val="single" w:color="000000" w:sz="4" w:space="0"/>
              <w:bottom w:val="single" w:color="auto" w:sz="4" w:space="0"/>
              <w:right w:val="single" w:color="000000" w:sz="4" w:space="0"/>
            </w:tcBorders>
            <w:noWrap/>
            <w:vAlign w:val="center"/>
          </w:tcPr>
          <w:p w14:paraId="06D0CBAF">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auto" w:sz="4" w:space="0"/>
              <w:right w:val="single" w:color="000000" w:sz="4" w:space="0"/>
            </w:tcBorders>
            <w:noWrap/>
            <w:vAlign w:val="center"/>
          </w:tcPr>
          <w:p w14:paraId="7EEEC03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auto" w:sz="4" w:space="0"/>
              <w:right w:val="single" w:color="000000" w:sz="4" w:space="0"/>
            </w:tcBorders>
            <w:noWrap/>
            <w:vAlign w:val="center"/>
          </w:tcPr>
          <w:p w14:paraId="2415BA0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279B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C58E6B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F0B734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配件</w:t>
            </w:r>
          </w:p>
        </w:tc>
        <w:tc>
          <w:tcPr>
            <w:tcW w:w="4938" w:type="dxa"/>
            <w:tcBorders>
              <w:top w:val="single" w:color="auto" w:sz="4" w:space="0"/>
              <w:left w:val="single" w:color="000000" w:sz="4" w:space="0"/>
              <w:bottom w:val="single" w:color="000000" w:sz="4" w:space="0"/>
              <w:right w:val="single" w:color="000000" w:sz="4" w:space="0"/>
            </w:tcBorders>
            <w:noWrap w:val="0"/>
            <w:vAlign w:val="center"/>
          </w:tcPr>
          <w:p w14:paraId="286847D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1.工具盒：手提收纳盒，不小于35cm*25cm*15cm；</w:t>
            </w:r>
          </w:p>
          <w:p w14:paraId="1932C55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2.A4写字板；</w:t>
            </w:r>
          </w:p>
          <w:p w14:paraId="0A917CA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3.计算器；</w:t>
            </w:r>
          </w:p>
          <w:p w14:paraId="306FF2E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4.5m卷尺；</w:t>
            </w:r>
          </w:p>
          <w:p w14:paraId="6B3F2EA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5.1m直尺；</w:t>
            </w:r>
          </w:p>
          <w:p w14:paraId="34F9085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6.32GB U盘</w:t>
            </w:r>
          </w:p>
          <w:p w14:paraId="487DE8C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7.TYP-C转USB转接头</w:t>
            </w:r>
          </w:p>
        </w:tc>
        <w:tc>
          <w:tcPr>
            <w:tcW w:w="1131" w:type="dxa"/>
            <w:tcBorders>
              <w:top w:val="single" w:color="auto" w:sz="4" w:space="0"/>
              <w:left w:val="single" w:color="000000" w:sz="4" w:space="0"/>
              <w:bottom w:val="single" w:color="000000" w:sz="4" w:space="0"/>
              <w:right w:val="single" w:color="000000" w:sz="4" w:space="0"/>
            </w:tcBorders>
            <w:noWrap/>
            <w:vAlign w:val="center"/>
          </w:tcPr>
          <w:p w14:paraId="533F5FDB">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r>
              <w:rPr>
                <w:rFonts w:hint="eastAsia" w:ascii="宋体" w:hAnsi="宋体" w:eastAsia="宋体" w:cs="宋体"/>
                <w:bCs/>
                <w:color w:val="auto"/>
                <w:sz w:val="24"/>
                <w:szCs w:val="24"/>
                <w:lang w:val="en-US" w:eastAsia="zh-CN"/>
              </w:rPr>
              <w:t>套</w:t>
            </w:r>
          </w:p>
        </w:tc>
        <w:tc>
          <w:tcPr>
            <w:tcW w:w="857" w:type="dxa"/>
            <w:tcBorders>
              <w:top w:val="single" w:color="auto" w:sz="4" w:space="0"/>
              <w:left w:val="single" w:color="000000" w:sz="4" w:space="0"/>
              <w:bottom w:val="single" w:color="000000" w:sz="4" w:space="0"/>
              <w:right w:val="single" w:color="000000" w:sz="4" w:space="0"/>
            </w:tcBorders>
            <w:noWrap/>
            <w:vAlign w:val="center"/>
          </w:tcPr>
          <w:p w14:paraId="63DF3286">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auto" w:sz="4" w:space="0"/>
              <w:left w:val="single" w:color="000000" w:sz="4" w:space="0"/>
              <w:bottom w:val="single" w:color="000000" w:sz="4" w:space="0"/>
              <w:right w:val="single" w:color="000000" w:sz="4" w:space="0"/>
            </w:tcBorders>
            <w:noWrap/>
            <w:vAlign w:val="center"/>
          </w:tcPr>
          <w:p w14:paraId="2B1F3DC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3CD9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941E9C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47D828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孔道灌浆缺陷定位仪维修</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03CAF8B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★1.采样模式：单次、阈值连续、特征波形连续（AI辅助判定，有效过滤非激振波形）</w:t>
            </w:r>
          </w:p>
          <w:p w14:paraId="72920B30">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■2.噪音处理及频谱分析：移动平滑、BPF、EMD、FFT、MEM</w:t>
            </w:r>
          </w:p>
          <w:p w14:paraId="13FC41A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■3.设备数据能无缝直接上传至数据云平台，平台具备存储、搜索、统计、报告浏览等功能；</w:t>
            </w:r>
          </w:p>
          <w:p w14:paraId="74BFAD5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●4.与本地BIM系统直接连接，实现检测结果模型可视化；支持云端AI（人工智能）训练及分析</w:t>
            </w:r>
          </w:p>
          <w:p w14:paraId="509C367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5.测试通道数：1通道</w:t>
            </w:r>
          </w:p>
          <w:p w14:paraId="46882C3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6.采样点数：＞20000个，可调</w:t>
            </w:r>
          </w:p>
          <w:p w14:paraId="2467FC2A">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7.采样频率：500kHz，可调</w:t>
            </w:r>
          </w:p>
          <w:p w14:paraId="5524E6C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8.采样精度：24位</w:t>
            </w:r>
          </w:p>
          <w:p w14:paraId="7C324E9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9.传感器类型：加速度传感器</w:t>
            </w:r>
          </w:p>
          <w:p w14:paraId="1D305AD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u w:val="none"/>
                <w:lang w:val="en-US" w:eastAsia="zh-CN" w:bidi="ar"/>
              </w:rPr>
              <w:t>图形处理：等值线、弹性波雷达</w:t>
            </w:r>
          </w:p>
          <w:p w14:paraId="1C2FEB3C">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11.测试壁厚范围：0.1～0.3m</w:t>
            </w:r>
          </w:p>
          <w:p w14:paraId="5058C1F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12.支持设备运维管理服务</w:t>
            </w:r>
          </w:p>
          <w:p w14:paraId="059F602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13.最适工作温度：0～40℃</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A6AA44E">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07A2362">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F14C9C1">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5F8D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48B757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E26DCF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孔道灌浆缺陷定位模型</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28E6411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1.模型尺寸2.2m*1.0m*0.3m；</w:t>
            </w:r>
          </w:p>
          <w:p w14:paraId="36910E5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2.孔道内部灌浆缺陷类型：全空、半满、全满，能够实现对孔道灌浆缺陷进行定位检测；</w:t>
            </w:r>
          </w:p>
          <w:p w14:paraId="3604D0C0">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3.混凝土强度C40。</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7C7049C6">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BE5C7C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1CC071E">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3A80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1E3C42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23D574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裂缝监测动态模型系统升级</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18D74C1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★1.通道数量：2通道，每通道最大负载32个传感器；</w:t>
            </w:r>
          </w:p>
          <w:p w14:paraId="099CF26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■2.算法：内置算法库，集成国内大多数数字传感器，可直接输出传感器的物理量；</w:t>
            </w:r>
          </w:p>
          <w:p w14:paraId="194722E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■3.控制：蓝牙直连控制器；</w:t>
            </w:r>
          </w:p>
          <w:p w14:paraId="0DCFEEF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●4.动态模拟混凝土裂缝开裂形式：加速、减速、张开收缩循环开裂变化过程，配置监测实训操作功能；</w:t>
            </w:r>
          </w:p>
          <w:p w14:paraId="52CC9FD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■5.软件控制模型运动并提供九种裂缝变化模式。</w:t>
            </w:r>
          </w:p>
          <w:p w14:paraId="4FFC4F7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●6.裂缝变化范围：0~20mm；</w:t>
            </w:r>
          </w:p>
          <w:p w14:paraId="13C52570">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7.精度：1mm</w:t>
            </w:r>
          </w:p>
          <w:p w14:paraId="25FF748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8.终端显示：液晶显示；</w:t>
            </w:r>
          </w:p>
          <w:p w14:paraId="3C8AA1E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9.通信：可自动化在线监测；</w:t>
            </w:r>
          </w:p>
          <w:p w14:paraId="25D0BD8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●10.处理器：四核Cortex-A72 (ARM v8)，1.5GHz；</w:t>
            </w:r>
          </w:p>
          <w:p w14:paraId="4654619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11.硬件接口：485x2、USBx1、LANx1、SIM卡插口x1、天线口x1，预报警口x1，电源口x1；</w:t>
            </w:r>
          </w:p>
          <w:p w14:paraId="0F13952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12.通讯协议：标准Modbus RTU/自定义；</w:t>
            </w:r>
          </w:p>
          <w:p w14:paraId="7A240C82">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13.采集方式：自动轮询采集；</w:t>
            </w:r>
          </w:p>
          <w:p w14:paraId="2543560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14.位移量程：25 mm；</w:t>
            </w:r>
          </w:p>
          <w:p w14:paraId="2E42307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15.输出信号：RS485数字式输出；</w:t>
            </w:r>
          </w:p>
          <w:p w14:paraId="2A510DD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16.线性误差：±0.25%；</w:t>
            </w:r>
          </w:p>
          <w:p w14:paraId="5E7D16B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17.分辨率：16 bit；</w:t>
            </w:r>
          </w:p>
          <w:p w14:paraId="7CDD955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18.工作温度：-25℃～+85℃；</w:t>
            </w:r>
          </w:p>
          <w:p w14:paraId="4026835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19.供电电源：9～12V DC；</w:t>
            </w:r>
          </w:p>
          <w:p w14:paraId="59CFEB4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20.温度系数：零点 ≤0.01%/℃；</w:t>
            </w:r>
          </w:p>
          <w:p w14:paraId="41DEA37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21.灵敏度：≤0.025%/℃</w:t>
            </w:r>
          </w:p>
          <w:p w14:paraId="41FDE70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22.供电电压：12V DC；</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14F78537">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F2D4111">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FE1A629">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21C5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31ECC8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707EB0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分光光度计</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5628848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★1.具有开机自检、自校波长、光源自动切换、能量校正。</w:t>
            </w:r>
          </w:p>
          <w:p w14:paraId="52C7710A">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■2.仪器本机不仅可以进行光度测试，浓度测试，还可以建立和贮存56条以上标准曲线。</w:t>
            </w:r>
          </w:p>
          <w:p w14:paraId="67C8128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■3.Win-spec工作站软件，可用计算机控制仪器，进行光度分析、单波长定量分析、动力学分析。</w:t>
            </w:r>
          </w:p>
          <w:p w14:paraId="3AC0BBC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4.光学系统：单光束,自准式光栅单色器,1200条/毫米光栅</w:t>
            </w:r>
          </w:p>
          <w:p w14:paraId="6F6C954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5.显示系统：2×20液晶显示器</w:t>
            </w:r>
          </w:p>
          <w:p w14:paraId="50A3B17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6.波长范围：320-1000</w:t>
            </w:r>
          </w:p>
          <w:p w14:paraId="5756A20A">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●7.波长准确度：±1.0nm</w:t>
            </w:r>
          </w:p>
          <w:p w14:paraId="2AC9B95C">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8.波长重复性：≤0.5nm</w:t>
            </w:r>
          </w:p>
          <w:p w14:paraId="468B5D8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9.100T%，0T%，波长设置方式：自动</w:t>
            </w:r>
          </w:p>
          <w:p w14:paraId="637C5CC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10.光谱带宽：5nm</w:t>
            </w:r>
          </w:p>
          <w:p w14:paraId="00C39FB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11.杂散光：≤0.2％T</w:t>
            </w:r>
          </w:p>
          <w:p w14:paraId="2255A9C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12.光度显示范围：0-125%T, -0.097-3.0A</w:t>
            </w:r>
          </w:p>
          <w:p w14:paraId="6B38CB9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13.光度准确度：±0.3%T</w:t>
            </w:r>
          </w:p>
          <w:p w14:paraId="30E9297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14.光度重复性：≤0.2%T</w:t>
            </w:r>
          </w:p>
          <w:p w14:paraId="296B852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15.稳定性：±0.001</w:t>
            </w:r>
          </w:p>
          <w:p w14:paraId="30A8F45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16.光度噪声：±0.001</w:t>
            </w:r>
          </w:p>
          <w:p w14:paraId="4A2377B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17.可测试最小样品量为500微升（需在特殊的样品比色池和样品比色池架条件下）。</w:t>
            </w:r>
          </w:p>
          <w:p w14:paraId="711D898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18.恒温测试功能：选配水循环恒温附件，在恒温条件下进行样品测试，用于样品动力学分析。</w:t>
            </w:r>
          </w:p>
          <w:p w14:paraId="5220366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29.配置：5-50毫米手动四联比色池架一个，10×10×45毫米标准玻璃比色皿四只，RS-232C通讯线一根，电源线一根，使用手册一份，操作流程一份，Win-SpecWin-spec工作站软件一份。</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5DB40BA4">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8543D84">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4AABE54">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0D49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33E44D5">
            <w:pPr>
              <w:keepNext w:val="0"/>
              <w:keepLines w:val="0"/>
              <w:suppressLineNumbers w:val="0"/>
              <w:spacing w:before="0" w:beforeAutospacing="0" w:after="0" w:afterAutospacing="0" w:line="360" w:lineRule="auto"/>
              <w:ind w:left="0" w:right="0"/>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11</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867B12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分析天平</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147A819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●1.称量范围：0~220g</w:t>
            </w:r>
          </w:p>
          <w:p w14:paraId="5091C00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●2.可读性精度：0.1mg</w:t>
            </w:r>
          </w:p>
          <w:p w14:paraId="2592242F">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3.称盘尺寸：Φ90mm</w:t>
            </w:r>
          </w:p>
          <w:p w14:paraId="090A878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4.重复性误差：±0.1mg</w:t>
            </w:r>
          </w:p>
          <w:p w14:paraId="7F5DB7EC">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5.线性误差：±0.2mg</w:t>
            </w:r>
          </w:p>
          <w:p w14:paraId="0774A1FB">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6.工作空间高度：≥240mm</w:t>
            </w:r>
          </w:p>
          <w:p w14:paraId="47761E1C">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7.防风罩：五面全透明玻璃防风罩</w:t>
            </w:r>
          </w:p>
          <w:p w14:paraId="61C795CE">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8.校准方式：全自动内部校准，采用双凸轮机构，确保校准稳定快捷。</w:t>
            </w:r>
          </w:p>
          <w:p w14:paraId="3B96C908">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9.显示屏幕：超大带背光液晶显示屏，视觉柔和清晰。</w:t>
            </w:r>
          </w:p>
          <w:p w14:paraId="345D0796">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10.单位转换：支持米制克拉、金盎司等多种单位转换。</w:t>
            </w:r>
          </w:p>
          <w:p w14:paraId="7740435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11.应用程序：具有计件、全量程去皮、零点跟踪、稳定度显示、超载保护、故障检测等功能。</w:t>
            </w:r>
          </w:p>
          <w:p w14:paraId="5F092464">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12.数据接口：内置RS232C输出接口，可连接计算机、打印机等外部设备。</w:t>
            </w:r>
          </w:p>
          <w:p w14:paraId="5F4E5B03">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13.其他配置：内置式下称吊钩，配备工具箱，可放置校准砝码及数据线。</w:t>
            </w:r>
          </w:p>
          <w:p w14:paraId="27D93BE9">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14.标配附件：天平主机、秤盘、适配器、说明书、合格证、保修卡、防尘罩、清洁布、毛刷、镊子。</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FD7E7F7">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75880F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C61F96C">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p>
        </w:tc>
      </w:tr>
      <w:tr w14:paraId="7281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380061DA">
            <w:pPr>
              <w:keepNext w:val="0"/>
              <w:keepLines w:val="0"/>
              <w:suppressLineNumbers w:val="0"/>
              <w:spacing w:before="0" w:beforeAutospacing="0" w:after="0" w:afterAutospacing="0" w:line="360" w:lineRule="auto"/>
              <w:ind w:left="0" w:right="0"/>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12</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77850E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实验室温湿度计</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01EB06ED">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1.含检定检测报告计量校准证书。</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4FD367FA">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11F5167">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D59B3C4">
            <w:pPr>
              <w:keepNext w:val="0"/>
              <w:keepLines w:val="0"/>
              <w:suppressLineNumbers w:val="0"/>
              <w:spacing w:before="0" w:beforeAutospacing="0" w:after="0" w:afterAutospacing="0" w:line="360" w:lineRule="auto"/>
              <w:ind w:left="0" w:right="0"/>
              <w:rPr>
                <w:rFonts w:hint="eastAsia" w:ascii="宋体" w:hAnsi="宋体" w:eastAsia="宋体" w:cs="宋体"/>
                <w:i w:val="0"/>
                <w:iCs w:val="0"/>
                <w:color w:val="auto"/>
                <w:sz w:val="24"/>
                <w:szCs w:val="24"/>
                <w:u w:val="none"/>
              </w:rPr>
            </w:pPr>
          </w:p>
        </w:tc>
      </w:tr>
      <w:tr w14:paraId="687E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CBE1FDF">
            <w:pPr>
              <w:keepNext w:val="0"/>
              <w:keepLines w:val="0"/>
              <w:suppressLineNumbers w:val="0"/>
              <w:spacing w:before="0" w:beforeAutospacing="0" w:after="0" w:afterAutospacing="0" w:line="360" w:lineRule="auto"/>
              <w:ind w:left="0" w:right="0"/>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13</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0CB4B8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安瓿瓶</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60F4B451">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1.每盒200支。</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257E8B4">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1D7E77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B56183E">
            <w:pPr>
              <w:keepNext w:val="0"/>
              <w:keepLines w:val="0"/>
              <w:suppressLineNumbers w:val="0"/>
              <w:spacing w:before="0" w:beforeAutospacing="0" w:after="0" w:afterAutospacing="0" w:line="360" w:lineRule="auto"/>
              <w:ind w:left="0" w:right="0"/>
              <w:rPr>
                <w:rFonts w:hint="eastAsia" w:ascii="宋体" w:hAnsi="宋体" w:eastAsia="宋体" w:cs="宋体"/>
                <w:i w:val="0"/>
                <w:iCs w:val="0"/>
                <w:color w:val="auto"/>
                <w:sz w:val="24"/>
                <w:szCs w:val="24"/>
                <w:u w:val="none"/>
              </w:rPr>
            </w:pPr>
          </w:p>
        </w:tc>
      </w:tr>
      <w:tr w14:paraId="3FA1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74793968">
            <w:pPr>
              <w:keepNext w:val="0"/>
              <w:keepLines w:val="0"/>
              <w:suppressLineNumbers w:val="0"/>
              <w:spacing w:before="0" w:beforeAutospacing="0" w:after="0" w:afterAutospacing="0" w:line="360" w:lineRule="auto"/>
              <w:ind w:left="0" w:right="0"/>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14</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E5EA54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透明干燥器</w:t>
            </w:r>
          </w:p>
        </w:tc>
        <w:tc>
          <w:tcPr>
            <w:tcW w:w="4938" w:type="dxa"/>
            <w:tcBorders>
              <w:top w:val="single" w:color="000000" w:sz="4" w:space="0"/>
              <w:left w:val="single" w:color="000000" w:sz="4" w:space="0"/>
              <w:bottom w:val="single" w:color="000000" w:sz="4" w:space="0"/>
              <w:right w:val="single" w:color="000000" w:sz="4" w:space="0"/>
            </w:tcBorders>
            <w:noWrap w:val="0"/>
            <w:vAlign w:val="center"/>
          </w:tcPr>
          <w:p w14:paraId="5A2410A5">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1.含实验室变色硅胶干燥剂2瓶，每瓶500g。</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1C3CB93">
            <w:pPr>
              <w:keepNext w:val="0"/>
              <w:keepLines w:val="0"/>
              <w:suppressLineNumbers w:val="0"/>
              <w:tabs>
                <w:tab w:val="left" w:pos="7233"/>
              </w:tabs>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bCs/>
                <w:color w:val="auto"/>
                <w:sz w:val="24"/>
                <w:szCs w:val="24"/>
                <w:lang w:val="en-US" w:eastAsia="zh-CN"/>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5D3CAC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工业</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7214A31">
            <w:pPr>
              <w:keepNext w:val="0"/>
              <w:keepLines w:val="0"/>
              <w:suppressLineNumbers w:val="0"/>
              <w:spacing w:before="0" w:beforeAutospacing="0" w:after="0" w:afterAutospacing="0" w:line="360" w:lineRule="auto"/>
              <w:ind w:left="0" w:right="0"/>
              <w:rPr>
                <w:rFonts w:hint="eastAsia" w:ascii="宋体" w:hAnsi="宋体" w:eastAsia="宋体" w:cs="宋体"/>
                <w:i w:val="0"/>
                <w:iCs w:val="0"/>
                <w:color w:val="auto"/>
                <w:sz w:val="24"/>
                <w:szCs w:val="24"/>
                <w:u w:val="none"/>
              </w:rPr>
            </w:pPr>
          </w:p>
        </w:tc>
      </w:tr>
    </w:tbl>
    <w:p w14:paraId="3AAD6FB1">
      <w:pPr>
        <w:pStyle w:val="9"/>
        <w:numPr>
          <w:ilvl w:val="0"/>
          <w:numId w:val="0"/>
        </w:numPr>
      </w:pPr>
    </w:p>
    <w:p w14:paraId="1ABF9E4A">
      <w:pPr>
        <w:spacing w:line="360" w:lineRule="auto"/>
        <w:rPr>
          <w:rFonts w:hint="eastAsia" w:ascii="宋体" w:hAnsi="宋体" w:eastAsia="宋体" w:cs="宋体"/>
          <w:b/>
          <w:bCs/>
          <w:color w:val="auto"/>
          <w:sz w:val="24"/>
          <w:szCs w:val="18"/>
        </w:rPr>
      </w:pPr>
      <w:r>
        <w:rPr>
          <w:rFonts w:hint="eastAsia" w:ascii="宋体" w:hAnsi="宋体" w:eastAsia="宋体" w:cs="宋体"/>
          <w:b/>
          <w:bCs/>
          <w:color w:val="auto"/>
          <w:sz w:val="24"/>
          <w:szCs w:val="18"/>
          <w:lang w:val="en-US" w:eastAsia="zh-CN"/>
        </w:rPr>
        <w:t>三</w:t>
      </w:r>
      <w:r>
        <w:rPr>
          <w:rFonts w:hint="eastAsia" w:ascii="宋体" w:hAnsi="宋体" w:eastAsia="宋体" w:cs="宋体"/>
          <w:b/>
          <w:bCs/>
          <w:color w:val="auto"/>
          <w:sz w:val="24"/>
          <w:szCs w:val="18"/>
        </w:rPr>
        <w:t>、安装调试、质保及售后服务要求（如有）</w:t>
      </w:r>
    </w:p>
    <w:p w14:paraId="225C8B84">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 安装调试要求：</w:t>
      </w:r>
    </w:p>
    <w:p w14:paraId="0FF63464">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供应商须指派专业技术人员负责所有设备的现场安装、调试及初步操作培训。</w:t>
      </w:r>
    </w:p>
    <w:p w14:paraId="1EA3E903">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安装调试过程中应确保设备运行稳定、参数符合招标文件要求，并提供安装调试记录报告。</w:t>
      </w:r>
    </w:p>
    <w:p w14:paraId="5871461E">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安装调试时间应在合同签订后</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日内完成，具体时间由双方协商确定。</w:t>
      </w:r>
    </w:p>
    <w:p w14:paraId="400DC385">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 质保要求：</w:t>
      </w:r>
    </w:p>
    <w:p w14:paraId="337E41E0">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所有设备质保期不低于2年，自验收合格之日起计算。</w:t>
      </w:r>
    </w:p>
    <w:p w14:paraId="27F988F9">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质保期内，供应商负责免费维修或更换因质量问题引起的故障部件。</w:t>
      </w:r>
    </w:p>
    <w:p w14:paraId="4C2D734A">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质保期内提供不少于2次/年的定期巡检服务，并出具巡检报告。</w:t>
      </w:r>
    </w:p>
    <w:p w14:paraId="520EA7C6">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3. 售后服务要求：</w:t>
      </w:r>
    </w:p>
    <w:p w14:paraId="06D17FED">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提供7×24小时技术支持热线，2小时内响应，48小时内到场处理紧急故障。</w:t>
      </w:r>
    </w:p>
    <w:p w14:paraId="37DB9E2A">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提供终身有偿维修服务，维修费用明码标价。</w:t>
      </w:r>
    </w:p>
    <w:p w14:paraId="568F8468">
      <w:pPr>
        <w:numPr>
          <w:ilvl w:val="0"/>
          <w:numId w:val="2"/>
        </w:numPr>
        <w:spacing w:line="360" w:lineRule="auto"/>
        <w:ind w:left="84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提供设备操作、维护培训视频或现场培训，确保使用人员能独立操作。</w:t>
      </w:r>
    </w:p>
    <w:p w14:paraId="1F4809FE">
      <w:pPr>
        <w:spacing w:line="360" w:lineRule="auto"/>
        <w:rPr>
          <w:rFonts w:hint="eastAsia" w:ascii="宋体" w:hAnsi="宋体" w:eastAsia="宋体" w:cs="宋体"/>
          <w:b/>
          <w:bCs/>
          <w:color w:val="auto"/>
          <w:sz w:val="24"/>
          <w:szCs w:val="18"/>
        </w:rPr>
      </w:pPr>
      <w:r>
        <w:rPr>
          <w:rFonts w:hint="eastAsia" w:ascii="宋体" w:hAnsi="宋体" w:eastAsia="宋体" w:cs="宋体"/>
          <w:b/>
          <w:bCs/>
          <w:color w:val="auto"/>
          <w:sz w:val="24"/>
          <w:szCs w:val="18"/>
        </w:rPr>
        <w:t>四、报价要求</w:t>
      </w:r>
    </w:p>
    <w:p w14:paraId="1032C98C">
      <w:pPr>
        <w:spacing w:line="360" w:lineRule="auto"/>
        <w:ind w:firstLine="480" w:firstLineChars="200"/>
        <w:rPr>
          <w:rFonts w:hint="eastAsia" w:ascii="宋体" w:hAnsi="宋体" w:eastAsia="宋体" w:cs="宋体"/>
          <w:color w:val="auto"/>
          <w:sz w:val="24"/>
          <w:szCs w:val="18"/>
        </w:rPr>
      </w:pPr>
      <w:r>
        <w:rPr>
          <w:rFonts w:hint="eastAsia" w:ascii="宋体" w:hAnsi="宋体" w:eastAsia="宋体" w:cs="宋体"/>
          <w:color w:val="auto"/>
          <w:sz w:val="24"/>
          <w:szCs w:val="18"/>
        </w:rPr>
        <w:t>1. 报价应包括设备费、运输费、安装调试费、培训费、税费等所有费用，不得出现漏报、错报。</w:t>
      </w:r>
    </w:p>
    <w:p w14:paraId="528307E0">
      <w:pPr>
        <w:spacing w:line="360" w:lineRule="auto"/>
        <w:ind w:firstLine="480" w:firstLineChars="200"/>
        <w:rPr>
          <w:rFonts w:hint="eastAsia" w:ascii="宋体" w:hAnsi="宋体" w:eastAsia="宋体" w:cs="宋体"/>
          <w:color w:val="auto"/>
          <w:sz w:val="24"/>
          <w:szCs w:val="18"/>
        </w:rPr>
      </w:pPr>
      <w:r>
        <w:rPr>
          <w:rFonts w:hint="eastAsia" w:ascii="宋体" w:hAnsi="宋体" w:eastAsia="宋体" w:cs="宋体"/>
          <w:color w:val="auto"/>
          <w:sz w:val="24"/>
          <w:szCs w:val="18"/>
        </w:rPr>
        <w:t>2. 报价货币为人民币，报价文件需密封并加盖公章。</w:t>
      </w:r>
    </w:p>
    <w:p w14:paraId="7769027D">
      <w:pPr>
        <w:spacing w:line="360" w:lineRule="auto"/>
        <w:ind w:firstLine="480" w:firstLineChars="200"/>
        <w:rPr>
          <w:rFonts w:hint="eastAsia" w:ascii="宋体" w:hAnsi="宋体" w:eastAsia="宋体" w:cs="宋体"/>
          <w:color w:val="auto"/>
          <w:sz w:val="24"/>
          <w:szCs w:val="18"/>
        </w:rPr>
      </w:pPr>
      <w:r>
        <w:rPr>
          <w:rFonts w:hint="eastAsia" w:ascii="宋体" w:hAnsi="宋体" w:eastAsia="宋体" w:cs="宋体"/>
          <w:color w:val="auto"/>
          <w:sz w:val="24"/>
          <w:szCs w:val="18"/>
          <w:lang w:val="en-US" w:eastAsia="zh-CN"/>
        </w:rPr>
        <w:t>3</w:t>
      </w:r>
      <w:r>
        <w:rPr>
          <w:rFonts w:hint="eastAsia" w:ascii="宋体" w:hAnsi="宋体" w:eastAsia="宋体" w:cs="宋体"/>
          <w:color w:val="auto"/>
          <w:sz w:val="24"/>
          <w:szCs w:val="18"/>
        </w:rPr>
        <w:t>. 若报价中出现缺漏项，视为已包含在总价中，中标后不得追加费用。</w:t>
      </w:r>
    </w:p>
    <w:p w14:paraId="68BA851E">
      <w:pPr>
        <w:spacing w:line="360" w:lineRule="auto"/>
        <w:ind w:firstLine="480" w:firstLineChars="200"/>
        <w:rPr>
          <w:rFonts w:hint="eastAsia" w:ascii="宋体" w:hAnsi="宋体" w:eastAsia="宋体" w:cs="宋体"/>
          <w:color w:val="auto"/>
          <w:sz w:val="24"/>
          <w:szCs w:val="18"/>
        </w:rPr>
      </w:pPr>
      <w:r>
        <w:rPr>
          <w:rFonts w:hint="eastAsia" w:ascii="宋体" w:hAnsi="宋体" w:eastAsia="宋体" w:cs="宋体"/>
          <w:color w:val="auto"/>
          <w:sz w:val="24"/>
          <w:szCs w:val="18"/>
          <w:lang w:val="en-US" w:eastAsia="zh-CN"/>
        </w:rPr>
        <w:t>4</w:t>
      </w:r>
      <w:r>
        <w:rPr>
          <w:rFonts w:hint="eastAsia" w:ascii="宋体" w:hAnsi="宋体" w:eastAsia="宋体" w:cs="宋体"/>
          <w:color w:val="auto"/>
          <w:sz w:val="24"/>
          <w:szCs w:val="18"/>
        </w:rPr>
        <w:t>. 报价文件需提供分项报价明细表，包括设备名称、型号、数量、单价、总价等。</w:t>
      </w:r>
    </w:p>
    <w:p w14:paraId="2B6AED5B">
      <w:pPr>
        <w:spacing w:line="360" w:lineRule="auto"/>
        <w:rPr>
          <w:rFonts w:hint="eastAsia" w:ascii="宋体" w:hAnsi="宋体" w:eastAsia="宋体" w:cs="宋体"/>
          <w:b/>
          <w:bCs/>
          <w:color w:val="auto"/>
          <w:sz w:val="24"/>
          <w:szCs w:val="18"/>
        </w:rPr>
      </w:pPr>
      <w:r>
        <w:rPr>
          <w:rFonts w:hint="eastAsia" w:ascii="宋体" w:hAnsi="宋体" w:eastAsia="宋体" w:cs="宋体"/>
          <w:b/>
          <w:bCs/>
          <w:color w:val="auto"/>
          <w:sz w:val="24"/>
          <w:szCs w:val="18"/>
        </w:rPr>
        <w:t>五、其它要求</w:t>
      </w:r>
    </w:p>
    <w:p w14:paraId="40F6F64A">
      <w:pPr>
        <w:spacing w:line="360" w:lineRule="auto"/>
        <w:ind w:firstLine="480" w:firstLineChars="200"/>
        <w:rPr>
          <w:rFonts w:hint="eastAsia" w:ascii="宋体" w:hAnsi="宋体" w:eastAsia="宋体" w:cs="宋体"/>
          <w:color w:val="auto"/>
          <w:sz w:val="24"/>
          <w:szCs w:val="18"/>
          <w:lang w:val="en-US" w:eastAsia="zh-CN"/>
        </w:rPr>
      </w:pPr>
      <w:r>
        <w:rPr>
          <w:rFonts w:hint="eastAsia" w:ascii="宋体" w:hAnsi="宋体" w:eastAsia="宋体" w:cs="宋体"/>
          <w:color w:val="auto"/>
          <w:sz w:val="24"/>
          <w:szCs w:val="18"/>
          <w:lang w:val="en-US" w:eastAsia="zh-CN"/>
        </w:rPr>
        <w:t>1. 交付时间：合同签订后20个工作日内完成所有设备的交付、安装与调试。</w:t>
      </w:r>
    </w:p>
    <w:p w14:paraId="71E8D11F">
      <w:pPr>
        <w:spacing w:line="360" w:lineRule="auto"/>
        <w:ind w:firstLine="480" w:firstLineChars="200"/>
        <w:rPr>
          <w:rFonts w:hint="eastAsia" w:ascii="宋体" w:hAnsi="宋体" w:eastAsia="宋体" w:cs="宋体"/>
          <w:color w:val="auto"/>
          <w:sz w:val="24"/>
          <w:szCs w:val="18"/>
          <w:lang w:val="en-US" w:eastAsia="zh-CN"/>
        </w:rPr>
      </w:pPr>
      <w:r>
        <w:rPr>
          <w:rFonts w:hint="eastAsia" w:ascii="宋体" w:hAnsi="宋体" w:eastAsia="宋体" w:cs="宋体"/>
          <w:color w:val="auto"/>
          <w:sz w:val="24"/>
          <w:szCs w:val="18"/>
          <w:lang w:val="en-US" w:eastAsia="zh-CN"/>
        </w:rPr>
        <w:t>2. 培训要求：供应商应提供不少于2次的现场操作培训，每次培训时间不少于4学时，并提供培训材料。</w:t>
      </w:r>
    </w:p>
    <w:p w14:paraId="50264EBD">
      <w:pPr>
        <w:spacing w:line="360" w:lineRule="auto"/>
        <w:ind w:firstLine="480" w:firstLineChars="200"/>
        <w:rPr>
          <w:rFonts w:hint="eastAsia" w:ascii="宋体" w:hAnsi="宋体" w:eastAsia="宋体" w:cs="宋体"/>
          <w:color w:val="auto"/>
          <w:sz w:val="24"/>
          <w:szCs w:val="18"/>
          <w:lang w:val="en-US" w:eastAsia="zh-CN"/>
        </w:rPr>
      </w:pPr>
      <w:r>
        <w:rPr>
          <w:rFonts w:hint="eastAsia" w:ascii="宋体" w:hAnsi="宋体" w:eastAsia="宋体" w:cs="宋体"/>
          <w:color w:val="auto"/>
          <w:sz w:val="24"/>
          <w:szCs w:val="18"/>
          <w:lang w:val="en-US" w:eastAsia="zh-CN"/>
        </w:rPr>
        <w:t>3. 验收标准：设备应符合国家相关标准及招标文件技术要求，由安徽交通职业技术学院组织验收。</w:t>
      </w:r>
    </w:p>
    <w:p w14:paraId="2CCD4ABA">
      <w:pPr>
        <w:spacing w:line="360" w:lineRule="auto"/>
        <w:ind w:firstLine="480" w:firstLineChars="200"/>
        <w:rPr>
          <w:rFonts w:hint="eastAsia" w:ascii="宋体" w:hAnsi="宋体" w:eastAsia="宋体" w:cs="宋体"/>
          <w:color w:val="auto"/>
          <w:sz w:val="24"/>
          <w:szCs w:val="18"/>
          <w:lang w:val="en-US" w:eastAsia="zh-CN"/>
        </w:rPr>
      </w:pPr>
      <w:r>
        <w:rPr>
          <w:rFonts w:hint="eastAsia" w:ascii="宋体" w:hAnsi="宋体" w:eastAsia="宋体" w:cs="宋体"/>
          <w:color w:val="auto"/>
          <w:sz w:val="24"/>
          <w:szCs w:val="18"/>
          <w:lang w:val="en-US" w:eastAsia="zh-CN"/>
        </w:rPr>
        <w:t>4. 文件要求：中标供应商需提供设备出厂合格证、使用说明书、保修卡、技术图纸（如适用）等全套资料。</w:t>
      </w:r>
    </w:p>
    <w:p w14:paraId="2867D2F2">
      <w:pPr>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18"/>
          <w:lang w:val="en-US" w:eastAsia="zh-CN"/>
        </w:rPr>
        <w:t>5. 法律合规：本次招标活动严格遵守《中华人民共和国政府采购法》《招标投标法》等法律法规，供应商应具备相应资质并提供真实有效的证明文件。</w:t>
      </w:r>
    </w:p>
    <w:p w14:paraId="3C9D4543">
      <w:pPr>
        <w:spacing w:line="360" w:lineRule="auto"/>
        <w:ind w:firstLine="240" w:firstLineChars="100"/>
        <w:rPr>
          <w:rFonts w:hint="eastAsia" w:ascii="宋体" w:hAnsi="宋体" w:eastAsia="宋体" w:cs="宋体"/>
          <w:sz w:val="24"/>
          <w:szCs w:val="18"/>
        </w:rPr>
      </w:pPr>
    </w:p>
    <w:p w14:paraId="70F613F3">
      <w:pPr>
        <w:spacing w:line="360" w:lineRule="auto"/>
        <w:ind w:firstLine="480" w:firstLineChars="200"/>
        <w:rPr>
          <w:rFonts w:asciiTheme="minorEastAsia" w:hAnsiTheme="minorEastAsia" w:eastAsiaTheme="minorEastAsia"/>
          <w:color w:val="auto"/>
          <w:sz w:val="24"/>
          <w:highlight w:val="none"/>
        </w:rPr>
      </w:pPr>
    </w:p>
    <w:p w14:paraId="6B22FBD0">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3411942C">
      <w:pPr>
        <w:spacing w:line="360" w:lineRule="auto"/>
        <w:jc w:val="center"/>
        <w:outlineLvl w:val="0"/>
        <w:rPr>
          <w:rFonts w:asciiTheme="minorEastAsia" w:hAnsiTheme="minorEastAsia" w:eastAsiaTheme="minorEastAsia"/>
          <w:b/>
          <w:color w:val="auto"/>
          <w:sz w:val="28"/>
          <w:highlight w:val="none"/>
        </w:rPr>
      </w:pPr>
      <w:bookmarkStart w:id="46" w:name="_Toc307"/>
      <w:r>
        <w:rPr>
          <w:rFonts w:hint="eastAsia" w:asciiTheme="minorEastAsia" w:hAnsiTheme="minorEastAsia" w:eastAsiaTheme="minorEastAsia"/>
          <w:b/>
          <w:color w:val="auto"/>
          <w:sz w:val="28"/>
          <w:highlight w:val="none"/>
        </w:rPr>
        <w:t>第四章  评标方法和标准（综合评分法）</w:t>
      </w:r>
      <w:bookmarkEnd w:id="46"/>
    </w:p>
    <w:p w14:paraId="5B020487">
      <w:pPr>
        <w:spacing w:line="360" w:lineRule="auto"/>
        <w:ind w:firstLine="437"/>
        <w:outlineLvl w:val="1"/>
        <w:rPr>
          <w:rFonts w:asciiTheme="minorEastAsia" w:hAnsiTheme="minorEastAsia" w:eastAsiaTheme="minorEastAsia"/>
          <w:b/>
          <w:color w:val="auto"/>
          <w:sz w:val="24"/>
          <w:highlight w:val="none"/>
        </w:rPr>
      </w:pPr>
      <w:bookmarkStart w:id="47" w:name="_Toc386"/>
      <w:bookmarkStart w:id="48" w:name="_Toc11823"/>
      <w:bookmarkStart w:id="49" w:name="_Toc1246"/>
      <w:r>
        <w:rPr>
          <w:rFonts w:hint="eastAsia" w:asciiTheme="minorEastAsia" w:hAnsiTheme="minorEastAsia" w:eastAsiaTheme="minorEastAsia"/>
          <w:b/>
          <w:color w:val="auto"/>
          <w:sz w:val="24"/>
          <w:highlight w:val="none"/>
        </w:rPr>
        <w:t>一、总则</w:t>
      </w:r>
      <w:bookmarkEnd w:id="47"/>
      <w:bookmarkEnd w:id="48"/>
      <w:bookmarkEnd w:id="49"/>
    </w:p>
    <w:p w14:paraId="6540E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0100120F">
      <w:pPr>
        <w:spacing w:line="360" w:lineRule="auto"/>
        <w:ind w:firstLine="437"/>
        <w:outlineLvl w:val="1"/>
        <w:rPr>
          <w:rFonts w:asciiTheme="minorEastAsia" w:hAnsiTheme="minorEastAsia" w:eastAsiaTheme="minorEastAsia"/>
          <w:b/>
          <w:color w:val="auto"/>
          <w:sz w:val="24"/>
          <w:highlight w:val="none"/>
        </w:rPr>
      </w:pPr>
      <w:bookmarkStart w:id="50" w:name="_Toc30751"/>
      <w:bookmarkStart w:id="51" w:name="_Toc13117"/>
      <w:bookmarkStart w:id="52" w:name="_Toc31871"/>
      <w:r>
        <w:rPr>
          <w:rFonts w:hint="eastAsia" w:asciiTheme="minorEastAsia" w:hAnsiTheme="minorEastAsia" w:eastAsiaTheme="minorEastAsia"/>
          <w:b/>
          <w:color w:val="auto"/>
          <w:sz w:val="24"/>
          <w:highlight w:val="none"/>
        </w:rPr>
        <w:t>二、评标方法</w:t>
      </w:r>
      <w:bookmarkEnd w:id="50"/>
      <w:bookmarkEnd w:id="51"/>
      <w:bookmarkEnd w:id="52"/>
    </w:p>
    <w:p w14:paraId="42B198D9">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3"/>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929"/>
        <w:gridCol w:w="5331"/>
        <w:gridCol w:w="2207"/>
      </w:tblGrid>
      <w:tr w14:paraId="66B6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6650A9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2A49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52C81D3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5FC3BE3B">
            <w:pPr>
              <w:pStyle w:val="32"/>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3A90FF3D">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审查内容</w:t>
            </w:r>
          </w:p>
        </w:tc>
        <w:tc>
          <w:tcPr>
            <w:tcW w:w="1075" w:type="pct"/>
            <w:tcBorders>
              <w:bottom w:val="single" w:color="auto" w:sz="4" w:space="0"/>
            </w:tcBorders>
            <w:vAlign w:val="center"/>
          </w:tcPr>
          <w:p w14:paraId="7F66DA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54DF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199ECEB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7AA82D72">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spacing w:val="9"/>
                <w:sz w:val="24"/>
                <w:szCs w:val="24"/>
              </w:rPr>
              <w:t>营业执照等证明</w:t>
            </w:r>
            <w:r>
              <w:rPr>
                <w:rFonts w:hint="default" w:ascii="宋体" w:hAnsi="宋体" w:eastAsia="宋体" w:cs="宋体"/>
                <w:spacing w:val="-3"/>
                <w:sz w:val="24"/>
                <w:szCs w:val="24"/>
              </w:rPr>
              <w:t>文件</w:t>
            </w:r>
          </w:p>
        </w:tc>
        <w:tc>
          <w:tcPr>
            <w:tcW w:w="2603" w:type="pct"/>
            <w:tcBorders>
              <w:bottom w:val="single" w:color="auto" w:sz="4" w:space="0"/>
            </w:tcBorders>
            <w:vAlign w:val="center"/>
          </w:tcPr>
          <w:p w14:paraId="2EFADD8F">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default"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供有效的营业执照；</w:t>
            </w:r>
          </w:p>
          <w:p w14:paraId="6A0F482B">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default"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供有效的事业单位法人证书；</w:t>
            </w:r>
          </w:p>
          <w:p w14:paraId="4949BCB9">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default"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hint="default" w:ascii="宋体" w:hAnsi="宋体" w:eastAsia="宋体" w:cs="宋体"/>
                <w:sz w:val="24"/>
                <w:szCs w:val="24"/>
              </w:rPr>
              <w:t>登记证书等证明文件；</w:t>
            </w:r>
          </w:p>
          <w:p w14:paraId="2B6B684F">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default"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供有效的个体工商户营业执照；</w:t>
            </w:r>
          </w:p>
          <w:p w14:paraId="28D96F44">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default"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供有效的自然人身份证明。</w:t>
            </w:r>
          </w:p>
        </w:tc>
        <w:tc>
          <w:tcPr>
            <w:tcW w:w="1075" w:type="pct"/>
            <w:vAlign w:val="center"/>
          </w:tcPr>
          <w:p w14:paraId="72EA35A9">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0DA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200C393A">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42" w:type="pct"/>
            <w:tcBorders>
              <w:bottom w:val="single" w:color="auto" w:sz="4" w:space="0"/>
            </w:tcBorders>
            <w:vAlign w:val="center"/>
          </w:tcPr>
          <w:p w14:paraId="30D962CB">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565AFE99">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hint="default"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5" w:type="pct"/>
            <w:vAlign w:val="center"/>
          </w:tcPr>
          <w:p w14:paraId="327A4A14">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04C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34BD4E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42" w:type="pct"/>
            <w:tcBorders>
              <w:bottom w:val="single" w:color="auto" w:sz="4" w:space="0"/>
            </w:tcBorders>
            <w:vAlign w:val="center"/>
          </w:tcPr>
          <w:p w14:paraId="2AC8DF81">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6FF3C042">
            <w:pPr>
              <w:keepNext w:val="0"/>
              <w:keepLines w:val="0"/>
              <w:suppressLineNumbers w:val="0"/>
              <w:spacing w:before="0" w:beforeAutospacing="0" w:after="50" w:afterAutospacing="0" w:line="360" w:lineRule="auto"/>
              <w:ind w:left="0" w:right="-10" w:rightChars="0"/>
              <w:jc w:val="left"/>
              <w:rPr>
                <w:rFonts w:hint="default"/>
                <w:szCs w:val="20"/>
              </w:rPr>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5" w:type="pct"/>
            <w:tcBorders>
              <w:bottom w:val="single" w:color="auto" w:sz="4" w:space="0"/>
            </w:tcBorders>
            <w:vAlign w:val="center"/>
          </w:tcPr>
          <w:p w14:paraId="664EA127">
            <w:pPr>
              <w:keepNext w:val="0"/>
              <w:keepLines w:val="0"/>
              <w:suppressLineNumbers w:val="0"/>
              <w:spacing w:before="0" w:beforeAutospacing="0" w:after="0" w:afterAutospacing="0" w:line="360" w:lineRule="auto"/>
              <w:ind w:left="0" w:right="0"/>
              <w:jc w:val="left"/>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bl>
    <w:p w14:paraId="35F86345">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BBF36BA">
      <w:pPr>
        <w:spacing w:line="360" w:lineRule="auto"/>
        <w:ind w:firstLine="437"/>
        <w:outlineLvl w:val="9"/>
        <w:rPr>
          <w:rFonts w:hint="eastAsia" w:asciiTheme="minorEastAsia" w:hAnsiTheme="minorEastAsia" w:eastAsiaTheme="minorEastAsia"/>
          <w:color w:val="auto"/>
          <w:sz w:val="24"/>
          <w:highlight w:val="none"/>
        </w:rPr>
      </w:pPr>
    </w:p>
    <w:p w14:paraId="6E2C6B42">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181CA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475"/>
        <w:gridCol w:w="3652"/>
        <w:gridCol w:w="2943"/>
      </w:tblGrid>
      <w:tr w14:paraId="2863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412EFA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6BA5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23939F1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3F16F9F4">
            <w:pPr>
              <w:pStyle w:val="32"/>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3" w:type="pct"/>
            <w:tcBorders>
              <w:bottom w:val="single" w:color="auto" w:sz="4" w:space="0"/>
            </w:tcBorders>
            <w:vAlign w:val="center"/>
          </w:tcPr>
          <w:p w14:paraId="7B3523C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5" w:type="pct"/>
            <w:tcBorders>
              <w:bottom w:val="single" w:color="auto" w:sz="4" w:space="0"/>
            </w:tcBorders>
            <w:vAlign w:val="center"/>
          </w:tcPr>
          <w:p w14:paraId="25B2198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58D8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E0D9CBE">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0DA98196">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3" w:type="pct"/>
            <w:vAlign w:val="center"/>
          </w:tcPr>
          <w:p w14:paraId="53C87D4E">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5" w:type="pct"/>
            <w:vAlign w:val="center"/>
          </w:tcPr>
          <w:p w14:paraId="5FD31B2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504E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E92E2DE">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7C07B003">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3" w:type="pct"/>
            <w:vAlign w:val="center"/>
          </w:tcPr>
          <w:p w14:paraId="1389D878">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478E4AB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CDA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E449E62">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65F3AAF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3" w:type="pct"/>
            <w:vAlign w:val="center"/>
          </w:tcPr>
          <w:p w14:paraId="6568C1F2">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3F86FE0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r>
              <w:rPr>
                <w:rFonts w:hint="eastAsia" w:asciiTheme="minorEastAsia" w:hAnsiTheme="minorEastAsia" w:eastAsiaTheme="minorEastAsia"/>
                <w:color w:val="auto"/>
                <w:sz w:val="24"/>
                <w:szCs w:val="20"/>
                <w:highlight w:val="none"/>
                <w:lang w:eastAsia="zh-CN"/>
              </w:rPr>
              <w:t>。</w:t>
            </w:r>
          </w:p>
        </w:tc>
      </w:tr>
      <w:tr w14:paraId="722D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594ECA00">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72263BE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3" w:type="pct"/>
            <w:vAlign w:val="center"/>
          </w:tcPr>
          <w:p w14:paraId="4D694A1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475" w:type="pct"/>
            <w:vAlign w:val="center"/>
          </w:tcPr>
          <w:p w14:paraId="0315CDE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5A8F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AFA20A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p>
        </w:tc>
        <w:tc>
          <w:tcPr>
            <w:tcW w:w="1242" w:type="pct"/>
            <w:vAlign w:val="center"/>
          </w:tcPr>
          <w:p w14:paraId="14451B8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3" w:type="pct"/>
            <w:vAlign w:val="center"/>
          </w:tcPr>
          <w:p w14:paraId="34D1B6FD">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5" w:type="pct"/>
            <w:vAlign w:val="center"/>
          </w:tcPr>
          <w:p w14:paraId="1A51302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2E5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Merge w:val="restart"/>
            <w:vAlign w:val="center"/>
          </w:tcPr>
          <w:p w14:paraId="6285178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42" w:type="pct"/>
            <w:vMerge w:val="restart"/>
            <w:vAlign w:val="center"/>
          </w:tcPr>
          <w:p w14:paraId="2BA48BA4">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3" w:type="pct"/>
            <w:vAlign w:val="center"/>
          </w:tcPr>
          <w:p w14:paraId="67890CBA">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采购需求中“★”项技术参数及要求必须满足，否则将导致投标无效。</w:t>
            </w:r>
          </w:p>
        </w:tc>
        <w:tc>
          <w:tcPr>
            <w:tcW w:w="1475" w:type="pct"/>
            <w:vAlign w:val="center"/>
          </w:tcPr>
          <w:p w14:paraId="796AD37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856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Merge w:val="continue"/>
            <w:vAlign w:val="center"/>
          </w:tcPr>
          <w:p w14:paraId="7CC17FF3">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lang w:val="en-US" w:eastAsia="zh-CN"/>
              </w:rPr>
            </w:pPr>
          </w:p>
        </w:tc>
        <w:tc>
          <w:tcPr>
            <w:tcW w:w="1242" w:type="pct"/>
            <w:vMerge w:val="continue"/>
            <w:vAlign w:val="center"/>
          </w:tcPr>
          <w:p w14:paraId="5A64FC1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p>
        </w:tc>
        <w:tc>
          <w:tcPr>
            <w:tcW w:w="1833" w:type="pct"/>
            <w:vAlign w:val="center"/>
          </w:tcPr>
          <w:p w14:paraId="163A863C">
            <w:pPr>
              <w:keepNext w:val="0"/>
              <w:keepLines w:val="0"/>
              <w:suppressLineNumbers w:val="0"/>
              <w:spacing w:before="0" w:beforeAutospacing="0" w:after="50" w:afterAutospacing="0" w:line="360" w:lineRule="auto"/>
              <w:ind w:left="0" w:right="-10" w:rightChars="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lang w:val="en-US" w:eastAsia="zh-CN"/>
              </w:rPr>
              <w:t>采购需求中“无标识”项响应情况必须满足或优于，否则将导致投标无效。</w:t>
            </w:r>
          </w:p>
        </w:tc>
        <w:tc>
          <w:tcPr>
            <w:tcW w:w="1475" w:type="pct"/>
            <w:vAlign w:val="center"/>
          </w:tcPr>
          <w:p w14:paraId="1C52AB6A">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2EA1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E8F266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7</w:t>
            </w:r>
          </w:p>
        </w:tc>
        <w:tc>
          <w:tcPr>
            <w:tcW w:w="1242" w:type="pct"/>
            <w:vAlign w:val="center"/>
          </w:tcPr>
          <w:p w14:paraId="5CCC137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3" w:type="pct"/>
            <w:vAlign w:val="center"/>
          </w:tcPr>
          <w:p w14:paraId="3CD87A5D">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5" w:type="pct"/>
            <w:vAlign w:val="center"/>
          </w:tcPr>
          <w:p w14:paraId="1F7AA8A4">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p>
        </w:tc>
      </w:tr>
    </w:tbl>
    <w:p w14:paraId="4EDA1E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B222A04">
      <w:pPr>
        <w:spacing w:line="360" w:lineRule="auto"/>
        <w:ind w:firstLine="437"/>
        <w:outlineLvl w:val="9"/>
        <w:rPr>
          <w:rFonts w:hint="eastAsia" w:asciiTheme="minorEastAsia" w:hAnsiTheme="minorEastAsia" w:eastAsiaTheme="minorEastAsia"/>
          <w:color w:val="auto"/>
          <w:sz w:val="24"/>
          <w:highlight w:val="none"/>
        </w:rPr>
      </w:pPr>
    </w:p>
    <w:p w14:paraId="3853C017">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780D20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4710D7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b/>
          <w:bCs/>
          <w:color w:val="auto"/>
          <w:sz w:val="24"/>
          <w:highlight w:val="none"/>
        </w:rPr>
        <w:t>50%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b/>
          <w:bCs/>
          <w:color w:val="auto"/>
          <w:sz w:val="24"/>
          <w:highlight w:val="none"/>
        </w:rPr>
        <w:t>50%</w:t>
      </w:r>
      <w:r>
        <w:rPr>
          <w:rFonts w:hint="eastAsia" w:asciiTheme="minorEastAsia" w:hAnsiTheme="minorEastAsia" w:eastAsiaTheme="minorEastAsia"/>
          <w:color w:val="auto"/>
          <w:sz w:val="24"/>
          <w:highlight w:val="none"/>
        </w:rPr>
        <w:t>。具体评分细则如下：</w:t>
      </w:r>
    </w:p>
    <w:tbl>
      <w:tblPr>
        <w:tblStyle w:val="23"/>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202"/>
        <w:gridCol w:w="6097"/>
        <w:gridCol w:w="1256"/>
      </w:tblGrid>
      <w:tr w14:paraId="429A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14:paraId="52607571">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594" w:type="pct"/>
            <w:tcBorders>
              <w:top w:val="single" w:color="auto" w:sz="4" w:space="0"/>
              <w:left w:val="single" w:color="auto" w:sz="4" w:space="0"/>
              <w:bottom w:val="single" w:color="auto" w:sz="4" w:space="0"/>
              <w:right w:val="single" w:color="auto" w:sz="4" w:space="0"/>
            </w:tcBorders>
            <w:vAlign w:val="center"/>
          </w:tcPr>
          <w:p w14:paraId="5CA45419">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3014" w:type="pct"/>
            <w:tcBorders>
              <w:top w:val="single" w:color="auto" w:sz="4" w:space="0"/>
              <w:left w:val="single" w:color="auto" w:sz="4" w:space="0"/>
              <w:bottom w:val="single" w:color="auto" w:sz="4" w:space="0"/>
              <w:right w:val="single" w:color="auto" w:sz="4" w:space="0"/>
            </w:tcBorders>
            <w:vAlign w:val="center"/>
          </w:tcPr>
          <w:p w14:paraId="65634F42">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620" w:type="pct"/>
            <w:tcBorders>
              <w:top w:val="single" w:color="auto" w:sz="4" w:space="0"/>
              <w:left w:val="single" w:color="auto" w:sz="4" w:space="0"/>
              <w:bottom w:val="single" w:color="auto" w:sz="4" w:space="0"/>
              <w:right w:val="single" w:color="auto" w:sz="4" w:space="0"/>
            </w:tcBorders>
            <w:vAlign w:val="center"/>
          </w:tcPr>
          <w:p w14:paraId="6DBA2C62">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分值范围</w:t>
            </w:r>
          </w:p>
        </w:tc>
      </w:tr>
      <w:tr w14:paraId="7861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vMerge w:val="restart"/>
            <w:tcBorders>
              <w:top w:val="single" w:color="auto" w:sz="4" w:space="0"/>
              <w:left w:val="single" w:color="auto" w:sz="4" w:space="0"/>
              <w:right w:val="single" w:color="auto" w:sz="4" w:space="0"/>
            </w:tcBorders>
            <w:vAlign w:val="center"/>
          </w:tcPr>
          <w:p w14:paraId="07A7A34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技术资信分</w:t>
            </w:r>
          </w:p>
          <w:p w14:paraId="4E03C7E5">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0</w:t>
            </w:r>
            <w:r>
              <w:rPr>
                <w:rFonts w:hint="eastAsia" w:ascii="宋体" w:hAnsi="宋体" w:eastAsia="宋体" w:cs="宋体"/>
                <w:sz w:val="24"/>
                <w:szCs w:val="24"/>
              </w:rPr>
              <w:t>分）</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4BAA920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0"/>
              </w:rPr>
            </w:pPr>
            <w:r>
              <w:rPr>
                <w:rFonts w:hint="eastAsia" w:ascii="宋体" w:hAnsi="宋体" w:eastAsia="宋体" w:cs="宋体"/>
                <w:bCs/>
                <w:sz w:val="24"/>
                <w:szCs w:val="24"/>
              </w:rPr>
              <w:t>技术参数及要求响应情况</w:t>
            </w:r>
          </w:p>
        </w:tc>
        <w:tc>
          <w:tcPr>
            <w:tcW w:w="3014" w:type="pct"/>
            <w:tcBorders>
              <w:top w:val="single" w:color="auto" w:sz="4" w:space="0"/>
              <w:left w:val="single" w:color="auto" w:sz="4" w:space="0"/>
              <w:bottom w:val="single" w:color="auto" w:sz="4" w:space="0"/>
              <w:right w:val="single" w:color="auto" w:sz="4" w:space="0"/>
            </w:tcBorders>
            <w:shd w:val="clear" w:color="auto" w:fill="auto"/>
            <w:vAlign w:val="center"/>
          </w:tcPr>
          <w:p w14:paraId="1E0A0B88">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lang w:val="zh-CN"/>
              </w:rPr>
            </w:pPr>
            <w:r>
              <w:rPr>
                <w:rFonts w:hint="eastAsia" w:ascii="宋体" w:hAnsi="宋体" w:eastAsia="宋体" w:cs="宋体"/>
                <w:sz w:val="24"/>
                <w:szCs w:val="20"/>
                <w:lang w:val="zh-CN"/>
              </w:rPr>
              <w:t>满足采购文件中货物指标要求的全部指标得满分30分：</w:t>
            </w:r>
          </w:p>
          <w:p w14:paraId="577D0CEB">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lang w:val="zh-CN"/>
              </w:rPr>
            </w:pPr>
            <w:r>
              <w:rPr>
                <w:rFonts w:hint="eastAsia" w:ascii="宋体" w:hAnsi="宋体" w:eastAsia="宋体" w:cs="宋体"/>
                <w:sz w:val="24"/>
                <w:szCs w:val="20"/>
                <w:lang w:val="zh-CN"/>
              </w:rPr>
              <w:t>1.■代表重要指标，每满足一项得1分，共20项，共计20分；</w:t>
            </w:r>
          </w:p>
          <w:p w14:paraId="062FCB3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lang w:val="zh-CN"/>
              </w:rPr>
            </w:pPr>
            <w:r>
              <w:rPr>
                <w:rFonts w:hint="eastAsia" w:ascii="宋体" w:hAnsi="宋体" w:eastAsia="宋体" w:cs="宋体"/>
                <w:sz w:val="24"/>
                <w:szCs w:val="20"/>
                <w:lang w:val="zh-CN"/>
              </w:rPr>
              <w:t>2.●代表一般指标项，每满足一项得0.5分，共20项，共计10分。</w:t>
            </w:r>
          </w:p>
          <w:p w14:paraId="205C73A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lang w:val="zh-CN"/>
              </w:rPr>
            </w:pPr>
            <w:r>
              <w:rPr>
                <w:rFonts w:hint="eastAsia" w:ascii="宋体" w:hAnsi="宋体" w:eastAsia="宋体" w:cs="宋体"/>
                <w:b/>
                <w:bCs/>
                <w:sz w:val="24"/>
                <w:szCs w:val="20"/>
                <w:lang w:val="zh-CN"/>
              </w:rPr>
              <w:t>注：以投标</w:t>
            </w:r>
            <w:r>
              <w:rPr>
                <w:rFonts w:hint="eastAsia" w:ascii="宋体" w:hAnsi="宋体" w:eastAsia="宋体" w:cs="宋体"/>
                <w:b/>
                <w:bCs/>
                <w:sz w:val="24"/>
                <w:szCs w:val="20"/>
                <w:lang w:val="en-US" w:eastAsia="zh-CN"/>
              </w:rPr>
              <w:t>技术</w:t>
            </w:r>
            <w:r>
              <w:rPr>
                <w:rFonts w:hint="eastAsia" w:ascii="宋体" w:hAnsi="宋体" w:eastAsia="宋体" w:cs="宋体"/>
                <w:b/>
                <w:bCs/>
                <w:sz w:val="24"/>
                <w:szCs w:val="20"/>
                <w:lang w:val="zh-CN"/>
              </w:rPr>
              <w:t>响应表和“货物要求”中证明材料要求作为评审依据。</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430D8768">
            <w:pPr>
              <w:keepNext w:val="0"/>
              <w:keepLines w:val="0"/>
              <w:suppressLineNumbers w:val="0"/>
              <w:spacing w:before="0" w:beforeAutospacing="0" w:after="0" w:afterAutospacing="0" w:line="360" w:lineRule="auto"/>
              <w:ind w:left="0" w:right="0"/>
              <w:jc w:val="center"/>
              <w:rPr>
                <w:rFonts w:hint="default"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0-30分</w:t>
            </w:r>
          </w:p>
        </w:tc>
      </w:tr>
      <w:tr w14:paraId="50AD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vMerge w:val="continue"/>
            <w:tcBorders>
              <w:left w:val="single" w:color="auto" w:sz="4" w:space="0"/>
              <w:right w:val="single" w:color="auto" w:sz="4" w:space="0"/>
            </w:tcBorders>
            <w:vAlign w:val="center"/>
          </w:tcPr>
          <w:p w14:paraId="4C8BFB9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32452DD3">
            <w:pPr>
              <w:keepNext w:val="0"/>
              <w:keepLines w:val="0"/>
              <w:suppressLineNumbers w:val="0"/>
              <w:spacing w:before="0" w:beforeAutospacing="0" w:after="0" w:afterAutospacing="0" w:line="360" w:lineRule="auto"/>
              <w:ind w:left="0" w:right="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投标人业绩</w:t>
            </w:r>
          </w:p>
        </w:tc>
        <w:tc>
          <w:tcPr>
            <w:tcW w:w="3014" w:type="pct"/>
            <w:tcBorders>
              <w:top w:val="single" w:color="auto" w:sz="4" w:space="0"/>
              <w:left w:val="single" w:color="auto" w:sz="4" w:space="0"/>
              <w:bottom w:val="single" w:color="auto" w:sz="4" w:space="0"/>
              <w:right w:val="single" w:color="auto" w:sz="4" w:space="0"/>
            </w:tcBorders>
            <w:shd w:val="clear" w:color="auto" w:fill="auto"/>
            <w:vAlign w:val="center"/>
          </w:tcPr>
          <w:p w14:paraId="530CF761">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000000"/>
                <w:sz w:val="24"/>
                <w:szCs w:val="24"/>
                <w:lang w:val="zh-CN"/>
              </w:rPr>
            </w:pPr>
            <w:r>
              <w:rPr>
                <w:rFonts w:hint="eastAsia" w:ascii="宋体" w:hAnsi="宋体" w:eastAsia="宋体" w:cs="宋体"/>
                <w:b w:val="0"/>
                <w:bCs w:val="0"/>
                <w:color w:val="000000"/>
                <w:sz w:val="24"/>
                <w:szCs w:val="24"/>
                <w:lang w:val="zh-CN"/>
              </w:rPr>
              <w:t>自202</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val="zh-CN"/>
              </w:rPr>
              <w:t>年1月1日以来（以合同签订时间为准），投标人具有与本项目类似业绩，每提供一项得</w:t>
            </w:r>
            <w:r>
              <w:rPr>
                <w:rFonts w:hint="eastAsia" w:ascii="宋体" w:hAnsi="宋体" w:eastAsia="宋体" w:cs="宋体"/>
                <w:b w:val="0"/>
                <w:bCs w:val="0"/>
                <w:color w:val="000000"/>
                <w:sz w:val="24"/>
                <w:szCs w:val="24"/>
                <w:lang w:val="en-US" w:eastAsia="zh-CN"/>
              </w:rPr>
              <w:t>2.5</w:t>
            </w:r>
            <w:r>
              <w:rPr>
                <w:rFonts w:hint="eastAsia" w:ascii="宋体" w:hAnsi="宋体" w:eastAsia="宋体" w:cs="宋体"/>
                <w:b w:val="0"/>
                <w:bCs w:val="0"/>
                <w:color w:val="000000"/>
                <w:sz w:val="24"/>
                <w:szCs w:val="24"/>
                <w:lang w:val="zh-CN"/>
              </w:rPr>
              <w:t>分，满分得</w:t>
            </w: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lang w:val="zh-CN"/>
              </w:rPr>
              <w:t>分。</w:t>
            </w:r>
          </w:p>
          <w:p w14:paraId="15CBE1BC">
            <w:pPr>
              <w:keepNext w:val="0"/>
              <w:keepLines w:val="0"/>
              <w:suppressLineNumbers w:val="0"/>
              <w:spacing w:before="0" w:beforeAutospacing="0" w:after="0" w:afterAutospacing="0" w:line="360" w:lineRule="auto"/>
              <w:ind w:left="0" w:right="0"/>
              <w:jc w:val="left"/>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注：投标文件中提供合同扫描件或复印件，若合同中无法体现签订时间、供货内容等关键评审因素的，须另附业主（合同甲方）盖章的证明材料的扫描件。</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579B7641">
            <w:pPr>
              <w:keepNext w:val="0"/>
              <w:keepLines w:val="0"/>
              <w:suppressLineNumbers w:val="0"/>
              <w:spacing w:before="0" w:beforeAutospacing="0" w:after="0" w:afterAutospacing="0" w:line="360" w:lineRule="auto"/>
              <w:ind w:left="0" w:right="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0-5分</w:t>
            </w:r>
          </w:p>
        </w:tc>
      </w:tr>
      <w:tr w14:paraId="3A1B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vMerge w:val="continue"/>
            <w:tcBorders>
              <w:left w:val="single" w:color="auto" w:sz="4" w:space="0"/>
              <w:right w:val="single" w:color="auto" w:sz="4" w:space="0"/>
            </w:tcBorders>
            <w:vAlign w:val="center"/>
          </w:tcPr>
          <w:p w14:paraId="273F752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5DF3921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供货安装（调试）方案</w:t>
            </w:r>
          </w:p>
        </w:tc>
        <w:tc>
          <w:tcPr>
            <w:tcW w:w="3014" w:type="pct"/>
            <w:tcBorders>
              <w:top w:val="single" w:color="auto" w:sz="4" w:space="0"/>
              <w:left w:val="single" w:color="auto" w:sz="4" w:space="0"/>
              <w:bottom w:val="single" w:color="auto" w:sz="4" w:space="0"/>
              <w:right w:val="single" w:color="auto" w:sz="4" w:space="0"/>
            </w:tcBorders>
            <w:shd w:val="clear" w:color="auto" w:fill="auto"/>
            <w:vAlign w:val="center"/>
          </w:tcPr>
          <w:p w14:paraId="349677B3">
            <w:pPr>
              <w:keepNext w:val="0"/>
              <w:keepLines w:val="0"/>
              <w:suppressLineNumbers w:val="0"/>
              <w:spacing w:before="0" w:beforeAutospacing="0" w:after="0" w:afterAutospacing="0" w:line="360" w:lineRule="auto"/>
              <w:ind w:left="0" w:right="0"/>
              <w:jc w:val="left"/>
              <w:rPr>
                <w:rFonts w:hint="default" w:ascii="宋体" w:hAnsi="宋体" w:eastAsia="宋体" w:cs="宋体"/>
                <w:sz w:val="24"/>
                <w:szCs w:val="20"/>
                <w:lang w:val="en-US" w:eastAsia="zh-CN"/>
              </w:rPr>
            </w:pPr>
            <w:r>
              <w:rPr>
                <w:rFonts w:hint="eastAsia" w:ascii="宋体" w:hAnsi="宋体" w:eastAsia="宋体" w:cs="宋体"/>
                <w:sz w:val="24"/>
                <w:szCs w:val="20"/>
                <w:lang w:val="en-US" w:eastAsia="zh-CN"/>
              </w:rPr>
              <w:t>根据投标人提供的供货安装（调试）方案,包括但不限于①质量保障措施；②运输方案；③供货进度安排及保障措施；④人员配备及分工；⑤风险防范措施；⑥应急保障措施，等方面综合评审：</w:t>
            </w:r>
          </w:p>
          <w:p w14:paraId="6C7311EE">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rPr>
            </w:pPr>
            <w:r>
              <w:rPr>
                <w:rFonts w:hint="eastAsia" w:ascii="宋体" w:hAnsi="宋体" w:eastAsia="宋体" w:cs="宋体"/>
                <w:sz w:val="24"/>
                <w:szCs w:val="20"/>
                <w:lang w:val="en-US" w:eastAsia="zh-CN"/>
              </w:rPr>
              <w:t>1、</w:t>
            </w:r>
            <w:r>
              <w:rPr>
                <w:rFonts w:hint="eastAsia" w:ascii="宋体" w:hAnsi="宋体" w:eastAsia="宋体" w:cs="宋体"/>
                <w:sz w:val="24"/>
                <w:szCs w:val="20"/>
              </w:rPr>
              <w:t>方案全面且针对性强：提供的方案完全包含，且各项内容详尽、紧密结合本项目特点、切实可行，得5分；</w:t>
            </w:r>
          </w:p>
          <w:p w14:paraId="0D689EA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rPr>
            </w:pPr>
            <w:r>
              <w:rPr>
                <w:rFonts w:hint="eastAsia" w:ascii="宋体" w:hAnsi="宋体" w:eastAsia="宋体" w:cs="宋体"/>
                <w:sz w:val="24"/>
                <w:szCs w:val="20"/>
                <w:lang w:val="en-US" w:eastAsia="zh-CN"/>
              </w:rPr>
              <w:t>2、</w:t>
            </w:r>
            <w:r>
              <w:rPr>
                <w:rFonts w:hint="eastAsia" w:ascii="宋体" w:hAnsi="宋体" w:eastAsia="宋体" w:cs="宋体"/>
                <w:sz w:val="24"/>
                <w:szCs w:val="20"/>
              </w:rPr>
              <w:t>方案相对完整但略有不足：方案包含上述大部分内容，但个别项（1-2项）略有缺失、内容不够详尽或可行性一般，得3分；</w:t>
            </w:r>
          </w:p>
          <w:p w14:paraId="6658B4D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0"/>
              </w:rPr>
            </w:pPr>
            <w:r>
              <w:rPr>
                <w:rFonts w:hint="eastAsia" w:ascii="宋体" w:hAnsi="宋体" w:eastAsia="宋体" w:cs="宋体"/>
                <w:sz w:val="24"/>
                <w:szCs w:val="20"/>
                <w:lang w:val="en-US" w:eastAsia="zh-CN"/>
              </w:rPr>
              <w:t>3、</w:t>
            </w:r>
            <w:r>
              <w:rPr>
                <w:rFonts w:hint="eastAsia" w:ascii="宋体" w:hAnsi="宋体" w:eastAsia="宋体" w:cs="宋体"/>
                <w:sz w:val="24"/>
                <w:szCs w:val="20"/>
              </w:rPr>
              <w:t>方案内容欠缺或泛泛而谈：方案缺少多项内容（3项及以上），或多项内容仅为简单描述、未结合本项目特点、可行性较差，得1分；</w:t>
            </w:r>
          </w:p>
          <w:p w14:paraId="636E6BC4">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0"/>
                <w:lang w:val="en-US" w:eastAsia="zh-CN"/>
              </w:rPr>
              <w:t>4、</w:t>
            </w:r>
            <w:r>
              <w:rPr>
                <w:rFonts w:hint="eastAsia" w:ascii="宋体" w:hAnsi="宋体" w:eastAsia="宋体" w:cs="宋体"/>
                <w:sz w:val="24"/>
                <w:szCs w:val="20"/>
              </w:rPr>
              <w:t>差或未提供不得分。</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A13360E">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0-</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p>
        </w:tc>
      </w:tr>
      <w:tr w14:paraId="4BAF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vMerge w:val="continue"/>
            <w:tcBorders>
              <w:left w:val="single" w:color="auto" w:sz="4" w:space="0"/>
              <w:right w:val="single" w:color="auto" w:sz="4" w:space="0"/>
            </w:tcBorders>
            <w:vAlign w:val="center"/>
          </w:tcPr>
          <w:p w14:paraId="1DCA12B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4AF0F5E5">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售后服务与维保方案</w:t>
            </w:r>
          </w:p>
        </w:tc>
        <w:tc>
          <w:tcPr>
            <w:tcW w:w="3014" w:type="pct"/>
            <w:tcBorders>
              <w:top w:val="single" w:color="auto" w:sz="4" w:space="0"/>
              <w:left w:val="single" w:color="auto" w:sz="4" w:space="0"/>
              <w:bottom w:val="single" w:color="auto" w:sz="4" w:space="0"/>
              <w:right w:val="single" w:color="auto" w:sz="4" w:space="0"/>
            </w:tcBorders>
            <w:shd w:val="clear" w:color="auto" w:fill="auto"/>
            <w:vAlign w:val="center"/>
          </w:tcPr>
          <w:p w14:paraId="15913CB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根据投标人提供的售后服务方案</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包括但不限于①服务标准；②服务内容；③故障响应时间；④出现质量问题的应对措施；⑤维修方式等方面综合评审：</w:t>
            </w:r>
          </w:p>
          <w:p w14:paraId="7AB5518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方案全面且针对性强：提供的方案完全且各项内容详尽、紧密结合本项目特点、切实可行，得5分；</w:t>
            </w:r>
          </w:p>
          <w:p w14:paraId="1A835BBB">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方案相对完整但略有不足：方案包含上述大部分内容，但个别项（1-2项）略有缺失、内容不够详尽或可行性一般，得3分；</w:t>
            </w:r>
          </w:p>
          <w:p w14:paraId="3B9166D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方案内容欠缺或泛泛而谈：方案缺少多项内容（3项及以上），或多项内容仅为简单描述、未结合本项目特点、可行性较差，得1分；</w:t>
            </w:r>
          </w:p>
          <w:p w14:paraId="2E567BD2">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000000"/>
                <w:sz w:val="24"/>
                <w:szCs w:val="24"/>
              </w:rPr>
              <w:t>4、差或未提供不得分。</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D7D29DC">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color w:val="000000"/>
                <w:sz w:val="24"/>
                <w:szCs w:val="24"/>
              </w:rPr>
              <w:t>0-5分</w:t>
            </w:r>
          </w:p>
        </w:tc>
      </w:tr>
      <w:tr w14:paraId="5591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vMerge w:val="continue"/>
            <w:tcBorders>
              <w:left w:val="single" w:color="auto" w:sz="4" w:space="0"/>
              <w:right w:val="single" w:color="auto" w:sz="4" w:space="0"/>
            </w:tcBorders>
            <w:vAlign w:val="center"/>
          </w:tcPr>
          <w:p w14:paraId="55A545E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94" w:type="pct"/>
            <w:tcBorders>
              <w:top w:val="single" w:color="auto" w:sz="4" w:space="0"/>
              <w:left w:val="single" w:color="auto" w:sz="4" w:space="0"/>
              <w:bottom w:val="single" w:color="auto" w:sz="4" w:space="0"/>
              <w:right w:val="single" w:color="auto" w:sz="4" w:space="0"/>
            </w:tcBorders>
            <w:vAlign w:val="center"/>
          </w:tcPr>
          <w:p w14:paraId="462BAFF6">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000000"/>
                <w:sz w:val="24"/>
                <w:szCs w:val="24"/>
                <w:lang w:val="zh-CN"/>
              </w:rPr>
              <w:t>培训方案</w:t>
            </w:r>
          </w:p>
        </w:tc>
        <w:tc>
          <w:tcPr>
            <w:tcW w:w="3014" w:type="pct"/>
            <w:tcBorders>
              <w:top w:val="single" w:color="auto" w:sz="4" w:space="0"/>
              <w:left w:val="single" w:color="auto" w:sz="4" w:space="0"/>
              <w:bottom w:val="single" w:color="auto" w:sz="4" w:space="0"/>
              <w:right w:val="single" w:color="auto" w:sz="4" w:space="0"/>
            </w:tcBorders>
            <w:vAlign w:val="center"/>
          </w:tcPr>
          <w:p w14:paraId="0B7791C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根据投标人提供的培训方案。包括但不限于①培训计划；②培训内容；③培训目标；④培训师资团队；⑤培训考核方式，等方面综合评审；</w:t>
            </w:r>
          </w:p>
          <w:p w14:paraId="7D3FB2E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方案全面且针对性强：提供的方案完全且各项内容详尽、紧密结合本项目特点、切实可行，得5分；</w:t>
            </w:r>
          </w:p>
          <w:p w14:paraId="65965D0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方案相对完整但略有不足：方案包含上述大部分内容，但个别项（1-2项）略有缺失、内容不够详尽或可行性一般，得3分；</w:t>
            </w:r>
          </w:p>
          <w:p w14:paraId="4D71C95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方案内容欠缺或泛泛而谈：方案缺少多项内容（3项及以上），或多项内容仅为简单描述、未结合本项目特点、可行性较差，得1分；</w:t>
            </w:r>
          </w:p>
          <w:p w14:paraId="37FC7054">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000000"/>
                <w:sz w:val="24"/>
                <w:szCs w:val="24"/>
              </w:rPr>
              <w:t>4、差或未提供不得分。</w:t>
            </w:r>
          </w:p>
        </w:tc>
        <w:tc>
          <w:tcPr>
            <w:tcW w:w="620" w:type="pct"/>
            <w:tcBorders>
              <w:top w:val="single" w:color="auto" w:sz="4" w:space="0"/>
              <w:left w:val="single" w:color="auto" w:sz="4" w:space="0"/>
              <w:bottom w:val="single" w:color="auto" w:sz="4" w:space="0"/>
              <w:right w:val="single" w:color="auto" w:sz="4" w:space="0"/>
            </w:tcBorders>
            <w:vAlign w:val="center"/>
          </w:tcPr>
          <w:p w14:paraId="2BA010BB">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Cs/>
                <w:sz w:val="24"/>
                <w:szCs w:val="24"/>
              </w:rPr>
              <w:t>0-5分</w:t>
            </w:r>
          </w:p>
        </w:tc>
      </w:tr>
      <w:tr w14:paraId="12C5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770" w:type="pct"/>
            <w:tcBorders>
              <w:left w:val="single" w:color="auto" w:sz="4" w:space="0"/>
              <w:right w:val="single" w:color="auto" w:sz="4" w:space="0"/>
            </w:tcBorders>
            <w:vAlign w:val="center"/>
          </w:tcPr>
          <w:p w14:paraId="16907E7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价格分</w:t>
            </w:r>
          </w:p>
          <w:p w14:paraId="42AA2425">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0</w:t>
            </w:r>
            <w:r>
              <w:rPr>
                <w:rFonts w:hint="eastAsia" w:ascii="宋体" w:hAnsi="宋体" w:eastAsia="宋体" w:cs="宋体"/>
                <w:sz w:val="24"/>
                <w:szCs w:val="24"/>
              </w:rPr>
              <w:t>分）</w:t>
            </w:r>
          </w:p>
        </w:tc>
        <w:tc>
          <w:tcPr>
            <w:tcW w:w="4229" w:type="pct"/>
            <w:gridSpan w:val="3"/>
            <w:tcBorders>
              <w:top w:val="single" w:color="auto" w:sz="4" w:space="0"/>
              <w:left w:val="single" w:color="auto" w:sz="4" w:space="0"/>
              <w:bottom w:val="single" w:color="auto" w:sz="4" w:space="0"/>
              <w:right w:val="single" w:color="auto" w:sz="4" w:space="0"/>
            </w:tcBorders>
            <w:vAlign w:val="center"/>
          </w:tcPr>
          <w:p w14:paraId="7F118E78">
            <w:pPr>
              <w:keepNext w:val="0"/>
              <w:keepLines w:val="0"/>
              <w:suppressLineNumbers w:val="0"/>
              <w:spacing w:before="0" w:beforeAutospacing="0" w:after="0" w:afterAutospacing="0" w:line="360" w:lineRule="auto"/>
              <w:ind w:left="0" w:right="0"/>
              <w:rPr>
                <w:rFonts w:hint="eastAsia" w:ascii="宋体" w:hAnsi="宋体" w:eastAsia="宋体" w:cs="宋体"/>
                <w:b/>
                <w:bCs/>
                <w:sz w:val="24"/>
                <w:szCs w:val="24"/>
              </w:rPr>
            </w:pPr>
            <w:r>
              <w:rPr>
                <w:rFonts w:hint="eastAsia" w:ascii="宋体" w:hAnsi="宋体" w:eastAsia="宋体" w:cs="宋体"/>
                <w:sz w:val="24"/>
                <w:szCs w:val="24"/>
              </w:rPr>
              <w:t>价格分统一采用低价优先法，即满足招标文件要求且投标价格最低的投标报价为评标基准价，其价格分为满分</w:t>
            </w:r>
            <w:r>
              <w:rPr>
                <w:rFonts w:hint="eastAsia" w:ascii="宋体" w:hAnsi="宋体" w:eastAsia="宋体" w:cs="宋体"/>
                <w:sz w:val="24"/>
                <w:szCs w:val="24"/>
                <w:lang w:val="en-US" w:eastAsia="zh-CN"/>
              </w:rPr>
              <w:t>50</w:t>
            </w:r>
            <w:r>
              <w:rPr>
                <w:rFonts w:hint="eastAsia" w:ascii="宋体" w:hAnsi="宋体" w:eastAsia="宋体" w:cs="宋体"/>
                <w:sz w:val="24"/>
                <w:szCs w:val="24"/>
              </w:rPr>
              <w:t>分。其他投标人的价格分统一按照下列公式计算：投标报价得分＝（评标基准价/投标报价）×</w:t>
            </w:r>
            <w:r>
              <w:rPr>
                <w:rFonts w:hint="eastAsia" w:ascii="宋体" w:hAnsi="宋体" w:eastAsia="宋体" w:cs="宋体"/>
                <w:sz w:val="24"/>
                <w:szCs w:val="24"/>
                <w:lang w:val="en-US" w:eastAsia="zh-CN"/>
              </w:rPr>
              <w:t>5</w:t>
            </w:r>
            <w:r>
              <w:rPr>
                <w:rFonts w:hint="eastAsia" w:ascii="宋体" w:hAnsi="宋体" w:eastAsia="宋体" w:cs="宋体"/>
                <w:sz w:val="24"/>
                <w:szCs w:val="24"/>
              </w:rPr>
              <w:t>0％×100</w:t>
            </w:r>
          </w:p>
        </w:tc>
      </w:tr>
    </w:tbl>
    <w:p w14:paraId="10BE65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44FDBB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53C61B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6E59C023">
      <w:pPr>
        <w:spacing w:line="360" w:lineRule="auto"/>
        <w:jc w:val="center"/>
        <w:outlineLvl w:val="0"/>
        <w:rPr>
          <w:rFonts w:hint="eastAsia" w:asciiTheme="minorEastAsia" w:hAnsiTheme="minorEastAsia" w:eastAsiaTheme="minorEastAsia"/>
          <w:b/>
          <w:color w:val="auto"/>
          <w:sz w:val="28"/>
          <w:highlight w:val="none"/>
          <w:lang w:eastAsia="zh-CN"/>
        </w:rPr>
      </w:pPr>
      <w:bookmarkStart w:id="53" w:name="_Toc9240"/>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3"/>
    </w:p>
    <w:p w14:paraId="61536F02">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5078202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40782EC6">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2072A99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7A20CE37">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213866BC">
      <w:pPr>
        <w:pStyle w:val="9"/>
        <w:rPr>
          <w:rFonts w:hint="eastAsia" w:ascii="宋体" w:hAnsi="宋体" w:eastAsia="宋体" w:cs="宋体"/>
          <w:b/>
          <w:bCs/>
          <w:spacing w:val="-20"/>
          <w:kern w:val="44"/>
          <w:sz w:val="24"/>
          <w:szCs w:val="24"/>
        </w:rPr>
      </w:pPr>
    </w:p>
    <w:p w14:paraId="349AFA61">
      <w:pPr>
        <w:pStyle w:val="9"/>
        <w:rPr>
          <w:rFonts w:hint="eastAsia" w:ascii="宋体" w:hAnsi="宋体" w:eastAsia="宋体" w:cs="宋体"/>
          <w:b/>
          <w:bCs/>
          <w:spacing w:val="-20"/>
          <w:kern w:val="44"/>
          <w:sz w:val="24"/>
          <w:szCs w:val="24"/>
        </w:rPr>
      </w:pPr>
    </w:p>
    <w:p w14:paraId="1DEB03C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EA2EEE1">
      <w:pPr>
        <w:pStyle w:val="9"/>
        <w:pageBreakBefore w:val="0"/>
        <w:kinsoku/>
        <w:wordWrap/>
        <w:overflowPunct/>
        <w:topLinePunct w:val="0"/>
        <w:bidi w:val="0"/>
        <w:spacing w:line="360" w:lineRule="auto"/>
        <w:textAlignment w:val="auto"/>
        <w:rPr>
          <w:rFonts w:hint="eastAsia"/>
        </w:rPr>
      </w:pPr>
    </w:p>
    <w:p w14:paraId="5AD37D81">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49545303">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14:textFill>
            <w14:solidFill>
              <w14:schemeClr w14:val="tx1"/>
            </w14:solidFill>
          </w14:textFill>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0BAD3EC2">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BD580A7">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3AC4902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35CEE2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1D180E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8E78237">
      <w:pPr>
        <w:pageBreakBefore w:val="0"/>
        <w:kinsoku/>
        <w:wordWrap/>
        <w:overflowPunct/>
        <w:topLinePunct w:val="0"/>
        <w:bidi w:val="0"/>
        <w:spacing w:line="360" w:lineRule="auto"/>
        <w:textAlignment w:val="auto"/>
        <w:rPr>
          <w:rFonts w:hint="eastAsia" w:ascii="宋体" w:hAnsi="宋体" w:eastAsia="宋体" w:cs="宋体"/>
          <w:sz w:val="24"/>
          <w:szCs w:val="24"/>
        </w:rPr>
      </w:pPr>
    </w:p>
    <w:p w14:paraId="104056A3">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04716BD6">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pPr>
      <w:bookmarkStart w:id="54" w:name="_Toc19824"/>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明</w:t>
      </w:r>
      <w:bookmarkEnd w:id="54"/>
    </w:p>
    <w:p w14:paraId="32C1D16A">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2A673A0A">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435E8042">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2.本合同标准文本为政府采购货物买卖合同编制提供参考，可以结合采购项目具体情况，对文本作必要的调整修订后使用。</w:t>
      </w:r>
    </w:p>
    <w:p w14:paraId="05CE8D6D">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678E5338">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A31166A">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14:textFill>
            <w14:solidFill>
              <w14:schemeClr w14:val="tx1"/>
            </w14:solidFill>
          </w14:textFill>
        </w:rPr>
      </w:pPr>
      <w:bookmarkStart w:id="55" w:name="_Toc29586"/>
      <w:bookmarkStart w:id="56" w:name="_Toc22209"/>
      <w:r>
        <w:rPr>
          <w:rFonts w:hint="eastAsia" w:cs="@仿宋_GB2312" w:asciiTheme="minorEastAsia" w:hAnsiTheme="minorEastAsia" w:eastAsiaTheme="minorEastAsia"/>
          <w:b/>
          <w:color w:val="000000" w:themeColor="text1"/>
          <w:sz w:val="24"/>
          <w:szCs w:val="20"/>
          <w14:textFill>
            <w14:solidFill>
              <w14:schemeClr w14:val="tx1"/>
            </w14:solidFill>
          </w14:textFill>
        </w:rPr>
        <w:t>第一节 政府采购合同协议书</w:t>
      </w:r>
      <w:bookmarkEnd w:id="55"/>
      <w:bookmarkEnd w:id="56"/>
    </w:p>
    <w:p w14:paraId="6AB21C4F">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p>
    <w:p w14:paraId="32321251">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6E3A6D93">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15E12B6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72FB0909">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4504E9F5">
      <w:pPr>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p>
    <w:p w14:paraId="3A11BB9D">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3A55ECE4">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56627C54">
      <w:pPr>
        <w:pStyle w:val="10"/>
        <w:pageBreakBefore w:val="0"/>
        <w:numPr>
          <w:ilvl w:val="0"/>
          <w:numId w:val="4"/>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27CD6E58">
      <w:pPr>
        <w:pStyle w:val="1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22A312E0">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AEC7A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0AD2692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60078A3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3C7DFC50">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3C670D61">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744162E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2EB25B6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56AB4BD2">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3F6AA1E3">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1EA7B65F">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CE9EB9A">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291B9CFC">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5C494D71">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6883ACFE">
      <w:pPr>
        <w:pStyle w:val="59"/>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44C6D3C1">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4AA2F409">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E7DE94A">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273E63B6">
      <w:pPr>
        <w:pStyle w:val="59"/>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3038AB27">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3964B4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BB5BAA4">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0C0BB72">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0C70DD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4684DC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4D6C7AB">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754E0AC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31F4BB60">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4A24526E">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6035ECD2">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5056372F">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50CE35C">
      <w:pPr>
        <w:pStyle w:val="59"/>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265E7F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52DD29C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4484B4C7">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4AC0CA2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6A3A7675">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5B7A483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66A0AB5A">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688F795">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18BBB5C6">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1308DDC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1E33AC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303F632B">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17B8C343">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34FFA691">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3762F90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64487065">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10964447">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63AD2FAC">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6E1BB1D9">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6FA76C0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74B1AD4">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841864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4B90CE3D">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51D10A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22E88D1A">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57659B7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6938A9E9">
      <w:pPr>
        <w:pStyle w:val="60"/>
        <w:pageBreakBefore w:val="0"/>
        <w:kinsoku/>
        <w:wordWrap/>
        <w:overflowPunct/>
        <w:topLinePunct w:val="0"/>
        <w:bidi w:val="0"/>
        <w:spacing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2A14638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53B7DB2B">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70151DC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2BBA16A3">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2F59A03A">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06DFA61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C838D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3BB9905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55D9B396">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1CEF70DC">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50EC4638">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68C063B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2C1F408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24E8F818">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08DAFD95">
      <w:pPr>
        <w:pageBreakBefore w:val="0"/>
        <w:numPr>
          <w:ilvl w:val="0"/>
          <w:numId w:val="5"/>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05B73074">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69241E8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45D332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79986D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E9E231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9F5B884">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C068D4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3A4E9CF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BD543F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4D4B08C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56727B8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400A394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71A597C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7AD9BB2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7F7A522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74F7AEE6">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74ECB3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2B3EE8DD">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6E61AF4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3DF56EE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08B2C26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3BDD1D5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5604EAE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692DC41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13BB627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05B565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35282F45">
      <w:pPr>
        <w:pStyle w:val="59"/>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6E59D0CC">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6046CC9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4906ACD0">
      <w:pPr>
        <w:pageBreakBefore w:val="0"/>
        <w:numPr>
          <w:ilvl w:val="0"/>
          <w:numId w:val="3"/>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05CACEF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6D7846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7A8E0B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0B691C2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07C7389C">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99A172C">
      <w:pPr>
        <w:pStyle w:val="60"/>
        <w:pageBreakBefore w:val="0"/>
        <w:kinsoku/>
        <w:wordWrap/>
        <w:overflowPunct/>
        <w:topLinePunct w:val="0"/>
        <w:bidi w:val="0"/>
        <w:spacing w:line="360" w:lineRule="auto"/>
        <w:textAlignment w:val="auto"/>
        <w:rPr>
          <w:rFonts w:hint="eastAsia" w:ascii="宋体" w:hAnsi="宋体" w:eastAsia="宋体" w:cs="宋体"/>
          <w:sz w:val="24"/>
          <w:szCs w:val="24"/>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5001D1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53008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vAlign w:val="center"/>
          </w:tcPr>
          <w:p w14:paraId="7C16F2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6A312B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3EF2FD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3910FF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97632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vAlign w:val="center"/>
          </w:tcPr>
          <w:p w14:paraId="5ED067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27F718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ED8A8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0BD171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E6A3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5E832C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6FC18F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3E00A4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14:paraId="40F560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E588A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231C68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EF5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006BBE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3DC5CB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07BD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582F2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ADA1A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25B4B2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150B65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38F6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3373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8A2C5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vAlign w:val="center"/>
          </w:tcPr>
          <w:p w14:paraId="08D679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5036FD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00FA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E42CF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036D8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vAlign w:val="center"/>
          </w:tcPr>
          <w:p w14:paraId="515713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64EEF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B1A13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EF6553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1376B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281C9E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3C5B66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F6A8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14BB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8A857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vAlign w:val="center"/>
          </w:tcPr>
          <w:p w14:paraId="406CC7B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575284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CAAAD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F248E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D285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vAlign w:val="center"/>
          </w:tcPr>
          <w:p w14:paraId="101B94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536A9D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A872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774E8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1C0E9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45C3E1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299A76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061C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3E5AA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3BA3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vAlign w:val="center"/>
          </w:tcPr>
          <w:p w14:paraId="44DF827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4A80E7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E4FA8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DCE138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0992A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vAlign w:val="center"/>
          </w:tcPr>
          <w:p w14:paraId="31394F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3F6F9E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E555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FF7BE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E0490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vAlign w:val="center"/>
          </w:tcPr>
          <w:p w14:paraId="36604C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1FAF3C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A5360E4">
            <w:pPr>
              <w:pStyle w:val="10"/>
              <w:keepNext w:val="0"/>
              <w:keepLines w:val="0"/>
              <w:pageBreakBefore w:val="0"/>
              <w:suppressLineNumbers w:val="0"/>
              <w:kinsoku/>
              <w:wordWrap/>
              <w:overflowPunct/>
              <w:topLinePunct w:val="0"/>
              <w:bidi w:val="0"/>
              <w:adjustRightInd w:val="0"/>
              <w:snapToGrid w:val="0"/>
              <w:spacing w:before="156" w:beforeLines="50" w:beforeAutospacing="0" w:after="0" w:afterAutospacing="0" w:line="360" w:lineRule="auto"/>
              <w:ind w:left="0" w:leftChars="0" w:right="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7DAE8B58">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u w:val="single"/>
        </w:rPr>
        <w:br w:type="page"/>
      </w:r>
      <w:bookmarkStart w:id="57" w:name="_Toc27624"/>
      <w:bookmarkStart w:id="58" w:name="_Toc23770"/>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第二节 政府采购合同通用条款</w:t>
      </w:r>
      <w:bookmarkEnd w:id="57"/>
      <w:bookmarkEnd w:id="58"/>
    </w:p>
    <w:p w14:paraId="382F977D">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73EFDF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286DF3E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4BDC1A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146EEF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2EEF7AA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6FA6E506">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41021AC">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0CC65BE">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4384499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5EA497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1F74C1CE">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4B553D8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73DB604">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45B349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784E5E7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5B4C813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0B8B26D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35D137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3499158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C4C27A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34F8A17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16827530">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129DBFE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2D47E4E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5BFCD3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5605B2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5A7FAAAF">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62B20FBB">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79D46F41">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74E2BDA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403865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33AADA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36AEC5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59357AD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6136069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78C526E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35D703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7B7B9314">
      <w:pPr>
        <w:pStyle w:val="59"/>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0627AF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2E63AC44">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A091D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E5407D5">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0E2CBA8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325AF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4E3B17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12C197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3CBFC69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BA1F3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DDD56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5BEE104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3F7C88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44A076A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2690E82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09E402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0FC74B9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34CF035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59"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59"/>
      <w:r>
        <w:rPr>
          <w:rFonts w:hint="eastAsia" w:ascii="宋体" w:hAnsi="宋体" w:eastAsia="宋体" w:cs="宋体"/>
          <w:color w:val="auto"/>
          <w:sz w:val="24"/>
          <w:szCs w:val="24"/>
          <w:highlight w:val="none"/>
        </w:rPr>
        <w:t>。</w:t>
      </w:r>
    </w:p>
    <w:p w14:paraId="540F97F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ED3B7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3ABD96F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05D222F">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FEBBDDD">
      <w:pPr>
        <w:pStyle w:val="4"/>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60" w:name="_Toc1892"/>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bookmarkEnd w:id="60"/>
    </w:p>
    <w:p w14:paraId="565AA57E">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0501204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7E47216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011FAFA">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1BC2DCD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9FDB9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D79C3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EDCDDC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0A520B5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97389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669EA1C0">
      <w:pPr>
        <w:pStyle w:val="59"/>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786B8E2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38D5E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500491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78128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60008E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13EFD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E404A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21CA64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7DB95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8FE58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E2D83A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3BEB4EF5">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19C31057">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E4A22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0141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597FF0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24A897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1DB81F49">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79C0357F">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F82B5C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63D0A0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C69C33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3BDEB7B2">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31602BD2">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418F60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DD7CFC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0369A5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4F7559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4563A0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3D902E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747D6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18F629F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1A4155DD">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77C43F56">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52707250">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0E024C3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0AE0BDC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44B7E3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137A10C7">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257FDA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05DDEA1E">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37C2529C">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2E194BE0">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9666DD3">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6F9A5B65">
      <w:pPr>
        <w:pStyle w:val="59"/>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7B0C446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0905ED7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2E13F841">
      <w:pPr>
        <w:pageBreakBefore w:val="0"/>
        <w:numPr>
          <w:ilvl w:val="0"/>
          <w:numId w:val="9"/>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73623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501496E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61" w:name="_Toc20313"/>
    </w:p>
    <w:p w14:paraId="256AE7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3EB0307D">
      <w:pPr>
        <w:pStyle w:val="4"/>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62" w:name="_Toc10324"/>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bookmarkEnd w:id="61"/>
      <w:bookmarkEnd w:id="62"/>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67DD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FA43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95514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08EC1B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3E70B4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41C5F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4EFEBC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5649D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11C1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30BE9D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p>
        </w:tc>
      </w:tr>
      <w:tr w14:paraId="18C0C7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A7CB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D08A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356557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21B681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p>
        </w:tc>
      </w:tr>
      <w:tr w14:paraId="158C7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AF35C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0D936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6256E00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2B30B9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p>
        </w:tc>
      </w:tr>
      <w:tr w14:paraId="5F44A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F53C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E775E03">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7BB25F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60EC3E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p>
        </w:tc>
      </w:tr>
      <w:tr w14:paraId="46306F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DA1B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7974FFB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20B7F3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13D536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p>
        </w:tc>
      </w:tr>
      <w:tr w14:paraId="2B0568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B8ABE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81E8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491AD0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6EFF4FE9">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p>
        </w:tc>
      </w:tr>
      <w:tr w14:paraId="0C77F7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48C6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677A65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61ABA13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p>
        </w:tc>
      </w:tr>
      <w:tr w14:paraId="76FDA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C1B27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2520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58E7AB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65731001">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p>
        </w:tc>
      </w:tr>
      <w:tr w14:paraId="1F589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90053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3D3CA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03B626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3336C3CD">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p>
        </w:tc>
      </w:tr>
      <w:tr w14:paraId="303274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7578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4D6DD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292CB2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09538FF0">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p>
        </w:tc>
      </w:tr>
      <w:tr w14:paraId="77D236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D741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D268B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7A22DF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62ED0C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0A869A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46577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04FF67">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7E59DA56">
            <w:pPr>
              <w:pStyle w:val="59"/>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1F7C3F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7E6F3E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337B92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D426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9F92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74623F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70ECB3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12173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79D48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755B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6482F6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5DE4D2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5F40E6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1B7A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F2D67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6AF084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6871A4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30C23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320E1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57EFB3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419C3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6BAD56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1FB0D5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27631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D58E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39B158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43710B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0A673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9B613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55F1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7BCC5D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D00FF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3500C0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8542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72242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4C1639F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54DA8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p>
        </w:tc>
      </w:tr>
      <w:tr w14:paraId="5EEA10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1E0D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A730B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14049A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D2F839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p>
        </w:tc>
      </w:tr>
      <w:tr w14:paraId="4212DA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1461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81EA2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07F21C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7B7CCE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p>
        </w:tc>
      </w:tr>
      <w:tr w14:paraId="42F96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4E422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45901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7FB8C92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61DDF5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p>
        </w:tc>
      </w:tr>
      <w:tr w14:paraId="11BC7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986FF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17928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330522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4F1A259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77CCF00F">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07714C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439A22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A621F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367D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07C15B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0A8B7C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p>
        </w:tc>
      </w:tr>
    </w:tbl>
    <w:p w14:paraId="658D3FA1">
      <w:pPr>
        <w:rPr>
          <w:rFonts w:hint="eastAsia" w:ascii="宋体" w:hAnsi="宋体" w:eastAsia="宋体" w:cs="宋体"/>
          <w:sz w:val="24"/>
          <w:szCs w:val="24"/>
        </w:rPr>
      </w:pPr>
    </w:p>
    <w:p w14:paraId="59FB1173">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54B27CBB">
      <w:pPr>
        <w:spacing w:line="360" w:lineRule="auto"/>
        <w:jc w:val="center"/>
        <w:outlineLvl w:val="0"/>
        <w:rPr>
          <w:rFonts w:asciiTheme="minorEastAsia" w:hAnsiTheme="minorEastAsia" w:eastAsiaTheme="minorEastAsia"/>
          <w:b/>
          <w:color w:val="auto"/>
          <w:sz w:val="28"/>
          <w:highlight w:val="none"/>
        </w:rPr>
      </w:pPr>
      <w:bookmarkStart w:id="63" w:name="_Toc10446"/>
      <w:r>
        <w:rPr>
          <w:rFonts w:hint="eastAsia" w:asciiTheme="minorEastAsia" w:hAnsiTheme="minorEastAsia" w:eastAsiaTheme="minorEastAsia"/>
          <w:b/>
          <w:color w:val="auto"/>
          <w:sz w:val="28"/>
          <w:highlight w:val="none"/>
        </w:rPr>
        <w:t>第六章  投标文件格式</w:t>
      </w:r>
      <w:bookmarkEnd w:id="63"/>
    </w:p>
    <w:p w14:paraId="483A1A30">
      <w:pPr>
        <w:spacing w:line="900" w:lineRule="exact"/>
        <w:jc w:val="center"/>
        <w:rPr>
          <w:rFonts w:asciiTheme="minorEastAsia" w:hAnsiTheme="minorEastAsia" w:eastAsiaTheme="minorEastAsia"/>
          <w:b/>
          <w:color w:val="auto"/>
          <w:sz w:val="72"/>
          <w:highlight w:val="none"/>
        </w:rPr>
      </w:pPr>
    </w:p>
    <w:p w14:paraId="4CF7C44D">
      <w:pPr>
        <w:spacing w:line="900" w:lineRule="exact"/>
        <w:jc w:val="center"/>
        <w:outlineLvl w:val="9"/>
        <w:rPr>
          <w:rFonts w:asciiTheme="minorEastAsia" w:hAnsiTheme="minorEastAsia" w:eastAsiaTheme="minorEastAsia"/>
          <w:b/>
          <w:color w:val="auto"/>
          <w:sz w:val="72"/>
          <w:highlight w:val="none"/>
        </w:rPr>
      </w:pPr>
      <w:bookmarkStart w:id="64" w:name="_Toc28337"/>
      <w:bookmarkStart w:id="65" w:name="_Toc651"/>
      <w:r>
        <w:rPr>
          <w:rFonts w:hint="eastAsia" w:asciiTheme="minorEastAsia" w:hAnsiTheme="minorEastAsia" w:eastAsiaTheme="minorEastAsia"/>
          <w:b/>
          <w:color w:val="auto"/>
          <w:sz w:val="72"/>
          <w:highlight w:val="none"/>
        </w:rPr>
        <w:t>投</w:t>
      </w:r>
      <w:bookmarkEnd w:id="64"/>
      <w:bookmarkEnd w:id="65"/>
    </w:p>
    <w:p w14:paraId="2114A7DF">
      <w:pPr>
        <w:spacing w:line="900" w:lineRule="exact"/>
        <w:jc w:val="center"/>
        <w:rPr>
          <w:rFonts w:asciiTheme="minorEastAsia" w:hAnsiTheme="minorEastAsia" w:eastAsiaTheme="minorEastAsia"/>
          <w:b/>
          <w:color w:val="auto"/>
          <w:sz w:val="72"/>
          <w:highlight w:val="none"/>
        </w:rPr>
      </w:pPr>
    </w:p>
    <w:p w14:paraId="5792469F">
      <w:pPr>
        <w:spacing w:line="900" w:lineRule="exact"/>
        <w:jc w:val="center"/>
        <w:outlineLvl w:val="9"/>
        <w:rPr>
          <w:rFonts w:asciiTheme="minorEastAsia" w:hAnsiTheme="minorEastAsia" w:eastAsiaTheme="minorEastAsia"/>
          <w:b/>
          <w:color w:val="auto"/>
          <w:sz w:val="72"/>
          <w:highlight w:val="none"/>
        </w:rPr>
      </w:pPr>
      <w:bookmarkStart w:id="66" w:name="_Toc13189"/>
      <w:bookmarkStart w:id="67" w:name="_Toc6148"/>
      <w:r>
        <w:rPr>
          <w:rFonts w:hint="eastAsia" w:asciiTheme="minorEastAsia" w:hAnsiTheme="minorEastAsia" w:eastAsiaTheme="minorEastAsia"/>
          <w:b/>
          <w:color w:val="auto"/>
          <w:sz w:val="72"/>
          <w:highlight w:val="none"/>
        </w:rPr>
        <w:t>标</w:t>
      </w:r>
      <w:bookmarkEnd w:id="66"/>
      <w:bookmarkEnd w:id="67"/>
    </w:p>
    <w:p w14:paraId="41A9051D">
      <w:pPr>
        <w:spacing w:line="900" w:lineRule="exact"/>
        <w:jc w:val="center"/>
        <w:rPr>
          <w:rFonts w:asciiTheme="minorEastAsia" w:hAnsiTheme="minorEastAsia" w:eastAsiaTheme="minorEastAsia"/>
          <w:b/>
          <w:color w:val="auto"/>
          <w:sz w:val="72"/>
          <w:highlight w:val="none"/>
        </w:rPr>
      </w:pPr>
    </w:p>
    <w:p w14:paraId="720A6E0C">
      <w:pPr>
        <w:spacing w:line="900" w:lineRule="exact"/>
        <w:jc w:val="center"/>
        <w:outlineLvl w:val="9"/>
        <w:rPr>
          <w:rFonts w:asciiTheme="minorEastAsia" w:hAnsiTheme="minorEastAsia" w:eastAsiaTheme="minorEastAsia"/>
          <w:b/>
          <w:color w:val="auto"/>
          <w:sz w:val="72"/>
          <w:highlight w:val="none"/>
        </w:rPr>
      </w:pPr>
      <w:bookmarkStart w:id="68" w:name="_Toc1338"/>
      <w:bookmarkStart w:id="69" w:name="_Toc7230"/>
      <w:r>
        <w:rPr>
          <w:rFonts w:hint="eastAsia" w:asciiTheme="minorEastAsia" w:hAnsiTheme="minorEastAsia" w:eastAsiaTheme="minorEastAsia"/>
          <w:b/>
          <w:color w:val="auto"/>
          <w:sz w:val="72"/>
          <w:highlight w:val="none"/>
        </w:rPr>
        <w:t>文</w:t>
      </w:r>
      <w:bookmarkEnd w:id="68"/>
      <w:bookmarkEnd w:id="69"/>
    </w:p>
    <w:p w14:paraId="31137FBB">
      <w:pPr>
        <w:spacing w:line="900" w:lineRule="exact"/>
        <w:jc w:val="center"/>
        <w:rPr>
          <w:rFonts w:asciiTheme="minorEastAsia" w:hAnsiTheme="minorEastAsia" w:eastAsiaTheme="minorEastAsia"/>
          <w:b/>
          <w:color w:val="auto"/>
          <w:sz w:val="72"/>
          <w:highlight w:val="none"/>
        </w:rPr>
      </w:pPr>
    </w:p>
    <w:p w14:paraId="0B114B30">
      <w:pPr>
        <w:jc w:val="center"/>
        <w:outlineLvl w:val="9"/>
        <w:rPr>
          <w:rFonts w:asciiTheme="minorEastAsia" w:hAnsiTheme="minorEastAsia" w:eastAsiaTheme="minorEastAsia"/>
          <w:b/>
          <w:color w:val="auto"/>
          <w:sz w:val="72"/>
          <w:highlight w:val="none"/>
        </w:rPr>
      </w:pPr>
      <w:bookmarkStart w:id="70" w:name="_Toc3177"/>
      <w:bookmarkStart w:id="71" w:name="_Toc10796"/>
      <w:r>
        <w:rPr>
          <w:rFonts w:hint="eastAsia" w:asciiTheme="minorEastAsia" w:hAnsiTheme="minorEastAsia" w:eastAsiaTheme="minorEastAsia"/>
          <w:b/>
          <w:color w:val="auto"/>
          <w:sz w:val="72"/>
          <w:highlight w:val="none"/>
        </w:rPr>
        <w:t>件</w:t>
      </w:r>
      <w:bookmarkEnd w:id="70"/>
      <w:bookmarkEnd w:id="71"/>
    </w:p>
    <w:p w14:paraId="00ACBE19">
      <w:pPr>
        <w:spacing w:after="156" w:afterLines="50"/>
        <w:jc w:val="center"/>
        <w:rPr>
          <w:rFonts w:asciiTheme="minorEastAsia" w:hAnsiTheme="minorEastAsia" w:eastAsiaTheme="minorEastAsia"/>
          <w:b/>
          <w:color w:val="auto"/>
          <w:sz w:val="72"/>
          <w:highlight w:val="none"/>
        </w:rPr>
      </w:pPr>
    </w:p>
    <w:p w14:paraId="2B538DBB">
      <w:pPr>
        <w:spacing w:before="156" w:beforeLines="50" w:after="156" w:afterLines="50"/>
        <w:jc w:val="center"/>
        <w:outlineLvl w:val="9"/>
        <w:rPr>
          <w:rFonts w:asciiTheme="minorEastAsia" w:hAnsiTheme="minorEastAsia" w:eastAsiaTheme="minorEastAsia"/>
          <w:b/>
          <w:color w:val="auto"/>
          <w:sz w:val="32"/>
          <w:szCs w:val="32"/>
          <w:highlight w:val="none"/>
        </w:rPr>
      </w:pPr>
    </w:p>
    <w:p w14:paraId="462CB6FC">
      <w:pPr>
        <w:spacing w:after="156" w:afterLines="50" w:line="500" w:lineRule="exact"/>
        <w:jc w:val="center"/>
        <w:rPr>
          <w:rFonts w:asciiTheme="minorEastAsia" w:hAnsiTheme="minorEastAsia" w:eastAsiaTheme="minorEastAsia"/>
          <w:b/>
          <w:color w:val="auto"/>
          <w:sz w:val="28"/>
          <w:szCs w:val="28"/>
          <w:highlight w:val="none"/>
        </w:rPr>
      </w:pPr>
    </w:p>
    <w:p w14:paraId="1EDC912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186F71A">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528B000">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467CF44">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2" w:name="_Toc8037"/>
      <w:bookmarkStart w:id="73" w:name="_Toc26360"/>
      <w:bookmarkStart w:id="74"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2"/>
      <w:bookmarkEnd w:id="73"/>
      <w:bookmarkEnd w:id="74"/>
    </w:p>
    <w:p w14:paraId="36E9F26B">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78EB493">
      <w:pPr>
        <w:spacing w:line="360" w:lineRule="auto"/>
        <w:jc w:val="center"/>
        <w:outlineLvl w:val="1"/>
        <w:rPr>
          <w:rFonts w:asciiTheme="minorEastAsia" w:hAnsiTheme="minorEastAsia" w:eastAsiaTheme="minorEastAsia"/>
          <w:b/>
          <w:color w:val="auto"/>
          <w:sz w:val="24"/>
          <w:highlight w:val="none"/>
        </w:rPr>
      </w:pPr>
      <w:bookmarkStart w:id="75" w:name="_Toc5555"/>
      <w:bookmarkStart w:id="76" w:name="_Toc28960"/>
      <w:bookmarkStart w:id="77" w:name="_Toc5958"/>
      <w:r>
        <w:rPr>
          <w:rFonts w:hint="eastAsia" w:asciiTheme="minorEastAsia" w:hAnsiTheme="minorEastAsia" w:eastAsiaTheme="minorEastAsia"/>
          <w:b/>
          <w:color w:val="auto"/>
          <w:sz w:val="24"/>
          <w:highlight w:val="none"/>
        </w:rPr>
        <w:t>一、开标一览表</w:t>
      </w:r>
      <w:bookmarkEnd w:id="75"/>
      <w:bookmarkEnd w:id="76"/>
      <w:bookmarkEnd w:id="77"/>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268"/>
      </w:tblGrid>
      <w:tr w14:paraId="2A7F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4355DAD">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310C728B">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6AB5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57A6653">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192679D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2425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52" w:type="pct"/>
            <w:tcBorders>
              <w:top w:val="nil"/>
            </w:tcBorders>
            <w:vAlign w:val="center"/>
          </w:tcPr>
          <w:p w14:paraId="0CD1264F">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3F6B4A8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8"/>
                <w:highlight w:val="none"/>
              </w:rPr>
              <w:t>全部/第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42E2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A902BF">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6B036B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EC7741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Theme="minorEastAsia" w:hAnsiTheme="minorEastAsia" w:eastAsiaTheme="minorEastAsia"/>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311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32F050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7098CF40">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64955F14">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 xml:space="preserve">投标人 </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lang w:eastAsia="zh-CN"/>
        </w:rPr>
        <w:t>（</w:t>
      </w:r>
      <w:r>
        <w:rPr>
          <w:rFonts w:hint="eastAsia" w:asciiTheme="minorEastAsia" w:hAnsiTheme="minorEastAsia" w:eastAsiaTheme="minorEastAsia"/>
          <w:bCs/>
          <w:color w:val="auto"/>
          <w:sz w:val="24"/>
          <w:highlight w:val="none"/>
          <w:u w:val="single"/>
          <w:lang w:val="en-US" w:eastAsia="zh-CN"/>
        </w:rPr>
        <w:t>盖章）</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6825CAD">
      <w:pPr>
        <w:spacing w:line="360" w:lineRule="auto"/>
        <w:ind w:firstLine="5520" w:firstLineChars="2300"/>
        <w:jc w:val="both"/>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8E8302A">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4FC29C27">
      <w:pPr>
        <w:spacing w:line="360" w:lineRule="auto"/>
        <w:ind w:firstLine="360" w:firstLineChars="150"/>
        <w:rPr>
          <w:rFonts w:asciiTheme="minorEastAsia" w:hAnsiTheme="minorEastAsia" w:eastAsiaTheme="minorEastAsia"/>
          <w:color w:val="auto"/>
          <w:sz w:val="24"/>
          <w:highlight w:val="none"/>
        </w:rPr>
      </w:pPr>
    </w:p>
    <w:p w14:paraId="1209A890">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42C287D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1DFC6E6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11C6CC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03451562">
      <w:pPr>
        <w:spacing w:line="360" w:lineRule="auto"/>
        <w:jc w:val="center"/>
        <w:outlineLvl w:val="1"/>
        <w:rPr>
          <w:rFonts w:asciiTheme="minorEastAsia" w:hAnsiTheme="minorEastAsia" w:eastAsiaTheme="minorEastAsia"/>
          <w:b/>
          <w:color w:val="auto"/>
          <w:sz w:val="24"/>
          <w:highlight w:val="none"/>
        </w:rPr>
      </w:pPr>
      <w:bookmarkStart w:id="78" w:name="_Toc18010"/>
      <w:bookmarkStart w:id="79" w:name="_Toc5994"/>
      <w:bookmarkStart w:id="80" w:name="_Toc6441"/>
      <w:r>
        <w:rPr>
          <w:rFonts w:hint="eastAsia" w:asciiTheme="minorEastAsia" w:hAnsiTheme="minorEastAsia" w:eastAsiaTheme="minorEastAsia"/>
          <w:b/>
          <w:color w:val="auto"/>
          <w:sz w:val="24"/>
          <w:highlight w:val="none"/>
        </w:rPr>
        <w:t>二、投标函</w:t>
      </w:r>
      <w:bookmarkEnd w:id="78"/>
      <w:bookmarkEnd w:id="79"/>
      <w:bookmarkEnd w:id="80"/>
    </w:p>
    <w:p w14:paraId="7A9453C2">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59682C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623B0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5D54E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532E78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228EF2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BA8A813">
      <w:pPr>
        <w:spacing w:line="360" w:lineRule="auto"/>
        <w:ind w:firstLine="4800" w:firstLineChars="2000"/>
        <w:rPr>
          <w:rFonts w:ascii="宋体" w:hAnsi="宋体" w:eastAsia="宋体"/>
          <w:color w:val="auto"/>
          <w:sz w:val="24"/>
          <w:highlight w:val="none"/>
        </w:rPr>
      </w:pPr>
    </w:p>
    <w:p w14:paraId="652E44A3">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34E43824">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21C496EF">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35C4336B">
      <w:pPr>
        <w:spacing w:line="360" w:lineRule="auto"/>
        <w:jc w:val="center"/>
        <w:outlineLvl w:val="1"/>
        <w:rPr>
          <w:rFonts w:hint="eastAsia" w:asciiTheme="minorEastAsia" w:hAnsiTheme="minorEastAsia" w:eastAsiaTheme="minorEastAsia"/>
          <w:b/>
          <w:color w:val="auto"/>
          <w:sz w:val="24"/>
          <w:highlight w:val="none"/>
        </w:rPr>
      </w:pPr>
      <w:bookmarkStart w:id="81" w:name="_Toc17156"/>
      <w:bookmarkStart w:id="82" w:name="_Toc1328"/>
      <w:r>
        <w:rPr>
          <w:rFonts w:hint="eastAsia" w:asciiTheme="minorEastAsia" w:hAnsiTheme="minorEastAsia" w:eastAsiaTheme="minorEastAsia"/>
          <w:b/>
          <w:color w:val="auto"/>
          <w:sz w:val="24"/>
          <w:highlight w:val="none"/>
          <w:lang w:val="en-US" w:eastAsia="zh-CN"/>
        </w:rPr>
        <w:t>三．投标人资格声明书</w:t>
      </w:r>
      <w:bookmarkEnd w:id="81"/>
      <w:bookmarkEnd w:id="82"/>
      <w:r>
        <w:rPr>
          <w:rFonts w:hint="eastAsia" w:asciiTheme="minorEastAsia" w:hAnsiTheme="minorEastAsia" w:eastAsiaTheme="minorEastAsia"/>
          <w:b/>
          <w:color w:val="auto"/>
          <w:sz w:val="24"/>
          <w:highlight w:val="none"/>
          <w:lang w:val="en-US" w:eastAsia="zh-CN"/>
        </w:rPr>
        <w:t xml:space="preserve"> </w:t>
      </w:r>
    </w:p>
    <w:p w14:paraId="5976A03A">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3EA1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68B3601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3EEC3C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718F0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718BB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24229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95091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6FE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25EC272">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42EC539B">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719A7B3B">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64FE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5640D5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78F39D18">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6C777B49">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3BFC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79BB5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747AB3DF">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F1BB85B">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4ABC2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CBC1610">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0FA083EB">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1BF8731B">
      <w:pPr>
        <w:pStyle w:val="9"/>
        <w:rPr>
          <w:rFonts w:hint="eastAsia" w:asciiTheme="minorEastAsia" w:hAnsiTheme="minorEastAsia" w:eastAsiaTheme="minorEastAsia" w:cstheme="minorEastAsia"/>
          <w:color w:val="000000"/>
          <w:kern w:val="0"/>
          <w:sz w:val="24"/>
          <w:szCs w:val="24"/>
          <w:highlight w:val="green"/>
          <w:lang w:val="en-US" w:eastAsia="zh-CN" w:bidi="ar"/>
        </w:rPr>
      </w:pPr>
    </w:p>
    <w:p w14:paraId="0A6BAEDD">
      <w:pPr>
        <w:pStyle w:val="9"/>
        <w:rPr>
          <w:rFonts w:hint="eastAsia" w:asciiTheme="minorEastAsia" w:hAnsiTheme="minorEastAsia" w:eastAsiaTheme="minorEastAsia" w:cstheme="minorEastAsia"/>
          <w:color w:val="000000"/>
          <w:kern w:val="0"/>
          <w:sz w:val="24"/>
          <w:szCs w:val="24"/>
          <w:lang w:val="en-US" w:eastAsia="zh-CN" w:bidi="ar"/>
        </w:rPr>
      </w:pPr>
    </w:p>
    <w:p w14:paraId="00B0D22A">
      <w:pPr>
        <w:pStyle w:val="9"/>
        <w:rPr>
          <w:rFonts w:hint="eastAsia" w:asciiTheme="minorEastAsia" w:hAnsiTheme="minorEastAsia" w:eastAsiaTheme="minorEastAsia" w:cstheme="minorEastAsia"/>
          <w:color w:val="000000"/>
          <w:kern w:val="0"/>
          <w:sz w:val="24"/>
          <w:szCs w:val="24"/>
          <w:lang w:val="en-US" w:eastAsia="zh-CN" w:bidi="ar"/>
        </w:rPr>
      </w:pPr>
    </w:p>
    <w:p w14:paraId="481E2F23">
      <w:pPr>
        <w:rPr>
          <w:rFonts w:hint="eastAsia" w:asciiTheme="minorEastAsia" w:hAnsiTheme="minorEastAsia" w:eastAsiaTheme="minorEastAsia"/>
          <w:b/>
          <w:color w:val="auto"/>
          <w:sz w:val="24"/>
          <w:highlight w:val="none"/>
        </w:rPr>
      </w:pPr>
      <w:bookmarkStart w:id="83" w:name="_Toc11607"/>
      <w:r>
        <w:rPr>
          <w:rFonts w:hint="eastAsia" w:asciiTheme="minorEastAsia" w:hAnsiTheme="minorEastAsia" w:eastAsiaTheme="minorEastAsia"/>
          <w:b/>
          <w:color w:val="auto"/>
          <w:sz w:val="24"/>
          <w:highlight w:val="none"/>
        </w:rPr>
        <w:br w:type="page"/>
      </w:r>
    </w:p>
    <w:p w14:paraId="7B0DD4B0">
      <w:pPr>
        <w:spacing w:line="360" w:lineRule="auto"/>
        <w:jc w:val="center"/>
        <w:outlineLvl w:val="1"/>
        <w:rPr>
          <w:rFonts w:asciiTheme="minorEastAsia" w:hAnsiTheme="minorEastAsia" w:eastAsiaTheme="minorEastAsia"/>
          <w:b/>
          <w:color w:val="auto"/>
          <w:sz w:val="24"/>
          <w:highlight w:val="none"/>
        </w:rPr>
      </w:pPr>
      <w:bookmarkStart w:id="84" w:name="_Toc24214"/>
      <w:bookmarkStart w:id="85" w:name="_Toc16960"/>
      <w:r>
        <w:rPr>
          <w:rFonts w:hint="eastAsia" w:asciiTheme="minorEastAsia" w:hAnsiTheme="minorEastAsia" w:eastAsiaTheme="minorEastAsia"/>
          <w:b/>
          <w:color w:val="auto"/>
          <w:sz w:val="24"/>
          <w:highlight w:val="none"/>
        </w:rPr>
        <w:t>四、授权书</w:t>
      </w:r>
      <w:bookmarkEnd w:id="83"/>
      <w:bookmarkEnd w:id="84"/>
      <w:bookmarkEnd w:id="85"/>
    </w:p>
    <w:p w14:paraId="484076B8">
      <w:pPr>
        <w:pStyle w:val="12"/>
        <w:snapToGrid w:val="0"/>
        <w:spacing w:line="360" w:lineRule="auto"/>
        <w:ind w:firstLine="480" w:firstLineChars="200"/>
        <w:jc w:val="left"/>
        <w:rPr>
          <w:rFonts w:hAnsi="宋体" w:eastAsia="宋体"/>
          <w:color w:val="auto"/>
          <w:sz w:val="24"/>
          <w:szCs w:val="28"/>
          <w:highlight w:val="none"/>
        </w:rPr>
      </w:pPr>
    </w:p>
    <w:p w14:paraId="73171E5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7D2AF74">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40CD53C">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49C84FE">
      <w:pPr>
        <w:spacing w:line="360" w:lineRule="auto"/>
        <w:ind w:firstLine="435"/>
        <w:rPr>
          <w:rFonts w:asciiTheme="minorEastAsia" w:hAnsiTheme="minorEastAsia" w:eastAsiaTheme="minorEastAsia"/>
          <w:color w:val="auto"/>
          <w:sz w:val="24"/>
          <w:highlight w:val="none"/>
        </w:rPr>
      </w:pPr>
    </w:p>
    <w:p w14:paraId="3EB290C0">
      <w:pPr>
        <w:spacing w:line="360" w:lineRule="auto"/>
        <w:ind w:firstLine="435"/>
        <w:rPr>
          <w:rFonts w:asciiTheme="minorEastAsia" w:hAnsiTheme="minorEastAsia" w:eastAsiaTheme="minorEastAsia"/>
          <w:color w:val="auto"/>
          <w:sz w:val="24"/>
          <w:highlight w:val="none"/>
        </w:rPr>
      </w:pPr>
    </w:p>
    <w:p w14:paraId="52A7CDE5">
      <w:pPr>
        <w:spacing w:line="360" w:lineRule="auto"/>
        <w:ind w:firstLine="435"/>
        <w:rPr>
          <w:rFonts w:asciiTheme="minorEastAsia" w:hAnsiTheme="minorEastAsia" w:eastAsiaTheme="minorEastAsia"/>
          <w:color w:val="auto"/>
          <w:sz w:val="24"/>
          <w:highlight w:val="none"/>
        </w:rPr>
      </w:pPr>
    </w:p>
    <w:p w14:paraId="2537B725">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360BEB">
      <w:pPr>
        <w:spacing w:line="360" w:lineRule="auto"/>
        <w:ind w:firstLine="435"/>
        <w:rPr>
          <w:rFonts w:hAnsi="宋体" w:eastAsia="宋体"/>
          <w:color w:val="auto"/>
          <w:sz w:val="24"/>
          <w:szCs w:val="28"/>
          <w:highlight w:val="none"/>
          <w:lang w:val="zh-CN"/>
        </w:rPr>
      </w:pPr>
    </w:p>
    <w:p w14:paraId="715B0E8D">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7C411FD">
      <w:pPr>
        <w:spacing w:line="360" w:lineRule="auto"/>
        <w:rPr>
          <w:rFonts w:ascii="宋体" w:hAnsi="宋体" w:eastAsia="宋体"/>
          <w:color w:val="auto"/>
          <w:sz w:val="24"/>
          <w:szCs w:val="28"/>
          <w:highlight w:val="none"/>
        </w:rPr>
      </w:pPr>
    </w:p>
    <w:p w14:paraId="317E3EDB">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2BAE1085">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171F2372">
      <w:pPr>
        <w:spacing w:line="360" w:lineRule="auto"/>
        <w:ind w:firstLine="435"/>
        <w:rPr>
          <w:rFonts w:asciiTheme="minorEastAsia" w:hAnsiTheme="minorEastAsia" w:eastAsiaTheme="minorEastAsia"/>
          <w:color w:val="auto"/>
          <w:sz w:val="24"/>
          <w:highlight w:val="none"/>
        </w:rPr>
      </w:pPr>
    </w:p>
    <w:p w14:paraId="48D77D68">
      <w:pPr>
        <w:spacing w:line="360" w:lineRule="auto"/>
        <w:ind w:firstLine="435"/>
        <w:rPr>
          <w:rFonts w:asciiTheme="minorEastAsia" w:hAnsiTheme="minorEastAsia" w:eastAsiaTheme="minorEastAsia"/>
          <w:color w:val="auto"/>
          <w:sz w:val="24"/>
          <w:highlight w:val="none"/>
        </w:rPr>
      </w:pPr>
    </w:p>
    <w:p w14:paraId="1C3F2878">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413CD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1B56DD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3CC2265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E94A28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6" w:name="_Toc31991"/>
      <w:bookmarkStart w:id="87" w:name="_Toc6796"/>
      <w:bookmarkStart w:id="88" w:name="_Toc2419"/>
      <w:r>
        <w:rPr>
          <w:rFonts w:hint="eastAsia" w:asciiTheme="minorEastAsia" w:hAnsiTheme="minorEastAsia" w:eastAsiaTheme="minorEastAsia"/>
          <w:b/>
          <w:color w:val="auto"/>
          <w:sz w:val="24"/>
          <w:highlight w:val="none"/>
        </w:rPr>
        <w:t>五、投标分项报价表</w:t>
      </w:r>
      <w:bookmarkEnd w:id="86"/>
      <w:bookmarkEnd w:id="87"/>
      <w:bookmarkEnd w:id="88"/>
    </w:p>
    <w:p w14:paraId="793EB1EF">
      <w:pPr>
        <w:spacing w:line="360" w:lineRule="auto"/>
        <w:ind w:firstLine="435"/>
        <w:rPr>
          <w:rFonts w:asciiTheme="minorEastAsia" w:hAnsiTheme="minorEastAsia" w:eastAsiaTheme="minorEastAsia"/>
          <w:b/>
          <w:color w:val="auto"/>
          <w:sz w:val="24"/>
          <w:highlight w:val="none"/>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548"/>
        <w:gridCol w:w="1540"/>
        <w:gridCol w:w="1540"/>
        <w:gridCol w:w="785"/>
        <w:gridCol w:w="785"/>
        <w:gridCol w:w="1098"/>
        <w:gridCol w:w="1098"/>
        <w:gridCol w:w="783"/>
      </w:tblGrid>
      <w:tr w14:paraId="35DF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2B08F055">
            <w:pPr>
              <w:pStyle w:val="31"/>
              <w:keepNext w:val="0"/>
              <w:keepLines w:val="0"/>
              <w:widowControl w:val="0"/>
              <w:suppressLineNumbers w:val="0"/>
              <w:spacing w:before="0" w:beforeAutospacing="0" w:after="0" w:afterAutospacing="0"/>
              <w:ind w:left="0" w:right="0"/>
              <w:rPr>
                <w:rFonts w:hint="default"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77" w:type="pct"/>
            <w:vAlign w:val="center"/>
          </w:tcPr>
          <w:p w14:paraId="2EDDFC70">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货物名称</w:t>
            </w:r>
          </w:p>
        </w:tc>
        <w:tc>
          <w:tcPr>
            <w:tcW w:w="773" w:type="pct"/>
            <w:vAlign w:val="center"/>
          </w:tcPr>
          <w:p w14:paraId="370D3CDA">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品牌、型</w:t>
            </w:r>
          </w:p>
          <w:p w14:paraId="57E7A554">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号</w:t>
            </w:r>
          </w:p>
        </w:tc>
        <w:tc>
          <w:tcPr>
            <w:tcW w:w="773" w:type="pct"/>
            <w:vAlign w:val="center"/>
          </w:tcPr>
          <w:p w14:paraId="4EDD02E8">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原产地及</w:t>
            </w:r>
          </w:p>
          <w:p w14:paraId="78921348">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生产厂商</w:t>
            </w:r>
          </w:p>
        </w:tc>
        <w:tc>
          <w:tcPr>
            <w:tcW w:w="394" w:type="pct"/>
            <w:vAlign w:val="center"/>
          </w:tcPr>
          <w:p w14:paraId="6B9AFB2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单位</w:t>
            </w:r>
          </w:p>
        </w:tc>
        <w:tc>
          <w:tcPr>
            <w:tcW w:w="394" w:type="pct"/>
            <w:vAlign w:val="center"/>
          </w:tcPr>
          <w:p w14:paraId="30E460E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数量</w:t>
            </w:r>
          </w:p>
        </w:tc>
        <w:tc>
          <w:tcPr>
            <w:tcW w:w="551" w:type="pct"/>
            <w:vAlign w:val="center"/>
          </w:tcPr>
          <w:p w14:paraId="3675E49E">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单价</w:t>
            </w:r>
          </w:p>
          <w:p w14:paraId="6702647A">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（元）</w:t>
            </w:r>
          </w:p>
        </w:tc>
        <w:tc>
          <w:tcPr>
            <w:tcW w:w="551" w:type="pct"/>
            <w:vAlign w:val="center"/>
          </w:tcPr>
          <w:p w14:paraId="1B495E5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小计</w:t>
            </w:r>
          </w:p>
          <w:p w14:paraId="1D0A3286">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（元）</w:t>
            </w:r>
          </w:p>
        </w:tc>
        <w:tc>
          <w:tcPr>
            <w:tcW w:w="393" w:type="pct"/>
            <w:vAlign w:val="center"/>
          </w:tcPr>
          <w:p w14:paraId="7E1F2896">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备注</w:t>
            </w:r>
          </w:p>
        </w:tc>
      </w:tr>
      <w:tr w14:paraId="5C89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4743E60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777" w:type="pct"/>
          </w:tcPr>
          <w:p w14:paraId="69576FD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0F9536A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3539ABE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8ED0F4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40CF656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41C3E47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3020F81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6B4B269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552A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71D25F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777" w:type="pct"/>
          </w:tcPr>
          <w:p w14:paraId="36EFF63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4EF65ED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1C1DEC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013CBD7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6F79433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4CDDEA3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0E229FE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3EFB55D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26CA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E2CC35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777" w:type="pct"/>
          </w:tcPr>
          <w:p w14:paraId="0FFF2D8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30DF80D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50EFD38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183FF61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0974ED9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0603F8D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39CD65E4">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0F2EA7A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2E0A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74559B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777" w:type="pct"/>
          </w:tcPr>
          <w:p w14:paraId="625FC35C">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7A694B3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0C79FE7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1E601F8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1F32084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71494C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70FAAD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37FA480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632B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2F0FC4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5</w:t>
            </w:r>
          </w:p>
        </w:tc>
        <w:tc>
          <w:tcPr>
            <w:tcW w:w="777" w:type="pct"/>
          </w:tcPr>
          <w:p w14:paraId="72758B5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AEB3B9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2CEEFB3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2C341EE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2FAE533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3677A30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788A131C">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1CFB500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28C5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BDADE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6</w:t>
            </w:r>
          </w:p>
        </w:tc>
        <w:tc>
          <w:tcPr>
            <w:tcW w:w="777" w:type="pct"/>
          </w:tcPr>
          <w:p w14:paraId="63942A24">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67C2A0B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31C3FB6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6ABD17D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604B147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F432F34">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1D28BF8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60BFD7B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581E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351E46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7</w:t>
            </w:r>
          </w:p>
        </w:tc>
        <w:tc>
          <w:tcPr>
            <w:tcW w:w="777" w:type="pct"/>
          </w:tcPr>
          <w:p w14:paraId="6DB1395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EB09C8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426DBD6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4D7BF52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558EDB1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6DAB0D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15E5BDC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26AD7D0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0C46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6F5923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8</w:t>
            </w:r>
          </w:p>
        </w:tc>
        <w:tc>
          <w:tcPr>
            <w:tcW w:w="777" w:type="pct"/>
          </w:tcPr>
          <w:p w14:paraId="4383B72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2A45F75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4757F574">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55FACB7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54B6CF5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02C0EFD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3B2C079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14203E7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4A28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B5352F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9</w:t>
            </w:r>
          </w:p>
        </w:tc>
        <w:tc>
          <w:tcPr>
            <w:tcW w:w="777" w:type="pct"/>
          </w:tcPr>
          <w:p w14:paraId="590C6CF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7BA395B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15143B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4466CC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4B55642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AA8517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7C47B0C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4D4244A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6774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352787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10</w:t>
            </w:r>
          </w:p>
        </w:tc>
        <w:tc>
          <w:tcPr>
            <w:tcW w:w="777" w:type="pct"/>
          </w:tcPr>
          <w:p w14:paraId="04B3F6B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6F63AB1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232AC84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4E8DCB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3BBA9E1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7CE5BED3">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01A500D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6797D863">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70A8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80600F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11</w:t>
            </w:r>
          </w:p>
        </w:tc>
        <w:tc>
          <w:tcPr>
            <w:tcW w:w="777" w:type="pct"/>
          </w:tcPr>
          <w:p w14:paraId="1F94533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6D1DD53">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05B1D56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062D0B5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5C020C54">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17E7580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73C0B62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6F34601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7A9D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A419A2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12</w:t>
            </w:r>
          </w:p>
        </w:tc>
        <w:tc>
          <w:tcPr>
            <w:tcW w:w="777" w:type="pct"/>
          </w:tcPr>
          <w:p w14:paraId="5F1F761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ABF3AE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78F9D07C">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5FF65CA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CBCA1F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3990BFC">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152852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3554639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5597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B6204C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13</w:t>
            </w:r>
          </w:p>
        </w:tc>
        <w:tc>
          <w:tcPr>
            <w:tcW w:w="777" w:type="pct"/>
          </w:tcPr>
          <w:p w14:paraId="4E951D8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3CB56FE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3A78BFA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3E52249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1DBF950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D17880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2687580">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010887B4">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47E5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4782CC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777" w:type="pct"/>
            <w:vAlign w:val="center"/>
          </w:tcPr>
          <w:p w14:paraId="66419BFE">
            <w:pPr>
              <w:pStyle w:val="39"/>
              <w:keepNext w:val="0"/>
              <w:keepLines w:val="0"/>
              <w:suppressLineNumbers w:val="0"/>
              <w:spacing w:before="0" w:beforeAutospacing="0" w:after="0" w:afterAutospacing="0"/>
              <w:ind w:left="0" w:right="0"/>
              <w:rPr>
                <w:rFonts w:hint="default" w:asciiTheme="minorEastAsia" w:hAnsiTheme="minorEastAsia" w:eastAsiaTheme="minorEastAsia"/>
                <w:color w:val="auto"/>
                <w:szCs w:val="20"/>
                <w:highlight w:val="none"/>
              </w:rPr>
            </w:pPr>
            <w:r>
              <w:rPr>
                <w:rFonts w:hint="eastAsia" w:asciiTheme="minorEastAsia" w:hAnsiTheme="minorEastAsia" w:eastAsiaTheme="minorEastAsia"/>
                <w:color w:val="auto"/>
                <w:szCs w:val="20"/>
                <w:highlight w:val="none"/>
              </w:rPr>
              <w:t>其他费用</w:t>
            </w:r>
          </w:p>
        </w:tc>
        <w:tc>
          <w:tcPr>
            <w:tcW w:w="773" w:type="pct"/>
          </w:tcPr>
          <w:p w14:paraId="2E40A0B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050C53F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40215CC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6499088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BC75666">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36C9BA1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383AF4C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4264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BD716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777" w:type="pct"/>
          </w:tcPr>
          <w:p w14:paraId="38D9E16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773" w:type="pct"/>
          </w:tcPr>
          <w:p w14:paraId="66271092">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0FBF026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1ADC7F3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6EE21313">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FFBE3E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AA0B3B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42C1921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22FA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394" w:type="pct"/>
          </w:tcPr>
          <w:p w14:paraId="3C2F8F9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777" w:type="pct"/>
          </w:tcPr>
          <w:p w14:paraId="00A85382">
            <w:pPr>
              <w:pStyle w:val="39"/>
              <w:keepNext w:val="0"/>
              <w:keepLines w:val="0"/>
              <w:suppressLineNumbers w:val="0"/>
              <w:spacing w:before="0" w:beforeAutospacing="0" w:after="0" w:afterAutospacing="0"/>
              <w:ind w:left="0" w:right="0"/>
              <w:rPr>
                <w:rFonts w:hint="default" w:asciiTheme="minorEastAsia" w:hAnsiTheme="minorEastAsia" w:eastAsiaTheme="minorEastAsia"/>
                <w:color w:val="auto"/>
                <w:szCs w:val="20"/>
                <w:highlight w:val="none"/>
              </w:rPr>
            </w:pPr>
            <w:r>
              <w:rPr>
                <w:rFonts w:hint="eastAsia" w:asciiTheme="minorEastAsia" w:hAnsiTheme="minorEastAsia" w:eastAsiaTheme="minorEastAsia"/>
                <w:color w:val="auto"/>
                <w:szCs w:val="20"/>
                <w:highlight w:val="none"/>
              </w:rPr>
              <w:t>…</w:t>
            </w:r>
          </w:p>
        </w:tc>
        <w:tc>
          <w:tcPr>
            <w:tcW w:w="773" w:type="pct"/>
          </w:tcPr>
          <w:p w14:paraId="172ED4E7">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6388E39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6EEBF4F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BD3A74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341F2C0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2D81C5E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66F662FC">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0CEF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0700B0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777" w:type="pct"/>
          </w:tcPr>
          <w:p w14:paraId="39790EA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773" w:type="pct"/>
          </w:tcPr>
          <w:p w14:paraId="6BDB83FB">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11724C43">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1CDEA35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348152C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6A46BEB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13931045">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4020C9F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r w14:paraId="0398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23D60423">
            <w:pPr>
              <w:pStyle w:val="3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r>
              <w:rPr>
                <w:rFonts w:hint="eastAsia" w:asciiTheme="minorEastAsia" w:hAnsiTheme="minorEastAsia" w:eastAsiaTheme="minorEastAsia"/>
                <w:color w:val="auto"/>
                <w:szCs w:val="20"/>
                <w:highlight w:val="none"/>
              </w:rPr>
              <w:t>合计（元）</w:t>
            </w:r>
          </w:p>
        </w:tc>
        <w:tc>
          <w:tcPr>
            <w:tcW w:w="773" w:type="pct"/>
          </w:tcPr>
          <w:p w14:paraId="73E22B58">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773" w:type="pct"/>
          </w:tcPr>
          <w:p w14:paraId="64C1FBC9">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B8DF42E">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4" w:type="pct"/>
          </w:tcPr>
          <w:p w14:paraId="7D8D10AC">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00A9C05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551" w:type="pct"/>
          </w:tcPr>
          <w:p w14:paraId="72C3588D">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c>
          <w:tcPr>
            <w:tcW w:w="393" w:type="pct"/>
          </w:tcPr>
          <w:p w14:paraId="10ED4A61">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4"/>
                <w:szCs w:val="20"/>
                <w:highlight w:val="none"/>
              </w:rPr>
            </w:pPr>
          </w:p>
        </w:tc>
      </w:tr>
    </w:tbl>
    <w:p w14:paraId="5E396D59">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639E1F59">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6D1D5E60">
      <w:pPr>
        <w:adjustRightInd w:val="0"/>
        <w:snapToGrid w:val="0"/>
        <w:spacing w:line="360" w:lineRule="auto"/>
        <w:rPr>
          <w:rFonts w:asciiTheme="minorEastAsia" w:hAnsiTheme="minorEastAsia" w:eastAsiaTheme="minorEastAsia"/>
          <w:b/>
          <w:bCs/>
          <w:color w:val="auto"/>
          <w:sz w:val="24"/>
          <w:szCs w:val="28"/>
          <w:highlight w:val="none"/>
        </w:rPr>
      </w:pPr>
    </w:p>
    <w:p w14:paraId="170A64C4">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2C2225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6C34230">
      <w:pPr>
        <w:spacing w:line="360" w:lineRule="auto"/>
        <w:ind w:firstLine="435"/>
      </w:pPr>
      <w:r>
        <w:rPr>
          <w:rFonts w:hint="eastAsia" w:asciiTheme="minorEastAsia" w:hAnsiTheme="minorEastAsia" w:eastAsia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6D73D63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D5F82F3">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89" w:name="_Toc11940"/>
      <w:bookmarkStart w:id="90" w:name="_Toc20329"/>
      <w:bookmarkStart w:id="91" w:name="_Toc17934"/>
      <w:r>
        <w:rPr>
          <w:rFonts w:hint="eastAsia" w:asciiTheme="minorEastAsia" w:hAnsiTheme="minorEastAsia" w:eastAsiaTheme="minorEastAsia"/>
          <w:b/>
          <w:color w:val="auto"/>
          <w:sz w:val="24"/>
          <w:highlight w:val="none"/>
        </w:rPr>
        <w:t>六、投标响应表</w:t>
      </w:r>
      <w:bookmarkEnd w:id="89"/>
      <w:bookmarkEnd w:id="90"/>
      <w:bookmarkEnd w:id="91"/>
    </w:p>
    <w:p w14:paraId="2E933C9A">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240"/>
        <w:gridCol w:w="2920"/>
        <w:gridCol w:w="3010"/>
        <w:gridCol w:w="947"/>
      </w:tblGrid>
      <w:tr w14:paraId="5331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2B7E423">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9767D17">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2552A9E">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D8473F5">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30F41634">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588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20AF77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1</w:t>
            </w:r>
          </w:p>
        </w:tc>
        <w:tc>
          <w:tcPr>
            <w:tcW w:w="1124" w:type="pct"/>
            <w:vAlign w:val="center"/>
          </w:tcPr>
          <w:p w14:paraId="2D3E3E3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Theme="minorEastAsia" w:hAnsiTheme="minorEastAsia" w:eastAsiaTheme="minorEastAsia"/>
                <w:color w:val="auto"/>
                <w:sz w:val="24"/>
                <w:szCs w:val="20"/>
                <w:highlight w:val="none"/>
              </w:rPr>
              <w:t>付款方式</w:t>
            </w:r>
          </w:p>
        </w:tc>
        <w:tc>
          <w:tcPr>
            <w:tcW w:w="1465" w:type="pct"/>
            <w:vAlign w:val="center"/>
          </w:tcPr>
          <w:p w14:paraId="0F70D25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03BF8E0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763671A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2E04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A585D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124" w:type="pct"/>
            <w:vAlign w:val="center"/>
          </w:tcPr>
          <w:p w14:paraId="6F5D96F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62A9306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7956403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1994AD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0691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083FE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1124" w:type="pct"/>
            <w:vAlign w:val="center"/>
          </w:tcPr>
          <w:p w14:paraId="299C28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04B1D67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3721E609">
            <w:pPr>
              <w:pStyle w:val="3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475" w:type="pct"/>
            <w:vAlign w:val="center"/>
          </w:tcPr>
          <w:p w14:paraId="199E47D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6A31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1B121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124" w:type="pct"/>
            <w:vAlign w:val="center"/>
          </w:tcPr>
          <w:p w14:paraId="6C6A1A0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50C661D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5AAEE76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7308C2C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7AE0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52B4D5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1124" w:type="pct"/>
            <w:vAlign w:val="center"/>
          </w:tcPr>
          <w:p w14:paraId="16E94BB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37A972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118CD76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0A52510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44FAAB83">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823"/>
        <w:gridCol w:w="3348"/>
        <w:gridCol w:w="2902"/>
        <w:gridCol w:w="1000"/>
      </w:tblGrid>
      <w:tr w14:paraId="375F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F3BDF0D">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4F88A78F">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68EC7F55">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0BBE0722">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5B6EC772">
            <w:pPr>
              <w:pStyle w:val="12"/>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68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ED8445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915" w:type="pct"/>
            <w:vAlign w:val="center"/>
          </w:tcPr>
          <w:p w14:paraId="689A6AD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680" w:type="pct"/>
            <w:vAlign w:val="center"/>
          </w:tcPr>
          <w:p w14:paraId="1D9F86D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456" w:type="pct"/>
            <w:vAlign w:val="center"/>
          </w:tcPr>
          <w:p w14:paraId="7427889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502" w:type="pct"/>
            <w:vAlign w:val="center"/>
          </w:tcPr>
          <w:p w14:paraId="67C321D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36D7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C117C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915" w:type="pct"/>
            <w:vAlign w:val="center"/>
          </w:tcPr>
          <w:p w14:paraId="7F19CC5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680" w:type="pct"/>
            <w:vAlign w:val="center"/>
          </w:tcPr>
          <w:p w14:paraId="6CC0087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456" w:type="pct"/>
            <w:vAlign w:val="center"/>
          </w:tcPr>
          <w:p w14:paraId="4725D06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502" w:type="pct"/>
            <w:vAlign w:val="center"/>
          </w:tcPr>
          <w:p w14:paraId="38A6076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637C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7839E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915" w:type="pct"/>
            <w:vAlign w:val="center"/>
          </w:tcPr>
          <w:p w14:paraId="4190F65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680" w:type="pct"/>
            <w:vAlign w:val="center"/>
          </w:tcPr>
          <w:p w14:paraId="2AD2FC8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456" w:type="pct"/>
            <w:vAlign w:val="center"/>
          </w:tcPr>
          <w:p w14:paraId="6B6418C5">
            <w:pPr>
              <w:pStyle w:val="3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502" w:type="pct"/>
            <w:vAlign w:val="center"/>
          </w:tcPr>
          <w:p w14:paraId="2230E06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51EB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63067B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915" w:type="pct"/>
            <w:vAlign w:val="center"/>
          </w:tcPr>
          <w:p w14:paraId="161222F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680" w:type="pct"/>
            <w:vAlign w:val="center"/>
          </w:tcPr>
          <w:p w14:paraId="2D6CA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456" w:type="pct"/>
            <w:vAlign w:val="center"/>
          </w:tcPr>
          <w:p w14:paraId="00DD77FA">
            <w:pPr>
              <w:pStyle w:val="3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502" w:type="pct"/>
            <w:vAlign w:val="center"/>
          </w:tcPr>
          <w:p w14:paraId="0F2EB33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37C3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827D8F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915" w:type="pct"/>
            <w:vAlign w:val="center"/>
          </w:tcPr>
          <w:p w14:paraId="3AF4D0A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680" w:type="pct"/>
            <w:vAlign w:val="center"/>
          </w:tcPr>
          <w:p w14:paraId="79C04D3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456" w:type="pct"/>
            <w:vAlign w:val="center"/>
          </w:tcPr>
          <w:p w14:paraId="73DF306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502" w:type="pct"/>
            <w:vAlign w:val="center"/>
          </w:tcPr>
          <w:p w14:paraId="3091EED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19024996">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64B0FF7F">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47293F9D">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2A8BD9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92" w:name="_Toc13103"/>
      <w:bookmarkStart w:id="93" w:name="_Toc31244"/>
      <w:bookmarkStart w:id="94" w:name="_Toc9573"/>
      <w:bookmarkStart w:id="95" w:name="OLE_LINK14"/>
      <w:bookmarkStart w:id="96" w:name="OLE_LINK13"/>
      <w:r>
        <w:rPr>
          <w:rFonts w:hint="eastAsia" w:asciiTheme="minorEastAsia" w:hAnsiTheme="minorEastAsia" w:eastAsiaTheme="minorEastAsia"/>
          <w:b/>
          <w:color w:val="auto"/>
          <w:sz w:val="24"/>
          <w:highlight w:val="none"/>
          <w:lang w:val="en-US" w:eastAsia="zh-CN"/>
        </w:rPr>
        <w:t>七、中小企业声明函</w:t>
      </w:r>
      <w:bookmarkEnd w:id="92"/>
      <w:bookmarkEnd w:id="93"/>
      <w:bookmarkEnd w:id="94"/>
    </w:p>
    <w:p w14:paraId="29681DE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6C4B43C9">
      <w:pPr>
        <w:rPr>
          <w:rFonts w:asciiTheme="minorEastAsia" w:hAnsiTheme="minorEastAsia" w:eastAsiaTheme="minorEastAsia"/>
          <w:color w:val="auto"/>
          <w:sz w:val="24"/>
          <w:szCs w:val="24"/>
          <w:highlight w:val="none"/>
        </w:rPr>
      </w:pPr>
    </w:p>
    <w:p w14:paraId="414C773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CA4551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ED85A2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CEF948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C8DFDB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2F6BCAB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5108B83D">
      <w:pPr>
        <w:spacing w:line="360" w:lineRule="auto"/>
        <w:ind w:firstLine="435"/>
        <w:rPr>
          <w:rFonts w:asciiTheme="minorEastAsia" w:hAnsiTheme="minorEastAsia" w:eastAsiaTheme="minorEastAsia"/>
          <w:color w:val="auto"/>
          <w:sz w:val="24"/>
          <w:szCs w:val="24"/>
          <w:highlight w:val="none"/>
        </w:rPr>
      </w:pPr>
    </w:p>
    <w:p w14:paraId="4E4400D8">
      <w:pPr>
        <w:spacing w:line="360" w:lineRule="auto"/>
        <w:ind w:firstLine="435"/>
        <w:rPr>
          <w:rFonts w:asciiTheme="minorEastAsia" w:hAnsiTheme="minorEastAsia" w:eastAsiaTheme="minorEastAsia"/>
          <w:color w:val="auto"/>
          <w:sz w:val="24"/>
          <w:szCs w:val="24"/>
          <w:highlight w:val="none"/>
        </w:rPr>
      </w:pPr>
    </w:p>
    <w:p w14:paraId="519E47EA">
      <w:pPr>
        <w:spacing w:line="360" w:lineRule="auto"/>
        <w:ind w:firstLine="5040" w:firstLineChars="21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4060BA3F">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2436259F">
      <w:pPr>
        <w:tabs>
          <w:tab w:val="left" w:pos="4620"/>
        </w:tabs>
        <w:spacing w:line="360" w:lineRule="auto"/>
        <w:jc w:val="left"/>
        <w:rPr>
          <w:rFonts w:asciiTheme="minorEastAsia" w:hAnsiTheme="minorEastAsia" w:eastAsiaTheme="minorEastAsia"/>
          <w:color w:val="auto"/>
          <w:sz w:val="24"/>
          <w:szCs w:val="24"/>
          <w:highlight w:val="none"/>
        </w:rPr>
      </w:pPr>
    </w:p>
    <w:p w14:paraId="6ABE3263">
      <w:pPr>
        <w:tabs>
          <w:tab w:val="left" w:pos="4620"/>
        </w:tabs>
        <w:spacing w:line="360" w:lineRule="auto"/>
        <w:jc w:val="left"/>
        <w:rPr>
          <w:rFonts w:asciiTheme="minorEastAsia" w:hAnsiTheme="minorEastAsia" w:eastAsiaTheme="minorEastAsia"/>
          <w:color w:val="auto"/>
          <w:sz w:val="24"/>
          <w:szCs w:val="24"/>
          <w:highlight w:val="none"/>
        </w:rPr>
      </w:pPr>
    </w:p>
    <w:p w14:paraId="554C1CFB">
      <w:pPr>
        <w:tabs>
          <w:tab w:val="left" w:pos="4620"/>
        </w:tabs>
        <w:spacing w:line="360" w:lineRule="auto"/>
        <w:jc w:val="left"/>
        <w:rPr>
          <w:rFonts w:asciiTheme="minorEastAsia" w:hAnsiTheme="minorEastAsia" w:eastAsiaTheme="minorEastAsia"/>
          <w:color w:val="auto"/>
          <w:sz w:val="24"/>
          <w:szCs w:val="24"/>
          <w:highlight w:val="none"/>
        </w:rPr>
      </w:pPr>
    </w:p>
    <w:p w14:paraId="7CF20756">
      <w:pPr>
        <w:tabs>
          <w:tab w:val="left" w:pos="4620"/>
        </w:tabs>
        <w:spacing w:line="360" w:lineRule="auto"/>
        <w:jc w:val="left"/>
        <w:rPr>
          <w:rFonts w:asciiTheme="minorEastAsia" w:hAnsiTheme="minorEastAsia" w:eastAsiaTheme="minorEastAsia"/>
          <w:color w:val="auto"/>
          <w:sz w:val="24"/>
          <w:szCs w:val="24"/>
          <w:highlight w:val="none"/>
        </w:rPr>
      </w:pPr>
    </w:p>
    <w:p w14:paraId="2D885F03">
      <w:pPr>
        <w:tabs>
          <w:tab w:val="left" w:pos="4620"/>
        </w:tabs>
        <w:spacing w:line="360" w:lineRule="auto"/>
        <w:jc w:val="left"/>
        <w:rPr>
          <w:rFonts w:asciiTheme="minorEastAsia" w:hAnsiTheme="minorEastAsia" w:eastAsiaTheme="minorEastAsia"/>
          <w:color w:val="auto"/>
          <w:sz w:val="24"/>
          <w:szCs w:val="24"/>
          <w:highlight w:val="none"/>
        </w:rPr>
      </w:pPr>
    </w:p>
    <w:p w14:paraId="58483AB6">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63386499">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162AA1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702EDEA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33052036">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3D93D9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B8B6B37">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95"/>
      <w:bookmarkEnd w:id="96"/>
    </w:p>
    <w:p w14:paraId="5196F6F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97" w:name="_Toc24563"/>
      <w:bookmarkStart w:id="98" w:name="_Toc31847"/>
      <w:bookmarkStart w:id="99" w:name="_Toc16713"/>
      <w:r>
        <w:rPr>
          <w:rFonts w:hint="eastAsia" w:asciiTheme="minorEastAsia" w:hAnsiTheme="minorEastAsia" w:eastAsiaTheme="minorEastAsia"/>
          <w:b/>
          <w:color w:val="auto"/>
          <w:sz w:val="24"/>
          <w:highlight w:val="none"/>
          <w:lang w:val="en-US" w:eastAsia="zh-CN"/>
        </w:rPr>
        <w:t>八、残疾人福利性单位声明函</w:t>
      </w:r>
      <w:bookmarkEnd w:id="97"/>
      <w:bookmarkEnd w:id="98"/>
      <w:bookmarkEnd w:id="99"/>
    </w:p>
    <w:p w14:paraId="491F189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541E642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982A59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615A17F9">
      <w:pPr>
        <w:spacing w:line="360" w:lineRule="auto"/>
        <w:ind w:firstLine="4228" w:firstLineChars="1762"/>
        <w:rPr>
          <w:rFonts w:asciiTheme="minorEastAsia" w:hAnsiTheme="minorEastAsia" w:eastAsiaTheme="minorEastAsia"/>
          <w:color w:val="auto"/>
          <w:sz w:val="24"/>
          <w:szCs w:val="24"/>
          <w:highlight w:val="none"/>
        </w:rPr>
      </w:pPr>
    </w:p>
    <w:p w14:paraId="4B73B655">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34C37B5F">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4F8E0C0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F083A77">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00" w:name="_Toc457768004"/>
      <w:bookmarkStart w:id="101" w:name="_Toc300210382"/>
      <w:bookmarkStart w:id="102" w:name="_Toc520299348"/>
      <w:bookmarkStart w:id="103" w:name="_Toc19560"/>
      <w:bookmarkStart w:id="104" w:name="_Toc25813"/>
      <w:bookmarkStart w:id="105" w:name="_Toc26536"/>
      <w:bookmarkStart w:id="106" w:name="_Hlk11701496"/>
      <w:r>
        <w:rPr>
          <w:rFonts w:hint="eastAsia" w:asciiTheme="minorEastAsia" w:hAnsiTheme="minorEastAsia" w:eastAsiaTheme="minorEastAsia"/>
          <w:b/>
          <w:color w:val="auto"/>
          <w:sz w:val="24"/>
          <w:highlight w:val="none"/>
          <w:lang w:val="en-US" w:eastAsia="zh-CN"/>
        </w:rPr>
        <w:t>九、</w:t>
      </w:r>
      <w:bookmarkEnd w:id="100"/>
      <w:bookmarkEnd w:id="101"/>
      <w:bookmarkEnd w:id="102"/>
      <w:r>
        <w:rPr>
          <w:rFonts w:hint="eastAsia" w:asciiTheme="minorEastAsia" w:hAnsiTheme="minorEastAsia" w:eastAsiaTheme="minorEastAsia"/>
          <w:b/>
          <w:color w:val="auto"/>
          <w:sz w:val="24"/>
          <w:highlight w:val="none"/>
          <w:lang w:val="en-US" w:eastAsia="zh-CN"/>
        </w:rPr>
        <w:t>诚信履约承诺函</w:t>
      </w:r>
      <w:bookmarkEnd w:id="103"/>
      <w:bookmarkEnd w:id="104"/>
      <w:bookmarkEnd w:id="105"/>
    </w:p>
    <w:p w14:paraId="29ADF9F3">
      <w:pPr>
        <w:spacing w:line="360" w:lineRule="auto"/>
        <w:rPr>
          <w:rFonts w:asciiTheme="minorEastAsia" w:hAnsiTheme="minorEastAsia" w:eastAsiaTheme="minorEastAsia"/>
          <w:b/>
          <w:bCs/>
          <w:color w:val="auto"/>
          <w:sz w:val="24"/>
          <w:highlight w:val="none"/>
        </w:rPr>
      </w:pPr>
    </w:p>
    <w:p w14:paraId="0D7215CE">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1F7075A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F0DEE6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13DBC8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748C164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3F359BB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9A079E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3AE6AE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0747619">
      <w:pPr>
        <w:spacing w:line="360" w:lineRule="auto"/>
        <w:rPr>
          <w:rFonts w:asciiTheme="minorEastAsia" w:hAnsiTheme="minorEastAsia" w:eastAsiaTheme="minorEastAsia"/>
          <w:bCs/>
          <w:color w:val="auto"/>
          <w:sz w:val="24"/>
          <w:highlight w:val="none"/>
        </w:rPr>
      </w:pPr>
    </w:p>
    <w:p w14:paraId="26FAD8BD">
      <w:pPr>
        <w:spacing w:line="360" w:lineRule="auto"/>
        <w:rPr>
          <w:rFonts w:asciiTheme="minorEastAsia" w:hAnsiTheme="minorEastAsia" w:eastAsiaTheme="minorEastAsia"/>
          <w:bCs/>
          <w:color w:val="auto"/>
          <w:sz w:val="24"/>
          <w:highlight w:val="none"/>
        </w:rPr>
      </w:pPr>
    </w:p>
    <w:p w14:paraId="27DAC5E2">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7F98D155">
      <w:pPr>
        <w:spacing w:line="360" w:lineRule="auto"/>
        <w:ind w:firstLine="435"/>
        <w:jc w:val="center"/>
        <w:rPr>
          <w:rFonts w:ascii="宋体" w:hAnsi="宋体" w:eastAsia="宋体"/>
          <w:color w:val="auto"/>
          <w:sz w:val="24"/>
          <w:szCs w:val="28"/>
          <w:highlight w:val="none"/>
        </w:rPr>
      </w:pPr>
      <w:r>
        <w:rPr>
          <w:rFonts w:hint="eastAsia" w:ascii="宋体" w:hAnsi="宋体" w:eastAsia="宋体" w:cs="宋体"/>
          <w:bCs/>
          <w:sz w:val="24"/>
          <w:lang w:val="en-US" w:eastAsia="zh-CN"/>
        </w:rPr>
        <w:t xml:space="preserve">                    </w:t>
      </w:r>
      <w:r>
        <w:rPr>
          <w:rFonts w:hint="eastAsia" w:ascii="宋体" w:hAnsi="宋体" w:eastAsia="宋体" w:cs="宋体"/>
          <w:bCs/>
          <w:sz w:val="24"/>
        </w:rPr>
        <w:t>日  期：</w:t>
      </w:r>
      <w:r>
        <w:rPr>
          <w:rFonts w:hint="eastAsia" w:ascii="宋体" w:hAnsi="宋体" w:eastAsia="宋体" w:cs="宋体"/>
          <w:bCs/>
          <w:sz w:val="24"/>
          <w:u w:val="single"/>
        </w:rPr>
        <w:t xml:space="preserve">             </w:t>
      </w:r>
      <w:r>
        <w:rPr>
          <w:rFonts w:hint="eastAsia" w:ascii="宋体" w:hAnsi="宋体" w:eastAsia="宋体"/>
          <w:b/>
          <w:bCs/>
          <w:color w:val="auto"/>
          <w:sz w:val="24"/>
          <w:szCs w:val="28"/>
          <w:highlight w:val="none"/>
          <w:u w:val="single"/>
        </w:rPr>
        <w:t xml:space="preserve">      </w:t>
      </w:r>
    </w:p>
    <w:p w14:paraId="3229733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38EED9C2">
      <w:pPr>
        <w:spacing w:line="360" w:lineRule="auto"/>
        <w:jc w:val="center"/>
        <w:rPr>
          <w:rFonts w:hint="eastAsia" w:ascii="宋体" w:hAnsi="宋体" w:eastAsia="宋体" w:cs="宋体"/>
          <w:b/>
          <w:bCs/>
          <w:sz w:val="28"/>
          <w:szCs w:val="21"/>
        </w:rPr>
      </w:pPr>
      <w:r>
        <w:rPr>
          <w:rFonts w:hint="eastAsia" w:ascii="宋体" w:hAnsi="宋体" w:eastAsia="宋体" w:cs="宋体"/>
          <w:b/>
          <w:sz w:val="24"/>
        </w:rPr>
        <w:t>十、</w:t>
      </w:r>
      <w:r>
        <w:rPr>
          <w:rFonts w:hint="eastAsia" w:ascii="宋体" w:hAnsi="宋体" w:eastAsia="宋体" w:cs="宋体"/>
          <w:b/>
          <w:bCs/>
          <w:sz w:val="28"/>
          <w:szCs w:val="21"/>
        </w:rPr>
        <w:t>承诺函</w:t>
      </w:r>
    </w:p>
    <w:p w14:paraId="19C61225">
      <w:pPr>
        <w:spacing w:line="360" w:lineRule="auto"/>
        <w:jc w:val="center"/>
        <w:rPr>
          <w:rFonts w:hint="eastAsia" w:ascii="宋体" w:hAnsi="宋体" w:eastAsia="宋体" w:cs="宋体"/>
          <w:b w:val="0"/>
          <w:bCs w:val="0"/>
          <w:i/>
          <w:iCs/>
          <w:sz w:val="24"/>
        </w:rPr>
      </w:pPr>
      <w:r>
        <w:rPr>
          <w:rFonts w:hint="eastAsia" w:ascii="宋体" w:hAnsi="宋体" w:eastAsia="宋体" w:cs="宋体"/>
          <w:b w:val="0"/>
          <w:bCs w:val="0"/>
          <w:i/>
          <w:iCs/>
          <w:sz w:val="24"/>
        </w:rPr>
        <w:t>(投标人可自行制作格式)</w:t>
      </w:r>
    </w:p>
    <w:p w14:paraId="39D83580">
      <w:pPr>
        <w:spacing w:line="360" w:lineRule="auto"/>
        <w:rPr>
          <w:rFonts w:hint="eastAsia" w:ascii="宋体" w:hAnsi="宋体" w:eastAsia="宋体" w:cs="宋体"/>
          <w:b/>
          <w:bCs/>
          <w:sz w:val="24"/>
        </w:rPr>
      </w:pPr>
    </w:p>
    <w:p w14:paraId="3A162934">
      <w:pPr>
        <w:spacing w:line="360" w:lineRule="auto"/>
        <w:rPr>
          <w:rFonts w:hint="eastAsia" w:ascii="宋体" w:hAnsi="宋体" w:eastAsia="宋体" w:cs="宋体"/>
          <w:b/>
          <w:bCs/>
          <w:sz w:val="24"/>
        </w:rPr>
      </w:pPr>
      <w:r>
        <w:rPr>
          <w:rFonts w:hint="eastAsia" w:ascii="宋体" w:hAnsi="宋体" w:eastAsia="宋体" w:cs="宋体"/>
          <w:b/>
          <w:bCs/>
          <w:sz w:val="24"/>
        </w:rPr>
        <w:t>致：安徽交通职业技术学院</w:t>
      </w:r>
    </w:p>
    <w:p w14:paraId="3C697E22">
      <w:pPr>
        <w:spacing w:line="360" w:lineRule="auto"/>
        <w:ind w:firstLine="435"/>
        <w:jc w:val="center"/>
        <w:rPr>
          <w:rFonts w:hint="eastAsia" w:ascii="宋体" w:hAnsi="宋体" w:eastAsia="宋体" w:cs="宋体"/>
          <w:sz w:val="24"/>
        </w:rPr>
      </w:pPr>
    </w:p>
    <w:p w14:paraId="64968591">
      <w:pPr>
        <w:spacing w:line="360" w:lineRule="auto"/>
        <w:jc w:val="left"/>
        <w:rPr>
          <w:rFonts w:hint="eastAsia" w:ascii="宋体" w:hAnsi="宋体" w:eastAsia="宋体" w:cs="宋体"/>
          <w:sz w:val="24"/>
          <w:lang w:eastAsia="zh-CN"/>
        </w:rPr>
      </w:pPr>
      <w:r>
        <w:rPr>
          <w:rFonts w:hint="eastAsia" w:ascii="宋体" w:hAnsi="宋体" w:eastAsia="宋体" w:cs="宋体"/>
          <w:sz w:val="24"/>
        </w:rPr>
        <w:t>我单位承诺</w:t>
      </w:r>
      <w:r>
        <w:rPr>
          <w:rFonts w:hint="eastAsia" w:ascii="宋体" w:hAnsi="宋体" w:eastAsia="宋体" w:cs="宋体"/>
          <w:sz w:val="24"/>
          <w:lang w:eastAsia="zh-CN"/>
        </w:rPr>
        <w:t>：</w:t>
      </w:r>
    </w:p>
    <w:p w14:paraId="7684D22B">
      <w:pPr>
        <w:spacing w:line="360" w:lineRule="auto"/>
        <w:ind w:firstLine="736" w:firstLineChars="307"/>
        <w:jc w:val="left"/>
        <w:rPr>
          <w:rFonts w:hint="eastAsia" w:ascii="宋体" w:hAnsi="宋体" w:eastAsia="宋体" w:cs="宋体"/>
          <w:sz w:val="24"/>
        </w:rPr>
      </w:pPr>
      <w:r>
        <w:rPr>
          <w:rFonts w:hint="eastAsia" w:ascii="宋体" w:hAnsi="宋体" w:eastAsia="宋体" w:cs="宋体"/>
          <w:sz w:val="24"/>
          <w:lang w:val="en-US" w:eastAsia="zh-CN"/>
        </w:rPr>
        <w:t>承诺</w:t>
      </w:r>
      <w:r>
        <w:rPr>
          <w:rFonts w:hint="eastAsia" w:ascii="宋体" w:hAnsi="宋体" w:eastAsia="宋体" w:cs="宋体"/>
          <w:sz w:val="24"/>
        </w:rPr>
        <w:t>采购需求中无标识项技术参数及要求完全满足采购文件要求，如履约验收期间所投产品及服务不满足采购文件要求，采购人有权追究违约责任，中标人承担由此产生的一切后果及责任。</w:t>
      </w:r>
    </w:p>
    <w:p w14:paraId="61307030">
      <w:pPr>
        <w:spacing w:line="360" w:lineRule="auto"/>
        <w:ind w:firstLine="435"/>
        <w:jc w:val="center"/>
        <w:rPr>
          <w:rFonts w:hint="eastAsia" w:ascii="宋体" w:hAnsi="宋体" w:eastAsia="宋体" w:cs="宋体"/>
          <w:sz w:val="24"/>
        </w:rPr>
      </w:pPr>
    </w:p>
    <w:p w14:paraId="25337B91">
      <w:pPr>
        <w:spacing w:line="360" w:lineRule="auto"/>
        <w:ind w:firstLine="435"/>
        <w:jc w:val="center"/>
        <w:rPr>
          <w:rFonts w:hint="eastAsia" w:ascii="宋体" w:hAnsi="宋体" w:eastAsia="宋体" w:cs="宋体"/>
          <w:sz w:val="24"/>
        </w:rPr>
      </w:pPr>
    </w:p>
    <w:p w14:paraId="672711CE">
      <w:pPr>
        <w:spacing w:line="360" w:lineRule="auto"/>
        <w:ind w:firstLine="5520" w:firstLineChars="2300"/>
        <w:rPr>
          <w:rFonts w:hint="eastAsia" w:ascii="宋体" w:hAnsi="宋体" w:eastAsia="宋体" w:cs="宋体"/>
          <w:bCs/>
          <w:sz w:val="24"/>
          <w:u w:val="single"/>
        </w:rPr>
      </w:pPr>
      <w:r>
        <w:rPr>
          <w:rFonts w:hint="eastAsia" w:ascii="宋体" w:hAnsi="宋体" w:eastAsia="宋体" w:cs="宋体"/>
          <w:bCs/>
          <w:sz w:val="24"/>
        </w:rPr>
        <w:t>投标人：</w:t>
      </w:r>
      <w:r>
        <w:rPr>
          <w:rFonts w:hint="eastAsia" w:ascii="宋体" w:hAnsi="宋体" w:eastAsia="宋体" w:cs="宋体"/>
          <w:bCs/>
          <w:sz w:val="24"/>
          <w:u w:val="single"/>
        </w:rPr>
        <w:t xml:space="preserve">     （盖章）        </w:t>
      </w:r>
    </w:p>
    <w:p w14:paraId="1EBB031E">
      <w:pPr>
        <w:spacing w:line="360" w:lineRule="auto"/>
        <w:ind w:firstLine="5520" w:firstLineChars="2300"/>
        <w:rPr>
          <w:rFonts w:hint="eastAsia" w:ascii="宋体" w:hAnsi="宋体" w:eastAsia="宋体" w:cs="宋体"/>
          <w:bCs/>
          <w:sz w:val="24"/>
        </w:rPr>
      </w:pPr>
      <w:r>
        <w:rPr>
          <w:rFonts w:hint="eastAsia" w:ascii="宋体" w:hAnsi="宋体" w:eastAsia="宋体" w:cs="宋体"/>
          <w:bCs/>
          <w:sz w:val="24"/>
        </w:rPr>
        <w:t>日  期：</w:t>
      </w:r>
      <w:r>
        <w:rPr>
          <w:rFonts w:hint="eastAsia" w:ascii="宋体" w:hAnsi="宋体" w:eastAsia="宋体" w:cs="宋体"/>
          <w:bCs/>
          <w:sz w:val="24"/>
          <w:u w:val="single"/>
        </w:rPr>
        <w:t xml:space="preserve">             </w:t>
      </w:r>
    </w:p>
    <w:p w14:paraId="34FC63F6">
      <w:pPr>
        <w:pStyle w:val="9"/>
        <w:rPr>
          <w:rFonts w:ascii="宋体" w:hAnsi="宋体" w:eastAsia="宋体" w:cs="Arial"/>
          <w:color w:val="auto"/>
          <w:sz w:val="24"/>
          <w:highlight w:val="none"/>
        </w:rPr>
      </w:pPr>
    </w:p>
    <w:p w14:paraId="10CF6989">
      <w:pPr>
        <w:pStyle w:val="9"/>
        <w:rPr>
          <w:rFonts w:ascii="宋体" w:hAnsi="宋体" w:eastAsia="宋体" w:cs="Arial"/>
          <w:color w:val="auto"/>
          <w:sz w:val="24"/>
          <w:highlight w:val="none"/>
        </w:rPr>
      </w:pPr>
    </w:p>
    <w:p w14:paraId="54A1B221">
      <w:pPr>
        <w:pStyle w:val="9"/>
        <w:rPr>
          <w:rFonts w:ascii="宋体" w:hAnsi="宋体" w:eastAsia="宋体" w:cs="Arial"/>
          <w:color w:val="auto"/>
          <w:sz w:val="24"/>
          <w:highlight w:val="none"/>
        </w:rPr>
      </w:pPr>
    </w:p>
    <w:p w14:paraId="0650BE1B">
      <w:pPr>
        <w:pStyle w:val="9"/>
        <w:rPr>
          <w:rFonts w:ascii="宋体" w:hAnsi="宋体" w:eastAsia="宋体" w:cs="Arial"/>
          <w:color w:val="auto"/>
          <w:sz w:val="24"/>
          <w:highlight w:val="none"/>
        </w:rPr>
      </w:pPr>
    </w:p>
    <w:p w14:paraId="7B8B15E4">
      <w:pPr>
        <w:pStyle w:val="9"/>
        <w:rPr>
          <w:rFonts w:ascii="宋体" w:hAnsi="宋体" w:eastAsia="宋体" w:cs="Arial"/>
          <w:color w:val="auto"/>
          <w:sz w:val="24"/>
          <w:highlight w:val="none"/>
        </w:rPr>
      </w:pPr>
    </w:p>
    <w:p w14:paraId="5C4D6B04">
      <w:pPr>
        <w:pStyle w:val="9"/>
        <w:rPr>
          <w:rFonts w:ascii="宋体" w:hAnsi="宋体" w:eastAsia="宋体" w:cs="Arial"/>
          <w:color w:val="auto"/>
          <w:sz w:val="24"/>
          <w:highlight w:val="none"/>
        </w:rPr>
      </w:pPr>
    </w:p>
    <w:p w14:paraId="6810ACE0">
      <w:pPr>
        <w:pStyle w:val="9"/>
        <w:rPr>
          <w:rFonts w:ascii="宋体" w:hAnsi="宋体" w:eastAsia="宋体" w:cs="Arial"/>
          <w:color w:val="auto"/>
          <w:sz w:val="24"/>
          <w:highlight w:val="none"/>
        </w:rPr>
      </w:pPr>
    </w:p>
    <w:p w14:paraId="3776461F">
      <w:pPr>
        <w:pStyle w:val="9"/>
        <w:rPr>
          <w:rFonts w:ascii="宋体" w:hAnsi="宋体" w:eastAsia="宋体" w:cs="Arial"/>
          <w:color w:val="auto"/>
          <w:sz w:val="24"/>
          <w:highlight w:val="none"/>
        </w:rPr>
      </w:pPr>
    </w:p>
    <w:p w14:paraId="5EB05808">
      <w:pPr>
        <w:pStyle w:val="9"/>
        <w:rPr>
          <w:rFonts w:ascii="宋体" w:hAnsi="宋体" w:eastAsia="宋体" w:cs="Arial"/>
          <w:color w:val="auto"/>
          <w:sz w:val="24"/>
          <w:highlight w:val="none"/>
        </w:rPr>
      </w:pPr>
    </w:p>
    <w:p w14:paraId="0F447A5E">
      <w:pPr>
        <w:pStyle w:val="9"/>
        <w:rPr>
          <w:rFonts w:ascii="宋体" w:hAnsi="宋体" w:eastAsia="宋体" w:cs="Arial"/>
          <w:color w:val="auto"/>
          <w:sz w:val="24"/>
          <w:highlight w:val="none"/>
        </w:rPr>
      </w:pPr>
    </w:p>
    <w:p w14:paraId="6B05F5B9">
      <w:pPr>
        <w:pStyle w:val="9"/>
        <w:rPr>
          <w:rFonts w:ascii="宋体" w:hAnsi="宋体" w:eastAsia="宋体" w:cs="Arial"/>
          <w:color w:val="auto"/>
          <w:sz w:val="24"/>
          <w:highlight w:val="none"/>
        </w:rPr>
      </w:pPr>
    </w:p>
    <w:p w14:paraId="7639BE50">
      <w:pPr>
        <w:pStyle w:val="9"/>
        <w:rPr>
          <w:rFonts w:ascii="宋体" w:hAnsi="宋体" w:eastAsia="宋体" w:cs="Arial"/>
          <w:color w:val="auto"/>
          <w:sz w:val="24"/>
          <w:highlight w:val="none"/>
        </w:rPr>
      </w:pPr>
    </w:p>
    <w:p w14:paraId="25E398AD">
      <w:pPr>
        <w:pStyle w:val="9"/>
        <w:rPr>
          <w:rFonts w:ascii="宋体" w:hAnsi="宋体" w:eastAsia="宋体" w:cs="Arial"/>
          <w:color w:val="auto"/>
          <w:sz w:val="24"/>
          <w:highlight w:val="none"/>
        </w:rPr>
      </w:pPr>
    </w:p>
    <w:p w14:paraId="1F38C062">
      <w:pPr>
        <w:pStyle w:val="9"/>
        <w:rPr>
          <w:rFonts w:ascii="宋体" w:hAnsi="宋体" w:eastAsia="宋体" w:cs="Arial"/>
          <w:color w:val="auto"/>
          <w:sz w:val="24"/>
          <w:highlight w:val="none"/>
        </w:rPr>
      </w:pPr>
    </w:p>
    <w:p w14:paraId="0D8B0DC4">
      <w:pPr>
        <w:pStyle w:val="9"/>
        <w:rPr>
          <w:rFonts w:ascii="宋体" w:hAnsi="宋体" w:eastAsia="宋体" w:cs="Arial"/>
          <w:color w:val="auto"/>
          <w:sz w:val="24"/>
          <w:highlight w:val="none"/>
        </w:rPr>
      </w:pPr>
    </w:p>
    <w:p w14:paraId="069E92ED">
      <w:pPr>
        <w:pStyle w:val="9"/>
        <w:rPr>
          <w:rFonts w:ascii="宋体" w:hAnsi="宋体" w:eastAsia="宋体" w:cs="Arial"/>
          <w:color w:val="auto"/>
          <w:sz w:val="24"/>
          <w:highlight w:val="none"/>
        </w:rPr>
      </w:pPr>
    </w:p>
    <w:p w14:paraId="68D4005A">
      <w:pPr>
        <w:pStyle w:val="9"/>
        <w:rPr>
          <w:rFonts w:ascii="宋体" w:hAnsi="宋体" w:eastAsia="宋体" w:cs="Arial"/>
          <w:color w:val="auto"/>
          <w:sz w:val="24"/>
          <w:highlight w:val="none"/>
        </w:rPr>
      </w:pPr>
    </w:p>
    <w:p w14:paraId="0A0C9ECF">
      <w:pPr>
        <w:pStyle w:val="9"/>
        <w:rPr>
          <w:rFonts w:ascii="宋体" w:hAnsi="宋体" w:eastAsia="宋体" w:cs="Arial"/>
          <w:color w:val="auto"/>
          <w:sz w:val="24"/>
          <w:highlight w:val="none"/>
        </w:rPr>
      </w:pPr>
    </w:p>
    <w:bookmarkEnd w:id="106"/>
    <w:p w14:paraId="0A235F38">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07" w:name="_Toc32633"/>
      <w:bookmarkStart w:id="108" w:name="_Toc29140"/>
      <w:bookmarkStart w:id="109" w:name="_Toc2683"/>
      <w:r>
        <w:rPr>
          <w:rFonts w:hint="eastAsia" w:asciiTheme="minorEastAsia" w:hAnsiTheme="minorEastAsia" w:eastAsiaTheme="minorEastAsia"/>
          <w:b/>
          <w:color w:val="auto"/>
          <w:sz w:val="24"/>
          <w:highlight w:val="none"/>
          <w:lang w:val="en-US" w:eastAsia="zh-CN"/>
        </w:rPr>
        <w:t>十一、其他相关证明材料</w:t>
      </w:r>
      <w:bookmarkEnd w:id="107"/>
      <w:bookmarkEnd w:id="108"/>
      <w:bookmarkEnd w:id="109"/>
    </w:p>
    <w:p w14:paraId="524FF4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5BBFB346">
      <w:pPr>
        <w:spacing w:line="360" w:lineRule="auto"/>
        <w:ind w:firstLine="480" w:firstLineChars="200"/>
        <w:rPr>
          <w:rFonts w:asciiTheme="minorEastAsia" w:hAnsiTheme="minorEastAsia" w:eastAsiaTheme="minorEastAsia"/>
          <w:color w:val="auto"/>
          <w:sz w:val="24"/>
          <w:highlight w:val="none"/>
        </w:rPr>
      </w:pPr>
    </w:p>
    <w:p w14:paraId="404416B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3AF53B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w:t>
      </w:r>
    </w:p>
    <w:p w14:paraId="3841D03F">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13AF3FE3">
      <w:pPr>
        <w:spacing w:line="360" w:lineRule="auto"/>
        <w:jc w:val="center"/>
        <w:outlineLvl w:val="0"/>
        <w:rPr>
          <w:rFonts w:ascii="宋体" w:hAnsi="宋体" w:eastAsia="宋体"/>
          <w:b/>
          <w:bCs/>
          <w:color w:val="auto"/>
          <w:sz w:val="28"/>
          <w:highlight w:val="none"/>
        </w:rPr>
      </w:pPr>
      <w:bookmarkStart w:id="110" w:name="_Toc6435"/>
      <w:bookmarkStart w:id="111" w:name="_Toc14327"/>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10"/>
      <w:bookmarkEnd w:id="111"/>
    </w:p>
    <w:p w14:paraId="73B61215">
      <w:pPr>
        <w:spacing w:line="360" w:lineRule="auto"/>
        <w:jc w:val="center"/>
        <w:outlineLvl w:val="1"/>
        <w:rPr>
          <w:rFonts w:ascii="仿宋" w:hAnsi="仿宋" w:eastAsia="仿宋" w:cs="仿宋"/>
          <w:b/>
          <w:bCs/>
          <w:color w:val="auto"/>
          <w:sz w:val="32"/>
          <w:szCs w:val="44"/>
          <w:highlight w:val="none"/>
        </w:rPr>
      </w:pPr>
      <w:bookmarkStart w:id="112" w:name="_Toc27489"/>
      <w:bookmarkStart w:id="113" w:name="_Toc27159"/>
      <w:bookmarkStart w:id="114" w:name="_Toc7754"/>
      <w:r>
        <w:rPr>
          <w:rFonts w:hint="eastAsia" w:ascii="仿宋" w:hAnsi="仿宋" w:eastAsia="仿宋" w:cs="仿宋"/>
          <w:b/>
          <w:bCs/>
          <w:color w:val="auto"/>
          <w:sz w:val="32"/>
          <w:szCs w:val="44"/>
          <w:highlight w:val="none"/>
        </w:rPr>
        <w:t>询问函范本</w:t>
      </w:r>
      <w:bookmarkEnd w:id="112"/>
      <w:bookmarkEnd w:id="113"/>
      <w:bookmarkEnd w:id="114"/>
    </w:p>
    <w:p w14:paraId="2CE831AC">
      <w:pPr>
        <w:adjustRightInd w:val="0"/>
        <w:snapToGrid w:val="0"/>
        <w:spacing w:line="360" w:lineRule="auto"/>
        <w:rPr>
          <w:rFonts w:hint="eastAsia" w:cs="仿宋" w:asciiTheme="minorEastAsia" w:hAnsiTheme="minorEastAsia" w:eastAsiaTheme="minorEastAsia"/>
          <w:b/>
          <w:bCs/>
          <w:color w:val="auto"/>
          <w:sz w:val="24"/>
          <w:szCs w:val="24"/>
          <w:highlight w:val="none"/>
          <w:lang w:val="en-US" w:eastAsia="zh-CN"/>
        </w:rPr>
      </w:pPr>
    </w:p>
    <w:p w14:paraId="3AC22D12">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F62532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6B05866">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15" w:name="_Toc13899"/>
      <w:r>
        <w:rPr>
          <w:rFonts w:hint="eastAsia" w:cs="仿宋" w:asciiTheme="minorEastAsia" w:hAnsiTheme="minorEastAsia" w:eastAsiaTheme="minorEastAsia"/>
          <w:color w:val="auto"/>
          <w:sz w:val="24"/>
          <w:szCs w:val="24"/>
          <w:highlight w:val="none"/>
        </w:rPr>
        <w:t>一、(事项一)</w:t>
      </w:r>
      <w:bookmarkEnd w:id="115"/>
    </w:p>
    <w:p w14:paraId="5FEDC5E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E6CA1E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CB6C4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6D26C15">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16" w:name="_Toc3352"/>
      <w:r>
        <w:rPr>
          <w:rFonts w:hint="eastAsia" w:cs="仿宋" w:asciiTheme="minorEastAsia" w:hAnsiTheme="minorEastAsia" w:eastAsiaTheme="minorEastAsia"/>
          <w:color w:val="auto"/>
          <w:sz w:val="24"/>
          <w:szCs w:val="24"/>
          <w:highlight w:val="none"/>
        </w:rPr>
        <w:t>二、(事项二)</w:t>
      </w:r>
      <w:bookmarkEnd w:id="116"/>
    </w:p>
    <w:p w14:paraId="5D60C66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41D94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57BB91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F2197F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8A61033">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4EC5967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DB964F3">
      <w:pPr>
        <w:jc w:val="center"/>
        <w:outlineLvl w:val="1"/>
        <w:rPr>
          <w:rFonts w:ascii="仿宋" w:hAnsi="仿宋" w:eastAsia="仿宋" w:cs="仿宋"/>
          <w:b/>
          <w:bCs/>
          <w:color w:val="auto"/>
          <w:sz w:val="32"/>
          <w:szCs w:val="44"/>
          <w:highlight w:val="none"/>
        </w:rPr>
      </w:pPr>
      <w:bookmarkStart w:id="117" w:name="_Toc1575"/>
      <w:bookmarkStart w:id="118" w:name="_Toc3245"/>
      <w:bookmarkStart w:id="119" w:name="_Toc27978"/>
      <w:r>
        <w:rPr>
          <w:rFonts w:hint="eastAsia" w:ascii="仿宋" w:hAnsi="仿宋" w:eastAsia="仿宋" w:cs="仿宋"/>
          <w:b/>
          <w:bCs/>
          <w:color w:val="auto"/>
          <w:sz w:val="32"/>
          <w:szCs w:val="44"/>
          <w:highlight w:val="none"/>
        </w:rPr>
        <w:t>质疑函范本</w:t>
      </w:r>
      <w:bookmarkEnd w:id="117"/>
      <w:bookmarkEnd w:id="118"/>
      <w:bookmarkEnd w:id="119"/>
    </w:p>
    <w:p w14:paraId="7695CDC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20" w:name="_Toc21381"/>
      <w:r>
        <w:rPr>
          <w:rFonts w:hint="eastAsia" w:cs="仿宋" w:asciiTheme="minorEastAsia" w:hAnsiTheme="minorEastAsia" w:eastAsiaTheme="minorEastAsia"/>
          <w:b/>
          <w:bCs/>
          <w:color w:val="auto"/>
          <w:sz w:val="24"/>
          <w:szCs w:val="24"/>
          <w:highlight w:val="none"/>
        </w:rPr>
        <w:t>一、质疑供应商基本信息</w:t>
      </w:r>
      <w:bookmarkEnd w:id="120"/>
    </w:p>
    <w:p w14:paraId="55C97CD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AD086D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03D6B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5E4FD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50F82D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AD2BB1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890518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1" w:name="_Toc28415"/>
      <w:r>
        <w:rPr>
          <w:rFonts w:hint="eastAsia" w:cs="仿宋" w:asciiTheme="minorEastAsia" w:hAnsiTheme="minorEastAsia" w:eastAsiaTheme="minorEastAsia"/>
          <w:b/>
          <w:bCs/>
          <w:color w:val="auto"/>
          <w:sz w:val="24"/>
          <w:szCs w:val="24"/>
          <w:highlight w:val="none"/>
        </w:rPr>
        <w:t>二、质疑项目基本情况</w:t>
      </w:r>
      <w:bookmarkEnd w:id="121"/>
    </w:p>
    <w:p w14:paraId="1A0FD17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3E3EDC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9E9F65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17728E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EDC967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2" w:name="_Toc19014"/>
      <w:r>
        <w:rPr>
          <w:rFonts w:hint="eastAsia" w:cs="仿宋" w:asciiTheme="minorEastAsia" w:hAnsiTheme="minorEastAsia" w:eastAsiaTheme="minorEastAsia"/>
          <w:b/>
          <w:bCs/>
          <w:color w:val="auto"/>
          <w:sz w:val="24"/>
          <w:szCs w:val="24"/>
          <w:highlight w:val="none"/>
        </w:rPr>
        <w:t>三、质疑事项具体内容</w:t>
      </w:r>
      <w:bookmarkEnd w:id="122"/>
    </w:p>
    <w:p w14:paraId="69E9B47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C913E7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59A2D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34B12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53698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F3960B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CBA4B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D6436BE">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3" w:name="_Toc17919"/>
      <w:r>
        <w:rPr>
          <w:rFonts w:hint="eastAsia" w:cs="仿宋" w:asciiTheme="minorEastAsia" w:hAnsiTheme="minorEastAsia" w:eastAsiaTheme="minorEastAsia"/>
          <w:b/>
          <w:bCs/>
          <w:color w:val="auto"/>
          <w:sz w:val="24"/>
          <w:szCs w:val="24"/>
          <w:highlight w:val="none"/>
        </w:rPr>
        <w:t>四、与质疑事项相关的质疑请求</w:t>
      </w:r>
      <w:bookmarkEnd w:id="123"/>
    </w:p>
    <w:p w14:paraId="7F26290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FC875C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8484EC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FCA76B2">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7F160CB">
      <w:pPr>
        <w:outlineLvl w:val="0"/>
        <w:rPr>
          <w:rFonts w:asciiTheme="minorEastAsia" w:hAnsiTheme="minorEastAsia" w:eastAsiaTheme="minorEastAsia"/>
          <w:b/>
          <w:color w:val="auto"/>
          <w:sz w:val="28"/>
          <w:szCs w:val="32"/>
          <w:highlight w:val="none"/>
        </w:rPr>
      </w:pPr>
      <w:bookmarkStart w:id="124" w:name="_Toc9754"/>
      <w:bookmarkStart w:id="125" w:name="_Toc13776"/>
      <w:bookmarkStart w:id="126" w:name="_Toc26836"/>
      <w:r>
        <w:rPr>
          <w:rFonts w:hint="eastAsia" w:asciiTheme="minorEastAsia" w:hAnsiTheme="minorEastAsia" w:eastAsiaTheme="minorEastAsia"/>
          <w:b/>
          <w:color w:val="auto"/>
          <w:sz w:val="28"/>
          <w:szCs w:val="32"/>
          <w:highlight w:val="none"/>
        </w:rPr>
        <w:t>质疑函制作说明：</w:t>
      </w:r>
      <w:bookmarkEnd w:id="124"/>
      <w:bookmarkEnd w:id="125"/>
      <w:bookmarkEnd w:id="126"/>
    </w:p>
    <w:p w14:paraId="751048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D4B54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8408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BCD48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F3DAA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D9904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6A36">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A0839">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88F37">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088F37">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84047">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5BD56">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65BD56">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E145">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3EC16">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9DE0A">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87E22"/>
    <w:multiLevelType w:val="singleLevel"/>
    <w:tmpl w:val="87887E22"/>
    <w:lvl w:ilvl="0" w:tentative="0">
      <w:start w:val="1"/>
      <w:numFmt w:val="decimal"/>
      <w:lvlText w:val="(%1)"/>
      <w:lvlJc w:val="left"/>
      <w:pPr>
        <w:tabs>
          <w:tab w:val="left" w:pos="420"/>
        </w:tabs>
        <w:ind w:left="845" w:hanging="425"/>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EFA99F6"/>
    <w:multiLevelType w:val="singleLevel"/>
    <w:tmpl w:val="2EFA99F6"/>
    <w:lvl w:ilvl="0" w:tentative="0">
      <w:start w:val="2"/>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0"/>
  </w:num>
  <w:num w:numId="3">
    <w:abstractNumId w:val="8"/>
  </w:num>
  <w:num w:numId="4">
    <w:abstractNumId w:val="2"/>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34E4753"/>
    <w:rsid w:val="040A094E"/>
    <w:rsid w:val="048021E8"/>
    <w:rsid w:val="04DF1A8A"/>
    <w:rsid w:val="054F4E62"/>
    <w:rsid w:val="056F201D"/>
    <w:rsid w:val="05B664D4"/>
    <w:rsid w:val="064B485A"/>
    <w:rsid w:val="068C65C4"/>
    <w:rsid w:val="07076C01"/>
    <w:rsid w:val="071C12AC"/>
    <w:rsid w:val="077D73AB"/>
    <w:rsid w:val="07A934B3"/>
    <w:rsid w:val="07EB6287"/>
    <w:rsid w:val="0806421B"/>
    <w:rsid w:val="0980799C"/>
    <w:rsid w:val="09944B8E"/>
    <w:rsid w:val="0A6A18DB"/>
    <w:rsid w:val="0A975B48"/>
    <w:rsid w:val="0AEF3828"/>
    <w:rsid w:val="0B406381"/>
    <w:rsid w:val="0B5C22F9"/>
    <w:rsid w:val="0BB452AA"/>
    <w:rsid w:val="0BBB665B"/>
    <w:rsid w:val="0C61547A"/>
    <w:rsid w:val="0DA57F13"/>
    <w:rsid w:val="0EEA6FC1"/>
    <w:rsid w:val="0F790928"/>
    <w:rsid w:val="0FC95BB5"/>
    <w:rsid w:val="10287762"/>
    <w:rsid w:val="10CD72BB"/>
    <w:rsid w:val="12197477"/>
    <w:rsid w:val="131B5CD3"/>
    <w:rsid w:val="132911E1"/>
    <w:rsid w:val="13776448"/>
    <w:rsid w:val="1466407E"/>
    <w:rsid w:val="14834E28"/>
    <w:rsid w:val="148E7D65"/>
    <w:rsid w:val="15231BF9"/>
    <w:rsid w:val="15C4546D"/>
    <w:rsid w:val="16B20DAC"/>
    <w:rsid w:val="1A064976"/>
    <w:rsid w:val="1A3B68AA"/>
    <w:rsid w:val="1A3E1C1E"/>
    <w:rsid w:val="1B6F4F40"/>
    <w:rsid w:val="1C141836"/>
    <w:rsid w:val="1C674A6D"/>
    <w:rsid w:val="1C76537D"/>
    <w:rsid w:val="1E6B6A14"/>
    <w:rsid w:val="1FC13DE7"/>
    <w:rsid w:val="20550D9A"/>
    <w:rsid w:val="209D0D1F"/>
    <w:rsid w:val="218E2416"/>
    <w:rsid w:val="226915FE"/>
    <w:rsid w:val="22B20386"/>
    <w:rsid w:val="23CF60D5"/>
    <w:rsid w:val="23FB71AB"/>
    <w:rsid w:val="241804A5"/>
    <w:rsid w:val="24A152FE"/>
    <w:rsid w:val="24B97929"/>
    <w:rsid w:val="24D632D7"/>
    <w:rsid w:val="27D65DBA"/>
    <w:rsid w:val="285F40CA"/>
    <w:rsid w:val="289E1AF0"/>
    <w:rsid w:val="28C01ECB"/>
    <w:rsid w:val="29BF71E3"/>
    <w:rsid w:val="29D6387F"/>
    <w:rsid w:val="2A127B63"/>
    <w:rsid w:val="2A451A6C"/>
    <w:rsid w:val="2AAA4765"/>
    <w:rsid w:val="2AC21606"/>
    <w:rsid w:val="2B7E7608"/>
    <w:rsid w:val="2B7F04E9"/>
    <w:rsid w:val="2B8B554A"/>
    <w:rsid w:val="2C9D5252"/>
    <w:rsid w:val="2D3447B9"/>
    <w:rsid w:val="2D496D68"/>
    <w:rsid w:val="2E7A48DE"/>
    <w:rsid w:val="2E9077CD"/>
    <w:rsid w:val="2EBA5177"/>
    <w:rsid w:val="2EDC3ED8"/>
    <w:rsid w:val="2F104B00"/>
    <w:rsid w:val="2F6351B4"/>
    <w:rsid w:val="2FA379D4"/>
    <w:rsid w:val="2FC86126"/>
    <w:rsid w:val="2FCF199E"/>
    <w:rsid w:val="303643A5"/>
    <w:rsid w:val="30483E83"/>
    <w:rsid w:val="30BF3991"/>
    <w:rsid w:val="3111619A"/>
    <w:rsid w:val="31B139DC"/>
    <w:rsid w:val="32497AF3"/>
    <w:rsid w:val="32E34D98"/>
    <w:rsid w:val="343C0775"/>
    <w:rsid w:val="346D2A0F"/>
    <w:rsid w:val="353C245D"/>
    <w:rsid w:val="356C50EC"/>
    <w:rsid w:val="36137E45"/>
    <w:rsid w:val="36376E0A"/>
    <w:rsid w:val="3700166C"/>
    <w:rsid w:val="370D7F35"/>
    <w:rsid w:val="379A1012"/>
    <w:rsid w:val="38694EE9"/>
    <w:rsid w:val="39191359"/>
    <w:rsid w:val="3A6818FA"/>
    <w:rsid w:val="3AB412B2"/>
    <w:rsid w:val="3B365CC9"/>
    <w:rsid w:val="3B9A7B88"/>
    <w:rsid w:val="3D2C7AC8"/>
    <w:rsid w:val="3D855D12"/>
    <w:rsid w:val="3D8B42FF"/>
    <w:rsid w:val="3DE86C4C"/>
    <w:rsid w:val="3DF36A6E"/>
    <w:rsid w:val="3EBA1EE9"/>
    <w:rsid w:val="3F792F1E"/>
    <w:rsid w:val="3FB928FC"/>
    <w:rsid w:val="40824826"/>
    <w:rsid w:val="409969B6"/>
    <w:rsid w:val="40E63923"/>
    <w:rsid w:val="43A91E5B"/>
    <w:rsid w:val="448F7150"/>
    <w:rsid w:val="449E0D39"/>
    <w:rsid w:val="45E32B26"/>
    <w:rsid w:val="46145CE6"/>
    <w:rsid w:val="463A3650"/>
    <w:rsid w:val="46461627"/>
    <w:rsid w:val="469F0116"/>
    <w:rsid w:val="475259B7"/>
    <w:rsid w:val="47644F43"/>
    <w:rsid w:val="488302AE"/>
    <w:rsid w:val="48831CF9"/>
    <w:rsid w:val="49024C9C"/>
    <w:rsid w:val="49B1408D"/>
    <w:rsid w:val="4A7D4FD2"/>
    <w:rsid w:val="4A913C9A"/>
    <w:rsid w:val="4AF9285E"/>
    <w:rsid w:val="4B1F70AC"/>
    <w:rsid w:val="4B240F94"/>
    <w:rsid w:val="4BDE2763"/>
    <w:rsid w:val="4C0832E5"/>
    <w:rsid w:val="4C3C565C"/>
    <w:rsid w:val="4CCC79C7"/>
    <w:rsid w:val="4D7555C7"/>
    <w:rsid w:val="4EAE6DA0"/>
    <w:rsid w:val="4FE617D9"/>
    <w:rsid w:val="5016514B"/>
    <w:rsid w:val="50771C52"/>
    <w:rsid w:val="50BD4DF3"/>
    <w:rsid w:val="50FC1A26"/>
    <w:rsid w:val="51723664"/>
    <w:rsid w:val="518333EE"/>
    <w:rsid w:val="51CB1C78"/>
    <w:rsid w:val="51FD6A51"/>
    <w:rsid w:val="526B680A"/>
    <w:rsid w:val="52836F71"/>
    <w:rsid w:val="52A87A96"/>
    <w:rsid w:val="52D26B02"/>
    <w:rsid w:val="52EC6ED2"/>
    <w:rsid w:val="53E923D0"/>
    <w:rsid w:val="541A5D30"/>
    <w:rsid w:val="54273E81"/>
    <w:rsid w:val="546D5D37"/>
    <w:rsid w:val="55C1559C"/>
    <w:rsid w:val="55F068CD"/>
    <w:rsid w:val="566C3136"/>
    <w:rsid w:val="568D04F2"/>
    <w:rsid w:val="56FA48AB"/>
    <w:rsid w:val="5A526582"/>
    <w:rsid w:val="5A5F5C77"/>
    <w:rsid w:val="5A711A0D"/>
    <w:rsid w:val="5AA17202"/>
    <w:rsid w:val="5B1613E4"/>
    <w:rsid w:val="5B78003B"/>
    <w:rsid w:val="5BC11A60"/>
    <w:rsid w:val="5BFA0953"/>
    <w:rsid w:val="5C7A4D54"/>
    <w:rsid w:val="5CD23B73"/>
    <w:rsid w:val="5E92600D"/>
    <w:rsid w:val="5F127819"/>
    <w:rsid w:val="60350ED3"/>
    <w:rsid w:val="60A874E6"/>
    <w:rsid w:val="60B72AEE"/>
    <w:rsid w:val="61025188"/>
    <w:rsid w:val="61057D5F"/>
    <w:rsid w:val="6126068F"/>
    <w:rsid w:val="614D4977"/>
    <w:rsid w:val="63C60FC0"/>
    <w:rsid w:val="64BA3D7A"/>
    <w:rsid w:val="64F179BC"/>
    <w:rsid w:val="66287D10"/>
    <w:rsid w:val="665704D3"/>
    <w:rsid w:val="66AD6253"/>
    <w:rsid w:val="67C065A4"/>
    <w:rsid w:val="67D359C9"/>
    <w:rsid w:val="68042537"/>
    <w:rsid w:val="68FE36DD"/>
    <w:rsid w:val="694E60FC"/>
    <w:rsid w:val="69851D54"/>
    <w:rsid w:val="698E432E"/>
    <w:rsid w:val="6A256904"/>
    <w:rsid w:val="6AFE7291"/>
    <w:rsid w:val="6B656832"/>
    <w:rsid w:val="6B9B2D32"/>
    <w:rsid w:val="6C675CE6"/>
    <w:rsid w:val="6CAC2E85"/>
    <w:rsid w:val="6CD010B4"/>
    <w:rsid w:val="6D4F4321"/>
    <w:rsid w:val="6DA852E7"/>
    <w:rsid w:val="6DF41B82"/>
    <w:rsid w:val="6DFF7360"/>
    <w:rsid w:val="6E607C9C"/>
    <w:rsid w:val="6E7A5F73"/>
    <w:rsid w:val="6E843365"/>
    <w:rsid w:val="6EC26F8A"/>
    <w:rsid w:val="6EE90F9D"/>
    <w:rsid w:val="6FD74228"/>
    <w:rsid w:val="7021106F"/>
    <w:rsid w:val="71633091"/>
    <w:rsid w:val="716D33C3"/>
    <w:rsid w:val="73081CA5"/>
    <w:rsid w:val="74201F7D"/>
    <w:rsid w:val="7487762D"/>
    <w:rsid w:val="74C33AA4"/>
    <w:rsid w:val="75210D7A"/>
    <w:rsid w:val="75385498"/>
    <w:rsid w:val="75F37776"/>
    <w:rsid w:val="76BC207F"/>
    <w:rsid w:val="76EB4904"/>
    <w:rsid w:val="77645DCD"/>
    <w:rsid w:val="777378F5"/>
    <w:rsid w:val="777A2D3C"/>
    <w:rsid w:val="79074B81"/>
    <w:rsid w:val="794F0939"/>
    <w:rsid w:val="797F5A41"/>
    <w:rsid w:val="79AF0FCA"/>
    <w:rsid w:val="7AF9279C"/>
    <w:rsid w:val="7B2F105B"/>
    <w:rsid w:val="7C0E12FE"/>
    <w:rsid w:val="7CC51958"/>
    <w:rsid w:val="7CD53DF9"/>
    <w:rsid w:val="7CE87DA1"/>
    <w:rsid w:val="7D097C86"/>
    <w:rsid w:val="7D52346D"/>
    <w:rsid w:val="7DE40569"/>
    <w:rsid w:val="7E2936C3"/>
    <w:rsid w:val="7E6411B9"/>
    <w:rsid w:val="7EF26CB5"/>
    <w:rsid w:val="7F5F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8"/>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3"/>
    <w:autoRedefine/>
    <w:qFormat/>
    <w:uiPriority w:val="0"/>
    <w:pPr>
      <w:keepNext/>
      <w:keepLines/>
      <w:spacing w:before="280" w:after="290" w:line="376" w:lineRule="auto"/>
      <w:outlineLvl w:val="3"/>
    </w:pPr>
    <w:rPr>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2"/>
    <w:basedOn w:val="1"/>
    <w:qFormat/>
    <w:uiPriority w:val="0"/>
    <w:pPr>
      <w:widowControl w:val="0"/>
      <w:spacing w:after="120" w:line="480" w:lineRule="auto"/>
      <w:jc w:val="both"/>
    </w:pPr>
    <w:rPr>
      <w:rFonts w:ascii="@仿宋_GB2312" w:hAnsi="@仿宋_GB2312" w:eastAsia="@仿宋_GB2312" w:cs="@仿宋_GB2312"/>
      <w:kern w:val="2"/>
      <w:sz w:val="21"/>
      <w:lang w:val="en-US" w:eastAsia="zh-CN" w:bidi="ar-SA"/>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5"/>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5"/>
    <w:autoRedefine/>
    <w:qFormat/>
    <w:uiPriority w:val="99"/>
    <w:rPr>
      <w:rFonts w:ascii="宋体" w:hAnsi="Courier New" w:eastAsiaTheme="minorEastAsia" w:cstheme="minorBidi"/>
      <w:szCs w:val="22"/>
    </w:rPr>
  </w:style>
  <w:style w:type="paragraph" w:styleId="13">
    <w:name w:val="Date"/>
    <w:basedOn w:val="1"/>
    <w:next w:val="1"/>
    <w:link w:val="42"/>
    <w:autoRedefine/>
    <w:qFormat/>
    <w:uiPriority w:val="0"/>
    <w:rPr>
      <w:rFonts w:ascii="Arial" w:hAnsi="Arial" w:eastAsia="宋体" w:cs="Arial"/>
      <w:b/>
      <w:sz w:val="28"/>
    </w:rPr>
  </w:style>
  <w:style w:type="paragraph" w:styleId="14">
    <w:name w:val="Balloon Text"/>
    <w:basedOn w:val="1"/>
    <w:link w:val="29"/>
    <w:autoRedefine/>
    <w:semiHidden/>
    <w:unhideWhenUsed/>
    <w:qFormat/>
    <w:uiPriority w:val="99"/>
    <w:rPr>
      <w:sz w:val="18"/>
      <w:szCs w:val="18"/>
    </w:rPr>
  </w:style>
  <w:style w:type="paragraph" w:styleId="15">
    <w:name w:val="footer"/>
    <w:basedOn w:val="1"/>
    <w:link w:val="34"/>
    <w:autoRedefine/>
    <w:unhideWhenUsed/>
    <w:qFormat/>
    <w:uiPriority w:val="99"/>
    <w:pPr>
      <w:tabs>
        <w:tab w:val="center" w:pos="4153"/>
        <w:tab w:val="right" w:pos="8306"/>
      </w:tabs>
      <w:snapToGrid w:val="0"/>
      <w:jc w:val="left"/>
    </w:pPr>
    <w:rPr>
      <w:sz w:val="18"/>
      <w:szCs w:val="18"/>
    </w:rPr>
  </w:style>
  <w:style w:type="paragraph" w:styleId="16">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8"/>
    <w:next w:val="8"/>
    <w:link w:val="56"/>
    <w:autoRedefine/>
    <w:semiHidden/>
    <w:unhideWhenUsed/>
    <w:qFormat/>
    <w:uiPriority w:val="99"/>
    <w:rPr>
      <w:rFonts w:ascii="@仿宋_GB2312" w:hAnsi="@仿宋_GB2312" w:eastAsia="@仿宋_GB2312" w:cs="@仿宋_GB2312"/>
      <w:b/>
      <w:bCs/>
    </w:rPr>
  </w:style>
  <w:style w:type="paragraph" w:styleId="22">
    <w:name w:val="Body Text First Indent"/>
    <w:basedOn w:val="9"/>
    <w:autoRedefine/>
    <w:unhideWhenUsed/>
    <w:qFormat/>
    <w:uiPriority w:val="99"/>
    <w:pPr>
      <w:ind w:firstLine="420" w:firstLineChars="100"/>
    </w:pPr>
  </w:style>
  <w:style w:type="table" w:styleId="24">
    <w:name w:val="Table Grid"/>
    <w:basedOn w:val="2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Hyperlink"/>
    <w:basedOn w:val="25"/>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5"/>
    <w:autoRedefine/>
    <w:semiHidden/>
    <w:unhideWhenUsed/>
    <w:qFormat/>
    <w:uiPriority w:val="99"/>
    <w:rPr>
      <w:sz w:val="21"/>
      <w:szCs w:val="21"/>
    </w:rPr>
  </w:style>
  <w:style w:type="character" w:customStyle="1" w:styleId="29">
    <w:name w:val="批注框文本 Char"/>
    <w:basedOn w:val="25"/>
    <w:link w:val="14"/>
    <w:autoRedefine/>
    <w:semiHidden/>
    <w:qFormat/>
    <w:uiPriority w:val="99"/>
    <w:rPr>
      <w:rFonts w:ascii="@仿宋_GB2312" w:hAnsi="@仿宋_GB2312" w:eastAsia="@仿宋_GB2312" w:cs="@仿宋_GB2312"/>
      <w:sz w:val="18"/>
      <w:szCs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5"/>
    <w:link w:val="16"/>
    <w:autoRedefine/>
    <w:qFormat/>
    <w:uiPriority w:val="99"/>
    <w:rPr>
      <w:rFonts w:ascii="@仿宋_GB2312" w:hAnsi="@仿宋_GB2312" w:eastAsia="@仿宋_GB2312" w:cs="@仿宋_GB2312"/>
      <w:sz w:val="18"/>
      <w:szCs w:val="18"/>
    </w:rPr>
  </w:style>
  <w:style w:type="character" w:customStyle="1" w:styleId="34">
    <w:name w:val="页脚 Char"/>
    <w:basedOn w:val="25"/>
    <w:link w:val="15"/>
    <w:autoRedefine/>
    <w:qFormat/>
    <w:uiPriority w:val="99"/>
    <w:rPr>
      <w:rFonts w:ascii="@仿宋_GB2312" w:hAnsi="@仿宋_GB2312" w:eastAsia="@仿宋_GB2312" w:cs="@仿宋_GB2312"/>
      <w:sz w:val="18"/>
      <w:szCs w:val="18"/>
    </w:rPr>
  </w:style>
  <w:style w:type="character" w:customStyle="1" w:styleId="35">
    <w:name w:val="纯文本 Char"/>
    <w:link w:val="12"/>
    <w:autoRedefine/>
    <w:qFormat/>
    <w:uiPriority w:val="0"/>
    <w:rPr>
      <w:rFonts w:ascii="宋体" w:hAnsi="Courier New"/>
    </w:rPr>
  </w:style>
  <w:style w:type="character" w:customStyle="1" w:styleId="36">
    <w:name w:val="纯文本 字符1"/>
    <w:basedOn w:val="25"/>
    <w:autoRedefine/>
    <w:semiHidden/>
    <w:qFormat/>
    <w:uiPriority w:val="99"/>
    <w:rPr>
      <w:rFonts w:hAnsi="Courier New" w:cs="Courier New" w:asciiTheme="minorEastAsia"/>
      <w:szCs w:val="20"/>
    </w:rPr>
  </w:style>
  <w:style w:type="character" w:customStyle="1" w:styleId="37">
    <w:name w:val="未处理的提及1"/>
    <w:basedOn w:val="25"/>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autoRedefine/>
    <w:semiHidden/>
    <w:qFormat/>
    <w:uiPriority w:val="99"/>
    <w:rPr>
      <w:rFonts w:ascii="@仿宋_GB2312" w:hAnsi="@仿宋_GB2312" w:eastAsia="@仿宋_GB2312" w:cs="@仿宋_GB2312"/>
      <w:szCs w:val="20"/>
    </w:rPr>
  </w:style>
  <w:style w:type="character" w:customStyle="1" w:styleId="42">
    <w:name w:val="日期 Char"/>
    <w:link w:val="13"/>
    <w:autoRedefine/>
    <w:qFormat/>
    <w:uiPriority w:val="0"/>
    <w:rPr>
      <w:rFonts w:ascii="Arial" w:hAnsi="Arial" w:eastAsia="宋体" w:cs="Arial"/>
      <w:b/>
      <w:sz w:val="28"/>
      <w:szCs w:val="20"/>
    </w:rPr>
  </w:style>
  <w:style w:type="character" w:customStyle="1" w:styleId="43">
    <w:name w:val="纯文本 Char1"/>
    <w:autoRedefine/>
    <w:qFormat/>
    <w:locked/>
    <w:uiPriority w:val="99"/>
    <w:rPr>
      <w:rFonts w:ascii="Arial" w:hAnsi="Arial" w:eastAsia="Arial"/>
      <w:kern w:val="2"/>
      <w:sz w:val="21"/>
      <w:lang w:val="en-US" w:eastAsia="zh-CN" w:bidi="ar-SA"/>
    </w:rPr>
  </w:style>
  <w:style w:type="character" w:customStyle="1" w:styleId="44">
    <w:name w:val="批注文字 Char"/>
    <w:basedOn w:val="25"/>
    <w:autoRedefine/>
    <w:semiHidden/>
    <w:qFormat/>
    <w:uiPriority w:val="99"/>
    <w:rPr>
      <w:rFonts w:ascii="@仿宋_GB2312" w:hAnsi="@仿宋_GB2312" w:eastAsia="@仿宋_GB2312" w:cs="@仿宋_GB2312"/>
      <w:szCs w:val="20"/>
    </w:rPr>
  </w:style>
  <w:style w:type="character" w:customStyle="1" w:styleId="45">
    <w:name w:val="批注文字 Char1"/>
    <w:link w:val="8"/>
    <w:autoRedefine/>
    <w:qFormat/>
    <w:uiPriority w:val="0"/>
    <w:rPr>
      <w:rFonts w:ascii="Arial" w:hAnsi="Arial" w:eastAsia="黑体" w:cs="Arial"/>
      <w:szCs w:val="20"/>
    </w:rPr>
  </w:style>
  <w:style w:type="character" w:customStyle="1" w:styleId="46">
    <w:name w:val="标题 1 Char"/>
    <w:basedOn w:val="25"/>
    <w:link w:val="3"/>
    <w:autoRedefine/>
    <w:qFormat/>
    <w:uiPriority w:val="9"/>
    <w:rPr>
      <w:rFonts w:ascii="@仿宋_GB2312" w:hAnsi="@仿宋_GB2312" w:eastAsia="@仿宋_GB2312" w:cs="@仿宋_GB2312"/>
      <w:b/>
      <w:bCs/>
      <w:kern w:val="44"/>
      <w:sz w:val="44"/>
      <w:szCs w:val="44"/>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Char"/>
    <w:basedOn w:val="25"/>
    <w:link w:val="5"/>
    <w:autoRedefine/>
    <w:semiHidden/>
    <w:qFormat/>
    <w:uiPriority w:val="9"/>
    <w:rPr>
      <w:rFonts w:ascii="@仿宋_GB2312" w:hAnsi="@仿宋_GB2312" w:eastAsia="@仿宋_GB2312" w:cs="@仿宋_GB2312"/>
      <w:b/>
      <w:bCs/>
      <w:sz w:val="32"/>
      <w:szCs w:val="32"/>
    </w:rPr>
  </w:style>
  <w:style w:type="character" w:customStyle="1" w:styleId="49">
    <w:name w:val="fontstyle01"/>
    <w:basedOn w:val="25"/>
    <w:autoRedefine/>
    <w:qFormat/>
    <w:uiPriority w:val="0"/>
    <w:rPr>
      <w:rFonts w:hint="eastAsia" w:ascii="宋体" w:hAnsi="宋体" w:eastAsia="宋体"/>
      <w:color w:val="000000"/>
      <w:sz w:val="22"/>
      <w:szCs w:val="22"/>
    </w:rPr>
  </w:style>
  <w:style w:type="character" w:customStyle="1" w:styleId="50">
    <w:name w:val="fontstyle21"/>
    <w:basedOn w:val="25"/>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3">
    <w:name w:val="标题 4 Char1"/>
    <w:link w:val="6"/>
    <w:autoRedefine/>
    <w:qFormat/>
    <w:uiPriority w:val="0"/>
    <w:rPr>
      <w:rFonts w:ascii="@仿宋_GB2312" w:hAnsi="@仿宋_GB2312" w:eastAsia="@仿宋_GB2312" w:cs="@仿宋_GB2312"/>
      <w:b/>
      <w:bCs/>
      <w:sz w:val="28"/>
      <w:szCs w:val="28"/>
    </w:rPr>
  </w:style>
  <w:style w:type="character" w:customStyle="1" w:styleId="54">
    <w:name w:val="标题 4 Char"/>
    <w:autoRedefine/>
    <w:qFormat/>
    <w:uiPriority w:val="0"/>
    <w:rPr>
      <w:rFonts w:ascii="Arial" w:hAnsi="Arial" w:eastAsia="Arial"/>
      <w:b/>
      <w:bCs/>
      <w:kern w:val="2"/>
      <w:sz w:val="28"/>
      <w:szCs w:val="28"/>
      <w:lang w:val="en-US" w:eastAsia="zh-CN" w:bidi="ar-SA"/>
    </w:rPr>
  </w:style>
  <w:style w:type="table" w:customStyle="1" w:styleId="55">
    <w:name w:val="网格型1"/>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批注主题 Char"/>
    <w:basedOn w:val="45"/>
    <w:link w:val="21"/>
    <w:autoRedefine/>
    <w:semiHidden/>
    <w:qFormat/>
    <w:uiPriority w:val="99"/>
    <w:rPr>
      <w:rFonts w:ascii="@仿宋_GB2312" w:hAnsi="@仿宋_GB2312" w:eastAsia="@仿宋_GB2312" w:cs="@仿宋_GB2312"/>
      <w:b/>
      <w:bCs/>
      <w:szCs w:val="20"/>
    </w:rPr>
  </w:style>
  <w:style w:type="table" w:customStyle="1" w:styleId="57">
    <w:name w:val="Table Normal"/>
    <w:autoRedefine/>
    <w:semiHidden/>
    <w:unhideWhenUsed/>
    <w:qFormat/>
    <w:uiPriority w:val="0"/>
    <w:tblPr>
      <w:tblCellMar>
        <w:top w:w="0" w:type="dxa"/>
        <w:left w:w="0" w:type="dxa"/>
        <w:bottom w:w="0" w:type="dxa"/>
        <w:right w:w="0" w:type="dxa"/>
      </w:tblCellMar>
    </w:tblPr>
  </w:style>
  <w:style w:type="paragraph" w:customStyle="1" w:styleId="58">
    <w:name w:val="Table Text"/>
    <w:basedOn w:val="1"/>
    <w:autoRedefine/>
    <w:semiHidden/>
    <w:qFormat/>
    <w:uiPriority w:val="0"/>
    <w:rPr>
      <w:rFonts w:ascii="Arial" w:hAnsi="Arial" w:eastAsia="Arial" w:cs="Arial"/>
      <w:sz w:val="21"/>
      <w:szCs w:val="21"/>
      <w:lang w:val="en-US" w:eastAsia="en-US" w:bidi="ar-SA"/>
    </w:rPr>
  </w:style>
  <w:style w:type="paragraph" w:customStyle="1" w:styleId="5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72</Pages>
  <Words>1765</Words>
  <Characters>1969</Characters>
  <Lines>1</Lines>
  <Paragraphs>1</Paragraphs>
  <TotalTime>61</TotalTime>
  <ScaleCrop>false</ScaleCrop>
  <LinksUpToDate>false</LinksUpToDate>
  <CharactersWithSpaces>2074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13956959062</cp:lastModifiedBy>
  <cp:lastPrinted>2019-12-07T15:18:00Z</cp:lastPrinted>
  <dcterms:modified xsi:type="dcterms:W3CDTF">2025-11-11T02:16:22Z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1ECEA165F94845FFAF35C1C96E4FB9B0_12</vt:lpwstr>
  </property>
  <property fmtid="{D5CDD505-2E9C-101B-9397-08002B2CF9AE}" pid="4" name="KSOTemplateDocerSaveRecord">
    <vt:lpwstr>eyJoZGlkIjoiNzk2N2MyY2U5OTJiNWM2MjhlZjgxZTVjOWJmYjZhNzgiLCJ1c2VySWQiOiI3Mzg5NzIxODgifQ==</vt:lpwstr>
  </property>
</Properties>
</file>