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安徽职业技术大学2025年增材制造设备产线教学科研平台建设项目第2包：增材制造设备产线检测设备（二次）</w:t>
      </w:r>
    </w:p>
    <w:p>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ZFCG-202618100009</w:t>
      </w:r>
    </w:p>
    <w:p>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安徽职业技术大学</w:t>
      </w:r>
    </w:p>
    <w:p>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安徽中技工程咨询有限公司</w:t>
      </w: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02</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pPr>
        <w:pStyle w:val="16"/>
        <w:tabs>
          <w:tab w:val="right" w:leader="dot" w:pos="8306"/>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Theme="minorEastAsia" w:hAnsiTheme="minorEastAsia" w:eastAsiaTheme="minorEastAsia"/>
          <w:color w:val="auto"/>
          <w:szCs w:val="24"/>
          <w:highlight w:val="none"/>
        </w:rPr>
        <w:fldChar w:fldCharType="end"/>
      </w:r>
    </w:p>
    <w:p>
      <w:pPr>
        <w:pStyle w:val="16"/>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_Toc31935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5</w:t>
      </w:r>
      <w:r>
        <w:rPr>
          <w:highlight w:val="none"/>
        </w:rPr>
        <w:fldChar w:fldCharType="end"/>
      </w:r>
      <w:r>
        <w:rPr>
          <w:rFonts w:asciiTheme="minorEastAsia" w:hAnsiTheme="minorEastAsia" w:eastAsiaTheme="minorEastAsia"/>
          <w:color w:val="auto"/>
          <w:szCs w:val="24"/>
          <w:highlight w:val="none"/>
        </w:rPr>
        <w:fldChar w:fldCharType="end"/>
      </w:r>
    </w:p>
    <w:p>
      <w:pPr>
        <w:pStyle w:val="16"/>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_Toc10891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21</w:t>
      </w:r>
      <w:r>
        <w:rPr>
          <w:highlight w:val="none"/>
        </w:rPr>
        <w:fldChar w:fldCharType="end"/>
      </w:r>
      <w:r>
        <w:rPr>
          <w:rFonts w:asciiTheme="minorEastAsia" w:hAnsiTheme="minorEastAsia" w:eastAsiaTheme="minorEastAsia"/>
          <w:color w:val="auto"/>
          <w:szCs w:val="24"/>
          <w:highlight w:val="none"/>
        </w:rPr>
        <w:fldChar w:fldCharType="end"/>
      </w:r>
    </w:p>
    <w:p>
      <w:pPr>
        <w:pStyle w:val="16"/>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_Toc16417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rPr>
          <w:highlight w:val="none"/>
        </w:rPr>
        <w:tab/>
      </w:r>
      <w:r>
        <w:rPr>
          <w:highlight w:val="none"/>
        </w:rPr>
        <w:fldChar w:fldCharType="begin"/>
      </w:r>
      <w:r>
        <w:rPr>
          <w:highlight w:val="none"/>
        </w:rPr>
        <w:instrText xml:space="preserve"> PAGEREF _Toc16417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color w:val="auto"/>
          <w:szCs w:val="24"/>
          <w:highlight w:val="none"/>
        </w:rPr>
        <w:fldChar w:fldCharType="end"/>
      </w:r>
    </w:p>
    <w:p>
      <w:pPr>
        <w:pStyle w:val="16"/>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_Toc4682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_Toc4682 \h </w:instrText>
      </w:r>
      <w:r>
        <w:rPr>
          <w:highlight w:val="none"/>
        </w:rPr>
        <w:fldChar w:fldCharType="separate"/>
      </w:r>
      <w:r>
        <w:rPr>
          <w:highlight w:val="none"/>
        </w:rPr>
        <w:t>35</w:t>
      </w:r>
      <w:r>
        <w:rPr>
          <w:highlight w:val="none"/>
        </w:rPr>
        <w:fldChar w:fldCharType="end"/>
      </w:r>
      <w:r>
        <w:rPr>
          <w:rFonts w:asciiTheme="minorEastAsia" w:hAnsiTheme="minorEastAsia" w:eastAsiaTheme="minorEastAsia"/>
          <w:color w:val="auto"/>
          <w:szCs w:val="24"/>
          <w:highlight w:val="none"/>
        </w:rPr>
        <w:fldChar w:fldCharType="end"/>
      </w:r>
    </w:p>
    <w:p>
      <w:pPr>
        <w:pStyle w:val="16"/>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_Toc22492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55</w:t>
      </w:r>
      <w:r>
        <w:rPr>
          <w:highlight w:val="none"/>
        </w:rPr>
        <w:fldChar w:fldCharType="end"/>
      </w:r>
      <w:r>
        <w:rPr>
          <w:rFonts w:asciiTheme="minorEastAsia" w:hAnsiTheme="minorEastAsia" w:eastAsiaTheme="minorEastAsia"/>
          <w:color w:val="auto"/>
          <w:szCs w:val="24"/>
          <w:highlight w:val="none"/>
        </w:rPr>
        <w:fldChar w:fldCharType="end"/>
      </w:r>
    </w:p>
    <w:p>
      <w:pPr>
        <w:pStyle w:val="16"/>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_Toc18131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_Toc18131 \h </w:instrText>
      </w:r>
      <w:r>
        <w:rPr>
          <w:highlight w:val="none"/>
        </w:rPr>
        <w:fldChar w:fldCharType="separate"/>
      </w:r>
      <w:r>
        <w:rPr>
          <w:highlight w:val="none"/>
        </w:rPr>
        <w:t>67</w:t>
      </w:r>
      <w:r>
        <w:rPr>
          <w:highlight w:val="none"/>
        </w:rPr>
        <w:fldChar w:fldCharType="end"/>
      </w:r>
      <w:r>
        <w:rPr>
          <w:rFonts w:asciiTheme="minorEastAsia" w:hAnsiTheme="minorEastAsia" w:eastAsiaTheme="minorEastAsia"/>
          <w:color w:val="auto"/>
          <w:szCs w:val="24"/>
          <w:highlight w:val="none"/>
        </w:rPr>
        <w:fldChar w:fldCharType="end"/>
      </w:r>
    </w:p>
    <w:p>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pPr>
        <w:pStyle w:val="8"/>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lang w:eastAsia="zh-CN"/>
        </w:rPr>
        <w:t>ZFCG-202618100009</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安徽职业技术大学2025年增材制造设备产线教学科研平台建设项目第2包：增材制造设备产线检测设备（二次）</w:t>
      </w:r>
    </w:p>
    <w:p>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人民币51万元</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lang w:val="en-US" w:eastAsia="zh-CN"/>
        </w:rPr>
        <w:t>人民币51万元</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主要采购实习实训设备和相关科研设备，满足学生实习实训要求，为学生提供更优质的实践教学条件，为教师提供更优质的科研条件。</w:t>
      </w:r>
    </w:p>
    <w:p>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合同签订后30个日历日内完成供货及安装</w:t>
      </w:r>
      <w:r>
        <w:rPr>
          <w:rFonts w:hint="eastAsia" w:ascii="宋体" w:hAnsi="宋体" w:eastAsia="宋体"/>
          <w:color w:val="auto"/>
          <w:sz w:val="24"/>
          <w:szCs w:val="18"/>
          <w:highlight w:val="none"/>
          <w:u w:val="single"/>
          <w:lang w:eastAsia="zh-CN"/>
        </w:rPr>
        <w:t>。</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以书面材料递交至采购人或采购代理机构处。</w:t>
      </w:r>
    </w:p>
    <w:p>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其它落实政府采购政策的资格要求：无。</w:t>
      </w:r>
    </w:p>
    <w:p>
      <w:pPr>
        <w:spacing w:line="360" w:lineRule="auto"/>
        <w:ind w:firstLine="435"/>
        <w:outlineLvl w:val="9"/>
        <w:rPr>
          <w:rFonts w:hint="eastAsia"/>
          <w:highlight w:val="none"/>
        </w:rPr>
      </w:pPr>
      <w:r>
        <w:rPr>
          <w:rFonts w:hint="eastAsia" w:asciiTheme="minorEastAsia" w:hAnsiTheme="minorEastAsia" w:eastAsiaTheme="minorEastAsia"/>
          <w:color w:val="auto"/>
          <w:sz w:val="24"/>
          <w:highlight w:val="none"/>
        </w:rPr>
        <w:t>3.本项目的特定资格要求：</w:t>
      </w:r>
      <w:r>
        <w:rPr>
          <w:rFonts w:hint="default" w:asciiTheme="minorEastAsia" w:hAnsiTheme="minorEastAsia" w:eastAsiaTheme="minorEastAsia"/>
          <w:color w:val="auto"/>
          <w:sz w:val="24"/>
          <w:highlight w:val="none"/>
          <w:lang w:val="en-US" w:eastAsia="zh-CN"/>
        </w:rPr>
        <w:t>投标人不得存在以下不良信用记录情形之一：被列入“信用中国”网站(www.creditchina.gov.cn)失信被执行人名单、重大税收违法案件当事人名单、中国政府采购网(www.ccgp.gov.cn)政府采购严重违法失信行为记录名单</w:t>
      </w:r>
      <w:r>
        <w:rPr>
          <w:rFonts w:hint="eastAsia" w:asciiTheme="minorEastAsia" w:hAnsiTheme="minorEastAsia" w:eastAsiaTheme="minorEastAsia"/>
          <w:color w:val="auto"/>
          <w:sz w:val="24"/>
          <w:highlight w:val="none"/>
          <w:lang w:val="en-US" w:eastAsia="zh-CN"/>
        </w:rPr>
        <w:t>。</w:t>
      </w:r>
    </w:p>
    <w:p>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pPr>
        <w:spacing w:line="360" w:lineRule="auto"/>
        <w:ind w:firstLine="540"/>
        <w:rPr>
          <w:rFonts w:hint="eastAsia" w:asciiTheme="minorEastAsia" w:hAnsiTheme="minorEastAsia" w:eastAsiaTheme="minorEastAsia" w:cstheme="minorEastAsia"/>
          <w:i w:val="0"/>
          <w:iCs w:val="0"/>
          <w:sz w:val="24"/>
          <w:szCs w:val="24"/>
          <w:highlight w:val="none"/>
        </w:rPr>
      </w:pPr>
      <w:bookmarkStart w:id="8" w:name="_Toc7957"/>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eastAsiaTheme="minorEastAsia" w:cstheme="minorEastAsia"/>
          <w:b/>
          <w:bCs/>
          <w:i w:val="0"/>
          <w:iCs w:val="0"/>
          <w:sz w:val="24"/>
          <w:szCs w:val="24"/>
          <w:highlight w:val="none"/>
          <w:u w:val="single"/>
          <w:lang w:val="en-US" w:eastAsia="zh-CN"/>
        </w:rPr>
        <w:t>2026</w:t>
      </w:r>
      <w:r>
        <w:rPr>
          <w:rFonts w:hint="eastAsia" w:asciiTheme="minorEastAsia" w:hAnsiTheme="minorEastAsia" w:eastAsiaTheme="minorEastAsia" w:cstheme="minorEastAsia"/>
          <w:b/>
          <w:bCs/>
          <w:i w:val="0"/>
          <w:iCs w:val="0"/>
          <w:sz w:val="24"/>
          <w:szCs w:val="24"/>
          <w:highlight w:val="none"/>
          <w:u w:val="none"/>
        </w:rPr>
        <w:t>年</w:t>
      </w:r>
      <w:r>
        <w:rPr>
          <w:rFonts w:hint="eastAsia" w:asciiTheme="minorEastAsia" w:hAnsiTheme="minorEastAsia" w:eastAsiaTheme="minorEastAsia" w:cstheme="minorEastAsia"/>
          <w:b/>
          <w:bCs/>
          <w:i w:val="0"/>
          <w:iCs w:val="0"/>
          <w:sz w:val="24"/>
          <w:szCs w:val="24"/>
          <w:highlight w:val="none"/>
          <w:u w:val="single"/>
          <w:lang w:val="en-US" w:eastAsia="zh-CN"/>
        </w:rPr>
        <w:t>02</w:t>
      </w:r>
      <w:r>
        <w:rPr>
          <w:rFonts w:hint="eastAsia" w:asciiTheme="minorEastAsia" w:hAnsiTheme="minorEastAsia" w:eastAsiaTheme="minorEastAsia" w:cstheme="minorEastAsia"/>
          <w:b/>
          <w:bCs/>
          <w:i w:val="0"/>
          <w:iCs w:val="0"/>
          <w:sz w:val="24"/>
          <w:szCs w:val="24"/>
          <w:highlight w:val="none"/>
          <w:u w:val="none"/>
        </w:rPr>
        <w:t>月</w:t>
      </w:r>
      <w:r>
        <w:rPr>
          <w:rFonts w:hint="eastAsia" w:asciiTheme="minorEastAsia" w:hAnsiTheme="minorEastAsia" w:eastAsiaTheme="minorEastAsia" w:cstheme="minorEastAsia"/>
          <w:b/>
          <w:bCs/>
          <w:i w:val="0"/>
          <w:iCs w:val="0"/>
          <w:sz w:val="24"/>
          <w:szCs w:val="24"/>
          <w:highlight w:val="none"/>
          <w:u w:val="single"/>
          <w:lang w:val="en-US" w:eastAsia="zh-CN"/>
        </w:rPr>
        <w:t>13</w:t>
      </w:r>
      <w:r>
        <w:rPr>
          <w:rFonts w:hint="eastAsia" w:asciiTheme="minorEastAsia" w:hAnsiTheme="minorEastAsia" w:eastAsiaTheme="minorEastAsia" w:cstheme="minorEastAsia"/>
          <w:b/>
          <w:bCs/>
          <w:i w:val="0"/>
          <w:iCs w:val="0"/>
          <w:sz w:val="24"/>
          <w:szCs w:val="24"/>
          <w:highlight w:val="none"/>
          <w:u w:val="none"/>
        </w:rPr>
        <w:t>日</w:t>
      </w:r>
      <w:r>
        <w:rPr>
          <w:rFonts w:hint="eastAsia" w:asciiTheme="minorEastAsia" w:hAnsiTheme="minorEastAsia" w:eastAsiaTheme="minorEastAsia" w:cstheme="minorEastAsia"/>
          <w:b/>
          <w:bCs/>
          <w:i w:val="0"/>
          <w:iCs w:val="0"/>
          <w:sz w:val="24"/>
          <w:szCs w:val="24"/>
          <w:highlight w:val="none"/>
        </w:rPr>
        <w:t>至</w:t>
      </w:r>
      <w:r>
        <w:rPr>
          <w:rFonts w:hint="eastAsia" w:asciiTheme="minorEastAsia" w:hAnsiTheme="minorEastAsia" w:eastAsiaTheme="minorEastAsia" w:cstheme="minorEastAsia"/>
          <w:b/>
          <w:bCs/>
          <w:i w:val="0"/>
          <w:iCs w:val="0"/>
          <w:sz w:val="24"/>
          <w:szCs w:val="24"/>
          <w:highlight w:val="none"/>
          <w:u w:val="single"/>
          <w:lang w:val="en-US" w:eastAsia="zh-CN"/>
        </w:rPr>
        <w:t>2026</w:t>
      </w:r>
      <w:r>
        <w:rPr>
          <w:rFonts w:hint="eastAsia" w:asciiTheme="minorEastAsia" w:hAnsiTheme="minorEastAsia" w:eastAsiaTheme="minorEastAsia" w:cstheme="minorEastAsia"/>
          <w:b/>
          <w:bCs/>
          <w:i w:val="0"/>
          <w:iCs w:val="0"/>
          <w:sz w:val="24"/>
          <w:szCs w:val="24"/>
          <w:highlight w:val="none"/>
          <w:u w:val="none"/>
        </w:rPr>
        <w:t>年</w:t>
      </w:r>
      <w:r>
        <w:rPr>
          <w:rFonts w:hint="eastAsia" w:asciiTheme="minorEastAsia" w:hAnsiTheme="minorEastAsia" w:eastAsiaTheme="minorEastAsia" w:cstheme="minorEastAsia"/>
          <w:b/>
          <w:bCs/>
          <w:i w:val="0"/>
          <w:iCs w:val="0"/>
          <w:sz w:val="24"/>
          <w:szCs w:val="24"/>
          <w:highlight w:val="none"/>
          <w:u w:val="single"/>
          <w:lang w:val="en-US" w:eastAsia="zh-CN"/>
        </w:rPr>
        <w:t>02</w:t>
      </w:r>
      <w:r>
        <w:rPr>
          <w:rFonts w:hint="eastAsia" w:asciiTheme="minorEastAsia" w:hAnsiTheme="minorEastAsia" w:eastAsiaTheme="minorEastAsia" w:cstheme="minorEastAsia"/>
          <w:b/>
          <w:bCs/>
          <w:i w:val="0"/>
          <w:iCs w:val="0"/>
          <w:sz w:val="24"/>
          <w:szCs w:val="24"/>
          <w:highlight w:val="none"/>
          <w:u w:val="none"/>
        </w:rPr>
        <w:t>月</w:t>
      </w:r>
      <w:r>
        <w:rPr>
          <w:rFonts w:hint="eastAsia" w:asciiTheme="minorEastAsia" w:hAnsiTheme="minorEastAsia" w:eastAsiaTheme="minorEastAsia" w:cstheme="minorEastAsia"/>
          <w:b/>
          <w:bCs/>
          <w:i w:val="0"/>
          <w:iCs w:val="0"/>
          <w:sz w:val="24"/>
          <w:szCs w:val="24"/>
          <w:highlight w:val="none"/>
          <w:u w:val="single"/>
          <w:lang w:val="en-US" w:eastAsia="zh-CN"/>
        </w:rPr>
        <w:t>27</w:t>
      </w:r>
      <w:r>
        <w:rPr>
          <w:rFonts w:hint="eastAsia" w:asciiTheme="minorEastAsia" w:hAnsiTheme="minorEastAsia" w:eastAsiaTheme="minorEastAsia" w:cstheme="minorEastAsia"/>
          <w:b/>
          <w:bCs/>
          <w:i w:val="0"/>
          <w:iCs w:val="0"/>
          <w:sz w:val="24"/>
          <w:szCs w:val="24"/>
          <w:highlight w:val="none"/>
          <w:u w:val="none"/>
        </w:rPr>
        <w:t>日</w:t>
      </w:r>
      <w:r>
        <w:rPr>
          <w:rFonts w:hint="eastAsia" w:asciiTheme="minorEastAsia" w:hAnsiTheme="minorEastAsia" w:eastAsiaTheme="minorEastAsia" w:cstheme="minorEastAsia"/>
          <w:i w:val="0"/>
          <w:iCs w:val="0"/>
          <w:sz w:val="24"/>
          <w:szCs w:val="24"/>
          <w:highlight w:val="none"/>
        </w:rPr>
        <w:t>，每天上午00:00至12:00，下午12:00至23:59（北京时间，法定节假日除外）</w:t>
      </w:r>
    </w:p>
    <w:p>
      <w:pPr>
        <w:spacing w:line="360" w:lineRule="auto"/>
        <w:ind w:firstLine="540"/>
        <w:rPr>
          <w:rFonts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highlight w:val="none"/>
          <w:u w:val="none"/>
        </w:rPr>
        <w:t>地点：</w:t>
      </w:r>
      <w:r>
        <w:rPr>
          <w:rFonts w:hint="eastAsia" w:ascii="宋体" w:hAnsi="宋体" w:eastAsia="宋体"/>
          <w:color w:val="auto"/>
          <w:sz w:val="24"/>
          <w:szCs w:val="18"/>
          <w:highlight w:val="none"/>
          <w:u w:val="none"/>
        </w:rPr>
        <w:t>“徽采云”电子交易系统</w:t>
      </w:r>
    </w:p>
    <w:p>
      <w:pPr>
        <w:spacing w:line="360" w:lineRule="auto"/>
        <w:ind w:firstLine="540"/>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sz w:val="24"/>
          <w:szCs w:val="24"/>
          <w:highlight w:val="none"/>
          <w:u w:val="none"/>
        </w:rPr>
        <w:t>方式：</w:t>
      </w:r>
      <w:r>
        <w:rPr>
          <w:rFonts w:hint="eastAsia" w:ascii="宋体" w:hAnsi="宋体" w:eastAsia="宋体"/>
          <w:color w:val="auto"/>
          <w:sz w:val="24"/>
          <w:szCs w:val="18"/>
          <w:highlight w:val="none"/>
          <w:u w:val="none"/>
        </w:rPr>
        <w:t>1</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pPr>
        <w:spacing w:line="360" w:lineRule="auto"/>
        <w:ind w:firstLine="540"/>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rPr>
        <w:t>2</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采购文件获取过程中有任何疑问，请在工作时间（8：00-18:00节假日休息）拨打技术支持热线（非项目咨询）：95763。</w:t>
      </w:r>
    </w:p>
    <w:p>
      <w:pPr>
        <w:spacing w:line="360" w:lineRule="auto"/>
        <w:ind w:firstLine="540"/>
        <w:rPr>
          <w:rFonts w:hint="eastAsia" w:asciiTheme="minorEastAsia" w:hAnsiTheme="minorEastAsia" w:eastAsiaTheme="minorEastAsia" w:cstheme="minorEastAsia"/>
          <w:sz w:val="24"/>
          <w:szCs w:val="24"/>
          <w:highlight w:val="none"/>
          <w:u w:val="single"/>
        </w:rPr>
      </w:pPr>
      <w:r>
        <w:rPr>
          <w:rFonts w:hint="eastAsia" w:ascii="宋体" w:hAnsi="宋体" w:eastAsia="宋体"/>
          <w:color w:val="auto"/>
          <w:sz w:val="24"/>
          <w:szCs w:val="18"/>
          <w:highlight w:val="none"/>
          <w:u w:val="none"/>
        </w:rPr>
        <w:t>项目咨询请拨打电话：0551-65149581-657、18756962615。</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highlight w:val="none"/>
          <w:u w:val="none"/>
        </w:rPr>
      </w:pPr>
      <w:bookmarkStart w:id="10" w:name="_Toc5082"/>
      <w:r>
        <w:rPr>
          <w:rFonts w:hint="eastAsia" w:asciiTheme="minorEastAsia" w:hAnsiTheme="minorEastAsia" w:eastAsiaTheme="minorEastAsia" w:cstheme="minorEastAsia"/>
          <w:b/>
          <w:bCs w:val="0"/>
          <w:sz w:val="24"/>
          <w:szCs w:val="24"/>
          <w:highlight w:val="none"/>
          <w:u w:val="single"/>
          <w:lang w:val="en-US" w:eastAsia="zh-CN"/>
        </w:rPr>
        <w:t>2026</w:t>
      </w:r>
      <w:r>
        <w:rPr>
          <w:rFonts w:hint="eastAsia" w:asciiTheme="minorEastAsia" w:hAnsiTheme="minorEastAsia" w:eastAsiaTheme="minorEastAsia" w:cstheme="minorEastAsia"/>
          <w:b/>
          <w:bCs w:val="0"/>
          <w:sz w:val="24"/>
          <w:szCs w:val="24"/>
          <w:highlight w:val="none"/>
          <w:u w:val="none"/>
        </w:rPr>
        <w:t>年</w:t>
      </w:r>
      <w:r>
        <w:rPr>
          <w:rFonts w:hint="eastAsia" w:asciiTheme="minorEastAsia" w:hAnsiTheme="minorEastAsia" w:eastAsiaTheme="minorEastAsia" w:cstheme="minorEastAsia"/>
          <w:b/>
          <w:bCs w:val="0"/>
          <w:sz w:val="24"/>
          <w:szCs w:val="24"/>
          <w:highlight w:val="none"/>
          <w:u w:val="single"/>
          <w:lang w:val="en-US" w:eastAsia="zh-CN"/>
        </w:rPr>
        <w:t>03</w:t>
      </w:r>
      <w:r>
        <w:rPr>
          <w:rFonts w:hint="eastAsia" w:asciiTheme="minorEastAsia" w:hAnsiTheme="minorEastAsia" w:eastAsiaTheme="minorEastAsia" w:cstheme="minorEastAsia"/>
          <w:b/>
          <w:bCs w:val="0"/>
          <w:sz w:val="24"/>
          <w:szCs w:val="24"/>
          <w:highlight w:val="none"/>
          <w:u w:val="none"/>
        </w:rPr>
        <w:t>月</w:t>
      </w:r>
      <w:r>
        <w:rPr>
          <w:rFonts w:hint="eastAsia" w:asciiTheme="minorEastAsia" w:hAnsiTheme="minorEastAsia" w:eastAsiaTheme="minorEastAsia" w:cstheme="minorEastAsia"/>
          <w:b/>
          <w:bCs w:val="0"/>
          <w:sz w:val="24"/>
          <w:szCs w:val="24"/>
          <w:highlight w:val="none"/>
          <w:u w:val="single"/>
          <w:lang w:val="en-US" w:eastAsia="zh-CN"/>
        </w:rPr>
        <w:t>05</w:t>
      </w:r>
      <w:r>
        <w:rPr>
          <w:rFonts w:hint="eastAsia" w:asciiTheme="minorEastAsia" w:hAnsiTheme="minorEastAsia" w:eastAsiaTheme="minorEastAsia" w:cstheme="minorEastAsia"/>
          <w:b/>
          <w:bCs w:val="0"/>
          <w:sz w:val="24"/>
          <w:szCs w:val="24"/>
          <w:highlight w:val="none"/>
          <w:u w:val="none"/>
        </w:rPr>
        <w:t>日</w:t>
      </w:r>
      <w:r>
        <w:rPr>
          <w:rFonts w:hint="eastAsia" w:asciiTheme="minorEastAsia" w:hAnsiTheme="minorEastAsia" w:eastAsiaTheme="minorEastAsia" w:cstheme="minorEastAsia"/>
          <w:b/>
          <w:bCs w:val="0"/>
          <w:sz w:val="24"/>
          <w:szCs w:val="24"/>
          <w:highlight w:val="none"/>
          <w:u w:val="single"/>
          <w:lang w:val="en-US" w:eastAsia="zh-CN"/>
        </w:rPr>
        <w:t>14</w:t>
      </w:r>
      <w:r>
        <w:rPr>
          <w:rFonts w:hint="eastAsia" w:asciiTheme="minorEastAsia" w:hAnsiTheme="minorEastAsia" w:eastAsiaTheme="minorEastAsia" w:cstheme="minorEastAsia"/>
          <w:b/>
          <w:bCs w:val="0"/>
          <w:sz w:val="24"/>
          <w:szCs w:val="24"/>
          <w:highlight w:val="none"/>
          <w:u w:val="none"/>
        </w:rPr>
        <w:t>点</w:t>
      </w:r>
      <w:r>
        <w:rPr>
          <w:rFonts w:hint="eastAsia" w:asciiTheme="minorEastAsia" w:hAnsiTheme="minorEastAsia" w:eastAsiaTheme="minorEastAsia" w:cstheme="minorEastAsia"/>
          <w:b/>
          <w:bCs w:val="0"/>
          <w:sz w:val="24"/>
          <w:szCs w:val="24"/>
          <w:highlight w:val="none"/>
          <w:u w:val="single"/>
          <w:lang w:val="en-US" w:eastAsia="zh-CN"/>
        </w:rPr>
        <w:t>30</w:t>
      </w:r>
      <w:r>
        <w:rPr>
          <w:rFonts w:hint="eastAsia" w:asciiTheme="minorEastAsia" w:hAnsiTheme="minorEastAsia" w:eastAsiaTheme="minorEastAsia" w:cstheme="minorEastAsia"/>
          <w:b/>
          <w:bCs w:val="0"/>
          <w:sz w:val="24"/>
          <w:szCs w:val="24"/>
          <w:highlight w:val="none"/>
          <w:u w:val="none"/>
        </w:rPr>
        <w:t>分</w:t>
      </w:r>
      <w:r>
        <w:rPr>
          <w:rFonts w:hint="eastAsia" w:asciiTheme="minorEastAsia" w:hAnsiTheme="minorEastAsia" w:eastAsiaTheme="minorEastAsia" w:cstheme="minorEastAsia"/>
          <w:b/>
          <w:bCs w:val="0"/>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“徽采云”电子交易系统</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1.本项目落实节能环保、中小微型企业扶持等相关政府采购政策。</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2.本次招标公告在安徽省政府采购网上发布。</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3.投标人应合理安排招标文件获取时间，特别是网络速度慢的地区防止在系统关闭前网络拥堵无法操作。如果因计算机及网络故障造成无法完成招标文件获取，责任自负。</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4.投标文件的提交要求：投标人应当在投标文件提交截止时间前通过“徽采云”电子交易系统上传加密的电子投标文件，未在投标文件提交截止时间前完成上传的，视为逾期送达，拒绝接收。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5.项目采用全流程电子化采购方式，相关操作说明详情参见“安徽省政府采购网-徽采学院-电子交易系统学习专题-供应商-操作手册”，电子招投标的说明如下：</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5.1电子招投标：本项目以数据电文形式，依托“徽采云”电子交易系统进行招投标活动；</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5.2投标准备：注册账号--详情参见“徽采云”平台供应商注册与配置手册“第2章入驻操作流程”</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5.3招标文件的获取：使用CA登录“徽采云”电子交易系统；进入“项目采购”应用，在获取采购文件菜单中选择项目，获取招标文件；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5.4投标文件的制作：在“徽采云投标客户端”中完成“填写基本信息”、“制作和导入投标（响应）文件”、“标书关联”、“标书检查”、“电子签名”、“生成电子标书”等操作；</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5.5投标文件的上传：使用CA登录“徽采云”电子交易系统；进入“项目采购”应用，在投标文件上传菜单中选择项目，上传加密的投标文件（*.jmbs）；</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5.6投标文件的解密：投标人按照系统提示和招标文件规定,在规定时间内完成在线解密；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5.7“徽采云”电子交易系统具体操作指南：详见安徽省政府采购网-徽采学院-电子交易系统学习专题-供应商-操作手册。</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5.8 CA问题联系电话：安徽CA 400-880-4959；翔晟CA 0551-68105136。</w:t>
      </w:r>
    </w:p>
    <w:bookmarkEnd w:id="12"/>
    <w:p>
      <w:pPr>
        <w:spacing w:line="360" w:lineRule="auto"/>
        <w:ind w:firstLine="437"/>
        <w:outlineLvl w:val="1"/>
        <w:rPr>
          <w:rFonts w:hint="eastAsia" w:ascii="宋体" w:hAnsi="宋体" w:eastAsia="宋体"/>
          <w:b/>
          <w:bCs/>
          <w:color w:val="auto"/>
          <w:sz w:val="24"/>
          <w:szCs w:val="18"/>
          <w:highlight w:val="none"/>
        </w:rPr>
      </w:pPr>
      <w:bookmarkStart w:id="16" w:name="_Toc7265"/>
      <w:bookmarkStart w:id="17" w:name="_Toc3854"/>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：安徽职业技术大学</w:t>
      </w:r>
    </w:p>
    <w:p>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址：合肥市新站区文忠路2600号</w:t>
      </w:r>
    </w:p>
    <w:p>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联系人：王老师</w:t>
      </w:r>
    </w:p>
    <w:p>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cs="宋体"/>
          <w:sz w:val="24"/>
          <w:szCs w:val="24"/>
          <w:highlight w:val="none"/>
        </w:rPr>
        <w:t>0551-64680165</w:t>
      </w:r>
    </w:p>
    <w:p>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称：安徽中技工程咨询有限公司</w:t>
      </w:r>
    </w:p>
    <w:p>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址：合肥市合作化南路27号</w:t>
      </w:r>
    </w:p>
    <w:p>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联系人：王腾云、王垚</w:t>
      </w:r>
    </w:p>
    <w:p>
      <w:pPr>
        <w:spacing w:line="360" w:lineRule="auto"/>
        <w:ind w:firstLine="435"/>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联系方式：0551－65149581-656、18755110804</w:t>
      </w:r>
    </w:p>
    <w:p>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称：安徽省财政厅</w:t>
      </w:r>
    </w:p>
    <w:p>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址：安徽省合肥市阜南西路238号</w:t>
      </w:r>
    </w:p>
    <w:p>
      <w:pPr>
        <w:spacing w:line="360" w:lineRule="auto"/>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u w:val="none"/>
          <w:lang w:val="en-US" w:eastAsia="zh-CN"/>
        </w:rPr>
        <w:t>联系方式：0551-68150505</w:t>
      </w:r>
    </w:p>
    <w:p>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1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pPr>
        <w:spacing w:line="360" w:lineRule="auto"/>
        <w:jc w:val="center"/>
        <w:outlineLvl w:val="1"/>
        <w:rPr>
          <w:rFonts w:asciiTheme="minorEastAsia" w:hAnsiTheme="minorEastAsia" w:eastAsiaTheme="minorEastAsia"/>
          <w:b/>
          <w:color w:val="auto"/>
          <w:sz w:val="24"/>
          <w:highlight w:val="none"/>
        </w:rPr>
      </w:pPr>
      <w:bookmarkStart w:id="19" w:name="_Toc7178"/>
      <w:bookmarkStart w:id="20"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val="0"/>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pPr>
              <w:pStyle w:val="31"/>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02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23</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59</w:t>
            </w:r>
            <w:r>
              <w:rPr>
                <w:rFonts w:hint="eastAsia" w:ascii="宋体" w:hAnsi="宋体" w:eastAsia="宋体"/>
                <w:b w:val="0"/>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pPr>
              <w:pStyle w:val="31"/>
              <w:widowControl w:val="0"/>
              <w:spacing w:before="0" w:beforeAutospacing="0" w:after="0" w:afterAutospacing="0"/>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bCs/>
                <w:color w:val="auto"/>
                <w:sz w:val="24"/>
                <w:szCs w:val="18"/>
                <w:highlight w:val="none"/>
                <w:u w:val="single"/>
                <w:lang w:val="en-US" w:eastAsia="zh-CN"/>
              </w:rPr>
              <w:t>本项目兼投不兼中，已中标前次招标第1包：增材制造设备产线生产平台设备、第3包：增材制造设备产线材料分析设备、第4包：增材制造设备产线固废处理设备的中标人如参与本次招标，视为有效投标人，但不参加本项目评审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pPr>
              <w:spacing w:line="360" w:lineRule="auto"/>
              <w:rPr>
                <w:color w:val="auto"/>
                <w:highlight w:val="none"/>
              </w:rPr>
            </w:pPr>
            <w:r>
              <w:rPr>
                <w:rFonts w:hint="eastAsia" w:ascii="宋体" w:hAnsi="宋体" w:eastAsia="宋体"/>
                <w:bCs/>
                <w:color w:val="auto"/>
                <w:kern w:val="0"/>
                <w:sz w:val="24"/>
                <w:szCs w:val="28"/>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pPr>
              <w:pStyle w:val="3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rPr>
              <w:t>。</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不接受联合体投标</w:t>
            </w:r>
            <w:r>
              <w:rPr>
                <w:rFonts w:hint="eastAsia" w:ascii="宋体" w:hAnsi="宋体" w:eastAsia="宋体"/>
                <w:b w:val="0"/>
                <w:color w:val="auto"/>
                <w:sz w:val="24"/>
                <w:highlight w:val="none"/>
              </w:rPr>
              <w:t>。</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不允许分包</w:t>
            </w:r>
            <w:r>
              <w:rPr>
                <w:rFonts w:hint="eastAsia" w:ascii="宋体" w:hAnsi="宋体" w:eastAsia="宋体"/>
                <w:b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r>
              <w:rPr>
                <w:rFonts w:hint="eastAsia" w:ascii="宋体" w:hAnsi="宋体" w:eastAsia="宋体"/>
                <w:b w:val="0"/>
                <w:color w:val="auto"/>
                <w:sz w:val="24"/>
                <w:highlight w:val="none"/>
                <w:u w:val="none"/>
              </w:rPr>
              <w:t>；</w:t>
            </w:r>
          </w:p>
          <w:p>
            <w:pPr>
              <w:pStyle w:val="31"/>
              <w:widowControl w:val="0"/>
              <w:spacing w:before="0" w:beforeAutospacing="0" w:after="0" w:afterAutospacing="0" w:line="360" w:lineRule="auto"/>
              <w:jc w:val="both"/>
              <w:rPr>
                <w:rFonts w:hint="eastAsia" w:ascii="宋体" w:hAnsi="宋体" w:eastAsia="宋体"/>
                <w:b w:val="0"/>
                <w:bCs w:val="0"/>
                <w:color w:val="auto"/>
                <w:sz w:val="24"/>
                <w:szCs w:val="24"/>
                <w:highlight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hint="eastAsia" w:ascii="宋体" w:hAnsi="宋体" w:eastAsia="宋体"/>
                <w:b w:val="0"/>
                <w:bCs w:val="0"/>
                <w:color w:val="auto"/>
                <w:sz w:val="24"/>
                <w:szCs w:val="24"/>
                <w:highlight w:val="none"/>
                <w:lang w:eastAsia="zh-CN"/>
              </w:rPr>
            </w:pPr>
            <w:r>
              <w:rPr>
                <w:rFonts w:hint="eastAsia" w:ascii="宋体" w:hAnsi="宋体" w:eastAsia="宋体"/>
                <w:b w:val="0"/>
                <w:bCs w:val="0"/>
                <w:color w:val="auto"/>
                <w:sz w:val="24"/>
                <w:szCs w:val="24"/>
                <w:highlight w:val="none"/>
                <w:lang w:eastAsia="zh-CN"/>
              </w:rPr>
              <w:t>告知招标结果的形式</w:t>
            </w:r>
          </w:p>
        </w:tc>
        <w:tc>
          <w:tcPr>
            <w:tcW w:w="3244" w:type="pct"/>
            <w:vAlign w:val="center"/>
          </w:tcPr>
          <w:p>
            <w:pPr>
              <w:pStyle w:val="31"/>
              <w:widowControl w:val="0"/>
              <w:spacing w:before="0" w:beforeAutospacing="0" w:after="0" w:afterAutospacing="0" w:line="360" w:lineRule="auto"/>
              <w:jc w:val="both"/>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eastAsia="zh-CN"/>
              </w:rPr>
              <w:sym w:font="Wingdings" w:char="00FE"/>
            </w:r>
            <w:r>
              <w:rPr>
                <w:rFonts w:hint="eastAsia" w:ascii="宋体" w:hAnsi="宋体" w:eastAsia="宋体"/>
                <w:b w:val="0"/>
                <w:bCs w:val="0"/>
                <w:color w:val="auto"/>
                <w:sz w:val="24"/>
                <w:szCs w:val="24"/>
                <w:highlight w:val="none"/>
                <w:lang w:eastAsia="zh-CN"/>
              </w:rPr>
              <w:t>投标人自行登录电子</w:t>
            </w:r>
            <w:r>
              <w:rPr>
                <w:rFonts w:hint="eastAsia" w:ascii="宋体" w:hAnsi="宋体" w:eastAsia="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lang w:eastAsia="zh-CN"/>
              </w:rPr>
              <w:t>系统查看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pPr>
              <w:spacing w:line="360" w:lineRule="auto"/>
              <w:rPr>
                <w:rFonts w:ascii="宋体" w:hAnsi="宋体" w:eastAsia="宋体"/>
                <w:b/>
                <w:bCs/>
                <w:color w:val="auto"/>
                <w:kern w:val="0"/>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（1）收费对象：☑中标人</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（2）收取方式：☑转账/电汇</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color w:val="auto"/>
                <w:sz w:val="24"/>
                <w:highlight w:val="none"/>
              </w:rPr>
              <w:t>（3）收费标准：</w:t>
            </w:r>
            <w:r>
              <w:rPr>
                <w:rFonts w:hint="eastAsia" w:ascii="宋体" w:hAnsi="宋体" w:eastAsia="宋体"/>
                <w:b/>
                <w:bCs w:val="0"/>
                <w:color w:val="auto"/>
                <w:sz w:val="24"/>
                <w:highlight w:val="none"/>
              </w:rPr>
              <w:t>参照合肥市物价局（合价服[2009]216号）文件规定的“货物类”标准的80%收取，不足3500元的，按3500元收取。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pPr>
              <w:pStyle w:val="3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递交方式：书面形式</w:t>
            </w:r>
          </w:p>
          <w:p>
            <w:pPr>
              <w:pStyle w:val="3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接收部门：安徽中技工程咨询有限公司</w:t>
            </w:r>
          </w:p>
          <w:p>
            <w:pPr>
              <w:pStyle w:val="3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联系电话：0551-65149581转657、18756962615</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highlight w:val="none"/>
              </w:rPr>
              <w:t>通讯地址：安徽省合肥市合作化南路27号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pPr>
              <w:pStyle w:val="3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14880"/>
      <w:bookmarkStart w:id="22"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hint="eastAsia" w:asciiTheme="minorEastAsia" w:hAnsiTheme="minorEastAsia" w:eastAsiaTheme="minorEastAsia"/>
          <w:b/>
          <w:color w:val="auto"/>
          <w:sz w:val="28"/>
          <w:highlight w:val="none"/>
          <w:lang w:eastAsia="zh-CN"/>
        </w:rPr>
      </w:pPr>
      <w:bookmarkStart w:id="30" w:name="_Toc10891"/>
      <w:r>
        <w:rPr>
          <w:rFonts w:hint="eastAsia" w:asciiTheme="minorEastAsia" w:hAnsiTheme="minorEastAsia" w:eastAsiaTheme="minorEastAsia"/>
          <w:b/>
          <w:color w:val="auto"/>
          <w:sz w:val="28"/>
          <w:highlight w:val="none"/>
        </w:rPr>
        <w:t>第三章  采购需求</w:t>
      </w:r>
      <w:bookmarkEnd w:id="30"/>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pPr>
        <w:spacing w:line="360" w:lineRule="auto"/>
        <w:ind w:firstLine="437"/>
        <w:outlineLvl w:val="1"/>
        <w:rPr>
          <w:rFonts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中标人</w:t>
            </w:r>
            <w:r>
              <w:rPr>
                <w:rFonts w:hint="eastAsia" w:ascii="宋体" w:hAnsi="宋体" w:eastAsia="宋体"/>
                <w:b w:val="0"/>
                <w:color w:val="auto"/>
                <w:sz w:val="24"/>
                <w:highlight w:val="none"/>
                <w:u w:val="single"/>
              </w:rPr>
              <w:t>签订合同，完成供货、安装及调试，采购人及时组织验收，验收合格且收到</w:t>
            </w:r>
            <w:r>
              <w:rPr>
                <w:rFonts w:hint="eastAsia" w:ascii="宋体" w:hAnsi="宋体" w:eastAsia="宋体"/>
                <w:b w:val="0"/>
                <w:color w:val="auto"/>
                <w:sz w:val="24"/>
                <w:highlight w:val="none"/>
                <w:u w:val="single"/>
                <w:lang w:val="en-US" w:eastAsia="zh-CN"/>
              </w:rPr>
              <w:t>中标人</w:t>
            </w:r>
            <w:r>
              <w:rPr>
                <w:rFonts w:hint="eastAsia" w:ascii="宋体" w:hAnsi="宋体" w:eastAsia="宋体"/>
                <w:b w:val="0"/>
                <w:color w:val="auto"/>
                <w:sz w:val="24"/>
                <w:highlight w:val="none"/>
                <w:u w:val="single"/>
              </w:rPr>
              <w:t>发票7个工作日内一次性支付合同价款。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安徽职业技术大学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合同签订后30个日历日内完成供货及安装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三年</w:t>
            </w:r>
          </w:p>
        </w:tc>
      </w:tr>
    </w:tbl>
    <w:p>
      <w:pPr>
        <w:spacing w:line="360" w:lineRule="auto"/>
        <w:ind w:firstLine="437"/>
        <w:outlineLvl w:val="1"/>
        <w:rPr>
          <w:rFonts w:ascii="宋体" w:hAnsi="宋体" w:eastAsia="宋体"/>
          <w:b/>
          <w:bCs/>
          <w:color w:val="auto"/>
          <w:sz w:val="24"/>
          <w:szCs w:val="18"/>
          <w:highlight w:val="none"/>
        </w:rPr>
      </w:pPr>
      <w:bookmarkStart w:id="33" w:name="_Toc5944"/>
      <w:bookmarkStart w:id="34"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3"/>
      <w:bookmarkEnd w:id="34"/>
    </w:p>
    <w:p>
      <w:pPr>
        <w:pStyle w:val="5"/>
        <w:pageBreakBefore w:val="0"/>
        <w:kinsoku/>
        <w:wordWrap/>
        <w:overflowPunct/>
        <w:topLinePunct w:val="0"/>
        <w:bidi w:val="0"/>
        <w:snapToGrid/>
        <w:spacing w:before="312" w:beforeLines="100" w:after="312" w:afterLines="100" w:line="360" w:lineRule="auto"/>
        <w:textAlignment w:val="auto"/>
        <w:rPr>
          <w:rFonts w:hint="eastAsia" w:ascii="宋体" w:hAnsi="宋体" w:eastAsia="宋体" w:cs="宋体"/>
          <w:b w:val="0"/>
          <w:i w:val="0"/>
          <w:iCs w:val="0"/>
          <w:color w:val="auto"/>
          <w:sz w:val="24"/>
          <w:szCs w:val="24"/>
          <w:highlight w:val="none"/>
        </w:rPr>
      </w:pPr>
      <w:bookmarkStart w:id="35" w:name="_Toc7421"/>
      <w:bookmarkStart w:id="36" w:name="_Toc4843"/>
      <w:r>
        <w:rPr>
          <w:rFonts w:hint="eastAsia" w:ascii="宋体" w:hAnsi="宋体" w:eastAsia="宋体" w:cs="宋体"/>
          <w:b w:val="0"/>
          <w:i w:val="0"/>
          <w:iCs w:val="0"/>
          <w:color w:val="auto"/>
          <w:sz w:val="24"/>
          <w:szCs w:val="24"/>
          <w:highlight w:val="none"/>
        </w:rPr>
        <w:t>（一）货物指标重要性表述</w:t>
      </w:r>
    </w:p>
    <w:tbl>
      <w:tblPr>
        <w:tblStyle w:val="22"/>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406"/>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标识重要性</w:t>
            </w:r>
          </w:p>
        </w:tc>
        <w:tc>
          <w:tcPr>
            <w:tcW w:w="779"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标识符号</w:t>
            </w:r>
          </w:p>
        </w:tc>
        <w:tc>
          <w:tcPr>
            <w:tcW w:w="3130"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关键性指标项</w:t>
            </w:r>
          </w:p>
        </w:tc>
        <w:tc>
          <w:tcPr>
            <w:tcW w:w="779"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0"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不满足该指标项将导致投标无效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779"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p>
        </w:tc>
        <w:tc>
          <w:tcPr>
            <w:tcW w:w="3130"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评分项，每满足一项得4分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779" w:type="pct"/>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color w:val="FF0000"/>
                <w:sz w:val="24"/>
                <w:szCs w:val="24"/>
                <w:highlight w:val="none"/>
              </w:rPr>
            </w:pPr>
          </w:p>
        </w:tc>
        <w:tc>
          <w:tcPr>
            <w:tcW w:w="3130" w:type="pct"/>
            <w:vAlign w:val="center"/>
          </w:tcPr>
          <w:p>
            <w:pPr>
              <w:pStyle w:val="18"/>
              <w:pageBreakBefore w:val="0"/>
              <w:widowControl/>
              <w:kinsoku/>
              <w:wordWrap/>
              <w:overflowPunct/>
              <w:topLinePunct w:val="0"/>
              <w:bidi w:val="0"/>
              <w:snapToGrid/>
              <w:spacing w:line="360" w:lineRule="auto"/>
              <w:jc w:val="left"/>
              <w:textAlignment w:val="auto"/>
              <w:rPr>
                <w:rFonts w:hint="eastAsia" w:ascii="宋体" w:hAnsi="宋体" w:eastAsia="宋体" w:cs="宋体"/>
                <w:bCs/>
                <w:color w:val="FF0000"/>
                <w:sz w:val="24"/>
                <w:szCs w:val="24"/>
                <w:highlight w:val="none"/>
              </w:rPr>
            </w:pPr>
            <w:r>
              <w:rPr>
                <w:rFonts w:hint="eastAsia" w:ascii="宋体" w:hAnsi="宋体" w:eastAsia="宋体" w:cs="宋体"/>
                <w:bCs/>
                <w:sz w:val="24"/>
                <w:szCs w:val="24"/>
                <w:highlight w:val="none"/>
              </w:rPr>
              <w:t>无标识项5项及以上不满足将导致投标无效，</w:t>
            </w:r>
            <w:r>
              <w:rPr>
                <w:rFonts w:hint="eastAsia" w:ascii="宋体" w:hAnsi="宋体" w:eastAsia="宋体" w:cs="宋体"/>
                <w:sz w:val="24"/>
                <w:szCs w:val="24"/>
                <w:highlight w:val="none"/>
              </w:rPr>
              <w:t>投标人/供应商须在投标文件/响应文件中提供承诺，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投标文件/响应文件中未提供相应承诺或承诺的内容不满足要求的，投标/响应无效。</w:t>
            </w:r>
          </w:p>
        </w:tc>
      </w:tr>
    </w:tbl>
    <w:p>
      <w:pPr>
        <w:pStyle w:val="5"/>
        <w:pageBreakBefore w:val="0"/>
        <w:kinsoku/>
        <w:wordWrap/>
        <w:overflowPunct/>
        <w:topLinePunct w:val="0"/>
        <w:bidi w:val="0"/>
        <w:snapToGrid/>
        <w:spacing w:before="312" w:beforeLines="100" w:after="312" w:afterLines="100" w:line="360" w:lineRule="auto"/>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（二）技术参数及要求</w:t>
      </w:r>
    </w:p>
    <w:tbl>
      <w:tblPr>
        <w:tblStyle w:val="2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767"/>
        <w:gridCol w:w="4412"/>
        <w:gridCol w:w="1297"/>
        <w:gridCol w:w="1107"/>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90"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767"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货物名称</w:t>
            </w:r>
          </w:p>
        </w:tc>
        <w:tc>
          <w:tcPr>
            <w:tcW w:w="4412"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技术参数及要求</w:t>
            </w:r>
          </w:p>
        </w:tc>
        <w:tc>
          <w:tcPr>
            <w:tcW w:w="1297"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w:t>
            </w:r>
          </w:p>
        </w:tc>
        <w:tc>
          <w:tcPr>
            <w:tcW w:w="1107"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所属</w:t>
            </w:r>
          </w:p>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行业</w:t>
            </w:r>
          </w:p>
        </w:tc>
        <w:tc>
          <w:tcPr>
            <w:tcW w:w="765"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jc w:val="center"/>
        </w:trPr>
        <w:tc>
          <w:tcPr>
            <w:tcW w:w="490"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67"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bCs/>
                <w:sz w:val="24"/>
                <w:szCs w:val="24"/>
                <w:highlight w:val="none"/>
              </w:rPr>
              <w:t>激光显微拉曼光谱仪</w:t>
            </w:r>
          </w:p>
        </w:tc>
        <w:tc>
          <w:tcPr>
            <w:tcW w:w="4412" w:type="dxa"/>
          </w:tcPr>
          <w:p>
            <w:pPr>
              <w:snapToGrid w:val="0"/>
              <w:spacing w:line="360" w:lineRule="auto"/>
              <w:jc w:val="left"/>
              <w:rPr>
                <w:rFonts w:hint="eastAsia" w:ascii="仿宋" w:hAnsi="仿宋" w:eastAsia="仿宋" w:cs="仿宋"/>
                <w:sz w:val="24"/>
                <w:szCs w:val="32"/>
                <w:highlight w:val="none"/>
              </w:rPr>
            </w:pPr>
            <w:r>
              <w:rPr>
                <w:rFonts w:hint="eastAsia" w:ascii="仿宋" w:hAnsi="仿宋" w:eastAsia="仿宋" w:cs="仿宋"/>
                <w:b/>
                <w:bCs/>
                <w:sz w:val="24"/>
                <w:szCs w:val="32"/>
                <w:highlight w:val="none"/>
              </w:rPr>
              <w:t>主要技术指标</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1.532nm激光器，TEM00模，激光器功率：≥100 mW</w:t>
            </w:r>
          </w:p>
          <w:p>
            <w:pPr>
              <w:snapToGrid w:val="0"/>
              <w:spacing w:line="360" w:lineRule="auto"/>
              <w:ind w:firstLine="480" w:firstLineChars="200"/>
              <w:jc w:val="left"/>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sz w:val="24"/>
                <w:szCs w:val="32"/>
                <w:highlight w:val="none"/>
              </w:rPr>
              <w:t>2.科研级</w:t>
            </w:r>
            <w:r>
              <w:rPr>
                <w:rFonts w:hint="eastAsia" w:ascii="仿宋" w:hAnsi="仿宋" w:eastAsia="仿宋" w:cs="仿宋"/>
                <w:color w:val="000000" w:themeColor="text1"/>
                <w:sz w:val="24"/>
                <w:szCs w:val="32"/>
                <w:highlight w:val="none"/>
                <w14:textFill>
                  <w14:solidFill>
                    <w14:schemeClr w14:val="tx1"/>
                  </w14:solidFill>
                </w14:textFill>
              </w:rPr>
              <w:t>显微镜，落射式卤素灯明暗场照明(DMS型号)</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3.物镜配置：明场（SMS型号）：10X/0.3,WD≥10.9mm;100X/0.9,WD≥1mm，长工作距离物镜; 50X/0.55,WD≥7.9mm</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4.</w:t>
            </w:r>
            <w:r>
              <w:rPr>
                <w:rFonts w:hint="eastAsia" w:ascii="仿宋" w:hAnsi="仿宋" w:eastAsia="仿宋" w:cs="仿宋"/>
                <w:sz w:val="24"/>
                <w:szCs w:val="32"/>
                <w:highlight w:val="none"/>
              </w:rPr>
              <w:tab/>
            </w:r>
            <w:r>
              <w:rPr>
                <w:rFonts w:hint="eastAsia" w:ascii="仿宋" w:hAnsi="仿宋" w:eastAsia="仿宋" w:cs="仿宋"/>
                <w:sz w:val="24"/>
                <w:szCs w:val="32"/>
                <w:highlight w:val="none"/>
              </w:rPr>
              <w:t>■可升级电动样品位移台，可满足重复定位精度&lt;1um，步进≤50nm（需提供出厂检测报告用于验收，提供系统配置的电动位移台计量报告，不提供则不满足此项要求；提供内部测试方法和数据处理过程截图和图片亦可）</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5.■光路要求：激光光路置于显微镜照明器上方，以减小光程，提高设备稳定性。可观察激光光斑以及样品形貌，无裸露外置相机（</w:t>
            </w:r>
            <w:r>
              <w:rPr>
                <w:rFonts w:hint="eastAsia" w:ascii="仿宋" w:hAnsi="仿宋" w:eastAsia="仿宋" w:cs="仿宋"/>
                <w:b/>
                <w:bCs/>
                <w:sz w:val="24"/>
                <w:szCs w:val="32"/>
                <w:highlight w:val="none"/>
              </w:rPr>
              <w:t>提供具体的示意图片说明或者视频证明</w:t>
            </w:r>
            <w:r>
              <w:rPr>
                <w:rFonts w:hint="eastAsia" w:ascii="仿宋" w:hAnsi="仿宋" w:eastAsia="仿宋" w:cs="仿宋"/>
                <w:sz w:val="24"/>
                <w:szCs w:val="32"/>
                <w:highlight w:val="none"/>
              </w:rPr>
              <w:t>）</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6.光纤共焦技术，光谱仪与显微镜分体式，不拘泥于光谱仪位置，满足手套箱内使用等特殊场景,所有信号均在共焦下测得</w:t>
            </w:r>
          </w:p>
          <w:p>
            <w:pPr>
              <w:snapToGrid w:val="0"/>
              <w:spacing w:line="360" w:lineRule="auto"/>
              <w:ind w:firstLine="480" w:firstLineChars="200"/>
              <w:jc w:val="left"/>
              <w:rPr>
                <w:rFonts w:hint="eastAsia" w:ascii="仿宋" w:hAnsi="仿宋" w:eastAsia="仿宋" w:cs="仿宋"/>
                <w:b/>
                <w:bCs/>
                <w:sz w:val="24"/>
                <w:szCs w:val="32"/>
                <w:highlight w:val="none"/>
              </w:rPr>
            </w:pPr>
            <w:r>
              <w:rPr>
                <w:rFonts w:hint="eastAsia" w:ascii="仿宋" w:hAnsi="仿宋" w:eastAsia="仿宋" w:cs="仿宋"/>
                <w:sz w:val="24"/>
                <w:szCs w:val="32"/>
                <w:highlight w:val="none"/>
              </w:rPr>
              <w:t>7.■可升级空间光共焦或者针孔共焦</w:t>
            </w:r>
            <w:r>
              <w:rPr>
                <w:rFonts w:hint="eastAsia" w:ascii="仿宋" w:hAnsi="仿宋" w:eastAsia="仿宋" w:cs="仿宋"/>
                <w:b/>
                <w:bCs/>
                <w:sz w:val="24"/>
                <w:szCs w:val="32"/>
                <w:highlight w:val="none"/>
              </w:rPr>
              <w:t>（提供光纤共聚焦和针孔共聚焦同时存在的实物的照片）</w:t>
            </w:r>
          </w:p>
          <w:p>
            <w:pPr>
              <w:ind w:firstLine="360" w:firstLineChars="150"/>
              <w:rPr>
                <w:color w:val="000000" w:themeColor="text1"/>
                <w:highlight w:val="none"/>
                <w14:textFill>
                  <w14:solidFill>
                    <w14:schemeClr w14:val="tx1"/>
                  </w14:solidFill>
                </w14:textFill>
              </w:rPr>
            </w:pPr>
            <w:r>
              <w:rPr>
                <w:rFonts w:hint="eastAsia" w:ascii="仿宋" w:hAnsi="仿宋" w:eastAsia="仿宋" w:cs="仿宋"/>
                <w:sz w:val="24"/>
                <w:szCs w:val="32"/>
                <w:highlight w:val="none"/>
              </w:rPr>
              <w:t>8. ■使用</w:t>
            </w:r>
            <w:r>
              <w:rPr>
                <w:rFonts w:ascii="仿宋" w:hAnsi="仿宋" w:eastAsia="仿宋" w:cs="仿宋"/>
                <w:sz w:val="24"/>
                <w:szCs w:val="32"/>
                <w:highlight w:val="none"/>
              </w:rPr>
              <w:t>100X物镜时，100um</w:t>
            </w:r>
            <w:r>
              <w:rPr>
                <w:rFonts w:hint="eastAsia" w:ascii="仿宋" w:hAnsi="仿宋" w:eastAsia="仿宋" w:cs="仿宋"/>
                <w:sz w:val="24"/>
                <w:szCs w:val="32"/>
                <w:highlight w:val="none"/>
              </w:rPr>
              <w:t>光纤针孔下，</w:t>
            </w:r>
            <w:r>
              <w:rPr>
                <w:rFonts w:ascii="仿宋" w:hAnsi="仿宋" w:eastAsia="仿宋" w:cs="仿宋"/>
                <w:sz w:val="24"/>
                <w:szCs w:val="32"/>
                <w:highlight w:val="none"/>
              </w:rPr>
              <w:t>空间分辨率（532nm</w:t>
            </w:r>
            <w:r>
              <w:rPr>
                <w:rFonts w:hint="eastAsia" w:ascii="仿宋" w:hAnsi="仿宋" w:eastAsia="仿宋" w:cs="仿宋"/>
                <w:sz w:val="24"/>
                <w:szCs w:val="32"/>
                <w:highlight w:val="none"/>
              </w:rPr>
              <w:t>）好于横向</w:t>
            </w:r>
            <w:r>
              <w:rPr>
                <w:rFonts w:ascii="仿宋" w:hAnsi="仿宋" w:eastAsia="仿宋" w:cs="仿宋"/>
                <w:sz w:val="24"/>
                <w:szCs w:val="32"/>
                <w:highlight w:val="none"/>
              </w:rPr>
              <w:t>1 um</w:t>
            </w:r>
            <w:r>
              <w:rPr>
                <w:rFonts w:hint="eastAsia" w:ascii="仿宋" w:hAnsi="仿宋" w:eastAsia="仿宋" w:cs="仿宋"/>
                <w:sz w:val="24"/>
                <w:szCs w:val="32"/>
                <w:highlight w:val="none"/>
              </w:rPr>
              <w:t>（需要提供出厂报告用于验收，测试时使用锐利边缘的标准</w:t>
            </w:r>
            <w:r>
              <w:rPr>
                <w:rFonts w:ascii="仿宋" w:hAnsi="仿宋" w:eastAsia="仿宋" w:cs="仿宋"/>
                <w:sz w:val="24"/>
                <w:szCs w:val="32"/>
                <w:highlight w:val="none"/>
              </w:rPr>
              <w:t>MoS2</w:t>
            </w:r>
            <w:r>
              <w:rPr>
                <w:rFonts w:hint="eastAsia" w:ascii="仿宋" w:hAnsi="仿宋" w:eastAsia="仿宋" w:cs="仿宋"/>
                <w:sz w:val="24"/>
                <w:szCs w:val="32"/>
                <w:highlight w:val="none"/>
              </w:rPr>
              <w:t>或者单晶</w:t>
            </w:r>
            <w:r>
              <w:rPr>
                <w:rFonts w:ascii="仿宋" w:hAnsi="仿宋" w:eastAsia="仿宋" w:cs="仿宋"/>
                <w:sz w:val="24"/>
                <w:szCs w:val="32"/>
                <w:highlight w:val="none"/>
              </w:rPr>
              <w:t>Si</w:t>
            </w:r>
            <w:r>
              <w:rPr>
                <w:rFonts w:hint="eastAsia" w:ascii="仿宋" w:hAnsi="仿宋" w:eastAsia="仿宋" w:cs="仿宋"/>
                <w:sz w:val="24"/>
                <w:szCs w:val="32"/>
                <w:highlight w:val="none"/>
              </w:rPr>
              <w:t>样品做m</w:t>
            </w:r>
            <w:r>
              <w:rPr>
                <w:rFonts w:ascii="仿宋" w:hAnsi="仿宋" w:eastAsia="仿宋" w:cs="仿宋"/>
                <w:sz w:val="24"/>
                <w:szCs w:val="32"/>
                <w:highlight w:val="none"/>
              </w:rPr>
              <w:t>apping,</w:t>
            </w:r>
            <w:r>
              <w:rPr>
                <w:rFonts w:hint="eastAsia" w:ascii="仿宋" w:hAnsi="仿宋" w:eastAsia="仿宋" w:cs="仿宋"/>
                <w:sz w:val="24"/>
                <w:szCs w:val="32"/>
                <w:highlight w:val="none"/>
              </w:rPr>
              <w:t>对</w:t>
            </w:r>
            <w:r>
              <w:rPr>
                <w:rFonts w:ascii="仿宋" w:hAnsi="仿宋" w:eastAsia="仿宋" w:cs="仿宋"/>
                <w:sz w:val="24"/>
                <w:szCs w:val="32"/>
                <w:highlight w:val="none"/>
              </w:rPr>
              <w:t>mapping</w:t>
            </w:r>
            <w:r>
              <w:rPr>
                <w:rFonts w:hint="eastAsia" w:ascii="仿宋" w:hAnsi="仿宋" w:eastAsia="仿宋" w:cs="仿宋"/>
                <w:sz w:val="24"/>
                <w:szCs w:val="32"/>
                <w:highlight w:val="none"/>
              </w:rPr>
              <w:t>图像边缘部分做横切，得到强度与空间距离的台阶，台阶宽度即为空间分辨率（提供对应的数据处理过程文档不提供则此项不</w:t>
            </w:r>
            <w:r>
              <w:rPr>
                <w:rFonts w:hint="eastAsia" w:ascii="仿宋" w:hAnsi="仿宋" w:eastAsia="仿宋" w:cs="仿宋"/>
                <w:color w:val="auto"/>
                <w:sz w:val="24"/>
                <w:szCs w:val="32"/>
                <w:highlight w:val="none"/>
              </w:rPr>
              <w:t>满足要求）</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9.■拉曼频移范围：532nm激发 50-6000cm</w:t>
            </w:r>
            <w:r>
              <w:rPr>
                <w:rFonts w:hint="eastAsia" w:ascii="仿宋" w:hAnsi="仿宋" w:eastAsia="仿宋" w:cs="仿宋"/>
                <w:sz w:val="24"/>
                <w:szCs w:val="32"/>
                <w:highlight w:val="none"/>
                <w:vertAlign w:val="superscript"/>
              </w:rPr>
              <w:t>-1</w:t>
            </w:r>
            <w:r>
              <w:rPr>
                <w:rFonts w:hint="eastAsia" w:ascii="仿宋" w:hAnsi="仿宋" w:eastAsia="仿宋" w:cs="仿宋"/>
                <w:sz w:val="24"/>
                <w:szCs w:val="32"/>
                <w:highlight w:val="none"/>
              </w:rPr>
              <w:t>（</w:t>
            </w:r>
            <w:r>
              <w:rPr>
                <w:rFonts w:hint="eastAsia" w:ascii="仿宋" w:hAnsi="仿宋" w:eastAsia="仿宋" w:cs="仿宋"/>
                <w:b/>
                <w:bCs/>
                <w:sz w:val="24"/>
                <w:szCs w:val="32"/>
                <w:highlight w:val="none"/>
              </w:rPr>
              <w:t>提供实测数据截图</w:t>
            </w:r>
            <w:r>
              <w:rPr>
                <w:rFonts w:hint="eastAsia" w:ascii="仿宋" w:hAnsi="仿宋" w:eastAsia="仿宋" w:cs="仿宋"/>
                <w:sz w:val="24"/>
                <w:szCs w:val="32"/>
                <w:highlight w:val="none"/>
              </w:rPr>
              <w:t xml:space="preserve">） </w:t>
            </w:r>
          </w:p>
          <w:p>
            <w:pPr>
              <w:snapToGrid w:val="0"/>
              <w:spacing w:line="360" w:lineRule="auto"/>
              <w:ind w:firstLine="480" w:firstLineChars="200"/>
              <w:jc w:val="left"/>
              <w:rPr>
                <w:rFonts w:hint="eastAsia" w:ascii="仿宋" w:hAnsi="仿宋" w:eastAsia="仿宋" w:cs="仿宋"/>
                <w:sz w:val="24"/>
                <w:szCs w:val="32"/>
                <w:highlight w:val="none"/>
                <w:lang w:eastAsia="zh-CN"/>
              </w:rPr>
            </w:pPr>
            <w:r>
              <w:rPr>
                <w:rFonts w:hint="eastAsia" w:ascii="仿宋" w:hAnsi="仿宋" w:eastAsia="仿宋" w:cs="仿宋"/>
                <w:sz w:val="24"/>
                <w:szCs w:val="32"/>
                <w:highlight w:val="none"/>
              </w:rPr>
              <w:t>10.■低波数模块可选：可升级低波数拉曼（</w:t>
            </w:r>
            <w:r>
              <w:rPr>
                <w:rFonts w:hint="eastAsia" w:ascii="宋体" w:hAnsi="宋体" w:eastAsia="宋体" w:cs="宋体"/>
                <w:sz w:val="24"/>
                <w:szCs w:val="32"/>
                <w:highlight w:val="none"/>
              </w:rPr>
              <w:t>10</w:t>
            </w:r>
            <w:r>
              <w:rPr>
                <w:rFonts w:hint="eastAsia" w:ascii="仿宋" w:hAnsi="仿宋" w:eastAsia="仿宋" w:cs="仿宋"/>
                <w:sz w:val="24"/>
                <w:szCs w:val="32"/>
                <w:highlight w:val="none"/>
              </w:rPr>
              <w:t>cm</w:t>
            </w:r>
            <w:r>
              <w:rPr>
                <w:rFonts w:hint="eastAsia" w:ascii="仿宋" w:hAnsi="仿宋" w:eastAsia="仿宋" w:cs="仿宋"/>
                <w:sz w:val="24"/>
                <w:szCs w:val="32"/>
                <w:highlight w:val="none"/>
                <w:vertAlign w:val="superscript"/>
              </w:rPr>
              <w:t>-1</w:t>
            </w:r>
            <w:r>
              <w:rPr>
                <w:rFonts w:hint="eastAsia" w:ascii="仿宋" w:hAnsi="仿宋" w:eastAsia="仿宋" w:cs="仿宋"/>
                <w:sz w:val="24"/>
                <w:szCs w:val="32"/>
                <w:highlight w:val="none"/>
              </w:rPr>
              <w:t>）（供应商需要提供相关测试数据和承诺函</w:t>
            </w:r>
            <w:r>
              <w:rPr>
                <w:rFonts w:hint="eastAsia" w:ascii="仿宋" w:hAnsi="仿宋" w:eastAsia="仿宋" w:cs="仿宋"/>
                <w:sz w:val="24"/>
                <w:szCs w:val="32"/>
                <w:highlight w:val="none"/>
                <w:lang w:eastAsia="zh-CN"/>
              </w:rPr>
              <w:t>）</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11.★灵敏度：硅三阶拉曼峰的信噪比好于30:1，并能观察到四阶峰（检测条件：532nm激光器，100um狭缝宽度，50um像元尺寸，100X物镜（0.9NA），样品上激光功率10mW，积分时间300s，累积次数1,600刻线光栅）</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12.光谱仪焦长：不超过320mm</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13.光谱仪接口：单入口狭缝，CCD和狭缝出口，电动切换。侧面入口配置手动狭缝，10um-2.5mm软件可调</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14.光谱分辨率（半高宽）：  ≤ 2 cm</w:t>
            </w:r>
            <w:r>
              <w:rPr>
                <w:rFonts w:hint="eastAsia" w:ascii="仿宋" w:hAnsi="仿宋" w:eastAsia="仿宋" w:cs="仿宋"/>
                <w:sz w:val="24"/>
                <w:szCs w:val="32"/>
                <w:highlight w:val="none"/>
                <w:vertAlign w:val="superscript"/>
              </w:rPr>
              <w:t>-1</w:t>
            </w:r>
            <w:r>
              <w:rPr>
                <w:rFonts w:hint="eastAsia" w:ascii="仿宋" w:hAnsi="仿宋" w:eastAsia="仿宋" w:cs="仿宋"/>
                <w:sz w:val="24"/>
                <w:szCs w:val="32"/>
                <w:highlight w:val="none"/>
              </w:rPr>
              <w:t>, （测量氖灯线585.25nm半高宽）， 检测条件：在可见波段：采用氖灯测量，10X物镜，1800g/mm光栅，光栅在+1级条件下工作，狭缝宽度为10um。实验时将氖灯置于显微镜下，测量谱线为 585.25 nm ，全半高宽（FWHM）≤2cm</w:t>
            </w:r>
            <w:r>
              <w:rPr>
                <w:rFonts w:hint="eastAsia" w:ascii="仿宋" w:hAnsi="仿宋" w:eastAsia="仿宋" w:cs="仿宋"/>
                <w:sz w:val="24"/>
                <w:szCs w:val="32"/>
                <w:highlight w:val="none"/>
                <w:vertAlign w:val="superscript"/>
              </w:rPr>
              <w:t>-1</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15.配置三块光栅，一块1800g/mm光栅用于可见高分辨，一块600g/mm光栅用于通用测试，一块150g/mm光栅用于可见宽光谱，软件控制自动转换，无需校准</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16.★设备配置具有高像元分辨率的背照式深耗尽CCD相机，分辨率≥2000×256，量子效率在700nm-870nm区间处&gt;90%，CCD相机光谱范围：200 - 1100 nm ，最低制冷温度-60℃;</w:t>
            </w:r>
            <w:r>
              <w:rPr>
                <w:rFonts w:hint="eastAsia"/>
                <w:highlight w:val="none"/>
              </w:rPr>
              <w:t xml:space="preserve"> </w:t>
            </w:r>
            <w:r>
              <w:rPr>
                <w:rFonts w:hint="eastAsia" w:ascii="仿宋" w:hAnsi="仿宋" w:eastAsia="仿宋" w:cs="仿宋"/>
                <w:sz w:val="24"/>
                <w:szCs w:val="32"/>
                <w:highlight w:val="none"/>
              </w:rPr>
              <w:t>拉曼专用操作采集软件，可进行高刻线光栅（≥1800刻线）大光谱（100-3000波数）范围接谱，接缝无明显台阶。（要求提供视频证明</w:t>
            </w:r>
            <w:r>
              <w:rPr>
                <w:rFonts w:ascii="仿宋" w:hAnsi="仿宋" w:eastAsia="仿宋" w:cs="仿宋"/>
                <w:sz w:val="24"/>
                <w:szCs w:val="32"/>
                <w:highlight w:val="none"/>
              </w:rPr>
              <w:t>）</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17. ■软件可批量导入≥100份数据进行同步处理，可以对Mapping数据进行去基线、平滑等预处理；可以通过信号强度的积分、平均值、最大值等模式进行成像；可以对单峰及多峰进行多项式、差值、小波分解拟合；对输出的图像，可进行色表匹配等美化处理；可拟合计算N型半导体载流子浓度、应力、晶化率等（</w:t>
            </w:r>
            <w:r>
              <w:rPr>
                <w:rFonts w:hint="eastAsia" w:ascii="仿宋" w:hAnsi="仿宋" w:eastAsia="仿宋" w:cs="仿宋"/>
                <w:b/>
                <w:bCs/>
                <w:sz w:val="24"/>
                <w:szCs w:val="32"/>
                <w:highlight w:val="none"/>
              </w:rPr>
              <w:t>提供载流子浓度、应力和晶化率测试页面软件截图和演示视频</w:t>
            </w:r>
            <w:r>
              <w:rPr>
                <w:rFonts w:hint="eastAsia" w:ascii="仿宋" w:hAnsi="仿宋" w:eastAsia="仿宋" w:cs="仿宋"/>
                <w:sz w:val="24"/>
                <w:szCs w:val="32"/>
                <w:highlight w:val="none"/>
              </w:rPr>
              <w:t>）</w:t>
            </w:r>
          </w:p>
          <w:p>
            <w:pPr>
              <w:snapToGrid w:val="0"/>
              <w:spacing w:line="360" w:lineRule="auto"/>
              <w:ind w:firstLine="480" w:firstLineChars="200"/>
              <w:jc w:val="left"/>
              <w:rPr>
                <w:rFonts w:hint="eastAsia" w:ascii="仿宋" w:hAnsi="仿宋" w:eastAsia="仿宋" w:cs="仿宋"/>
                <w:sz w:val="24"/>
                <w:szCs w:val="32"/>
                <w:highlight w:val="none"/>
              </w:rPr>
            </w:pPr>
            <w:r>
              <w:rPr>
                <w:rFonts w:hint="eastAsia" w:ascii="仿宋" w:hAnsi="仿宋" w:eastAsia="仿宋" w:cs="仿宋"/>
                <w:sz w:val="24"/>
                <w:szCs w:val="32"/>
                <w:highlight w:val="none"/>
              </w:rPr>
              <w:t>18. ■</w:t>
            </w:r>
            <w:r>
              <w:rPr>
                <w:rFonts w:hint="eastAsia" w:ascii="仿宋" w:hAnsi="仿宋" w:eastAsia="仿宋" w:cs="仿宋"/>
                <w:color w:val="000000" w:themeColor="text1"/>
                <w:sz w:val="24"/>
                <w:szCs w:val="32"/>
                <w:highlight w:val="none"/>
                <w14:textFill>
                  <w14:solidFill>
                    <w14:schemeClr w14:val="tx1"/>
                  </w14:solidFill>
                </w14:textFill>
              </w:rPr>
              <w:t>可升级荧光光谱测试功能、荧光寿命测试功能、x射线荧光测试功能，（要求生产厂商具有辐射许可资质，并提</w:t>
            </w:r>
            <w:r>
              <w:rPr>
                <w:rFonts w:hint="eastAsia" w:ascii="仿宋" w:hAnsi="仿宋" w:eastAsia="仿宋" w:cs="仿宋"/>
                <w:sz w:val="24"/>
                <w:szCs w:val="32"/>
                <w:highlight w:val="none"/>
              </w:rPr>
              <w:t>供证书，不提供则不满足此项要求）</w:t>
            </w:r>
          </w:p>
          <w:p>
            <w:pPr>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仿宋" w:hAnsi="仿宋" w:eastAsia="仿宋" w:cs="仿宋"/>
                <w:sz w:val="24"/>
                <w:szCs w:val="32"/>
                <w:highlight w:val="none"/>
              </w:rPr>
              <w:t>19. 为保证产品质量，生产厂商须通过IS09001质量管理体系认证</w:t>
            </w:r>
          </w:p>
        </w:tc>
        <w:tc>
          <w:tcPr>
            <w:tcW w:w="1297"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1台</w:t>
            </w:r>
          </w:p>
        </w:tc>
        <w:tc>
          <w:tcPr>
            <w:tcW w:w="1107"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765" w:type="dxa"/>
            <w:vAlign w:val="center"/>
          </w:tcPr>
          <w:p>
            <w:pPr>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highlight w:val="none"/>
              </w:rPr>
            </w:pPr>
          </w:p>
        </w:tc>
      </w:tr>
    </w:tbl>
    <w:p>
      <w:pPr>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注：主要标的前标注“▲”符号。</w:t>
      </w:r>
    </w:p>
    <w:p>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三、安装调试、质保及售后服务要求</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免费送货上门，根据采购人要求安装、调试，确保正常使用。</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2.所有设备物品为全新产品，设备质保期三年。</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3、设备安装后</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免费对相关人员进行培训，并在免费质保期内每隔半年进行回访一次；采购人在使用设备时如有需要应及时安排技术人员免费进行指导。</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为学校教学、技能大赛免费提供指导教师等方面的服务。</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5.为保证产品质量及售后服务，供货时须按响应文件要求供货，否则采购人有权终止合同并上报安徽省公共资源交易监督管理局，由此产生的责任由</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全权承担。</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免费负责设备调试、安装。验收完成后的3年内若出现故障，</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负责免费维修，且在12小时内响应，24小时内到达现场提供服务。</w:t>
      </w:r>
    </w:p>
    <w:p>
      <w:pPr>
        <w:keepNext w:val="0"/>
        <w:keepLines w:val="0"/>
        <w:pageBreakBefore w:val="0"/>
        <w:kinsoku/>
        <w:wordWrap/>
        <w:overflowPunct/>
        <w:topLinePunct w:val="0"/>
        <w:autoSpaceDE/>
        <w:autoSpaceDN/>
        <w:bidi w:val="0"/>
        <w:snapToGrid/>
        <w:spacing w:line="360" w:lineRule="auto"/>
        <w:ind w:firstLine="482" w:firstLineChars="200"/>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四、报价要求</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报价要求包括货物及其附件的设计、采购、制造、检测、试验、运输、保险、仓储、税费以及现场落地、安装及安装耗损安装环境改造、调试、验收、培训、技术服务（包括技术资料、图纸的提供）质保期内的售后服务保障等所有费用。</w:t>
      </w:r>
    </w:p>
    <w:p>
      <w:pPr>
        <w:keepNext w:val="0"/>
        <w:keepLines w:val="0"/>
        <w:pageBreakBefore w:val="0"/>
        <w:kinsoku/>
        <w:wordWrap/>
        <w:overflowPunct/>
        <w:topLinePunct w:val="0"/>
        <w:autoSpaceDE/>
        <w:autoSpaceDN/>
        <w:bidi w:val="0"/>
        <w:snapToGrid/>
        <w:spacing w:line="360" w:lineRule="auto"/>
        <w:ind w:firstLine="482" w:firstLineChars="200"/>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五、</w:t>
      </w:r>
      <w:r>
        <w:rPr>
          <w:rFonts w:hint="eastAsia" w:ascii="宋体" w:hAnsi="宋体" w:eastAsia="宋体"/>
          <w:b/>
          <w:bCs/>
          <w:color w:val="auto"/>
          <w:sz w:val="24"/>
          <w:szCs w:val="18"/>
          <w:highlight w:val="none"/>
        </w:rPr>
        <w:t>其他要求</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1.设备要求</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由于拉曼信号较弱，因此拉曼光谱测试系统的灵敏度、可重复性、维修便捷性对于科学研究非常重要。为此，我们确定如下选型原则：</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1）仪器为优质品牌，性能先进稳定。</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2）仪器灵敏度高。</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3）仪器在保障灵敏度的前提下，重复性高。</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4）仪器自动化程度高，操作简便。</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5）价格上，性价比高。</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6）有优质完善的售后服务作为保障，国内有售后服务点最佳。</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eastAsia="zh-CN" w:bidi="ar"/>
        </w:rPr>
        <w:t>中标人</w:t>
      </w:r>
      <w:r>
        <w:rPr>
          <w:rFonts w:hint="eastAsia" w:ascii="宋体" w:hAnsi="宋体" w:eastAsia="宋体" w:cs="宋体"/>
          <w:color w:val="000000"/>
          <w:kern w:val="0"/>
          <w:sz w:val="24"/>
          <w:szCs w:val="24"/>
          <w:highlight w:val="none"/>
          <w:lang w:bidi="ar"/>
        </w:rPr>
        <w:t>应当提供现场培训服务：培训人员不少于3人，培训地点为采购人指定，培训时间不少于1个工作日，以技能培训为主，以参培教师学会使用设备及软件无问题为准，确保设备及软件到校安装调试后教师能够正常使用软件。</w:t>
      </w:r>
    </w:p>
    <w:p>
      <w:pPr>
        <w:keepNext w:val="0"/>
        <w:keepLines w:val="0"/>
        <w:pageBreakBefore w:val="0"/>
        <w:kinsoku/>
        <w:wordWrap/>
        <w:overflowPunct/>
        <w:topLinePunct w:val="0"/>
        <w:autoSpaceDE/>
        <w:autoSpaceDN/>
        <w:bidi w:val="0"/>
        <w:snapToGrid/>
        <w:spacing w:line="360" w:lineRule="auto"/>
        <w:ind w:firstLine="480" w:firstLineChars="200"/>
        <w:textAlignment w:val="auto"/>
        <w:outlineLvl w:val="1"/>
        <w:rPr>
          <w:rFonts w:hint="eastAsia" w:ascii="宋体" w:hAnsi="宋体" w:eastAsia="宋体"/>
          <w:b/>
          <w:bCs/>
          <w:color w:val="auto"/>
          <w:sz w:val="24"/>
          <w:szCs w:val="18"/>
          <w:highlight w:val="none"/>
          <w:lang w:eastAsia="zh-CN"/>
        </w:rPr>
      </w:pPr>
      <w:r>
        <w:rPr>
          <w:rFonts w:hint="eastAsia" w:ascii="宋体" w:hAnsi="宋体" w:eastAsia="宋体" w:cs="宋体"/>
          <w:color w:val="000000"/>
          <w:kern w:val="0"/>
          <w:sz w:val="24"/>
          <w:szCs w:val="24"/>
          <w:highlight w:val="none"/>
          <w:lang w:bidi="ar"/>
        </w:rPr>
        <w:t>3.采购人有权要求</w:t>
      </w:r>
      <w:r>
        <w:rPr>
          <w:rFonts w:hint="eastAsia" w:ascii="宋体" w:hAnsi="宋体" w:eastAsia="宋体" w:cs="宋体"/>
          <w:color w:val="000000"/>
          <w:kern w:val="0"/>
          <w:sz w:val="24"/>
          <w:szCs w:val="24"/>
          <w:highlight w:val="none"/>
          <w:lang w:eastAsia="zh-CN" w:bidi="ar"/>
        </w:rPr>
        <w:t>中标人</w:t>
      </w:r>
      <w:r>
        <w:rPr>
          <w:rFonts w:hint="eastAsia" w:ascii="宋体" w:hAnsi="宋体" w:eastAsia="宋体" w:cs="宋体"/>
          <w:color w:val="000000"/>
          <w:kern w:val="0"/>
          <w:sz w:val="24"/>
          <w:szCs w:val="24"/>
          <w:highlight w:val="none"/>
          <w:lang w:bidi="ar"/>
        </w:rPr>
        <w:t>在送货前到采购人处演示所有产品，若核验与招标文件技术参数要求不相符，则终止合同，并且以虚假应标嫌疑报送财政监管部门处理。</w:t>
      </w:r>
      <w:bookmarkEnd w:id="35"/>
      <w:bookmarkEnd w:id="36"/>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37" w:name="_Toc16417"/>
      <w:r>
        <w:rPr>
          <w:rFonts w:hint="eastAsia" w:asciiTheme="minorEastAsia" w:hAnsiTheme="minorEastAsia" w:eastAsiaTheme="minorEastAsia"/>
          <w:b/>
          <w:color w:val="auto"/>
          <w:sz w:val="28"/>
          <w:highlight w:val="none"/>
        </w:rPr>
        <w:t>第四章  评标方法和标准（综合评分法）</w:t>
      </w:r>
      <w:bookmarkEnd w:id="37"/>
    </w:p>
    <w:p>
      <w:pPr>
        <w:spacing w:line="360" w:lineRule="auto"/>
        <w:ind w:firstLine="437"/>
        <w:outlineLvl w:val="1"/>
        <w:rPr>
          <w:rFonts w:asciiTheme="minorEastAsia" w:hAnsiTheme="minorEastAsia" w:eastAsiaTheme="minorEastAsia"/>
          <w:b/>
          <w:color w:val="auto"/>
          <w:sz w:val="24"/>
          <w:highlight w:val="none"/>
        </w:rPr>
      </w:pPr>
      <w:bookmarkStart w:id="38" w:name="_Toc1246"/>
      <w:bookmarkStart w:id="39" w:name="_Toc11823"/>
      <w:r>
        <w:rPr>
          <w:rFonts w:hint="eastAsia" w:asciiTheme="minorEastAsia" w:hAnsiTheme="minorEastAsia" w:eastAsiaTheme="minorEastAsia"/>
          <w:b/>
          <w:color w:val="auto"/>
          <w:sz w:val="24"/>
          <w:highlight w:val="none"/>
        </w:rPr>
        <w:t>一、总则</w:t>
      </w:r>
      <w:bookmarkEnd w:id="38"/>
      <w:bookmarkEnd w:id="39"/>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pPr>
        <w:spacing w:line="360" w:lineRule="auto"/>
        <w:ind w:firstLine="437"/>
        <w:outlineLvl w:val="1"/>
        <w:rPr>
          <w:rFonts w:asciiTheme="minorEastAsia" w:hAnsiTheme="minorEastAsia" w:eastAsiaTheme="minorEastAsia"/>
          <w:b/>
          <w:color w:val="auto"/>
          <w:sz w:val="24"/>
          <w:highlight w:val="none"/>
        </w:rPr>
      </w:pPr>
      <w:bookmarkStart w:id="40" w:name="_Toc31871"/>
      <w:bookmarkStart w:id="41" w:name="_Toc13117"/>
      <w:r>
        <w:rPr>
          <w:rFonts w:hint="eastAsia" w:asciiTheme="minorEastAsia" w:hAnsiTheme="minorEastAsia" w:eastAsiaTheme="minorEastAsia"/>
          <w:b/>
          <w:color w:val="auto"/>
          <w:sz w:val="24"/>
          <w:highlight w:val="none"/>
        </w:rPr>
        <w:t>二、评标方法</w:t>
      </w:r>
      <w:bookmarkEnd w:id="40"/>
      <w:bookmarkEnd w:id="41"/>
    </w:p>
    <w:p>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61"/>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5"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5" w:type="pct"/>
            <w:vAlign w:val="center"/>
          </w:tcPr>
          <w:p>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5" w:type="pct"/>
            <w:vAlign w:val="center"/>
          </w:tcPr>
          <w:p>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3" w:type="pct"/>
            <w:tcBorders>
              <w:bottom w:val="single" w:color="auto" w:sz="4" w:space="0"/>
            </w:tcBorders>
            <w:vAlign w:val="top"/>
          </w:tcPr>
          <w:p>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highlight w:val="none"/>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5" w:type="pct"/>
            <w:tcBorders>
              <w:bottom w:val="single" w:color="auto" w:sz="4" w:space="0"/>
            </w:tcBorders>
            <w:vAlign w:val="center"/>
          </w:tcPr>
          <w:p>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center"/>
          </w:tcPr>
          <w:p>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603" w:type="pct"/>
            <w:tcBorders>
              <w:bottom w:val="single" w:color="auto" w:sz="4" w:space="0"/>
            </w:tcBorders>
            <w:vAlign w:val="center"/>
          </w:tcPr>
          <w:p>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spacing w:val="-2"/>
                <w:sz w:val="24"/>
                <w:szCs w:val="24"/>
                <w:highlight w:val="none"/>
              </w:rPr>
              <w:t>如有，见第一章《投标邀请》</w:t>
            </w:r>
          </w:p>
        </w:tc>
        <w:tc>
          <w:tcPr>
            <w:tcW w:w="1075" w:type="pct"/>
            <w:tcBorders>
              <w:bottom w:val="single" w:color="auto" w:sz="4" w:space="0"/>
            </w:tcBorders>
            <w:vAlign w:val="center"/>
          </w:tcPr>
          <w:p>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本项目对于联合</w:t>
            </w:r>
            <w:r>
              <w:rPr>
                <w:rFonts w:ascii="宋体" w:hAnsi="宋体" w:eastAsia="宋体" w:cs="宋体"/>
                <w:spacing w:val="-2"/>
                <w:sz w:val="24"/>
                <w:szCs w:val="24"/>
                <w:highlight w:val="none"/>
              </w:rPr>
              <w:t>体的要求</w:t>
            </w:r>
          </w:p>
        </w:tc>
        <w:tc>
          <w:tcPr>
            <w:tcW w:w="2603" w:type="pct"/>
            <w:tcBorders>
              <w:bottom w:val="single" w:color="auto" w:sz="4" w:space="0"/>
            </w:tcBorders>
            <w:vAlign w:val="center"/>
          </w:tcPr>
          <w:p>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2"/>
                <w:sz w:val="24"/>
                <w:szCs w:val="24"/>
                <w:highlight w:val="none"/>
                <w:lang w:val="en-US" w:eastAsia="zh-CN"/>
              </w:rPr>
              <w:t>本项目不接受联合体投标。</w:t>
            </w:r>
          </w:p>
        </w:tc>
        <w:tc>
          <w:tcPr>
            <w:tcW w:w="1075" w:type="pct"/>
            <w:tcBorders>
              <w:bottom w:val="single" w:color="auto" w:sz="4" w:space="0"/>
            </w:tcBorders>
            <w:vAlign w:val="center"/>
          </w:tcPr>
          <w:p>
            <w:pPr>
              <w:spacing w:after="50" w:line="360" w:lineRule="auto"/>
              <w:ind w:right="-10"/>
              <w:jc w:val="both"/>
              <w:rPr>
                <w:rFonts w:hint="eastAsia" w:ascii="宋体" w:hAnsi="宋体" w:eastAsia="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vAlign w:val="center"/>
          </w:tcPr>
          <w:p>
            <w:pPr>
              <w:spacing w:after="50" w:line="360" w:lineRule="auto"/>
              <w:ind w:right="-10"/>
              <w:jc w:val="both"/>
              <w:rPr>
                <w:rFonts w:hint="eastAsia" w:ascii="宋体" w:hAnsi="宋体" w:eastAsia="宋体" w:cs="宋体"/>
                <w:spacing w:val="10"/>
                <w:sz w:val="24"/>
                <w:szCs w:val="24"/>
                <w:highlight w:val="none"/>
                <w:lang w:eastAsia="zh-CN"/>
              </w:rPr>
            </w:pPr>
            <w:r>
              <w:rPr>
                <w:rFonts w:ascii="宋体" w:hAnsi="宋体" w:eastAsia="宋体" w:cs="宋体"/>
                <w:spacing w:val="10"/>
                <w:sz w:val="24"/>
                <w:szCs w:val="24"/>
                <w:highlight w:val="none"/>
              </w:rPr>
              <w:t>本项目的特定资格要求</w:t>
            </w:r>
          </w:p>
        </w:tc>
        <w:tc>
          <w:tcPr>
            <w:tcW w:w="2603" w:type="pct"/>
            <w:vAlign w:val="center"/>
          </w:tcPr>
          <w:p>
            <w:pPr>
              <w:spacing w:after="50" w:line="360" w:lineRule="auto"/>
              <w:ind w:right="-10"/>
              <w:jc w:val="both"/>
              <w:rPr>
                <w:rFonts w:ascii="宋体" w:hAnsi="宋体" w:eastAsia="宋体" w:cs="宋体"/>
                <w:spacing w:val="-2"/>
                <w:sz w:val="24"/>
                <w:szCs w:val="24"/>
                <w:highlight w:val="none"/>
              </w:rPr>
            </w:pPr>
            <w:r>
              <w:rPr>
                <w:rFonts w:ascii="宋体" w:hAnsi="宋体" w:eastAsia="宋体" w:cs="宋体"/>
                <w:spacing w:val="10"/>
                <w:sz w:val="24"/>
                <w:szCs w:val="24"/>
                <w:highlight w:val="none"/>
              </w:rPr>
              <w:t>如有，见第一章《投标邀请》</w:t>
            </w:r>
          </w:p>
        </w:tc>
        <w:tc>
          <w:tcPr>
            <w:tcW w:w="1075" w:type="pct"/>
            <w:vAlign w:val="center"/>
          </w:tcPr>
          <w:p>
            <w:pPr>
              <w:spacing w:after="50" w:line="360" w:lineRule="auto"/>
              <w:ind w:right="-1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p>
        </w:tc>
      </w:tr>
    </w:tbl>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2.3</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投标</w:t>
      </w:r>
      <w:r>
        <w:rPr>
          <w:rFonts w:hint="eastAsia" w:asciiTheme="minorEastAsia" w:hAnsiTheme="minorEastAsia" w:eastAsiaTheme="minorEastAsia"/>
          <w:sz w:val="24"/>
          <w:highlight w:val="none"/>
        </w:rPr>
        <w:t>审查</w:t>
      </w:r>
    </w:p>
    <w:p>
      <w:pPr>
        <w:spacing w:line="360" w:lineRule="auto"/>
        <w:outlineLvl w:val="2"/>
        <w:rPr>
          <w:rFonts w:hint="eastAsia" w:asciiTheme="minorEastAsia" w:hAnsiTheme="minorEastAsia" w:eastAsiaTheme="minorEastAsia"/>
          <w:sz w:val="24"/>
          <w:highlight w:val="none"/>
        </w:rPr>
      </w:pP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（4）评标委员会基于专业判断，认为投标人报价过低，有可能影响产品质量或者不能诚信履约的其他情形。</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pPr>
              <w:pStyle w:val="7"/>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关于推动解决政府采购异常低价问题的通知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pPr>
        <w:spacing w:line="360" w:lineRule="auto"/>
        <w:ind w:firstLine="480" w:firstLineChars="200"/>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highlight w:val="none"/>
          <w:lang w:val="en-US" w:eastAsia="zh-CN"/>
        </w:rPr>
        <w:t>（3）</w:t>
      </w:r>
      <w:r>
        <w:rPr>
          <w:rFonts w:hint="eastAsia" w:ascii="宋体" w:hAnsi="宋体" w:eastAsia="宋体" w:cs="Arial"/>
          <w:sz w:val="24"/>
          <w:highlight w:val="none"/>
          <w:lang w:val="en-US" w:eastAsia="zh-CN"/>
        </w:rPr>
        <w:t>项情形，投标人已随投标文件一并提交相关书面说明及必要的证明材料的，在评审现场可不再重复提交。</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highlight w:val="none"/>
          <w:lang w:val="en-US" w:eastAsia="zh-CN"/>
        </w:rPr>
        <w:t>无效投标</w:t>
      </w:r>
      <w:r>
        <w:rPr>
          <w:rFonts w:hint="eastAsia" w:ascii="宋体" w:hAnsi="宋体" w:eastAsia="宋体" w:cs="Arial"/>
          <w:sz w:val="24"/>
          <w:highlight w:val="none"/>
          <w:lang w:val="en-US" w:eastAsia="zh-CN"/>
        </w:rPr>
        <w:t>处理。</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有关互联网浏览、查询历史一并归档。</w:t>
      </w:r>
    </w:p>
    <w:p>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720"/>
        <w:gridCol w:w="3745"/>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sz w:val="24"/>
                <w:szCs w:val="24"/>
                <w:highlight w:val="none"/>
              </w:rPr>
              <w:t>所投产品技术参数及要求响应情况</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所投产品完全满足或优于招标文件中“技术参数及要求”的，得32分（该项总分）。其中：</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1、标注“■”的条款32分（重要指标分值），每满足一项加4分；</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2、无标识项5项及以上不满足将导致投标无效。</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000000"/>
                <w:kern w:val="0"/>
                <w:sz w:val="24"/>
                <w:szCs w:val="24"/>
                <w:highlight w:val="none"/>
                <w:lang w:bidi="ar"/>
              </w:rPr>
              <w:t>注：以投标响应表和“技术参数及要求”中要求提供的证明材料作为评审依据。</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18"/>
                <w:highlight w:val="none"/>
                <w:u w:val="single"/>
              </w:rPr>
              <w:t>32</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sz w:val="24"/>
                <w:szCs w:val="24"/>
                <w:highlight w:val="none"/>
              </w:rPr>
              <w:t>供货安装及培训</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根据投标人提供的科研仪器设备供货安装及培训方案情况由评标委员会进行评分：</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1、供货安装及培训方案内容完整且详细，有利于项目实施的，针对性、可行性、实用性强，得3分；</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2、供货安装及培训方案内容完整，满足项目需求的，具有针对性、可行性和实用性，得2分；</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3、供货安装及培训方案不完整，内容有</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待完善的，得0分。</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售后服务和维保方案</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根据投标人提供的售后服务管理制度、故障响应时间、保障措施、维保方式、维保内容、质保期满后的维保费用、时间保证等情况由评标委员会进行综合评分：</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1、售后服务与维保方案内容完整且详细，针对性、可行性、实用性强，得3分；</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2、售后服务与维保方案内容完整，具有针对性、可行性和实用性，得2分；</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3、售后服务与维保方案内容简单待完善，明显复制通用的售后服务与维保方案，得0分。</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投标人业绩</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自202</w:t>
            </w:r>
            <w:r>
              <w:rPr>
                <w:rFonts w:hint="eastAsia" w:ascii="宋体" w:hAnsi="宋体" w:eastAsia="宋体" w:cs="宋体"/>
                <w:bCs/>
                <w:color w:val="000000"/>
                <w:kern w:val="0"/>
                <w:sz w:val="24"/>
                <w:szCs w:val="24"/>
                <w:highlight w:val="none"/>
                <w:lang w:val="en-US" w:eastAsia="zh-CN" w:bidi="ar"/>
              </w:rPr>
              <w:t>3</w:t>
            </w:r>
            <w:r>
              <w:rPr>
                <w:rFonts w:hint="eastAsia" w:ascii="宋体" w:hAnsi="宋体" w:eastAsia="宋体" w:cs="宋体"/>
                <w:bCs/>
                <w:color w:val="000000"/>
                <w:kern w:val="0"/>
                <w:sz w:val="24"/>
                <w:szCs w:val="24"/>
                <w:highlight w:val="none"/>
                <w:lang w:bidi="ar"/>
              </w:rPr>
              <w:t>年01月01日以来（以合同签订时间为准），具有采购需求中标注</w:t>
            </w:r>
            <w:r>
              <w:rPr>
                <w:rFonts w:hint="eastAsia" w:ascii="宋体" w:hAnsi="宋体" w:eastAsia="宋体" w:cs="宋体"/>
                <w:b/>
                <w:sz w:val="24"/>
                <w:szCs w:val="24"/>
                <w:highlight w:val="none"/>
              </w:rPr>
              <w:t>▲</w:t>
            </w:r>
            <w:r>
              <w:rPr>
                <w:rFonts w:hint="eastAsia" w:ascii="宋体" w:hAnsi="宋体" w:eastAsia="宋体" w:cs="宋体"/>
                <w:bCs/>
                <w:color w:val="000000"/>
                <w:kern w:val="0"/>
                <w:sz w:val="24"/>
                <w:szCs w:val="24"/>
                <w:highlight w:val="none"/>
                <w:lang w:bidi="ar"/>
              </w:rPr>
              <w:t>的同类产品供货及安装项目业绩的，业绩为产品业绩或者投标人业绩。每个业绩得1分，最高得2分。</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注：</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1、项目业绩中的产品品牌、种类须与所投标注</w:t>
            </w:r>
            <w:r>
              <w:rPr>
                <w:rFonts w:hint="eastAsia" w:ascii="宋体" w:hAnsi="宋体" w:eastAsia="宋体" w:cs="宋体"/>
                <w:b/>
                <w:sz w:val="24"/>
                <w:szCs w:val="24"/>
                <w:highlight w:val="none"/>
              </w:rPr>
              <w:t>▲</w:t>
            </w:r>
            <w:r>
              <w:rPr>
                <w:rFonts w:hint="eastAsia" w:ascii="宋体" w:hAnsi="宋体" w:eastAsia="宋体" w:cs="宋体"/>
                <w:bCs/>
                <w:color w:val="000000"/>
                <w:kern w:val="0"/>
                <w:sz w:val="24"/>
                <w:szCs w:val="24"/>
                <w:highlight w:val="none"/>
                <w:lang w:bidi="ar"/>
              </w:rPr>
              <w:t>的产品一致（型号可不一致），否则该业绩不予认可；</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2、投标文件中提供业绩合同和验收证明材料，若合同或验收证明材料中无法体现签订时间、产品品牌种类、供货内容等关键评审因素的，须同时提供业主（合同甲方）证明材料，否则该业绩无效。</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综合评价</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根据投标人所投产品的技术先进性、设备性能、稳定性、性价比、市场美誉度、环保节能性等情况由评标委员会进评分：</w:t>
            </w:r>
          </w:p>
          <w:p>
            <w:pPr>
              <w:spacing w:line="360" w:lineRule="auto"/>
              <w:rPr>
                <w:rFonts w:hint="eastAsia" w:ascii="宋体" w:hAnsi="宋体" w:eastAsia="宋体" w:cs="宋体"/>
                <w:bCs/>
                <w:color w:val="000000"/>
                <w:kern w:val="0"/>
                <w:sz w:val="24"/>
                <w:szCs w:val="24"/>
                <w:highlight w:val="none"/>
                <w:lang w:eastAsia="zh-CN" w:bidi="ar"/>
              </w:rPr>
            </w:pPr>
            <w:r>
              <w:rPr>
                <w:rFonts w:hint="eastAsia" w:ascii="宋体" w:hAnsi="宋体" w:eastAsia="宋体" w:cs="宋体"/>
                <w:bCs/>
                <w:color w:val="000000"/>
                <w:kern w:val="0"/>
                <w:sz w:val="24"/>
                <w:szCs w:val="24"/>
                <w:highlight w:val="none"/>
                <w:lang w:bidi="ar"/>
              </w:rPr>
              <w:t>1、综合评价情况产品选型、配置与项目匹配度高，技术先进（产品自身技术优势明显），得4分；</w:t>
            </w:r>
          </w:p>
          <w:p>
            <w:pPr>
              <w:spacing w:line="360" w:lineRule="auto"/>
              <w:rPr>
                <w:rFonts w:hint="eastAsia" w:ascii="宋体" w:hAnsi="宋体" w:eastAsia="宋体" w:cs="宋体"/>
                <w:bCs/>
                <w:color w:val="000000"/>
                <w:kern w:val="0"/>
                <w:sz w:val="24"/>
                <w:szCs w:val="24"/>
                <w:highlight w:val="none"/>
                <w:lang w:eastAsia="zh-CN" w:bidi="ar"/>
              </w:rPr>
            </w:pPr>
            <w:r>
              <w:rPr>
                <w:rFonts w:hint="eastAsia" w:ascii="宋体" w:hAnsi="宋体" w:eastAsia="宋体" w:cs="宋体"/>
                <w:bCs/>
                <w:color w:val="000000"/>
                <w:kern w:val="0"/>
                <w:sz w:val="24"/>
                <w:szCs w:val="24"/>
                <w:highlight w:val="none"/>
                <w:lang w:bidi="ar"/>
              </w:rPr>
              <w:t>2、综合评价情况产品选型、配置与项目匹配，无明显技术优势，得2分；</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3、综合评价情况产品选型、配置与项目匹配度低，无技术优势，得0分。</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4</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相关认证</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投标人具备有效的经中国国家认证认可监督管理委员会认证机构颁发的：</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（1）质量管理体系认证证书；</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（2）环境管理体系认证证书；</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（3）职业健康安全管理体系认证证书；</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（4）售后服务认证证书</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注：每提供一项得1分，满分4分，投标文件中须同时提供下列证明材料，未提供或提供不全的不得分：</w:t>
            </w:r>
          </w:p>
          <w:p>
            <w:pPr>
              <w:spacing w:line="360" w:lineRule="auto"/>
              <w:rPr>
                <w:rFonts w:hint="eastAsia"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（1）提供认证证书原件扫描件；</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000000"/>
                <w:kern w:val="0"/>
                <w:sz w:val="24"/>
                <w:szCs w:val="24"/>
                <w:highlight w:val="none"/>
                <w:lang w:bidi="ar"/>
              </w:rPr>
              <w:t>（2）中国国家认证认可监督管理委员会官网查询截图。</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4</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bookmarkStart w:id="93" w:name="_GoBack"/>
            <w:r>
              <w:rPr>
                <w:rFonts w:hint="eastAsia" w:ascii="宋体" w:hAnsi="宋体" w:eastAsia="宋体" w:cs="宋体"/>
                <w:sz w:val="24"/>
                <w:highlight w:val="none"/>
              </w:rPr>
              <w:t>厂家服务</w:t>
            </w:r>
            <w:bookmarkEnd w:id="93"/>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sz w:val="24"/>
                <w:highlight w:val="none"/>
              </w:rPr>
              <w:t>质保期内及超出质保期后能继续提供原厂售后服务每增加一年加0.5分，满分2分。</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tcBorders>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hint="eastAsia" w:asciiTheme="minorEastAsia" w:hAnsiTheme="minorEastAsia" w:eastAsiaTheme="minorEastAsia"/>
          <w:b/>
          <w:color w:val="auto"/>
          <w:sz w:val="28"/>
          <w:highlight w:val="none"/>
          <w:lang w:eastAsia="zh-CN"/>
        </w:rPr>
      </w:pPr>
      <w:bookmarkStart w:id="42"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2"/>
    </w:p>
    <w:p>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pPr>
        <w:pStyle w:val="8"/>
        <w:rPr>
          <w:rFonts w:hint="eastAsia" w:ascii="宋体" w:hAnsi="宋体" w:eastAsia="宋体" w:cs="宋体"/>
          <w:b/>
          <w:bCs/>
          <w:spacing w:val="-20"/>
          <w:kern w:val="44"/>
          <w:sz w:val="24"/>
          <w:szCs w:val="24"/>
          <w:highlight w:val="none"/>
        </w:rPr>
      </w:pPr>
    </w:p>
    <w:p>
      <w:pPr>
        <w:pStyle w:val="8"/>
        <w:rPr>
          <w:rFonts w:hint="eastAsia" w:ascii="宋体" w:hAnsi="宋体" w:eastAsia="宋体" w:cs="宋体"/>
          <w:b/>
          <w:bCs/>
          <w:spacing w:val="-20"/>
          <w:kern w:val="44"/>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pPr>
        <w:pStyle w:val="8"/>
        <w:pageBreakBefore w:val="0"/>
        <w:kinsoku/>
        <w:wordWrap/>
        <w:overflowPunct/>
        <w:topLinePunct w:val="0"/>
        <w:bidi w:val="0"/>
        <w:spacing w:line="360" w:lineRule="auto"/>
        <w:textAlignment w:val="auto"/>
        <w:rPr>
          <w:rFonts w:hint="eastAsia"/>
          <w:highlight w:val="none"/>
        </w:rPr>
      </w:pPr>
    </w:p>
    <w:p>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明</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1.本合同标准文本适用于购买现成货物的采购项目，不包括需要供应商定制开发、创新研发的货物采购项目。</w:t>
      </w:r>
    </w:p>
    <w:p>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2.本合同标准文本为政府采购货物买卖合同编制提供参考，可以结合采购项目具体情况，对文本作必要的调整修订后使用。</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3.本合同标准文本各条款中，如涉及填写多家供应商、制造商，多种采购标的、分包主要内容等信息的，可根据采购项目具体情况添加信息项。</w:t>
      </w:r>
    </w:p>
    <w:p>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43"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43"/>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文件约定的合同甲方）</w:t>
      </w:r>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val="en-US" w:eastAsia="zh-CN"/>
        </w:rPr>
        <w:t>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pPr>
        <w:pStyle w:val="5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分散采购</w:t>
      </w:r>
    </w:p>
    <w:p>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pPr>
        <w:pStyle w:val="5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pPr>
        <w:pStyle w:val="59"/>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6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4" w:name="_Toc27624"/>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第二节 政府采购合同通用条款</w:t>
      </w:r>
      <w:bookmarkEnd w:id="44"/>
    </w:p>
    <w:p>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pPr>
        <w:pStyle w:val="59"/>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5"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5"/>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pPr>
        <w:pStyle w:val="5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6" w:name="_Toc20313"/>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46"/>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pPr>
              <w:pStyle w:val="59"/>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pPr>
        <w:rPr>
          <w:rFonts w:hint="eastAsia" w:ascii="宋体" w:hAnsi="宋体" w:eastAsia="宋体" w:cs="宋体"/>
          <w:sz w:val="24"/>
          <w:szCs w:val="24"/>
          <w:highlight w:val="none"/>
        </w:rPr>
      </w:pPr>
    </w:p>
    <w:p>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pPr>
        <w:spacing w:line="360" w:lineRule="auto"/>
        <w:jc w:val="center"/>
        <w:outlineLvl w:val="0"/>
        <w:rPr>
          <w:rFonts w:asciiTheme="minorEastAsia" w:hAnsiTheme="minorEastAsia" w:eastAsiaTheme="minorEastAsia"/>
          <w:b/>
          <w:color w:val="auto"/>
          <w:sz w:val="28"/>
          <w:highlight w:val="none"/>
        </w:rPr>
      </w:pPr>
      <w:bookmarkStart w:id="47" w:name="_Toc22492"/>
      <w:r>
        <w:rPr>
          <w:rFonts w:hint="eastAsia" w:asciiTheme="minorEastAsia" w:hAnsiTheme="minorEastAsia" w:eastAsiaTheme="minorEastAsia"/>
          <w:b/>
          <w:color w:val="auto"/>
          <w:sz w:val="28"/>
          <w:highlight w:val="none"/>
        </w:rPr>
        <w:t>第六章  投标文件格式</w:t>
      </w:r>
      <w:bookmarkEnd w:id="47"/>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1"/>
        <w:rPr>
          <w:rFonts w:asciiTheme="minorEastAsia" w:hAnsiTheme="minorEastAsia" w:eastAsiaTheme="minorEastAsia"/>
          <w:b/>
          <w:color w:val="auto"/>
          <w:sz w:val="72"/>
          <w:highlight w:val="none"/>
        </w:rPr>
      </w:pPr>
      <w:bookmarkStart w:id="48" w:name="_Toc651"/>
      <w:r>
        <w:rPr>
          <w:rFonts w:hint="eastAsia" w:asciiTheme="minorEastAsia" w:hAnsiTheme="minorEastAsia" w:eastAsiaTheme="minorEastAsia"/>
          <w:b/>
          <w:color w:val="auto"/>
          <w:sz w:val="72"/>
          <w:highlight w:val="none"/>
        </w:rPr>
        <w:t>投</w:t>
      </w:r>
      <w:bookmarkEnd w:id="48"/>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1"/>
        <w:rPr>
          <w:rFonts w:asciiTheme="minorEastAsia" w:hAnsiTheme="minorEastAsia" w:eastAsiaTheme="minorEastAsia"/>
          <w:b/>
          <w:color w:val="auto"/>
          <w:sz w:val="72"/>
          <w:highlight w:val="none"/>
        </w:rPr>
      </w:pPr>
      <w:bookmarkStart w:id="49" w:name="_Toc6148"/>
      <w:r>
        <w:rPr>
          <w:rFonts w:hint="eastAsia" w:asciiTheme="minorEastAsia" w:hAnsiTheme="minorEastAsia" w:eastAsiaTheme="minorEastAsia"/>
          <w:b/>
          <w:color w:val="auto"/>
          <w:sz w:val="72"/>
          <w:highlight w:val="none"/>
        </w:rPr>
        <w:t>标</w:t>
      </w:r>
      <w:bookmarkEnd w:id="49"/>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1"/>
        <w:rPr>
          <w:rFonts w:asciiTheme="minorEastAsia" w:hAnsiTheme="minorEastAsia" w:eastAsiaTheme="minorEastAsia"/>
          <w:b/>
          <w:color w:val="auto"/>
          <w:sz w:val="72"/>
          <w:highlight w:val="none"/>
        </w:rPr>
      </w:pPr>
      <w:bookmarkStart w:id="50" w:name="_Toc1338"/>
      <w:r>
        <w:rPr>
          <w:rFonts w:hint="eastAsia" w:asciiTheme="minorEastAsia" w:hAnsiTheme="minorEastAsia" w:eastAsiaTheme="minorEastAsia"/>
          <w:b/>
          <w:color w:val="auto"/>
          <w:sz w:val="72"/>
          <w:highlight w:val="none"/>
        </w:rPr>
        <w:t>文</w:t>
      </w:r>
      <w:bookmarkEnd w:id="50"/>
    </w:p>
    <w:p>
      <w:pPr>
        <w:spacing w:line="900" w:lineRule="exact"/>
        <w:jc w:val="center"/>
        <w:rPr>
          <w:rFonts w:asciiTheme="minorEastAsia" w:hAnsiTheme="minorEastAsia" w:eastAsiaTheme="minorEastAsia"/>
          <w:b/>
          <w:color w:val="auto"/>
          <w:sz w:val="72"/>
          <w:highlight w:val="none"/>
        </w:rPr>
      </w:pPr>
    </w:p>
    <w:p>
      <w:pPr>
        <w:jc w:val="center"/>
        <w:outlineLvl w:val="1"/>
        <w:rPr>
          <w:rFonts w:asciiTheme="minorEastAsia" w:hAnsiTheme="minorEastAsia" w:eastAsiaTheme="minorEastAsia"/>
          <w:b/>
          <w:color w:val="auto"/>
          <w:sz w:val="72"/>
          <w:highlight w:val="none"/>
        </w:rPr>
      </w:pPr>
      <w:bookmarkStart w:id="51" w:name="_Toc10796"/>
      <w:r>
        <w:rPr>
          <w:rFonts w:hint="eastAsia" w:asciiTheme="minorEastAsia" w:hAnsiTheme="minorEastAsia" w:eastAsiaTheme="minorEastAsia"/>
          <w:b/>
          <w:color w:val="auto"/>
          <w:sz w:val="72"/>
          <w:highlight w:val="none"/>
        </w:rPr>
        <w:t>件</w:t>
      </w:r>
      <w:bookmarkEnd w:id="51"/>
    </w:p>
    <w:p>
      <w:pPr>
        <w:spacing w:after="156" w:afterLines="50"/>
        <w:jc w:val="center"/>
        <w:rPr>
          <w:rFonts w:asciiTheme="minorEastAsia" w:hAnsiTheme="minorEastAsia" w:eastAsiaTheme="minorEastAsia"/>
          <w:b/>
          <w:color w:val="auto"/>
          <w:sz w:val="72"/>
          <w:highlight w:val="none"/>
        </w:rPr>
      </w:pPr>
    </w:p>
    <w:p>
      <w:pPr>
        <w:spacing w:before="156" w:beforeLines="50" w:after="156" w:afterLines="50"/>
        <w:jc w:val="center"/>
        <w:outlineLvl w:val="9"/>
        <w:rPr>
          <w:rFonts w:asciiTheme="minorEastAsia" w:hAnsiTheme="minorEastAsia" w:eastAsiaTheme="minorEastAsia"/>
          <w:b/>
          <w:color w:val="auto"/>
          <w:sz w:val="32"/>
          <w:szCs w:val="32"/>
          <w:highlight w:val="none"/>
        </w:rPr>
      </w:pPr>
    </w:p>
    <w:p>
      <w:pPr>
        <w:spacing w:before="156" w:beforeLines="50" w:after="156" w:afterLines="50"/>
        <w:jc w:val="center"/>
        <w:outlineLvl w:val="9"/>
        <w:rPr>
          <w:rFonts w:asciiTheme="minorEastAsia" w:hAnsiTheme="minorEastAsia" w:eastAsiaTheme="minorEastAsia"/>
          <w:b/>
          <w:color w:val="auto"/>
          <w:sz w:val="32"/>
          <w:szCs w:val="32"/>
          <w:highlight w:val="none"/>
        </w:rPr>
      </w:pPr>
    </w:p>
    <w:p>
      <w:pPr>
        <w:spacing w:after="156" w:afterLines="50" w:line="500" w:lineRule="exact"/>
        <w:jc w:val="center"/>
        <w:rPr>
          <w:rFonts w:asciiTheme="minorEastAsia" w:hAnsiTheme="minorEastAsia" w:eastAsiaTheme="minorEastAsia"/>
          <w:b/>
          <w:color w:val="auto"/>
          <w:sz w:val="28"/>
          <w:szCs w:val="28"/>
          <w:highlight w:val="none"/>
        </w:rPr>
      </w:pPr>
    </w:p>
    <w:p>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2" w:name="_Toc8037"/>
      <w:bookmarkStart w:id="53"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2"/>
      <w:bookmarkEnd w:id="53"/>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54" w:name="_Toc5555"/>
      <w:bookmarkStart w:id="55" w:name="_Toc28960"/>
      <w:r>
        <w:rPr>
          <w:rFonts w:hint="eastAsia" w:asciiTheme="minorEastAsia" w:hAnsiTheme="minorEastAsia" w:eastAsiaTheme="minorEastAsia"/>
          <w:b/>
          <w:color w:val="auto"/>
          <w:sz w:val="24"/>
          <w:highlight w:val="none"/>
        </w:rPr>
        <w:t>一、开标一览表</w:t>
      </w:r>
      <w:bookmarkEnd w:id="54"/>
      <w:bookmarkEnd w:id="55"/>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pPr>
              <w:spacing w:line="360" w:lineRule="auto"/>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pPr>
              <w:spacing w:line="360" w:lineRule="auto"/>
              <w:jc w:val="left"/>
              <w:rPr>
                <w:rFonts w:asciiTheme="minorEastAsia" w:hAnsiTheme="minorEastAsia" w:eastAsiaTheme="minorEastAsia"/>
                <w:color w:val="auto"/>
                <w:sz w:val="24"/>
                <w:szCs w:val="28"/>
                <w:highlight w:val="none"/>
              </w:rPr>
            </w:pPr>
          </w:p>
        </w:tc>
      </w:tr>
    </w:tbl>
    <w:p>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pPr>
        <w:spacing w:line="360" w:lineRule="auto"/>
        <w:rPr>
          <w:rFonts w:asciiTheme="minorEastAsia" w:hAnsiTheme="minorEastAsia" w:eastAsiaTheme="minorEastAsia"/>
          <w:color w:val="auto"/>
          <w:sz w:val="24"/>
          <w:highlight w:val="none"/>
        </w:rPr>
      </w:pPr>
    </w:p>
    <w:p>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56" w:name="_Toc18010"/>
      <w:bookmarkStart w:id="57" w:name="_Toc6441"/>
      <w:r>
        <w:rPr>
          <w:rFonts w:hint="eastAsia" w:asciiTheme="minorEastAsia" w:hAnsiTheme="minorEastAsia" w:eastAsiaTheme="minorEastAsia"/>
          <w:b/>
          <w:color w:val="auto"/>
          <w:sz w:val="24"/>
          <w:highlight w:val="none"/>
        </w:rPr>
        <w:t>二、投标函</w:t>
      </w:r>
      <w:bookmarkEnd w:id="56"/>
      <w:bookmarkEnd w:id="57"/>
    </w:p>
    <w:p>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800" w:firstLineChars="2000"/>
        <w:rPr>
          <w:rFonts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pPr>
        <w:spacing w:line="360" w:lineRule="auto"/>
        <w:jc w:val="center"/>
        <w:outlineLvl w:val="1"/>
        <w:rPr>
          <w:rFonts w:hint="eastAsia" w:asciiTheme="minorEastAsia" w:hAnsiTheme="minorEastAsia" w:eastAsiaTheme="minorEastAsia"/>
          <w:b/>
          <w:color w:val="auto"/>
          <w:sz w:val="24"/>
          <w:highlight w:val="none"/>
        </w:rPr>
      </w:pPr>
      <w:bookmarkStart w:id="58" w:name="_Toc1328"/>
      <w:r>
        <w:rPr>
          <w:rFonts w:hint="eastAsia" w:asciiTheme="minorEastAsia" w:hAnsiTheme="minorEastAsia" w:eastAsiaTheme="minorEastAsia"/>
          <w:b/>
          <w:color w:val="auto"/>
          <w:sz w:val="24"/>
          <w:highlight w:val="none"/>
          <w:lang w:val="en-US" w:eastAsia="zh-CN"/>
        </w:rPr>
        <w:t>三．投标人资格声明书</w:t>
      </w:r>
      <w:bookmarkEnd w:id="58"/>
      <w:r>
        <w:rPr>
          <w:rFonts w:hint="eastAsia" w:asciiTheme="minorEastAsia" w:hAnsiTheme="minorEastAsia" w:eastAsiaTheme="minorEastAsia"/>
          <w:b/>
          <w:color w:val="auto"/>
          <w:sz w:val="24"/>
          <w:highlight w:val="none"/>
          <w:lang w:val="en-US" w:eastAsia="zh-CN"/>
        </w:rPr>
        <w:t xml:space="preserve"> </w:t>
      </w:r>
    </w:p>
    <w:p>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pPr>
        <w:pStyle w:val="8"/>
        <w:rPr>
          <w:rFonts w:hint="eastAsia" w:asciiTheme="minorEastAsia" w:hAnsiTheme="minorEastAsia" w:eastAsiaTheme="minorEastAsia" w:cstheme="minorEastAsia"/>
          <w:color w:val="000000"/>
          <w:kern w:val="0"/>
          <w:sz w:val="24"/>
          <w:szCs w:val="24"/>
          <w:highlight w:val="none"/>
          <w:lang w:val="en-US" w:eastAsia="zh-CN" w:bidi="ar"/>
        </w:rPr>
      </w:pPr>
    </w:p>
    <w:p>
      <w:pPr>
        <w:pStyle w:val="8"/>
        <w:rPr>
          <w:rFonts w:hint="eastAsia" w:asciiTheme="minorEastAsia" w:hAnsiTheme="minorEastAsia" w:eastAsiaTheme="minorEastAsia" w:cstheme="minorEastAsia"/>
          <w:color w:val="000000"/>
          <w:kern w:val="0"/>
          <w:sz w:val="24"/>
          <w:szCs w:val="24"/>
          <w:highlight w:val="none"/>
          <w:lang w:val="en-US" w:eastAsia="zh-CN" w:bidi="ar"/>
        </w:rPr>
      </w:pPr>
    </w:p>
    <w:p>
      <w:pPr>
        <w:pStyle w:val="8"/>
        <w:rPr>
          <w:rFonts w:hint="eastAsia" w:asciiTheme="minorEastAsia" w:hAnsiTheme="minorEastAsia" w:eastAsiaTheme="minorEastAsia" w:cstheme="minorEastAsia"/>
          <w:color w:val="000000"/>
          <w:kern w:val="0"/>
          <w:sz w:val="24"/>
          <w:szCs w:val="24"/>
          <w:highlight w:val="none"/>
          <w:lang w:val="en-US" w:eastAsia="zh-CN" w:bidi="ar"/>
        </w:rPr>
      </w:pPr>
    </w:p>
    <w:p>
      <w:pPr>
        <w:rPr>
          <w:rFonts w:hint="eastAsia" w:asciiTheme="minorEastAsia" w:hAnsiTheme="minorEastAsia" w:eastAsiaTheme="minorEastAsia"/>
          <w:b/>
          <w:color w:val="auto"/>
          <w:sz w:val="24"/>
          <w:highlight w:val="none"/>
        </w:rPr>
      </w:pPr>
      <w:bookmarkStart w:id="59" w:name="_Toc11607"/>
      <w:r>
        <w:rPr>
          <w:rFonts w:hint="eastAsia" w:asciiTheme="minorEastAsia" w:hAnsiTheme="minorEastAsia" w:eastAsiaTheme="minorEastAsia"/>
          <w:b/>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60" w:name="_Toc16960"/>
      <w:r>
        <w:rPr>
          <w:rFonts w:hint="eastAsia" w:asciiTheme="minorEastAsia" w:hAnsiTheme="minorEastAsia" w:eastAsiaTheme="minorEastAsia"/>
          <w:b/>
          <w:color w:val="auto"/>
          <w:sz w:val="24"/>
          <w:highlight w:val="none"/>
        </w:rPr>
        <w:t>四、授权书</w:t>
      </w:r>
      <w:bookmarkEnd w:id="59"/>
      <w:bookmarkEnd w:id="60"/>
    </w:p>
    <w:p>
      <w:pPr>
        <w:pStyle w:val="11"/>
        <w:snapToGrid w:val="0"/>
        <w:spacing w:line="360" w:lineRule="auto"/>
        <w:ind w:firstLine="480" w:firstLineChars="200"/>
        <w:jc w:val="left"/>
        <w:rPr>
          <w:rFonts w:hAnsi="宋体" w:eastAsia="宋体"/>
          <w:color w:val="auto"/>
          <w:sz w:val="24"/>
          <w:szCs w:val="28"/>
          <w:highlight w:val="none"/>
        </w:rPr>
      </w:pPr>
    </w:p>
    <w:p>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spacing w:line="360" w:lineRule="auto"/>
        <w:ind w:firstLine="435"/>
        <w:rPr>
          <w:rFonts w:hAnsi="宋体" w:eastAsia="宋体"/>
          <w:color w:val="auto"/>
          <w:sz w:val="24"/>
          <w:szCs w:val="28"/>
          <w:highlight w:val="none"/>
          <w:lang w:val="zh-CN"/>
        </w:rPr>
      </w:pPr>
    </w:p>
    <w:p>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pPr>
        <w:spacing w:line="360" w:lineRule="auto"/>
        <w:rPr>
          <w:rFonts w:ascii="宋体" w:hAnsi="宋体" w:eastAsia="宋体"/>
          <w:color w:val="auto"/>
          <w:sz w:val="24"/>
          <w:szCs w:val="28"/>
          <w:highlight w:val="none"/>
        </w:rPr>
      </w:pPr>
    </w:p>
    <w:p>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1" w:name="_Toc6796"/>
      <w:bookmarkStart w:id="62" w:name="_Toc31991"/>
      <w:r>
        <w:rPr>
          <w:rFonts w:hint="eastAsia" w:asciiTheme="minorEastAsia" w:hAnsiTheme="minorEastAsia" w:eastAsiaTheme="minorEastAsia"/>
          <w:b/>
          <w:color w:val="auto"/>
          <w:sz w:val="24"/>
          <w:highlight w:val="none"/>
        </w:rPr>
        <w:t>五、投标分项报价表</w:t>
      </w:r>
      <w:bookmarkEnd w:id="61"/>
      <w:bookmarkEnd w:id="62"/>
    </w:p>
    <w:p>
      <w:pPr>
        <w:pStyle w:val="39"/>
        <w:jc w:val="left"/>
        <w:rPr>
          <w:rFonts w:hint="default" w:ascii="宋体" w:hAnsi="宋体" w:eastAsia="宋体"/>
          <w:b/>
          <w:bCs/>
          <w:highlight w:val="none"/>
          <w:lang w:val="en-US" w:eastAsia="zh-CN"/>
        </w:rPr>
      </w:pPr>
      <w:r>
        <w:rPr>
          <w:rFonts w:hint="eastAsia" w:ascii="宋体" w:hAnsi="宋体" w:eastAsia="宋体"/>
          <w:b/>
          <w:bCs/>
          <w:highlight w:val="none"/>
          <w:lang w:val="en-US" w:eastAsia="zh-CN"/>
        </w:rPr>
        <w:t>5-1货物部分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pPr>
              <w:pStyle w:val="31"/>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货物名称</w:t>
            </w:r>
          </w:p>
        </w:tc>
        <w:tc>
          <w:tcPr>
            <w:tcW w:w="772"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品牌、型</w:t>
            </w:r>
          </w:p>
          <w:p>
            <w:pPr>
              <w:jc w:val="center"/>
              <w:rPr>
                <w:rFonts w:ascii="宋体" w:hAnsi="宋体" w:eastAsia="宋体"/>
                <w:b/>
                <w:sz w:val="24"/>
                <w:highlight w:val="none"/>
              </w:rPr>
            </w:pPr>
            <w:r>
              <w:rPr>
                <w:rFonts w:hint="eastAsia" w:ascii="宋体" w:hAnsi="宋体" w:eastAsia="宋体"/>
                <w:b/>
                <w:sz w:val="24"/>
                <w:highlight w:val="none"/>
              </w:rPr>
              <w:t>号规格</w:t>
            </w:r>
          </w:p>
        </w:tc>
        <w:tc>
          <w:tcPr>
            <w:tcW w:w="772"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原产地及</w:t>
            </w:r>
          </w:p>
          <w:p>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数量</w:t>
            </w:r>
          </w:p>
        </w:tc>
        <w:tc>
          <w:tcPr>
            <w:tcW w:w="551"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单价</w:t>
            </w:r>
          </w:p>
          <w:p>
            <w:pPr>
              <w:jc w:val="center"/>
              <w:rPr>
                <w:rFonts w:ascii="宋体" w:hAnsi="宋体" w:eastAsia="宋体"/>
                <w:b/>
                <w:sz w:val="24"/>
                <w:highlight w:val="none"/>
              </w:rPr>
            </w:pPr>
            <w:r>
              <w:rPr>
                <w:rFonts w:hint="eastAsia" w:ascii="宋体" w:hAnsi="宋体" w:eastAsia="宋体"/>
                <w:b/>
                <w:sz w:val="24"/>
                <w:highlight w:val="none"/>
              </w:rPr>
              <w:t>（元）</w:t>
            </w:r>
          </w:p>
        </w:tc>
        <w:tc>
          <w:tcPr>
            <w:tcW w:w="551"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小计</w:t>
            </w:r>
          </w:p>
          <w:p>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pPr>
              <w:rPr>
                <w:rFonts w:ascii="宋体" w:hAnsi="宋体" w:eastAsia="宋体"/>
                <w:sz w:val="24"/>
                <w:highlight w:val="none"/>
              </w:rPr>
            </w:pPr>
          </w:p>
        </w:tc>
        <w:tc>
          <w:tcPr>
            <w:tcW w:w="772" w:type="pct"/>
            <w:noWrap w:val="0"/>
            <w:vAlign w:val="top"/>
          </w:tcPr>
          <w:p>
            <w:pPr>
              <w:rPr>
                <w:rFonts w:ascii="宋体" w:hAnsi="宋体" w:eastAsia="宋体"/>
                <w:sz w:val="24"/>
                <w:highlight w:val="none"/>
              </w:rPr>
            </w:pPr>
          </w:p>
        </w:tc>
        <w:tc>
          <w:tcPr>
            <w:tcW w:w="772"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551" w:type="pct"/>
            <w:noWrap w:val="0"/>
            <w:vAlign w:val="top"/>
          </w:tcPr>
          <w:p>
            <w:pPr>
              <w:rPr>
                <w:rFonts w:ascii="宋体" w:hAnsi="宋体" w:eastAsia="宋体"/>
                <w:sz w:val="24"/>
                <w:highlight w:val="none"/>
              </w:rPr>
            </w:pPr>
          </w:p>
        </w:tc>
        <w:tc>
          <w:tcPr>
            <w:tcW w:w="551" w:type="pct"/>
            <w:noWrap w:val="0"/>
            <w:vAlign w:val="top"/>
          </w:tcPr>
          <w:p>
            <w:pPr>
              <w:rPr>
                <w:rFonts w:ascii="宋体" w:hAnsi="宋体" w:eastAsia="宋体"/>
                <w:sz w:val="24"/>
                <w:highlight w:val="none"/>
              </w:rPr>
            </w:pPr>
          </w:p>
        </w:tc>
        <w:tc>
          <w:tcPr>
            <w:tcW w:w="393" w:type="pct"/>
            <w:noWrap w:val="0"/>
            <w:vAlign w:val="top"/>
          </w:tcPr>
          <w:p>
            <w:pPr>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pPr>
              <w:rPr>
                <w:rFonts w:ascii="宋体" w:hAnsi="宋体" w:eastAsia="宋体"/>
                <w:sz w:val="24"/>
                <w:highlight w:val="none"/>
              </w:rPr>
            </w:pPr>
          </w:p>
        </w:tc>
        <w:tc>
          <w:tcPr>
            <w:tcW w:w="772" w:type="pct"/>
            <w:noWrap w:val="0"/>
            <w:vAlign w:val="top"/>
          </w:tcPr>
          <w:p>
            <w:pPr>
              <w:rPr>
                <w:rFonts w:ascii="宋体" w:hAnsi="宋体" w:eastAsia="宋体"/>
                <w:sz w:val="24"/>
                <w:highlight w:val="none"/>
              </w:rPr>
            </w:pPr>
          </w:p>
        </w:tc>
        <w:tc>
          <w:tcPr>
            <w:tcW w:w="772"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551" w:type="pct"/>
            <w:noWrap w:val="0"/>
            <w:vAlign w:val="top"/>
          </w:tcPr>
          <w:p>
            <w:pPr>
              <w:rPr>
                <w:rFonts w:ascii="宋体" w:hAnsi="宋体" w:eastAsia="宋体"/>
                <w:sz w:val="24"/>
                <w:highlight w:val="none"/>
              </w:rPr>
            </w:pPr>
          </w:p>
        </w:tc>
        <w:tc>
          <w:tcPr>
            <w:tcW w:w="551" w:type="pct"/>
            <w:noWrap w:val="0"/>
            <w:vAlign w:val="top"/>
          </w:tcPr>
          <w:p>
            <w:pPr>
              <w:rPr>
                <w:rFonts w:ascii="宋体" w:hAnsi="宋体" w:eastAsia="宋体"/>
                <w:sz w:val="24"/>
                <w:highlight w:val="none"/>
              </w:rPr>
            </w:pPr>
          </w:p>
        </w:tc>
        <w:tc>
          <w:tcPr>
            <w:tcW w:w="393" w:type="pct"/>
            <w:noWrap w:val="0"/>
            <w:vAlign w:val="top"/>
          </w:tcPr>
          <w:p>
            <w:pPr>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pPr>
              <w:rPr>
                <w:rFonts w:ascii="宋体" w:hAnsi="宋体" w:eastAsia="宋体"/>
                <w:sz w:val="24"/>
                <w:highlight w:val="none"/>
              </w:rPr>
            </w:pPr>
          </w:p>
        </w:tc>
        <w:tc>
          <w:tcPr>
            <w:tcW w:w="772" w:type="pct"/>
            <w:noWrap w:val="0"/>
            <w:vAlign w:val="top"/>
          </w:tcPr>
          <w:p>
            <w:pPr>
              <w:rPr>
                <w:rFonts w:ascii="宋体" w:hAnsi="宋体" w:eastAsia="宋体"/>
                <w:sz w:val="24"/>
                <w:highlight w:val="none"/>
              </w:rPr>
            </w:pPr>
          </w:p>
        </w:tc>
        <w:tc>
          <w:tcPr>
            <w:tcW w:w="772"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551" w:type="pct"/>
            <w:noWrap w:val="0"/>
            <w:vAlign w:val="top"/>
          </w:tcPr>
          <w:p>
            <w:pPr>
              <w:rPr>
                <w:rFonts w:ascii="宋体" w:hAnsi="宋体" w:eastAsia="宋体"/>
                <w:sz w:val="24"/>
                <w:highlight w:val="none"/>
              </w:rPr>
            </w:pPr>
          </w:p>
        </w:tc>
        <w:tc>
          <w:tcPr>
            <w:tcW w:w="551" w:type="pct"/>
            <w:noWrap w:val="0"/>
            <w:vAlign w:val="top"/>
          </w:tcPr>
          <w:p>
            <w:pPr>
              <w:rPr>
                <w:rFonts w:ascii="宋体" w:hAnsi="宋体" w:eastAsia="宋体"/>
                <w:sz w:val="24"/>
                <w:highlight w:val="none"/>
              </w:rPr>
            </w:pPr>
          </w:p>
        </w:tc>
        <w:tc>
          <w:tcPr>
            <w:tcW w:w="393" w:type="pct"/>
            <w:noWrap w:val="0"/>
            <w:vAlign w:val="top"/>
          </w:tcPr>
          <w:p>
            <w:pPr>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pPr>
              <w:rPr>
                <w:rFonts w:ascii="宋体" w:hAnsi="宋体" w:eastAsia="宋体"/>
                <w:sz w:val="24"/>
                <w:highlight w:val="none"/>
              </w:rPr>
            </w:pPr>
          </w:p>
        </w:tc>
        <w:tc>
          <w:tcPr>
            <w:tcW w:w="772" w:type="pct"/>
            <w:noWrap w:val="0"/>
            <w:vAlign w:val="top"/>
          </w:tcPr>
          <w:p>
            <w:pPr>
              <w:rPr>
                <w:rFonts w:ascii="宋体" w:hAnsi="宋体" w:eastAsia="宋体"/>
                <w:sz w:val="24"/>
                <w:highlight w:val="none"/>
              </w:rPr>
            </w:pPr>
          </w:p>
        </w:tc>
        <w:tc>
          <w:tcPr>
            <w:tcW w:w="772"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551" w:type="pct"/>
            <w:noWrap w:val="0"/>
            <w:vAlign w:val="top"/>
          </w:tcPr>
          <w:p>
            <w:pPr>
              <w:rPr>
                <w:rFonts w:ascii="宋体" w:hAnsi="宋体" w:eastAsia="宋体"/>
                <w:sz w:val="24"/>
                <w:highlight w:val="none"/>
              </w:rPr>
            </w:pPr>
          </w:p>
        </w:tc>
        <w:tc>
          <w:tcPr>
            <w:tcW w:w="551" w:type="pct"/>
            <w:noWrap w:val="0"/>
            <w:vAlign w:val="top"/>
          </w:tcPr>
          <w:p>
            <w:pPr>
              <w:rPr>
                <w:rFonts w:ascii="宋体" w:hAnsi="宋体" w:eastAsia="宋体"/>
                <w:sz w:val="24"/>
                <w:highlight w:val="none"/>
              </w:rPr>
            </w:pPr>
          </w:p>
        </w:tc>
        <w:tc>
          <w:tcPr>
            <w:tcW w:w="393" w:type="pct"/>
            <w:noWrap w:val="0"/>
            <w:vAlign w:val="top"/>
          </w:tcPr>
          <w:p>
            <w:pPr>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5" w:type="pct"/>
            <w:gridSpan w:val="2"/>
            <w:noWrap w:val="0"/>
            <w:vAlign w:val="top"/>
          </w:tcPr>
          <w:p>
            <w:pPr>
              <w:rPr>
                <w:rFonts w:ascii="宋体" w:hAnsi="宋体" w:eastAsia="宋体"/>
                <w:sz w:val="24"/>
                <w:highlight w:val="none"/>
              </w:rPr>
            </w:pPr>
          </w:p>
        </w:tc>
      </w:tr>
    </w:tbl>
    <w:p>
      <w:pPr>
        <w:pStyle w:val="39"/>
        <w:jc w:val="both"/>
        <w:rPr>
          <w:rFonts w:hint="default" w:ascii="宋体" w:hAnsi="宋体" w:eastAsia="宋体"/>
          <w:b/>
          <w:bCs/>
          <w:i/>
          <w:iCs/>
          <w:highlight w:val="none"/>
          <w:lang w:val="en-US" w:eastAsia="zh-CN"/>
        </w:rPr>
      </w:pPr>
      <w:r>
        <w:rPr>
          <w:rFonts w:hint="eastAsia" w:ascii="宋体" w:hAnsi="宋体" w:eastAsia="宋体"/>
          <w:b/>
          <w:bCs/>
          <w:highlight w:val="none"/>
          <w:lang w:val="en-US" w:eastAsia="zh-CN"/>
        </w:rPr>
        <w:t>5-2服务部分</w:t>
      </w:r>
      <w:r>
        <w:rPr>
          <w:rFonts w:hint="eastAsia" w:ascii="宋体" w:hAnsi="宋体" w:eastAsia="宋体"/>
          <w:b/>
          <w:bCs/>
          <w:i/>
          <w:iCs/>
          <w:highlight w:val="none"/>
        </w:rPr>
        <w:t>（仅供参考，投标人可自行制作格式）</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4"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4"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4"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4"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4"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pPr>
        <w:spacing w:line="360" w:lineRule="auto"/>
        <w:ind w:firstLine="435"/>
        <w:jc w:val="right"/>
        <w:rPr>
          <w:rFonts w:hint="eastAsia" w:ascii="宋体" w:hAnsi="宋体" w:eastAsia="宋体"/>
          <w:b/>
          <w:bCs/>
          <w:highlight w:val="none"/>
          <w:lang w:val="en-US" w:eastAsia="zh-CN"/>
        </w:rPr>
      </w:pPr>
      <w:r>
        <w:rPr>
          <w:rFonts w:hint="eastAsia" w:ascii="宋体" w:hAnsi="宋体" w:eastAsia="宋体"/>
          <w:bCs/>
          <w:sz w:val="24"/>
          <w:szCs w:val="28"/>
          <w:highlight w:val="none"/>
          <w:u w:val="single"/>
        </w:rPr>
        <w:t xml:space="preserve">       </w:t>
      </w:r>
    </w:p>
    <w:p>
      <w:pPr>
        <w:spacing w:line="360" w:lineRule="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pPr>
        <w:spacing w:line="360" w:lineRule="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1.表5-1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pPr>
        <w:spacing w:line="360" w:lineRule="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2.上述报价为投标人完成本项目内容的全部费用（总报价为表5-1和表5-2合计金额之和），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63" w:name="_Toc20329"/>
      <w:bookmarkStart w:id="64" w:name="_Toc11940"/>
      <w:r>
        <w:rPr>
          <w:rFonts w:hint="eastAsia" w:asciiTheme="minorEastAsia" w:hAnsiTheme="minorEastAsia" w:eastAsiaTheme="minorEastAsia"/>
          <w:b/>
          <w:color w:val="auto"/>
          <w:sz w:val="24"/>
          <w:highlight w:val="none"/>
        </w:rPr>
        <w:t>六、投标响应表</w:t>
      </w:r>
      <w:bookmarkEnd w:id="63"/>
      <w:bookmarkEnd w:id="64"/>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pStyle w:val="39"/>
              <w:jc w:val="center"/>
              <w:rPr>
                <w:rFonts w:asciiTheme="minorEastAsia" w:hAnsiTheme="minorEastAsia" w:eastAsiaTheme="minorEastAsia"/>
                <w:color w:val="auto"/>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pPr>
              <w:jc w:val="center"/>
              <w:rPr>
                <w:rFonts w:ascii="宋体" w:hAnsi="宋体" w:eastAsia="宋体"/>
                <w:color w:val="auto"/>
                <w:sz w:val="24"/>
                <w:highlight w:val="none"/>
              </w:rPr>
            </w:pP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bl>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pStyle w:val="39"/>
              <w:jc w:val="center"/>
              <w:rPr>
                <w:rFonts w:asciiTheme="minorEastAsia" w:hAnsiTheme="minorEastAsia" w:eastAsiaTheme="minorEastAsia"/>
                <w:color w:val="auto"/>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pStyle w:val="39"/>
              <w:jc w:val="center"/>
              <w:rPr>
                <w:rFonts w:asciiTheme="minorEastAsia" w:hAnsiTheme="minorEastAsia" w:eastAsiaTheme="minorEastAsia"/>
                <w:color w:val="auto"/>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bl>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5" w:name="_Toc31244"/>
      <w:bookmarkStart w:id="66" w:name="_Toc9573"/>
      <w:bookmarkStart w:id="67" w:name="OLE_LINK14"/>
      <w:bookmarkStart w:id="68" w:name="OLE_LINK13"/>
      <w:r>
        <w:rPr>
          <w:rFonts w:hint="eastAsia" w:asciiTheme="minorEastAsia" w:hAnsiTheme="minorEastAsia" w:eastAsiaTheme="minorEastAsia"/>
          <w:b/>
          <w:color w:val="auto"/>
          <w:sz w:val="24"/>
          <w:highlight w:val="none"/>
          <w:lang w:val="en-US" w:eastAsia="zh-CN"/>
        </w:rPr>
        <w:t>七、中小企业声明函</w:t>
      </w:r>
      <w:bookmarkEnd w:id="65"/>
      <w:bookmarkEnd w:id="66"/>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pPr>
        <w:rPr>
          <w:rFonts w:asciiTheme="minorEastAsia" w:hAnsiTheme="minorEastAsia" w:eastAsiaTheme="minorEastAsia"/>
          <w:color w:val="auto"/>
          <w:sz w:val="24"/>
          <w:szCs w:val="24"/>
          <w:highlight w:val="none"/>
        </w:rPr>
      </w:pP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pPr>
        <w:spacing w:line="360" w:lineRule="auto"/>
        <w:ind w:firstLine="435"/>
        <w:rPr>
          <w:rFonts w:asciiTheme="minorEastAsia" w:hAnsiTheme="minorEastAsia" w:eastAsiaTheme="minorEastAsia"/>
          <w:color w:val="auto"/>
          <w:sz w:val="24"/>
          <w:szCs w:val="24"/>
          <w:highlight w:val="none"/>
        </w:rPr>
      </w:pPr>
    </w:p>
    <w:p>
      <w:pPr>
        <w:spacing w:line="360" w:lineRule="auto"/>
        <w:ind w:firstLine="435"/>
        <w:rPr>
          <w:rFonts w:asciiTheme="minorEastAsia" w:hAnsiTheme="minorEastAsia" w:eastAsiaTheme="minorEastAsia"/>
          <w:color w:val="auto"/>
          <w:sz w:val="24"/>
          <w:szCs w:val="24"/>
          <w:highlight w:val="none"/>
        </w:rPr>
      </w:pPr>
    </w:p>
    <w:p>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9" w:name="_Toc24563"/>
      <w:bookmarkStart w:id="70" w:name="_Toc16713"/>
      <w:r>
        <w:rPr>
          <w:rFonts w:hint="eastAsia" w:asciiTheme="minorEastAsia" w:hAnsiTheme="minorEastAsia" w:eastAsiaTheme="minorEastAsia"/>
          <w:b/>
          <w:color w:val="auto"/>
          <w:sz w:val="24"/>
          <w:highlight w:val="none"/>
          <w:lang w:val="en-US" w:eastAsia="zh-CN"/>
        </w:rPr>
        <w:t>八、残疾人福利性单位声明函</w:t>
      </w:r>
      <w:bookmarkEnd w:id="69"/>
      <w:bookmarkEnd w:id="70"/>
    </w:p>
    <w:p>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pPr>
        <w:spacing w:line="360" w:lineRule="auto"/>
        <w:ind w:firstLine="4228" w:firstLineChars="1762"/>
        <w:rPr>
          <w:rFonts w:asciiTheme="minorEastAsia" w:hAnsiTheme="minorEastAsia" w:eastAsiaTheme="minorEastAsia"/>
          <w:color w:val="auto"/>
          <w:sz w:val="24"/>
          <w:szCs w:val="24"/>
          <w:highlight w:val="none"/>
        </w:rPr>
      </w:pPr>
    </w:p>
    <w:p>
      <w:pPr>
        <w:spacing w:line="360" w:lineRule="auto"/>
        <w:ind w:firstLine="4228" w:firstLineChars="1762"/>
        <w:rPr>
          <w:rFonts w:asciiTheme="minorEastAsia" w:hAnsiTheme="minorEastAsia" w:eastAsiaTheme="minorEastAsia"/>
          <w:color w:val="auto"/>
          <w:sz w:val="24"/>
          <w:szCs w:val="24"/>
          <w:highlight w:val="none"/>
        </w:rPr>
      </w:pPr>
    </w:p>
    <w:p>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1" w:name="_Toc457768004"/>
      <w:bookmarkStart w:id="72" w:name="_Toc520299348"/>
      <w:bookmarkStart w:id="73" w:name="_Toc300210382"/>
      <w:bookmarkStart w:id="74" w:name="_Toc25813"/>
      <w:bookmarkStart w:id="75" w:name="_Toc26536"/>
      <w:bookmarkStart w:id="76" w:name="_Hlk11701496"/>
      <w:r>
        <w:rPr>
          <w:rFonts w:hint="eastAsia" w:asciiTheme="minorEastAsia" w:hAnsiTheme="minorEastAsia" w:eastAsiaTheme="minorEastAsia"/>
          <w:b/>
          <w:color w:val="auto"/>
          <w:sz w:val="24"/>
          <w:highlight w:val="none"/>
          <w:lang w:val="en-US" w:eastAsia="zh-CN"/>
        </w:rPr>
        <w:t>九、</w:t>
      </w:r>
      <w:bookmarkEnd w:id="71"/>
      <w:bookmarkEnd w:id="72"/>
      <w:bookmarkEnd w:id="73"/>
      <w:r>
        <w:rPr>
          <w:rFonts w:hint="eastAsia" w:asciiTheme="minorEastAsia" w:hAnsiTheme="minorEastAsia" w:eastAsiaTheme="minorEastAsia"/>
          <w:b/>
          <w:color w:val="auto"/>
          <w:sz w:val="24"/>
          <w:highlight w:val="none"/>
          <w:lang w:val="en-US" w:eastAsia="zh-CN"/>
        </w:rPr>
        <w:t>诚信履约承诺函</w:t>
      </w:r>
      <w:bookmarkEnd w:id="74"/>
      <w:bookmarkEnd w:id="75"/>
    </w:p>
    <w:p>
      <w:pPr>
        <w:spacing w:line="360" w:lineRule="auto"/>
        <w:rPr>
          <w:rFonts w:asciiTheme="minorEastAsia" w:hAnsiTheme="minorEastAsia" w:eastAsiaTheme="minorEastAsia"/>
          <w:b/>
          <w:bCs/>
          <w:color w:val="auto"/>
          <w:sz w:val="24"/>
          <w:highlight w:val="none"/>
        </w:rPr>
      </w:pPr>
    </w:p>
    <w:p>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76"/>
    <w:p>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7" w:name="_Toc32633"/>
      <w:bookmarkStart w:id="78" w:name="_Toc2683"/>
      <w:r>
        <w:rPr>
          <w:rFonts w:hint="eastAsia" w:asciiTheme="minorEastAsia" w:hAnsiTheme="minorEastAsia" w:eastAsiaTheme="minorEastAsia"/>
          <w:b/>
          <w:color w:val="auto"/>
          <w:sz w:val="24"/>
          <w:highlight w:val="none"/>
          <w:lang w:val="en-US" w:eastAsia="zh-CN"/>
        </w:rPr>
        <w:t>十、其他相关证明材料</w:t>
      </w:r>
      <w:bookmarkEnd w:id="77"/>
      <w:bookmarkEnd w:id="78"/>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pPr>
        <w:spacing w:line="360" w:lineRule="auto"/>
        <w:ind w:firstLine="480" w:firstLineChars="200"/>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pPr>
        <w:spacing w:line="360" w:lineRule="auto"/>
        <w:jc w:val="center"/>
        <w:outlineLvl w:val="0"/>
        <w:rPr>
          <w:rFonts w:ascii="宋体" w:hAnsi="宋体" w:eastAsia="宋体"/>
          <w:b/>
          <w:bCs/>
          <w:color w:val="auto"/>
          <w:sz w:val="28"/>
          <w:highlight w:val="none"/>
        </w:rPr>
      </w:pPr>
      <w:bookmarkStart w:id="79" w:name="_Toc18131"/>
      <w:bookmarkStart w:id="80"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9"/>
      <w:bookmarkEnd w:id="80"/>
    </w:p>
    <w:p>
      <w:pPr>
        <w:spacing w:line="360" w:lineRule="auto"/>
        <w:jc w:val="center"/>
        <w:outlineLvl w:val="1"/>
        <w:rPr>
          <w:rFonts w:ascii="仿宋" w:hAnsi="仿宋" w:eastAsia="仿宋" w:cs="仿宋"/>
          <w:b/>
          <w:bCs/>
          <w:color w:val="auto"/>
          <w:sz w:val="32"/>
          <w:szCs w:val="44"/>
          <w:highlight w:val="none"/>
        </w:rPr>
      </w:pPr>
      <w:bookmarkStart w:id="81" w:name="_Toc27159"/>
      <w:bookmarkStart w:id="82" w:name="_Toc27489"/>
      <w:r>
        <w:rPr>
          <w:rFonts w:hint="eastAsia" w:ascii="仿宋" w:hAnsi="仿宋" w:eastAsia="仿宋" w:cs="仿宋"/>
          <w:b/>
          <w:bCs/>
          <w:color w:val="auto"/>
          <w:sz w:val="32"/>
          <w:szCs w:val="44"/>
          <w:highlight w:val="none"/>
        </w:rPr>
        <w:t>询问函范本</w:t>
      </w:r>
      <w:bookmarkEnd w:id="81"/>
      <w:bookmarkEnd w:id="82"/>
    </w:p>
    <w:p>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3" w:name="_Toc13899"/>
      <w:r>
        <w:rPr>
          <w:rFonts w:hint="eastAsia" w:cs="仿宋" w:asciiTheme="minorEastAsia" w:hAnsiTheme="minorEastAsia" w:eastAsiaTheme="minorEastAsia"/>
          <w:color w:val="auto"/>
          <w:sz w:val="24"/>
          <w:szCs w:val="24"/>
          <w:highlight w:val="none"/>
        </w:rPr>
        <w:t>一、(事项一)</w:t>
      </w:r>
      <w:bookmarkEnd w:id="83"/>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4" w:name="_Toc3352"/>
      <w:r>
        <w:rPr>
          <w:rFonts w:hint="eastAsia" w:cs="仿宋" w:asciiTheme="minorEastAsia" w:hAnsiTheme="minorEastAsia" w:eastAsiaTheme="minorEastAsia"/>
          <w:color w:val="auto"/>
          <w:sz w:val="24"/>
          <w:szCs w:val="24"/>
          <w:highlight w:val="none"/>
        </w:rPr>
        <w:t>二、(事项二)</w:t>
      </w:r>
      <w:bookmarkEnd w:id="84"/>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pPr>
        <w:jc w:val="center"/>
        <w:outlineLvl w:val="1"/>
        <w:rPr>
          <w:rFonts w:ascii="仿宋" w:hAnsi="仿宋" w:eastAsia="仿宋" w:cs="仿宋"/>
          <w:b/>
          <w:bCs/>
          <w:color w:val="auto"/>
          <w:sz w:val="32"/>
          <w:szCs w:val="44"/>
          <w:highlight w:val="none"/>
        </w:rPr>
      </w:pPr>
      <w:bookmarkStart w:id="85" w:name="_Toc1575"/>
      <w:bookmarkStart w:id="86" w:name="_Toc3245"/>
      <w:r>
        <w:rPr>
          <w:rFonts w:hint="eastAsia" w:ascii="仿宋" w:hAnsi="仿宋" w:eastAsia="仿宋" w:cs="仿宋"/>
          <w:b/>
          <w:bCs/>
          <w:color w:val="auto"/>
          <w:sz w:val="32"/>
          <w:szCs w:val="44"/>
          <w:highlight w:val="none"/>
        </w:rPr>
        <w:t>质疑函范本</w:t>
      </w:r>
      <w:bookmarkEnd w:id="85"/>
      <w:bookmarkEnd w:id="86"/>
    </w:p>
    <w:p>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87" w:name="_Toc21381"/>
      <w:r>
        <w:rPr>
          <w:rFonts w:hint="eastAsia" w:cs="仿宋" w:asciiTheme="minorEastAsia" w:hAnsiTheme="minorEastAsia" w:eastAsiaTheme="minorEastAsia"/>
          <w:b/>
          <w:bCs/>
          <w:color w:val="auto"/>
          <w:sz w:val="24"/>
          <w:szCs w:val="24"/>
          <w:highlight w:val="none"/>
        </w:rPr>
        <w:t>一、质疑供应商基本信息</w:t>
      </w:r>
      <w:bookmarkEnd w:id="87"/>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8" w:name="_Toc28415"/>
      <w:r>
        <w:rPr>
          <w:rFonts w:hint="eastAsia" w:cs="仿宋" w:asciiTheme="minorEastAsia" w:hAnsiTheme="minorEastAsia" w:eastAsiaTheme="minorEastAsia"/>
          <w:b/>
          <w:bCs/>
          <w:color w:val="auto"/>
          <w:sz w:val="24"/>
          <w:szCs w:val="24"/>
          <w:highlight w:val="none"/>
        </w:rPr>
        <w:t>二、质疑项目基本情况</w:t>
      </w:r>
      <w:bookmarkEnd w:id="88"/>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9" w:name="_Toc19014"/>
      <w:r>
        <w:rPr>
          <w:rFonts w:hint="eastAsia" w:cs="仿宋" w:asciiTheme="minorEastAsia" w:hAnsiTheme="minorEastAsia" w:eastAsiaTheme="minorEastAsia"/>
          <w:b/>
          <w:bCs/>
          <w:color w:val="auto"/>
          <w:sz w:val="24"/>
          <w:szCs w:val="24"/>
          <w:highlight w:val="none"/>
        </w:rPr>
        <w:t>三、质疑事项具体内容</w:t>
      </w:r>
      <w:bookmarkEnd w:id="89"/>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0" w:name="_Toc17919"/>
      <w:r>
        <w:rPr>
          <w:rFonts w:hint="eastAsia" w:cs="仿宋" w:asciiTheme="minorEastAsia" w:hAnsiTheme="minorEastAsia" w:eastAsiaTheme="minorEastAsia"/>
          <w:b/>
          <w:bCs/>
          <w:color w:val="auto"/>
          <w:sz w:val="24"/>
          <w:szCs w:val="24"/>
          <w:highlight w:val="none"/>
        </w:rPr>
        <w:t>四、与质疑事项相关的质疑请求</w:t>
      </w:r>
      <w:bookmarkEnd w:id="90"/>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outlineLvl w:val="0"/>
        <w:rPr>
          <w:rFonts w:asciiTheme="minorEastAsia" w:hAnsiTheme="minorEastAsia" w:eastAsiaTheme="minorEastAsia"/>
          <w:b/>
          <w:color w:val="auto"/>
          <w:sz w:val="28"/>
          <w:szCs w:val="32"/>
          <w:highlight w:val="none"/>
        </w:rPr>
      </w:pPr>
      <w:bookmarkStart w:id="91" w:name="_Toc26836"/>
      <w:bookmarkStart w:id="92" w:name="_Toc9754"/>
      <w:r>
        <w:rPr>
          <w:rFonts w:hint="eastAsia" w:asciiTheme="minorEastAsia" w:hAnsiTheme="minorEastAsia" w:eastAsiaTheme="minorEastAsia"/>
          <w:b/>
          <w:color w:val="auto"/>
          <w:sz w:val="28"/>
          <w:szCs w:val="32"/>
          <w:highlight w:val="none"/>
        </w:rPr>
        <w:t>质疑函制作说明：</w:t>
      </w:r>
      <w:bookmarkEnd w:id="91"/>
      <w:bookmarkEnd w:id="92"/>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WY1M2I3YjdlMGMxZjlhNjdhNWQxZTllNGExZW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25F2E79"/>
    <w:rsid w:val="03486B27"/>
    <w:rsid w:val="0380559C"/>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67354C8"/>
    <w:rsid w:val="1756671C"/>
    <w:rsid w:val="1A064976"/>
    <w:rsid w:val="1A3B68AA"/>
    <w:rsid w:val="1A3E1C1E"/>
    <w:rsid w:val="1B6F4F40"/>
    <w:rsid w:val="1C141836"/>
    <w:rsid w:val="1C76537D"/>
    <w:rsid w:val="1CE123EB"/>
    <w:rsid w:val="1E6B6A14"/>
    <w:rsid w:val="20550D9A"/>
    <w:rsid w:val="20914128"/>
    <w:rsid w:val="218E2416"/>
    <w:rsid w:val="226915FE"/>
    <w:rsid w:val="229273EC"/>
    <w:rsid w:val="23BC656D"/>
    <w:rsid w:val="241804A5"/>
    <w:rsid w:val="24B97929"/>
    <w:rsid w:val="24D632D7"/>
    <w:rsid w:val="258478EC"/>
    <w:rsid w:val="27D65DBA"/>
    <w:rsid w:val="285F40CA"/>
    <w:rsid w:val="289E1AF0"/>
    <w:rsid w:val="28C01ECB"/>
    <w:rsid w:val="29BF71E3"/>
    <w:rsid w:val="29D6387F"/>
    <w:rsid w:val="2A127B63"/>
    <w:rsid w:val="2A451A6C"/>
    <w:rsid w:val="2AAA4765"/>
    <w:rsid w:val="2AC21606"/>
    <w:rsid w:val="2AD63D42"/>
    <w:rsid w:val="2B7E7608"/>
    <w:rsid w:val="2B7F04E9"/>
    <w:rsid w:val="2B8B554A"/>
    <w:rsid w:val="2D496D68"/>
    <w:rsid w:val="2D680F99"/>
    <w:rsid w:val="2E7A48DE"/>
    <w:rsid w:val="2EBA5177"/>
    <w:rsid w:val="2EDC3ED8"/>
    <w:rsid w:val="2F104B00"/>
    <w:rsid w:val="2F6351B4"/>
    <w:rsid w:val="2FC86126"/>
    <w:rsid w:val="2FCF199E"/>
    <w:rsid w:val="30483E83"/>
    <w:rsid w:val="30BF3991"/>
    <w:rsid w:val="3111619A"/>
    <w:rsid w:val="319775DB"/>
    <w:rsid w:val="31B139DC"/>
    <w:rsid w:val="32497AF3"/>
    <w:rsid w:val="343C0775"/>
    <w:rsid w:val="356C50EC"/>
    <w:rsid w:val="36137E45"/>
    <w:rsid w:val="36376E0A"/>
    <w:rsid w:val="3700166C"/>
    <w:rsid w:val="379A1012"/>
    <w:rsid w:val="38694EE9"/>
    <w:rsid w:val="3A6818FA"/>
    <w:rsid w:val="3B365CC9"/>
    <w:rsid w:val="3B9A7B88"/>
    <w:rsid w:val="3D2C7AC8"/>
    <w:rsid w:val="3D855D12"/>
    <w:rsid w:val="3D8B42FF"/>
    <w:rsid w:val="3DA64E72"/>
    <w:rsid w:val="3DE86C4C"/>
    <w:rsid w:val="3DF36A6E"/>
    <w:rsid w:val="3EBA1EE9"/>
    <w:rsid w:val="3F792F1E"/>
    <w:rsid w:val="40824826"/>
    <w:rsid w:val="40E63923"/>
    <w:rsid w:val="43A91E5B"/>
    <w:rsid w:val="449E0D39"/>
    <w:rsid w:val="45E32B26"/>
    <w:rsid w:val="463A3650"/>
    <w:rsid w:val="46461627"/>
    <w:rsid w:val="469F0116"/>
    <w:rsid w:val="475259B7"/>
    <w:rsid w:val="488302AE"/>
    <w:rsid w:val="48831CF9"/>
    <w:rsid w:val="49024C9C"/>
    <w:rsid w:val="4918619D"/>
    <w:rsid w:val="49B1408D"/>
    <w:rsid w:val="4A7D4FD2"/>
    <w:rsid w:val="4A913C9A"/>
    <w:rsid w:val="4B1F70AC"/>
    <w:rsid w:val="4B240F94"/>
    <w:rsid w:val="4C0832E5"/>
    <w:rsid w:val="4C3C565C"/>
    <w:rsid w:val="4CCC79C7"/>
    <w:rsid w:val="4D030BAE"/>
    <w:rsid w:val="4D16138E"/>
    <w:rsid w:val="4D7555C7"/>
    <w:rsid w:val="4EAE6DA0"/>
    <w:rsid w:val="4ECB10F8"/>
    <w:rsid w:val="4F5B577E"/>
    <w:rsid w:val="4FE617D9"/>
    <w:rsid w:val="5016514B"/>
    <w:rsid w:val="50BD4DF3"/>
    <w:rsid w:val="50FC1A26"/>
    <w:rsid w:val="51723664"/>
    <w:rsid w:val="51CB1C78"/>
    <w:rsid w:val="51FD6A51"/>
    <w:rsid w:val="526B680A"/>
    <w:rsid w:val="52836F71"/>
    <w:rsid w:val="52D26B02"/>
    <w:rsid w:val="541A5D30"/>
    <w:rsid w:val="55C1559C"/>
    <w:rsid w:val="55F068CD"/>
    <w:rsid w:val="566C3136"/>
    <w:rsid w:val="568D04F2"/>
    <w:rsid w:val="5A526582"/>
    <w:rsid w:val="5A5F5C77"/>
    <w:rsid w:val="5A711A0D"/>
    <w:rsid w:val="5B1613E4"/>
    <w:rsid w:val="5B78003B"/>
    <w:rsid w:val="5BC11A60"/>
    <w:rsid w:val="5C7A4D54"/>
    <w:rsid w:val="5CD23B73"/>
    <w:rsid w:val="5CE768A3"/>
    <w:rsid w:val="5F127819"/>
    <w:rsid w:val="60350ED3"/>
    <w:rsid w:val="60B72AEE"/>
    <w:rsid w:val="61025188"/>
    <w:rsid w:val="61057D5F"/>
    <w:rsid w:val="6126068F"/>
    <w:rsid w:val="614D4977"/>
    <w:rsid w:val="62FD1A73"/>
    <w:rsid w:val="63C60FC0"/>
    <w:rsid w:val="64BA3D7A"/>
    <w:rsid w:val="64F179BC"/>
    <w:rsid w:val="665704D3"/>
    <w:rsid w:val="67C065A4"/>
    <w:rsid w:val="67D359C9"/>
    <w:rsid w:val="68042537"/>
    <w:rsid w:val="68FE36DD"/>
    <w:rsid w:val="694E60FC"/>
    <w:rsid w:val="69E95A08"/>
    <w:rsid w:val="6A256904"/>
    <w:rsid w:val="6B656832"/>
    <w:rsid w:val="6C615D2A"/>
    <w:rsid w:val="6C675CE6"/>
    <w:rsid w:val="6D4F4321"/>
    <w:rsid w:val="6DF41B82"/>
    <w:rsid w:val="6DFF7360"/>
    <w:rsid w:val="6E7A5F73"/>
    <w:rsid w:val="6E873A42"/>
    <w:rsid w:val="6EE90F9D"/>
    <w:rsid w:val="6FD74228"/>
    <w:rsid w:val="7021106F"/>
    <w:rsid w:val="70F80A79"/>
    <w:rsid w:val="71633091"/>
    <w:rsid w:val="73081CA5"/>
    <w:rsid w:val="74201F7D"/>
    <w:rsid w:val="7487762D"/>
    <w:rsid w:val="74C33AA4"/>
    <w:rsid w:val="74F5529D"/>
    <w:rsid w:val="75210D7A"/>
    <w:rsid w:val="75385498"/>
    <w:rsid w:val="75F37776"/>
    <w:rsid w:val="76BC207F"/>
    <w:rsid w:val="76EB4904"/>
    <w:rsid w:val="77645DCD"/>
    <w:rsid w:val="777378F5"/>
    <w:rsid w:val="777A2D3C"/>
    <w:rsid w:val="78474930"/>
    <w:rsid w:val="79074B81"/>
    <w:rsid w:val="794F0939"/>
    <w:rsid w:val="7967694A"/>
    <w:rsid w:val="79AF0FCA"/>
    <w:rsid w:val="7AF9279C"/>
    <w:rsid w:val="7CC51958"/>
    <w:rsid w:val="7CD53DF9"/>
    <w:rsid w:val="7D097C86"/>
    <w:rsid w:val="7E2936C3"/>
    <w:rsid w:val="7E6411B9"/>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autoRedefine/>
    <w:qFormat/>
    <w:uiPriority w:val="99"/>
    <w:rPr>
      <w:rFonts w:ascii="宋体" w:hAnsi="Courier New" w:eastAsiaTheme="minorEastAsia" w:cstheme="minorBidi"/>
      <w:szCs w:val="22"/>
    </w:rPr>
  </w:style>
  <w:style w:type="paragraph" w:styleId="12">
    <w:name w:val="Date"/>
    <w:basedOn w:val="1"/>
    <w:next w:val="1"/>
    <w:link w:val="42"/>
    <w:autoRedefine/>
    <w:qFormat/>
    <w:uiPriority w:val="0"/>
    <w:rPr>
      <w:rFonts w:ascii="Arial" w:hAnsi="Arial" w:eastAsia="宋体" w:cs="Arial"/>
      <w:b/>
      <w:sz w:val="28"/>
    </w:rPr>
  </w:style>
  <w:style w:type="paragraph" w:styleId="13">
    <w:name w:val="Balloon Text"/>
    <w:basedOn w:val="1"/>
    <w:link w:val="29"/>
    <w:autoRedefine/>
    <w:semiHidden/>
    <w:unhideWhenUsed/>
    <w:qFormat/>
    <w:uiPriority w:val="99"/>
    <w:rPr>
      <w:sz w:val="18"/>
      <w:szCs w:val="18"/>
    </w:rPr>
  </w:style>
  <w:style w:type="paragraph" w:styleId="14">
    <w:name w:val="footer"/>
    <w:basedOn w:val="1"/>
    <w:link w:val="34"/>
    <w:autoRedefine/>
    <w:unhideWhenUsed/>
    <w:qFormat/>
    <w:uiPriority w:val="99"/>
    <w:pPr>
      <w:tabs>
        <w:tab w:val="center" w:pos="4153"/>
        <w:tab w:val="right" w:pos="8306"/>
      </w:tabs>
      <w:snapToGrid w:val="0"/>
      <w:jc w:val="left"/>
    </w:pPr>
    <w:rPr>
      <w:sz w:val="18"/>
      <w:szCs w:val="18"/>
    </w:rPr>
  </w:style>
  <w:style w:type="paragraph" w:styleId="15">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7"/>
    <w:next w:val="7"/>
    <w:link w:val="56"/>
    <w:autoRedefine/>
    <w:semiHidden/>
    <w:unhideWhenUsed/>
    <w:qFormat/>
    <w:uiPriority w:val="99"/>
    <w:rPr>
      <w:rFonts w:ascii="@仿宋_GB2312" w:hAnsi="@仿宋_GB2312" w:eastAsia="@仿宋_GB2312" w:cs="@仿宋_GB2312"/>
      <w:b/>
      <w:bCs/>
    </w:rPr>
  </w:style>
  <w:style w:type="paragraph" w:styleId="21">
    <w:name w:val="Body Text First Indent"/>
    <w:basedOn w:val="8"/>
    <w:autoRedefine/>
    <w:unhideWhenUsed/>
    <w:qFormat/>
    <w:uiPriority w:val="99"/>
    <w:pPr>
      <w:ind w:firstLine="420" w:firstLineChars="100"/>
    </w:p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Emphasis"/>
    <w:basedOn w:val="24"/>
    <w:autoRedefine/>
    <w:qFormat/>
    <w:uiPriority w:val="0"/>
    <w:rPr>
      <w:i/>
    </w:rPr>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character" w:customStyle="1" w:styleId="29">
    <w:name w:val="批注框文本 Char"/>
    <w:basedOn w:val="24"/>
    <w:link w:val="13"/>
    <w:autoRedefine/>
    <w:semiHidden/>
    <w:qFormat/>
    <w:uiPriority w:val="99"/>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5"/>
    <w:autoRedefine/>
    <w:qFormat/>
    <w:uiPriority w:val="99"/>
    <w:rPr>
      <w:rFonts w:ascii="@仿宋_GB2312" w:hAnsi="@仿宋_GB2312" w:eastAsia="@仿宋_GB2312" w:cs="@仿宋_GB2312"/>
      <w:sz w:val="18"/>
      <w:szCs w:val="18"/>
    </w:rPr>
  </w:style>
  <w:style w:type="character" w:customStyle="1" w:styleId="34">
    <w:name w:val="页脚 Char"/>
    <w:basedOn w:val="24"/>
    <w:link w:val="14"/>
    <w:autoRedefine/>
    <w:qFormat/>
    <w:uiPriority w:val="99"/>
    <w:rPr>
      <w:rFonts w:ascii="@仿宋_GB2312" w:hAnsi="@仿宋_GB2312" w:eastAsia="@仿宋_GB2312" w:cs="@仿宋_GB2312"/>
      <w:sz w:val="18"/>
      <w:szCs w:val="18"/>
    </w:rPr>
  </w:style>
  <w:style w:type="character" w:customStyle="1" w:styleId="35">
    <w:name w:val="纯文本 Char"/>
    <w:link w:val="11"/>
    <w:autoRedefine/>
    <w:qFormat/>
    <w:uiPriority w:val="0"/>
    <w:rPr>
      <w:rFonts w:ascii="宋体" w:hAnsi="Courier New"/>
    </w:rPr>
  </w:style>
  <w:style w:type="character" w:customStyle="1" w:styleId="36">
    <w:name w:val="纯文本 字符1"/>
    <w:basedOn w:val="24"/>
    <w:autoRedefine/>
    <w:semiHidden/>
    <w:qFormat/>
    <w:uiPriority w:val="99"/>
    <w:rPr>
      <w:rFonts w:hAnsi="Courier New" w:cs="Courier New" w:asciiTheme="minorEastAsia"/>
      <w:szCs w:val="20"/>
    </w:rPr>
  </w:style>
  <w:style w:type="character" w:customStyle="1" w:styleId="37">
    <w:name w:val="未处理的提及1"/>
    <w:basedOn w:val="24"/>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autoRedefine/>
    <w:semiHidden/>
    <w:qFormat/>
    <w:uiPriority w:val="99"/>
    <w:rPr>
      <w:rFonts w:ascii="@仿宋_GB2312" w:hAnsi="@仿宋_GB2312" w:eastAsia="@仿宋_GB2312" w:cs="@仿宋_GB2312"/>
      <w:szCs w:val="20"/>
    </w:rPr>
  </w:style>
  <w:style w:type="character" w:customStyle="1" w:styleId="42">
    <w:name w:val="日期 Char"/>
    <w:link w:val="12"/>
    <w:autoRedefine/>
    <w:qFormat/>
    <w:uiPriority w:val="0"/>
    <w:rPr>
      <w:rFonts w:ascii="Arial" w:hAnsi="Arial" w:eastAsia="宋体" w:cs="Arial"/>
      <w:b/>
      <w:sz w:val="28"/>
      <w:szCs w:val="20"/>
    </w:rPr>
  </w:style>
  <w:style w:type="character" w:customStyle="1" w:styleId="43">
    <w:name w:val="纯文本 Char1"/>
    <w:autoRedefine/>
    <w:qFormat/>
    <w:locked/>
    <w:uiPriority w:val="99"/>
    <w:rPr>
      <w:rFonts w:ascii="Arial" w:hAnsi="Arial" w:eastAsia="Arial"/>
      <w:kern w:val="2"/>
      <w:sz w:val="21"/>
      <w:lang w:val="en-US" w:eastAsia="zh-CN" w:bidi="ar-SA"/>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Char1"/>
    <w:link w:val="7"/>
    <w:autoRedefine/>
    <w:qFormat/>
    <w:uiPriority w:val="0"/>
    <w:rPr>
      <w:rFonts w:ascii="Arial" w:hAnsi="Arial" w:eastAsia="黑体" w:cs="Arial"/>
      <w:szCs w:val="20"/>
    </w:rPr>
  </w:style>
  <w:style w:type="character" w:customStyle="1" w:styleId="46">
    <w:name w:val="标题 1 Char"/>
    <w:basedOn w:val="24"/>
    <w:link w:val="2"/>
    <w:autoRedefine/>
    <w:qFormat/>
    <w:uiPriority w:val="9"/>
    <w:rPr>
      <w:rFonts w:ascii="@仿宋_GB2312" w:hAnsi="@仿宋_GB2312" w:eastAsia="@仿宋_GB2312" w:cs="@仿宋_GB2312"/>
      <w:b/>
      <w:bCs/>
      <w:kern w:val="44"/>
      <w:sz w:val="44"/>
      <w:szCs w:val="44"/>
    </w:rPr>
  </w:style>
  <w:style w:type="paragraph" w:customStyle="1" w:styleId="4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4"/>
    <w:link w:val="4"/>
    <w:autoRedefine/>
    <w:semiHidden/>
    <w:qFormat/>
    <w:uiPriority w:val="9"/>
    <w:rPr>
      <w:rFonts w:ascii="@仿宋_GB2312" w:hAnsi="@仿宋_GB2312" w:eastAsia="@仿宋_GB2312" w:cs="@仿宋_GB2312"/>
      <w:b/>
      <w:bCs/>
      <w:sz w:val="32"/>
      <w:szCs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Char1"/>
    <w:link w:val="5"/>
    <w:autoRedefine/>
    <w:qFormat/>
    <w:uiPriority w:val="0"/>
    <w:rPr>
      <w:rFonts w:ascii="@仿宋_GB2312" w:hAnsi="@仿宋_GB2312" w:eastAsia="@仿宋_GB2312" w:cs="@仿宋_GB2312"/>
      <w:b/>
      <w:bCs/>
      <w:sz w:val="28"/>
      <w:szCs w:val="28"/>
    </w:rPr>
  </w:style>
  <w:style w:type="character" w:customStyle="1" w:styleId="54">
    <w:name w:val="标题 4 Char"/>
    <w:autoRedefine/>
    <w:qFormat/>
    <w:uiPriority w:val="0"/>
    <w:rPr>
      <w:rFonts w:ascii="Arial" w:hAnsi="Arial" w:eastAsia="Arial"/>
      <w:b/>
      <w:bCs/>
      <w:kern w:val="2"/>
      <w:sz w:val="28"/>
      <w:szCs w:val="28"/>
      <w:lang w:val="en-US" w:eastAsia="zh-CN" w:bidi="ar-SA"/>
    </w:rPr>
  </w:style>
  <w:style w:type="table" w:customStyle="1" w:styleId="55">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0"/>
    <w:autoRedefine/>
    <w:semiHidden/>
    <w:qFormat/>
    <w:uiPriority w:val="99"/>
    <w:rPr>
      <w:rFonts w:ascii="@仿宋_GB2312" w:hAnsi="@仿宋_GB2312" w:eastAsia="@仿宋_GB2312" w:cs="@仿宋_GB2312"/>
      <w:b/>
      <w:bCs/>
      <w:szCs w:val="20"/>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71</Pages>
  <Words>12961</Words>
  <Characters>14105</Characters>
  <Lines>244</Lines>
  <Paragraphs>68</Paragraphs>
  <TotalTime>30</TotalTime>
  <ScaleCrop>false</ScaleCrop>
  <LinksUpToDate>false</LinksUpToDate>
  <CharactersWithSpaces>14201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阿丶散井</cp:lastModifiedBy>
  <cp:lastPrinted>2019-12-07T15:18:00Z</cp:lastPrinted>
  <dcterms:modified xsi:type="dcterms:W3CDTF">2026-02-13T02:19:21Z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1ECEA165F94845FFAF35C1C96E4FB9B0_12</vt:lpwstr>
  </property>
  <property fmtid="{D5CDD505-2E9C-101B-9397-08002B2CF9AE}" pid="4" name="KSOTemplateDocerSaveRecord">
    <vt:lpwstr>eyJoZGlkIjoiMTE4MTA1NDAxM2JlNjY2YjI3NGI2NzA3YmVkMTc0ZDAiLCJ1c2VySWQiOiIyNjE1NzMwNTYifQ==</vt:lpwstr>
  </property>
</Properties>
</file>