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5"/>
          <w:tab w:val="left" w:pos="8820"/>
        </w:tabs>
        <w:spacing w:before="312" w:beforeLines="100" w:after="156" w:afterLines="50" w:line="500" w:lineRule="exact"/>
        <w:ind w:right="267" w:rightChars="127"/>
        <w:jc w:val="center"/>
        <w:rPr>
          <w:rFonts w:ascii="宋体" w:hAnsi="宋体" w:eastAsia="宋体"/>
          <w:b/>
          <w:bCs/>
          <w:sz w:val="52"/>
          <w:szCs w:val="52"/>
        </w:rPr>
      </w:pPr>
    </w:p>
    <w:p>
      <w:pPr>
        <w:tabs>
          <w:tab w:val="left" w:pos="315"/>
          <w:tab w:val="left" w:pos="8820"/>
        </w:tabs>
        <w:spacing w:before="312" w:beforeLines="100" w:after="156" w:afterLines="50" w:line="500" w:lineRule="exact"/>
        <w:ind w:right="267" w:rightChars="127"/>
        <w:jc w:val="center"/>
        <w:rPr>
          <w:rFonts w:ascii="宋体" w:hAnsi="宋体" w:eastAsia="宋体"/>
          <w:b/>
          <w:bCs/>
          <w:sz w:val="52"/>
          <w:szCs w:val="52"/>
        </w:rPr>
      </w:pPr>
    </w:p>
    <w:p>
      <w:pPr>
        <w:tabs>
          <w:tab w:val="left" w:pos="315"/>
          <w:tab w:val="left" w:pos="8820"/>
        </w:tabs>
        <w:spacing w:before="312" w:beforeLines="100" w:after="156" w:afterLines="50" w:line="500" w:lineRule="exact"/>
        <w:ind w:right="267" w:rightChars="127"/>
        <w:jc w:val="center"/>
        <w:rPr>
          <w:rFonts w:ascii="宋体" w:hAnsi="宋体" w:eastAsia="宋体"/>
          <w:b/>
          <w:bCs/>
          <w:sz w:val="52"/>
          <w:szCs w:val="52"/>
        </w:rPr>
      </w:pPr>
      <w:bookmarkStart w:id="0" w:name="_Hlk9544796"/>
      <w:r>
        <w:rPr>
          <w:rFonts w:hint="eastAsia" w:ascii="宋体" w:hAnsi="宋体" w:eastAsia="宋体"/>
          <w:b/>
          <w:bCs/>
          <w:sz w:val="52"/>
          <w:szCs w:val="52"/>
        </w:rPr>
        <w:t>公开招标文件</w:t>
      </w:r>
    </w:p>
    <w:p>
      <w:pPr>
        <w:tabs>
          <w:tab w:val="left" w:pos="315"/>
          <w:tab w:val="left" w:pos="8820"/>
        </w:tabs>
        <w:spacing w:before="312" w:beforeLines="100" w:after="156" w:afterLines="50" w:line="500" w:lineRule="exact"/>
        <w:ind w:right="267" w:rightChars="127"/>
        <w:jc w:val="center"/>
        <w:rPr>
          <w:rFonts w:ascii="宋体" w:hAnsi="宋体" w:eastAsia="宋体"/>
          <w:b/>
          <w:bCs/>
          <w:sz w:val="52"/>
          <w:szCs w:val="52"/>
        </w:rPr>
      </w:pPr>
      <w:r>
        <w:rPr>
          <w:rFonts w:hint="eastAsia" w:ascii="宋体" w:hAnsi="宋体" w:eastAsia="宋体"/>
          <w:b/>
          <w:bCs/>
          <w:sz w:val="52"/>
          <w:szCs w:val="52"/>
        </w:rPr>
        <w:t>（货物类）</w:t>
      </w:r>
    </w:p>
    <w:bookmarkEnd w:id="0"/>
    <w:p>
      <w:pPr>
        <w:tabs>
          <w:tab w:val="left" w:pos="315"/>
          <w:tab w:val="left" w:pos="8820"/>
        </w:tabs>
        <w:spacing w:before="312" w:beforeLines="100" w:after="156" w:afterLines="50" w:line="500" w:lineRule="exact"/>
        <w:ind w:right="267" w:rightChars="127"/>
        <w:jc w:val="center"/>
        <w:rPr>
          <w:rFonts w:ascii="宋体" w:hAnsi="宋体" w:eastAsia="宋体"/>
          <w:bCs/>
          <w:sz w:val="44"/>
          <w:szCs w:val="44"/>
        </w:rPr>
      </w:pPr>
    </w:p>
    <w:p>
      <w:pPr>
        <w:tabs>
          <w:tab w:val="left" w:pos="315"/>
          <w:tab w:val="left" w:pos="8820"/>
        </w:tabs>
        <w:spacing w:before="312" w:beforeLines="100" w:after="156" w:afterLines="50" w:line="500" w:lineRule="exact"/>
        <w:ind w:right="267" w:rightChars="127"/>
        <w:jc w:val="center"/>
        <w:rPr>
          <w:rFonts w:ascii="宋体" w:hAnsi="宋体" w:eastAsia="宋体"/>
          <w:b/>
          <w:bCs/>
          <w:sz w:val="44"/>
          <w:szCs w:val="44"/>
        </w:rPr>
      </w:pPr>
    </w:p>
    <w:p>
      <w:pPr>
        <w:tabs>
          <w:tab w:val="left" w:pos="315"/>
          <w:tab w:val="left" w:pos="8820"/>
        </w:tabs>
        <w:spacing w:before="312" w:beforeLines="100" w:after="156" w:afterLines="50" w:line="500" w:lineRule="exact"/>
        <w:ind w:right="267" w:rightChars="127"/>
        <w:jc w:val="center"/>
        <w:rPr>
          <w:rFonts w:ascii="宋体" w:hAnsi="宋体" w:eastAsia="宋体"/>
          <w:b/>
          <w:bCs/>
          <w:sz w:val="44"/>
          <w:szCs w:val="44"/>
        </w:rPr>
      </w:pPr>
    </w:p>
    <w:p>
      <w:pPr>
        <w:tabs>
          <w:tab w:val="left" w:pos="315"/>
          <w:tab w:val="left" w:pos="8820"/>
        </w:tabs>
        <w:spacing w:before="312" w:beforeLines="100" w:after="156" w:afterLines="50" w:line="500" w:lineRule="exact"/>
        <w:ind w:right="267" w:rightChars="127"/>
        <w:jc w:val="center"/>
        <w:rPr>
          <w:rFonts w:ascii="宋体" w:hAnsi="宋体" w:eastAsia="宋体"/>
          <w:b/>
          <w:bCs/>
          <w:sz w:val="44"/>
          <w:szCs w:val="44"/>
        </w:rPr>
      </w:pPr>
    </w:p>
    <w:p>
      <w:pPr>
        <w:tabs>
          <w:tab w:val="left" w:pos="315"/>
          <w:tab w:val="left" w:pos="8820"/>
        </w:tabs>
        <w:spacing w:before="312" w:beforeLines="100" w:after="156" w:afterLines="50" w:line="500" w:lineRule="exact"/>
        <w:ind w:right="267" w:rightChars="127"/>
        <w:jc w:val="center"/>
        <w:rPr>
          <w:rFonts w:ascii="宋体" w:hAnsi="宋体" w:eastAsia="宋体"/>
          <w:b/>
          <w:bCs/>
          <w:sz w:val="44"/>
          <w:szCs w:val="44"/>
        </w:rPr>
      </w:pPr>
    </w:p>
    <w:p>
      <w:pPr>
        <w:tabs>
          <w:tab w:val="left" w:pos="315"/>
          <w:tab w:val="left" w:pos="8820"/>
        </w:tabs>
        <w:spacing w:before="312" w:beforeLines="100" w:after="156" w:afterLines="50" w:line="500" w:lineRule="exact"/>
        <w:ind w:right="267" w:rightChars="127"/>
        <w:jc w:val="center"/>
        <w:rPr>
          <w:rFonts w:ascii="宋体" w:hAnsi="宋体" w:eastAsia="宋体"/>
          <w:b/>
          <w:bCs/>
          <w:sz w:val="44"/>
          <w:szCs w:val="44"/>
        </w:rPr>
      </w:pP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u w:val="single"/>
        </w:rPr>
      </w:pPr>
      <w:r>
        <w:rPr>
          <w:rFonts w:hint="eastAsia" w:ascii="宋体" w:hAnsi="宋体" w:eastAsia="宋体"/>
          <w:b/>
          <w:spacing w:val="20"/>
          <w:kern w:val="0"/>
          <w:sz w:val="32"/>
          <w:szCs w:val="32"/>
        </w:rPr>
        <w:t>项目名称：</w:t>
      </w:r>
      <w:r>
        <w:rPr>
          <w:rFonts w:hint="eastAsia" w:ascii="宋体" w:hAnsi="宋体" w:eastAsia="宋体"/>
          <w:b/>
          <w:spacing w:val="20"/>
          <w:kern w:val="0"/>
          <w:sz w:val="32"/>
          <w:szCs w:val="32"/>
          <w:u w:val="single"/>
        </w:rPr>
        <w:t>安徽交通职业技术学院产教融合实训</w:t>
      </w:r>
    </w:p>
    <w:p>
      <w:pPr>
        <w:tabs>
          <w:tab w:val="left" w:pos="2410"/>
        </w:tabs>
        <w:autoSpaceDE w:val="0"/>
        <w:autoSpaceDN w:val="0"/>
        <w:adjustRightInd w:val="0"/>
        <w:snapToGrid w:val="0"/>
        <w:spacing w:line="360" w:lineRule="auto"/>
        <w:ind w:firstLine="2529" w:firstLineChars="700"/>
        <w:rPr>
          <w:rFonts w:ascii="宋体" w:hAnsi="宋体" w:eastAsia="宋体"/>
          <w:b/>
          <w:spacing w:val="20"/>
          <w:kern w:val="0"/>
          <w:sz w:val="32"/>
          <w:szCs w:val="32"/>
        </w:rPr>
      </w:pPr>
      <w:r>
        <w:rPr>
          <w:rFonts w:hint="eastAsia" w:ascii="宋体" w:hAnsi="宋体" w:eastAsia="宋体"/>
          <w:b/>
          <w:spacing w:val="20"/>
          <w:kern w:val="0"/>
          <w:sz w:val="32"/>
          <w:szCs w:val="32"/>
          <w:u w:val="single"/>
        </w:rPr>
        <w:t>基地建设项目（第一、二包）</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项目编号：</w:t>
      </w:r>
      <w:r>
        <w:rPr>
          <w:rFonts w:hint="eastAsia" w:ascii="宋体" w:hAnsi="宋体" w:eastAsia="宋体"/>
          <w:b/>
          <w:spacing w:val="20"/>
          <w:kern w:val="0"/>
          <w:sz w:val="32"/>
          <w:szCs w:val="32"/>
          <w:u w:val="single"/>
        </w:rPr>
        <w:t>AHZJ-202319601535</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 购 人：</w:t>
      </w:r>
      <w:r>
        <w:rPr>
          <w:rFonts w:hint="eastAsia" w:ascii="宋体" w:hAnsi="宋体" w:eastAsia="宋体"/>
          <w:b/>
          <w:spacing w:val="20"/>
          <w:kern w:val="0"/>
          <w:sz w:val="32"/>
          <w:szCs w:val="32"/>
          <w:u w:val="single"/>
        </w:rPr>
        <w:t>安徽交通职业技术学院</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采购代理机构：</w:t>
      </w:r>
      <w:r>
        <w:rPr>
          <w:rFonts w:hint="eastAsia" w:ascii="宋体" w:hAnsi="宋体" w:eastAsia="宋体"/>
          <w:b/>
          <w:spacing w:val="20"/>
          <w:kern w:val="0"/>
          <w:sz w:val="32"/>
          <w:szCs w:val="32"/>
          <w:u w:val="single"/>
        </w:rPr>
        <w:t>安徽中技工程咨询有限公司</w:t>
      </w:r>
    </w:p>
    <w:p>
      <w:pPr>
        <w:tabs>
          <w:tab w:val="left" w:pos="315"/>
          <w:tab w:val="left" w:pos="8820"/>
        </w:tabs>
        <w:spacing w:before="312" w:beforeLines="100" w:after="156" w:afterLines="50" w:line="500" w:lineRule="exact"/>
        <w:ind w:right="267" w:rightChars="127"/>
        <w:jc w:val="center"/>
        <w:rPr>
          <w:rFonts w:ascii="宋体" w:hAnsi="宋体" w:eastAsia="宋体"/>
          <w:b/>
          <w:bCs/>
          <w:sz w:val="44"/>
          <w:szCs w:val="44"/>
        </w:rPr>
      </w:pPr>
    </w:p>
    <w:p>
      <w:pPr>
        <w:tabs>
          <w:tab w:val="left" w:pos="2410"/>
        </w:tabs>
        <w:autoSpaceDE w:val="0"/>
        <w:autoSpaceDN w:val="0"/>
        <w:adjustRightInd w:val="0"/>
        <w:snapToGrid w:val="0"/>
        <w:spacing w:line="360" w:lineRule="auto"/>
        <w:jc w:val="center"/>
        <w:rPr>
          <w:rFonts w:ascii="宋体" w:hAnsi="宋体" w:eastAsia="宋体"/>
          <w:b/>
          <w:sz w:val="36"/>
        </w:rPr>
      </w:pPr>
      <w:r>
        <w:rPr>
          <w:rFonts w:hint="eastAsia" w:ascii="宋体" w:hAnsi="宋体" w:eastAsia="宋体"/>
          <w:b/>
          <w:sz w:val="36"/>
          <w:u w:val="single"/>
        </w:rPr>
        <w:t>2023</w:t>
      </w:r>
      <w:r>
        <w:rPr>
          <w:rFonts w:hint="eastAsia" w:ascii="宋体" w:hAnsi="宋体" w:eastAsia="宋体"/>
          <w:b/>
          <w:sz w:val="36"/>
        </w:rPr>
        <w:t>年</w:t>
      </w:r>
      <w:r>
        <w:rPr>
          <w:rFonts w:hint="eastAsia" w:ascii="宋体" w:hAnsi="宋体" w:eastAsia="宋体"/>
          <w:b/>
          <w:sz w:val="36"/>
          <w:u w:val="single"/>
        </w:rPr>
        <w:t>12</w:t>
      </w:r>
      <w:r>
        <w:rPr>
          <w:rFonts w:hint="eastAsia" w:ascii="宋体" w:hAnsi="宋体" w:eastAsia="宋体"/>
          <w:b/>
          <w:sz w:val="36"/>
        </w:rPr>
        <w:t>月</w:t>
      </w:r>
      <w:r>
        <w:rPr>
          <w:rFonts w:ascii="宋体" w:hAnsi="宋体" w:eastAsia="宋体"/>
          <w:b/>
          <w:sz w:val="36"/>
        </w:rPr>
        <w:br w:type="page"/>
      </w:r>
    </w:p>
    <w:p>
      <w:pPr>
        <w:tabs>
          <w:tab w:val="left" w:pos="2410"/>
        </w:tabs>
        <w:autoSpaceDE w:val="0"/>
        <w:autoSpaceDN w:val="0"/>
        <w:adjustRightInd w:val="0"/>
        <w:snapToGrid w:val="0"/>
        <w:spacing w:line="360" w:lineRule="auto"/>
        <w:jc w:val="center"/>
        <w:rPr>
          <w:rFonts w:ascii="宋体" w:hAnsi="宋体" w:eastAsia="宋体"/>
          <w:b/>
          <w:sz w:val="28"/>
        </w:rPr>
      </w:pPr>
      <w:r>
        <w:rPr>
          <w:rFonts w:hint="eastAsia" w:ascii="宋体" w:hAnsi="宋体" w:eastAsia="宋体"/>
          <w:b/>
          <w:sz w:val="28"/>
        </w:rPr>
        <w:t>目  录</w:t>
      </w:r>
    </w:p>
    <w:p>
      <w:pPr>
        <w:pStyle w:val="19"/>
        <w:tabs>
          <w:tab w:val="right" w:leader="dot" w:pos="8296"/>
        </w:tabs>
        <w:rPr>
          <w:kern w:val="2"/>
          <w:sz w:val="21"/>
        </w:rPr>
      </w:pPr>
      <w:r>
        <w:rPr>
          <w:rFonts w:asciiTheme="minorEastAsia" w:hAnsiTheme="minorEastAsia"/>
          <w:b/>
          <w:sz w:val="24"/>
          <w:szCs w:val="24"/>
        </w:rPr>
        <w:fldChar w:fldCharType="begin"/>
      </w:r>
      <w:r>
        <w:rPr>
          <w:rFonts w:asciiTheme="minorEastAsia" w:hAnsiTheme="minorEastAsia"/>
          <w:b/>
          <w:sz w:val="24"/>
          <w:szCs w:val="24"/>
        </w:rPr>
        <w:instrText xml:space="preserve"> </w:instrText>
      </w:r>
      <w:r>
        <w:rPr>
          <w:rFonts w:hint="eastAsia" w:asciiTheme="minorEastAsia" w:hAnsiTheme="minorEastAsia"/>
          <w:b/>
          <w:sz w:val="24"/>
          <w:szCs w:val="24"/>
        </w:rPr>
        <w:instrText xml:space="preserve">TOC \o "1-2" \h \z \u</w:instrText>
      </w:r>
      <w:r>
        <w:rPr>
          <w:rFonts w:asciiTheme="minorEastAsia" w:hAnsiTheme="minorEastAsia"/>
          <w:b/>
          <w:sz w:val="24"/>
          <w:szCs w:val="24"/>
        </w:rPr>
        <w:instrText xml:space="preserve"> </w:instrText>
      </w:r>
      <w:r>
        <w:rPr>
          <w:rFonts w:asciiTheme="minorEastAsia" w:hAnsiTheme="minorEastAsia"/>
          <w:b/>
          <w:sz w:val="24"/>
          <w:szCs w:val="24"/>
        </w:rPr>
        <w:fldChar w:fldCharType="separate"/>
      </w:r>
      <w:r>
        <w:fldChar w:fldCharType="begin"/>
      </w:r>
      <w:r>
        <w:instrText xml:space="preserve"> HYPERLINK \l "_Toc60582623" </w:instrText>
      </w:r>
      <w:r>
        <w:fldChar w:fldCharType="separate"/>
      </w:r>
      <w:r>
        <w:rPr>
          <w:rStyle w:val="28"/>
          <w:rFonts w:asciiTheme="minorEastAsia" w:hAnsiTheme="minorEastAsia"/>
          <w:b/>
          <w:color w:val="auto"/>
        </w:rPr>
        <w:t xml:space="preserve">第一章  </w:t>
      </w:r>
      <w:r>
        <w:rPr>
          <w:rStyle w:val="28"/>
          <w:rFonts w:hint="eastAsia" w:asciiTheme="minorEastAsia" w:hAnsiTheme="minorEastAsia"/>
          <w:b/>
          <w:color w:val="auto"/>
        </w:rPr>
        <w:t>招标公告</w:t>
      </w:r>
      <w:r>
        <w:tab/>
      </w:r>
      <w:r>
        <w:fldChar w:fldCharType="begin"/>
      </w:r>
      <w:r>
        <w:instrText xml:space="preserve"> PAGEREF _Toc60582623 \h </w:instrText>
      </w:r>
      <w:r>
        <w:fldChar w:fldCharType="separate"/>
      </w:r>
      <w:r>
        <w:t>1</w:t>
      </w:r>
      <w:r>
        <w:fldChar w:fldCharType="end"/>
      </w:r>
      <w:r>
        <w:fldChar w:fldCharType="end"/>
      </w:r>
    </w:p>
    <w:p>
      <w:pPr>
        <w:pStyle w:val="19"/>
        <w:tabs>
          <w:tab w:val="right" w:leader="dot" w:pos="8296"/>
        </w:tabs>
        <w:rPr>
          <w:kern w:val="2"/>
          <w:sz w:val="21"/>
        </w:rPr>
      </w:pPr>
      <w:r>
        <w:fldChar w:fldCharType="begin"/>
      </w:r>
      <w:r>
        <w:instrText xml:space="preserve"> HYPERLINK \l "_Toc60582624" </w:instrText>
      </w:r>
      <w:r>
        <w:fldChar w:fldCharType="separate"/>
      </w:r>
      <w:r>
        <w:rPr>
          <w:rStyle w:val="28"/>
          <w:rFonts w:asciiTheme="minorEastAsia" w:hAnsiTheme="minorEastAsia"/>
          <w:b/>
          <w:color w:val="auto"/>
        </w:rPr>
        <w:t>第二章  投标人须知</w:t>
      </w:r>
      <w:r>
        <w:tab/>
      </w:r>
      <w:r>
        <w:fldChar w:fldCharType="begin"/>
      </w:r>
      <w:r>
        <w:instrText xml:space="preserve"> PAGEREF _Toc60582624 \h </w:instrText>
      </w:r>
      <w:r>
        <w:fldChar w:fldCharType="separate"/>
      </w:r>
      <w:r>
        <w:t>7</w:t>
      </w:r>
      <w:r>
        <w:fldChar w:fldCharType="end"/>
      </w:r>
      <w:r>
        <w:fldChar w:fldCharType="end"/>
      </w:r>
    </w:p>
    <w:p>
      <w:pPr>
        <w:pStyle w:val="19"/>
        <w:tabs>
          <w:tab w:val="right" w:leader="dot" w:pos="8296"/>
        </w:tabs>
        <w:rPr>
          <w:kern w:val="2"/>
          <w:sz w:val="21"/>
        </w:rPr>
      </w:pPr>
      <w:r>
        <w:fldChar w:fldCharType="begin"/>
      </w:r>
      <w:r>
        <w:instrText xml:space="preserve"> HYPERLINK \l "_Toc60582625" </w:instrText>
      </w:r>
      <w:r>
        <w:fldChar w:fldCharType="separate"/>
      </w:r>
      <w:r>
        <w:rPr>
          <w:rStyle w:val="28"/>
          <w:rFonts w:asciiTheme="minorEastAsia" w:hAnsiTheme="minorEastAsia"/>
          <w:b/>
          <w:color w:val="auto"/>
        </w:rPr>
        <w:t>第三章  采购需求</w:t>
      </w:r>
      <w:r>
        <w:tab/>
      </w:r>
      <w:r>
        <w:fldChar w:fldCharType="begin"/>
      </w:r>
      <w:r>
        <w:instrText xml:space="preserve"> PAGEREF _Toc60582625 \h </w:instrText>
      </w:r>
      <w:r>
        <w:fldChar w:fldCharType="separate"/>
      </w:r>
      <w:r>
        <w:t>28</w:t>
      </w:r>
      <w:r>
        <w:fldChar w:fldCharType="end"/>
      </w:r>
      <w:r>
        <w:fldChar w:fldCharType="end"/>
      </w:r>
    </w:p>
    <w:p>
      <w:pPr>
        <w:pStyle w:val="19"/>
        <w:tabs>
          <w:tab w:val="right" w:leader="dot" w:pos="8296"/>
        </w:tabs>
        <w:rPr>
          <w:kern w:val="2"/>
          <w:sz w:val="21"/>
        </w:rPr>
      </w:pPr>
      <w:r>
        <w:fldChar w:fldCharType="begin"/>
      </w:r>
      <w:r>
        <w:instrText xml:space="preserve"> HYPERLINK \l "_Toc60582627" </w:instrText>
      </w:r>
      <w:r>
        <w:fldChar w:fldCharType="separate"/>
      </w:r>
      <w:r>
        <w:rPr>
          <w:rStyle w:val="28"/>
          <w:rFonts w:asciiTheme="minorEastAsia" w:hAnsiTheme="minorEastAsia"/>
          <w:b/>
          <w:color w:val="auto"/>
        </w:rPr>
        <w:t>第四章  评标方法和标准（综合评分法）</w:t>
      </w:r>
      <w:r>
        <w:tab/>
      </w:r>
      <w:r>
        <w:fldChar w:fldCharType="begin"/>
      </w:r>
      <w:r>
        <w:instrText xml:space="preserve"> PAGEREF _Toc60582627 \h </w:instrText>
      </w:r>
      <w:r>
        <w:fldChar w:fldCharType="separate"/>
      </w:r>
      <w:r>
        <w:t>164</w:t>
      </w:r>
      <w:r>
        <w:fldChar w:fldCharType="end"/>
      </w:r>
      <w:r>
        <w:fldChar w:fldCharType="end"/>
      </w:r>
    </w:p>
    <w:p>
      <w:pPr>
        <w:pStyle w:val="19"/>
        <w:tabs>
          <w:tab w:val="right" w:leader="dot" w:pos="8296"/>
        </w:tabs>
        <w:rPr>
          <w:kern w:val="2"/>
          <w:sz w:val="21"/>
        </w:rPr>
      </w:pPr>
      <w:r>
        <w:fldChar w:fldCharType="begin"/>
      </w:r>
      <w:r>
        <w:instrText xml:space="preserve"> HYPERLINK \l "_Toc60582628" </w:instrText>
      </w:r>
      <w:r>
        <w:fldChar w:fldCharType="separate"/>
      </w:r>
      <w:r>
        <w:rPr>
          <w:rStyle w:val="28"/>
          <w:rFonts w:asciiTheme="minorEastAsia" w:hAnsiTheme="minorEastAsia"/>
          <w:b/>
          <w:color w:val="auto"/>
        </w:rPr>
        <w:t>第五章  政府采购合同</w:t>
      </w:r>
      <w:bookmarkStart w:id="210" w:name="_GoBack"/>
      <w:bookmarkEnd w:id="210"/>
      <w:r>
        <w:tab/>
      </w:r>
      <w:r>
        <w:fldChar w:fldCharType="begin"/>
      </w:r>
      <w:r>
        <w:instrText xml:space="preserve"> PAGEREF _Toc60582628 \h </w:instrText>
      </w:r>
      <w:r>
        <w:fldChar w:fldCharType="separate"/>
      </w:r>
      <w:r>
        <w:t>175</w:t>
      </w:r>
      <w:r>
        <w:fldChar w:fldCharType="end"/>
      </w:r>
      <w:r>
        <w:fldChar w:fldCharType="end"/>
      </w:r>
    </w:p>
    <w:p>
      <w:pPr>
        <w:pStyle w:val="19"/>
        <w:tabs>
          <w:tab w:val="right" w:leader="dot" w:pos="8296"/>
        </w:tabs>
        <w:rPr>
          <w:kern w:val="2"/>
          <w:sz w:val="21"/>
        </w:rPr>
      </w:pPr>
      <w:r>
        <w:fldChar w:fldCharType="begin"/>
      </w:r>
      <w:r>
        <w:instrText xml:space="preserve"> HYPERLINK \l "_Toc60582629" </w:instrText>
      </w:r>
      <w:r>
        <w:fldChar w:fldCharType="separate"/>
      </w:r>
      <w:r>
        <w:rPr>
          <w:rStyle w:val="28"/>
          <w:rFonts w:asciiTheme="minorEastAsia" w:hAnsiTheme="minorEastAsia"/>
          <w:b/>
          <w:color w:val="auto"/>
        </w:rPr>
        <w:t>第六章  投标文件格式</w:t>
      </w:r>
      <w:r>
        <w:tab/>
      </w:r>
      <w:r>
        <w:fldChar w:fldCharType="begin"/>
      </w:r>
      <w:r>
        <w:instrText xml:space="preserve"> PAGEREF _Toc60582629 \h </w:instrText>
      </w:r>
      <w:r>
        <w:fldChar w:fldCharType="separate"/>
      </w:r>
      <w:r>
        <w:t>185</w:t>
      </w:r>
      <w:r>
        <w:fldChar w:fldCharType="end"/>
      </w:r>
      <w:r>
        <w:fldChar w:fldCharType="end"/>
      </w:r>
    </w:p>
    <w:p>
      <w:pPr>
        <w:pStyle w:val="19"/>
        <w:tabs>
          <w:tab w:val="right" w:leader="dot" w:pos="8296"/>
        </w:tabs>
        <w:rPr>
          <w:kern w:val="2"/>
          <w:sz w:val="21"/>
        </w:rPr>
      </w:pPr>
      <w:r>
        <w:fldChar w:fldCharType="begin"/>
      </w:r>
      <w:r>
        <w:instrText xml:space="preserve"> HYPERLINK \l "_Toc60582631" </w:instrText>
      </w:r>
      <w:r>
        <w:fldChar w:fldCharType="separate"/>
      </w:r>
      <w:r>
        <w:rPr>
          <w:rStyle w:val="28"/>
          <w:rFonts w:ascii="宋体" w:hAnsi="宋体" w:eastAsia="宋体"/>
          <w:b/>
          <w:bCs/>
          <w:color w:val="auto"/>
        </w:rPr>
        <w:t>第</w:t>
      </w:r>
      <w:r>
        <w:rPr>
          <w:rStyle w:val="28"/>
          <w:rFonts w:hint="eastAsia" w:ascii="宋体" w:hAnsi="宋体" w:eastAsia="宋体"/>
          <w:b/>
          <w:bCs/>
          <w:color w:val="auto"/>
        </w:rPr>
        <w:t>七</w:t>
      </w:r>
      <w:r>
        <w:rPr>
          <w:rStyle w:val="28"/>
          <w:rFonts w:ascii="宋体" w:hAnsi="宋体" w:eastAsia="宋体"/>
          <w:b/>
          <w:bCs/>
          <w:color w:val="auto"/>
        </w:rPr>
        <w:t>章  政府采购</w:t>
      </w:r>
      <w:r>
        <w:rPr>
          <w:rStyle w:val="28"/>
          <w:rFonts w:asciiTheme="minorEastAsia" w:hAnsiTheme="minorEastAsia"/>
          <w:b/>
          <w:color w:val="auto"/>
        </w:rPr>
        <w:t>供应</w:t>
      </w:r>
      <w:r>
        <w:rPr>
          <w:rStyle w:val="28"/>
          <w:rFonts w:ascii="宋体" w:hAnsi="宋体" w:eastAsia="宋体"/>
          <w:b/>
          <w:bCs/>
          <w:color w:val="auto"/>
        </w:rPr>
        <w:t>商质疑函范本</w:t>
      </w:r>
      <w:r>
        <w:tab/>
      </w:r>
      <w:r>
        <w:fldChar w:fldCharType="begin"/>
      </w:r>
      <w:r>
        <w:instrText xml:space="preserve"> PAGEREF _Toc60582631 \h </w:instrText>
      </w:r>
      <w:r>
        <w:fldChar w:fldCharType="separate"/>
      </w:r>
      <w:r>
        <w:t>199</w:t>
      </w:r>
      <w:r>
        <w:fldChar w:fldCharType="end"/>
      </w:r>
      <w:r>
        <w:fldChar w:fldCharType="end"/>
      </w:r>
    </w:p>
    <w:p>
      <w:pPr>
        <w:spacing w:line="360" w:lineRule="auto"/>
        <w:rPr>
          <w:rFonts w:asciiTheme="minorEastAsia" w:hAnsiTheme="minorEastAsia" w:eastAsiaTheme="minorEastAsia"/>
          <w:b/>
          <w:sz w:val="32"/>
        </w:rPr>
      </w:pPr>
      <w:r>
        <w:rPr>
          <w:rFonts w:asciiTheme="minorEastAsia" w:hAnsiTheme="minorEastAsia" w:eastAsiaTheme="minorEastAsia"/>
          <w:b/>
          <w:sz w:val="24"/>
          <w:szCs w:val="24"/>
        </w:rPr>
        <w:fldChar w:fldCharType="end"/>
      </w:r>
    </w:p>
    <w:p>
      <w:pPr>
        <w:spacing w:line="360" w:lineRule="auto"/>
        <w:jc w:val="center"/>
        <w:outlineLvl w:val="1"/>
        <w:rPr>
          <w:rFonts w:asciiTheme="minorEastAsia" w:hAnsiTheme="minorEastAsia" w:eastAsiaTheme="minorEastAsia"/>
          <w:b/>
          <w:sz w:val="28"/>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spacing w:line="360" w:lineRule="auto"/>
        <w:jc w:val="center"/>
        <w:outlineLvl w:val="1"/>
        <w:rPr>
          <w:rFonts w:asciiTheme="minorEastAsia" w:hAnsiTheme="minorEastAsia" w:eastAsiaTheme="minorEastAsia"/>
          <w:b/>
          <w:sz w:val="28"/>
        </w:rPr>
      </w:pPr>
      <w:bookmarkStart w:id="1" w:name="_Toc60582623"/>
      <w:r>
        <w:rPr>
          <w:rFonts w:hint="eastAsia" w:asciiTheme="minorEastAsia" w:hAnsiTheme="minorEastAsia" w:eastAsiaTheme="minorEastAsia"/>
          <w:b/>
          <w:sz w:val="28"/>
        </w:rPr>
        <w:t xml:space="preserve">第一章 </w:t>
      </w:r>
      <w:r>
        <w:rPr>
          <w:rFonts w:asciiTheme="minorEastAsia" w:hAnsiTheme="minorEastAsia" w:eastAsiaTheme="minorEastAsia"/>
          <w:b/>
          <w:sz w:val="28"/>
        </w:rPr>
        <w:t xml:space="preserve"> </w:t>
      </w:r>
      <w:bookmarkEnd w:id="1"/>
      <w:r>
        <w:rPr>
          <w:rFonts w:hint="eastAsia" w:asciiTheme="minorEastAsia" w:hAnsiTheme="minorEastAsia" w:eastAsiaTheme="minorEastAsia"/>
          <w:b/>
          <w:sz w:val="28"/>
        </w:rPr>
        <w:t>招标公告</w:t>
      </w:r>
    </w:p>
    <w:p>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u w:val="single"/>
        </w:rPr>
        <w:t xml:space="preserve"> 安徽交通职业技术学院产教融合实训基地建设项目（第一、二包）</w:t>
      </w:r>
      <w:r>
        <w:rPr>
          <w:rFonts w:hint="eastAsia" w:ascii="仿宋" w:hAnsi="仿宋" w:eastAsia="仿宋"/>
          <w:sz w:val="28"/>
          <w:szCs w:val="28"/>
        </w:rPr>
        <w:t xml:space="preserve"> 招标项目的潜在投标人应在</w:t>
      </w:r>
      <w:r>
        <w:rPr>
          <w:rFonts w:hint="eastAsia" w:ascii="仿宋" w:hAnsi="仿宋" w:eastAsia="仿宋"/>
          <w:sz w:val="28"/>
          <w:szCs w:val="28"/>
          <w:u w:val="single"/>
        </w:rPr>
        <w:t>“徽采云”电子交易系统（https://login.anhui.zcygov.cn/user-login/#/login）</w:t>
      </w:r>
      <w:r>
        <w:fldChar w:fldCharType="begin"/>
      </w:r>
      <w:r>
        <w:instrText xml:space="preserve"> HYPERLINK "http://www.ahhzc.com/）获取招标文件，并于2022年6月20日14" </w:instrText>
      </w:r>
      <w:r>
        <w:fldChar w:fldCharType="separate"/>
      </w:r>
      <w:r>
        <w:rPr>
          <w:rStyle w:val="28"/>
          <w:rFonts w:hint="eastAsia" w:ascii="仿宋" w:hAnsi="仿宋" w:eastAsia="仿宋"/>
          <w:color w:val="auto"/>
          <w:sz w:val="28"/>
          <w:szCs w:val="28"/>
        </w:rPr>
        <w:t>获取招标文件，并于202</w:t>
      </w:r>
      <w:r>
        <w:rPr>
          <w:rStyle w:val="28"/>
          <w:rFonts w:hint="eastAsia" w:ascii="仿宋" w:hAnsi="仿宋" w:eastAsia="仿宋"/>
          <w:color w:val="auto"/>
          <w:sz w:val="28"/>
          <w:szCs w:val="28"/>
          <w:lang w:val="en-US" w:eastAsia="zh-CN"/>
        </w:rPr>
        <w:t>4</w:t>
      </w:r>
      <w:r>
        <w:rPr>
          <w:rStyle w:val="28"/>
          <w:rFonts w:hint="eastAsia" w:ascii="仿宋" w:hAnsi="仿宋" w:eastAsia="仿宋"/>
          <w:bCs/>
          <w:color w:val="auto"/>
          <w:sz w:val="28"/>
          <w:szCs w:val="28"/>
        </w:rPr>
        <w:t>年</w:t>
      </w:r>
      <w:r>
        <w:rPr>
          <w:rStyle w:val="28"/>
          <w:rFonts w:hint="eastAsia" w:ascii="仿宋" w:hAnsi="仿宋" w:eastAsia="仿宋"/>
          <w:bCs/>
          <w:color w:val="auto"/>
          <w:sz w:val="28"/>
          <w:szCs w:val="28"/>
          <w:lang w:val="en-US" w:eastAsia="zh-CN"/>
        </w:rPr>
        <w:t>1</w:t>
      </w:r>
      <w:r>
        <w:rPr>
          <w:rStyle w:val="28"/>
          <w:rFonts w:hint="eastAsia" w:ascii="仿宋" w:hAnsi="仿宋" w:eastAsia="仿宋"/>
          <w:bCs/>
          <w:color w:val="auto"/>
          <w:sz w:val="28"/>
          <w:szCs w:val="28"/>
        </w:rPr>
        <w:t>月</w:t>
      </w:r>
      <w:r>
        <w:rPr>
          <w:rStyle w:val="28"/>
          <w:rFonts w:hint="eastAsia" w:ascii="仿宋" w:hAnsi="仿宋" w:eastAsia="仿宋"/>
          <w:bCs/>
          <w:color w:val="auto"/>
          <w:sz w:val="28"/>
          <w:szCs w:val="28"/>
          <w:lang w:val="en-US" w:eastAsia="zh-CN"/>
        </w:rPr>
        <w:t>19</w:t>
      </w:r>
      <w:r>
        <w:rPr>
          <w:rStyle w:val="28"/>
          <w:rFonts w:hint="eastAsia" w:ascii="仿宋" w:hAnsi="仿宋" w:eastAsia="仿宋"/>
          <w:bCs/>
          <w:color w:val="auto"/>
          <w:sz w:val="28"/>
          <w:szCs w:val="28"/>
        </w:rPr>
        <w:t>日</w:t>
      </w:r>
      <w:r>
        <w:rPr>
          <w:rStyle w:val="28"/>
          <w:rFonts w:hint="eastAsia" w:ascii="仿宋" w:hAnsi="仿宋" w:eastAsia="仿宋"/>
          <w:bCs/>
          <w:color w:val="auto"/>
          <w:sz w:val="28"/>
          <w:szCs w:val="28"/>
        </w:rPr>
        <w:fldChar w:fldCharType="end"/>
      </w:r>
      <w:r>
        <w:rPr>
          <w:rFonts w:ascii="仿宋" w:hAnsi="仿宋" w:eastAsia="仿宋"/>
          <w:sz w:val="28"/>
          <w:szCs w:val="28"/>
          <w:u w:val="single"/>
        </w:rPr>
        <w:t>9</w:t>
      </w:r>
      <w:r>
        <w:rPr>
          <w:rFonts w:hint="eastAsia" w:ascii="仿宋" w:hAnsi="仿宋" w:eastAsia="仿宋"/>
          <w:bCs/>
          <w:sz w:val="28"/>
          <w:szCs w:val="28"/>
          <w:u w:val="single"/>
        </w:rPr>
        <w:t>：</w:t>
      </w:r>
      <w:r>
        <w:rPr>
          <w:rFonts w:ascii="仿宋" w:hAnsi="仿宋" w:eastAsia="仿宋"/>
          <w:bCs/>
          <w:sz w:val="28"/>
          <w:szCs w:val="28"/>
          <w:u w:val="single"/>
        </w:rPr>
        <w:t>30</w:t>
      </w:r>
      <w:r>
        <w:rPr>
          <w:rFonts w:hint="eastAsia" w:ascii="仿宋" w:hAnsi="仿宋" w:eastAsia="仿宋"/>
          <w:bCs/>
          <w:sz w:val="28"/>
          <w:szCs w:val="28"/>
          <w:u w:val="single"/>
        </w:rPr>
        <w:t>（</w:t>
      </w:r>
      <w:r>
        <w:rPr>
          <w:rFonts w:hint="eastAsia" w:ascii="仿宋" w:hAnsi="仿宋" w:eastAsia="仿宋"/>
          <w:bCs/>
          <w:sz w:val="28"/>
          <w:szCs w:val="28"/>
        </w:rPr>
        <w:t>北京时间）前递交投标</w:t>
      </w:r>
      <w:r>
        <w:rPr>
          <w:rFonts w:ascii="仿宋" w:hAnsi="仿宋" w:eastAsia="仿宋"/>
          <w:bCs/>
          <w:sz w:val="28"/>
          <w:szCs w:val="28"/>
        </w:rPr>
        <w:t>文件</w:t>
      </w:r>
      <w:r>
        <w:rPr>
          <w:rFonts w:hint="eastAsia" w:ascii="仿宋" w:hAnsi="仿宋" w:eastAsia="仿宋"/>
          <w:sz w:val="28"/>
          <w:szCs w:val="28"/>
        </w:rPr>
        <w:t>。</w:t>
      </w:r>
    </w:p>
    <w:p>
      <w:pPr>
        <w:rPr>
          <w:sz w:val="28"/>
          <w:szCs w:val="28"/>
        </w:rPr>
      </w:pPr>
    </w:p>
    <w:p>
      <w:pPr>
        <w:pStyle w:val="4"/>
        <w:widowControl w:val="0"/>
        <w:spacing w:line="360" w:lineRule="auto"/>
        <w:jc w:val="both"/>
        <w:rPr>
          <w:rFonts w:eastAsia="黑体" w:cs="宋体"/>
          <w:b w:val="0"/>
          <w:bCs/>
          <w:kern w:val="2"/>
          <w:sz w:val="28"/>
          <w:szCs w:val="28"/>
        </w:rPr>
      </w:pPr>
      <w:bookmarkStart w:id="2" w:name="_Toc35393790"/>
      <w:bookmarkStart w:id="3" w:name="_Toc28359002"/>
      <w:bookmarkStart w:id="4" w:name="_Toc35393621"/>
      <w:bookmarkStart w:id="5" w:name="_Toc28359079"/>
      <w:bookmarkStart w:id="6" w:name="_Hlk24379207"/>
      <w:r>
        <w:rPr>
          <w:rFonts w:hint="eastAsia" w:eastAsia="黑体" w:cs="宋体"/>
          <w:b w:val="0"/>
          <w:bCs/>
          <w:kern w:val="2"/>
          <w:sz w:val="28"/>
          <w:szCs w:val="28"/>
        </w:rPr>
        <w:t>一、项目基本情况</w:t>
      </w:r>
      <w:bookmarkEnd w:id="2"/>
      <w:bookmarkEnd w:id="3"/>
      <w:bookmarkEnd w:id="4"/>
      <w:bookmarkEnd w:id="5"/>
    </w:p>
    <w:p>
      <w:pPr>
        <w:ind w:firstLine="560" w:firstLineChars="200"/>
        <w:rPr>
          <w:rFonts w:ascii="仿宋" w:hAnsi="仿宋" w:eastAsia="仿宋"/>
          <w:sz w:val="28"/>
          <w:szCs w:val="28"/>
          <w:highlight w:val="none"/>
        </w:rPr>
      </w:pPr>
      <w:r>
        <w:rPr>
          <w:rFonts w:hint="eastAsia" w:ascii="仿宋" w:hAnsi="仿宋" w:eastAsia="仿宋"/>
          <w:sz w:val="28"/>
          <w:szCs w:val="28"/>
        </w:rPr>
        <w:t>项目编号：AHZJ-2</w:t>
      </w:r>
      <w:r>
        <w:rPr>
          <w:rFonts w:hint="eastAsia" w:ascii="仿宋" w:hAnsi="仿宋" w:eastAsia="仿宋"/>
          <w:sz w:val="28"/>
          <w:szCs w:val="28"/>
          <w:highlight w:val="none"/>
        </w:rPr>
        <w:t>02319601535</w:t>
      </w:r>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项目名称：安徽交通职业技术学院产教融合实训基地建设项目（第一、二包）</w:t>
      </w:r>
    </w:p>
    <w:bookmarkEnd w:id="6"/>
    <w:p>
      <w:pPr>
        <w:ind w:firstLine="560" w:firstLineChars="200"/>
        <w:rPr>
          <w:rFonts w:ascii="仿宋" w:hAnsi="仿宋" w:eastAsia="仿宋"/>
          <w:sz w:val="28"/>
          <w:szCs w:val="28"/>
          <w:highlight w:val="none"/>
        </w:rPr>
      </w:pPr>
      <w:r>
        <w:rPr>
          <w:rFonts w:hint="eastAsia" w:ascii="仿宋" w:hAnsi="仿宋" w:eastAsia="仿宋"/>
          <w:sz w:val="28"/>
          <w:szCs w:val="28"/>
          <w:highlight w:val="none"/>
        </w:rPr>
        <w:t>预算金额：人民币6500000.00元</w:t>
      </w:r>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最高限价：第一包345万元，第二包305万元。</w:t>
      </w:r>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采购需求：安徽交通职业技术学院产教融合实训基地建设项目（第一、二包），本项目共分2个包，具体详见招标文件。</w:t>
      </w:r>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合同履行期限：合同签订后45个工作日内完成全部供货及安装调试。</w:t>
      </w:r>
    </w:p>
    <w:p>
      <w:pPr>
        <w:spacing w:line="360" w:lineRule="auto"/>
        <w:ind w:firstLine="560" w:firstLineChars="200"/>
        <w:rPr>
          <w:rFonts w:ascii="仿宋" w:hAnsi="仿宋" w:eastAsia="仿宋"/>
          <w:sz w:val="28"/>
          <w:szCs w:val="28"/>
          <w:highlight w:val="none"/>
        </w:rPr>
      </w:pPr>
      <w:r>
        <w:rPr>
          <w:rFonts w:hint="eastAsia" w:ascii="仿宋" w:hAnsi="仿宋" w:eastAsia="仿宋"/>
          <w:sz w:val="28"/>
          <w:szCs w:val="28"/>
          <w:highlight w:val="none"/>
        </w:rPr>
        <w:t>本项目不接受联合体投标。</w:t>
      </w:r>
      <w:bookmarkStart w:id="7" w:name="_Toc28359003"/>
      <w:bookmarkStart w:id="8" w:name="_Toc35393622"/>
      <w:bookmarkStart w:id="9" w:name="_Toc35393791"/>
      <w:bookmarkStart w:id="10" w:name="_Toc28359080"/>
    </w:p>
    <w:p>
      <w:pPr>
        <w:spacing w:line="360" w:lineRule="auto"/>
        <w:ind w:firstLine="560" w:firstLineChars="200"/>
        <w:rPr>
          <w:rFonts w:ascii="黑体" w:hAnsi="黑体" w:eastAsia="黑体" w:cs="宋体"/>
          <w:bCs/>
          <w:sz w:val="28"/>
          <w:szCs w:val="28"/>
          <w:highlight w:val="none"/>
        </w:rPr>
      </w:pPr>
      <w:r>
        <w:rPr>
          <w:rFonts w:hint="eastAsia" w:ascii="黑体" w:hAnsi="黑体" w:eastAsia="黑体" w:cs="宋体"/>
          <w:bCs/>
          <w:sz w:val="28"/>
          <w:szCs w:val="28"/>
          <w:highlight w:val="none"/>
        </w:rPr>
        <w:t>二、申请人的资格要求：</w:t>
      </w:r>
      <w:bookmarkEnd w:id="7"/>
      <w:bookmarkEnd w:id="8"/>
      <w:bookmarkEnd w:id="9"/>
      <w:bookmarkEnd w:id="10"/>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1.满足《中华人民共和国政府采购法》第二十二条规定；</w:t>
      </w:r>
    </w:p>
    <w:p>
      <w:pPr>
        <w:ind w:firstLine="560" w:firstLineChars="200"/>
        <w:rPr>
          <w:rFonts w:ascii="仿宋" w:hAnsi="仿宋" w:eastAsia="仿宋"/>
          <w:sz w:val="28"/>
          <w:szCs w:val="28"/>
          <w:highlight w:val="none"/>
        </w:rPr>
      </w:pPr>
      <w:bookmarkStart w:id="11" w:name="_Toc28359004"/>
      <w:bookmarkStart w:id="12" w:name="_Toc28359081"/>
      <w:r>
        <w:rPr>
          <w:rFonts w:ascii="仿宋" w:hAnsi="仿宋" w:eastAsia="仿宋"/>
          <w:sz w:val="28"/>
          <w:szCs w:val="28"/>
          <w:highlight w:val="none"/>
        </w:rPr>
        <w:t>2</w:t>
      </w:r>
      <w:r>
        <w:rPr>
          <w:rFonts w:hint="eastAsia" w:ascii="仿宋" w:hAnsi="仿宋" w:eastAsia="仿宋"/>
          <w:sz w:val="28"/>
          <w:szCs w:val="28"/>
          <w:highlight w:val="none"/>
        </w:rPr>
        <w:t>.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以书面材料递交至采购人或采购代理机构处。</w:t>
      </w:r>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3.本项目的特定资格要求：</w:t>
      </w:r>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投标人存在以下不良信用记录情形之一的，不得推荐为中标候选人，不得确定为中标人：</w:t>
      </w:r>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①被人民法院列入失信被执行人；</w:t>
      </w:r>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②单位、法定代表人或拟派项目经理（项目负责人）被人民检察院列入行贿犯罪档案；</w:t>
      </w:r>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③被工商行政管理部门列入企业经营异常名录；</w:t>
      </w:r>
    </w:p>
    <w:p>
      <w:pPr>
        <w:ind w:firstLine="560" w:firstLineChars="200"/>
        <w:rPr>
          <w:rFonts w:ascii="仿宋" w:hAnsi="仿宋" w:eastAsia="仿宋"/>
          <w:sz w:val="28"/>
          <w:szCs w:val="28"/>
          <w:highlight w:val="none"/>
        </w:rPr>
      </w:pPr>
      <w:r>
        <w:rPr>
          <w:rFonts w:hint="eastAsia" w:ascii="仿宋" w:hAnsi="仿宋" w:eastAsia="仿宋"/>
          <w:sz w:val="28"/>
          <w:szCs w:val="28"/>
          <w:highlight w:val="none"/>
        </w:rPr>
        <w:t>④被税务部门列入重大税收违法案件当事人名单；</w:t>
      </w:r>
    </w:p>
    <w:p>
      <w:pPr>
        <w:ind w:firstLine="560" w:firstLineChars="200"/>
        <w:rPr>
          <w:rFonts w:ascii="仿宋" w:hAnsi="仿宋" w:eastAsia="仿宋" w:cs="Times New Roman"/>
          <w:sz w:val="28"/>
          <w:szCs w:val="28"/>
          <w:highlight w:val="none"/>
        </w:rPr>
      </w:pPr>
      <w:r>
        <w:rPr>
          <w:rFonts w:hint="eastAsia" w:ascii="仿宋" w:hAnsi="仿宋" w:eastAsia="仿宋"/>
          <w:sz w:val="28"/>
          <w:szCs w:val="28"/>
          <w:highlight w:val="none"/>
        </w:rPr>
        <w:t>⑤被政府采购监管部门列入政府采购严重违法失信行为记录名单。</w:t>
      </w:r>
    </w:p>
    <w:p>
      <w:pPr>
        <w:pStyle w:val="4"/>
        <w:widowControl w:val="0"/>
        <w:spacing w:line="360" w:lineRule="auto"/>
        <w:jc w:val="both"/>
        <w:rPr>
          <w:rFonts w:eastAsia="黑体" w:cs="宋体"/>
          <w:b w:val="0"/>
          <w:bCs/>
          <w:kern w:val="2"/>
          <w:sz w:val="28"/>
          <w:szCs w:val="28"/>
          <w:highlight w:val="none"/>
        </w:rPr>
      </w:pPr>
      <w:bookmarkStart w:id="13" w:name="_Toc35393623"/>
      <w:bookmarkStart w:id="14" w:name="_Toc35393792"/>
      <w:r>
        <w:rPr>
          <w:rFonts w:hint="eastAsia" w:eastAsia="黑体" w:cs="宋体"/>
          <w:b w:val="0"/>
          <w:bCs/>
          <w:kern w:val="2"/>
          <w:sz w:val="28"/>
          <w:szCs w:val="28"/>
          <w:highlight w:val="none"/>
        </w:rPr>
        <w:t>三、获取招标文件</w:t>
      </w:r>
      <w:bookmarkEnd w:id="11"/>
      <w:bookmarkEnd w:id="12"/>
      <w:bookmarkEnd w:id="13"/>
      <w:bookmarkEnd w:id="14"/>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时间：2023年12月</w:t>
      </w:r>
      <w:r>
        <w:rPr>
          <w:rFonts w:hint="eastAsia" w:ascii="仿宋" w:hAnsi="仿宋" w:eastAsia="仿宋" w:cs="宋体"/>
          <w:sz w:val="28"/>
          <w:szCs w:val="28"/>
          <w:highlight w:val="none"/>
          <w:lang w:val="en-US" w:eastAsia="zh-CN"/>
        </w:rPr>
        <w:t>29</w:t>
      </w:r>
      <w:r>
        <w:rPr>
          <w:rFonts w:hint="eastAsia" w:ascii="仿宋" w:hAnsi="仿宋" w:eastAsia="仿宋" w:cs="宋体"/>
          <w:sz w:val="28"/>
          <w:szCs w:val="28"/>
          <w:highlight w:val="none"/>
        </w:rPr>
        <w:t>日至202</w:t>
      </w:r>
      <w:r>
        <w:rPr>
          <w:rFonts w:hint="eastAsia" w:ascii="仿宋" w:hAnsi="仿宋" w:eastAsia="仿宋" w:cs="宋体"/>
          <w:sz w:val="28"/>
          <w:szCs w:val="28"/>
          <w:highlight w:val="none"/>
          <w:lang w:val="en-US" w:eastAsia="zh-CN"/>
        </w:rPr>
        <w:t>4</w:t>
      </w:r>
      <w:r>
        <w:rPr>
          <w:rFonts w:hint="eastAsia" w:ascii="仿宋" w:hAnsi="仿宋" w:eastAsia="仿宋" w:cs="宋体"/>
          <w:sz w:val="28"/>
          <w:szCs w:val="28"/>
          <w:highlight w:val="none"/>
        </w:rPr>
        <w:t>年1月</w:t>
      </w:r>
      <w:r>
        <w:rPr>
          <w:rFonts w:hint="eastAsia" w:ascii="仿宋" w:hAnsi="仿宋" w:eastAsia="仿宋" w:cs="宋体"/>
          <w:sz w:val="28"/>
          <w:szCs w:val="28"/>
          <w:highlight w:val="none"/>
          <w:lang w:val="en-US" w:eastAsia="zh-CN"/>
        </w:rPr>
        <w:t>8</w:t>
      </w:r>
      <w:r>
        <w:rPr>
          <w:rFonts w:hint="eastAsia" w:ascii="仿宋" w:hAnsi="仿宋" w:eastAsia="仿宋" w:cs="宋体"/>
          <w:sz w:val="28"/>
          <w:szCs w:val="28"/>
          <w:highlight w:val="none"/>
        </w:rPr>
        <w:t>日17:00（北京时间，法定节假日除外 ）</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地点：“徽采云”电子交易系统</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方式：1、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2、采购文件获取过程中有任何疑问，请在工作时间（8：00-18:00节假日休息）拨打技术支持热线（非项目咨询）：95763。</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项目咨询请拨打电话：0551-65149581-657、842、18756962615。</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售价（元）：0。</w:t>
      </w:r>
    </w:p>
    <w:p>
      <w:pPr>
        <w:pStyle w:val="4"/>
        <w:widowControl w:val="0"/>
        <w:spacing w:line="360" w:lineRule="auto"/>
        <w:jc w:val="both"/>
        <w:rPr>
          <w:rFonts w:eastAsia="黑体" w:cs="宋体"/>
          <w:b w:val="0"/>
          <w:bCs/>
          <w:kern w:val="2"/>
          <w:sz w:val="28"/>
          <w:szCs w:val="28"/>
          <w:highlight w:val="none"/>
        </w:rPr>
      </w:pPr>
      <w:bookmarkStart w:id="15" w:name="_Toc28359082"/>
      <w:bookmarkStart w:id="16" w:name="_Toc28359005"/>
      <w:bookmarkStart w:id="17" w:name="_Toc35393624"/>
      <w:bookmarkStart w:id="18" w:name="_Toc35393793"/>
      <w:r>
        <w:rPr>
          <w:rFonts w:hint="eastAsia" w:eastAsia="黑体" w:cs="宋体"/>
          <w:b w:val="0"/>
          <w:bCs/>
          <w:kern w:val="2"/>
          <w:sz w:val="28"/>
          <w:szCs w:val="28"/>
          <w:highlight w:val="none"/>
        </w:rPr>
        <w:t>四、提交投标文件</w:t>
      </w:r>
      <w:bookmarkEnd w:id="15"/>
      <w:bookmarkEnd w:id="16"/>
      <w:r>
        <w:rPr>
          <w:rFonts w:hint="eastAsia" w:eastAsia="黑体" w:cs="宋体"/>
          <w:b w:val="0"/>
          <w:bCs/>
          <w:kern w:val="2"/>
          <w:sz w:val="28"/>
          <w:szCs w:val="28"/>
          <w:highlight w:val="none"/>
        </w:rPr>
        <w:t>截止时间、开标时间和地点</w:t>
      </w:r>
      <w:bookmarkEnd w:id="17"/>
      <w:bookmarkEnd w:id="18"/>
    </w:p>
    <w:p>
      <w:pPr>
        <w:ind w:firstLine="560" w:firstLineChars="200"/>
        <w:rPr>
          <w:rFonts w:ascii="仿宋" w:hAnsi="仿宋" w:eastAsia="仿宋"/>
          <w:bCs/>
          <w:sz w:val="28"/>
          <w:szCs w:val="28"/>
          <w:highlight w:val="none"/>
        </w:rPr>
      </w:pPr>
      <w:r>
        <w:rPr>
          <w:rFonts w:hint="eastAsia" w:ascii="仿宋" w:hAnsi="仿宋" w:eastAsia="仿宋"/>
          <w:bCs/>
          <w:sz w:val="28"/>
          <w:szCs w:val="28"/>
          <w:highlight w:val="none"/>
        </w:rPr>
        <w:t>截止时间：202</w:t>
      </w:r>
      <w:r>
        <w:rPr>
          <w:rFonts w:hint="eastAsia" w:ascii="仿宋" w:hAnsi="仿宋" w:eastAsia="仿宋"/>
          <w:bCs/>
          <w:sz w:val="28"/>
          <w:szCs w:val="28"/>
          <w:highlight w:val="none"/>
          <w:lang w:val="en-US" w:eastAsia="zh-CN"/>
        </w:rPr>
        <w:t>4</w:t>
      </w:r>
      <w:r>
        <w:rPr>
          <w:rFonts w:hint="eastAsia" w:ascii="仿宋" w:hAnsi="仿宋" w:eastAsia="仿宋"/>
          <w:bCs/>
          <w:sz w:val="28"/>
          <w:szCs w:val="28"/>
          <w:highlight w:val="none"/>
        </w:rPr>
        <w:t>年1月</w:t>
      </w:r>
      <w:r>
        <w:rPr>
          <w:rFonts w:hint="eastAsia" w:ascii="仿宋" w:hAnsi="仿宋" w:eastAsia="仿宋"/>
          <w:bCs/>
          <w:sz w:val="28"/>
          <w:szCs w:val="28"/>
          <w:highlight w:val="none"/>
          <w:lang w:val="en-US" w:eastAsia="zh-CN"/>
        </w:rPr>
        <w:t>19</w:t>
      </w:r>
      <w:r>
        <w:rPr>
          <w:rFonts w:hint="eastAsia" w:ascii="仿宋" w:hAnsi="仿宋" w:eastAsia="仿宋"/>
          <w:bCs/>
          <w:sz w:val="28"/>
          <w:szCs w:val="28"/>
          <w:highlight w:val="none"/>
        </w:rPr>
        <w:t>日</w:t>
      </w:r>
      <w:r>
        <w:rPr>
          <w:rFonts w:hint="eastAsia" w:ascii="仿宋" w:hAnsi="仿宋" w:eastAsia="仿宋"/>
          <w:bCs/>
          <w:sz w:val="28"/>
          <w:szCs w:val="28"/>
          <w:highlight w:val="none"/>
          <w:lang w:val="en-US" w:eastAsia="zh-CN"/>
        </w:rPr>
        <w:t>09</w:t>
      </w:r>
      <w:r>
        <w:rPr>
          <w:rFonts w:hint="eastAsia" w:ascii="仿宋" w:hAnsi="仿宋" w:eastAsia="仿宋"/>
          <w:bCs/>
          <w:sz w:val="28"/>
          <w:szCs w:val="28"/>
          <w:highlight w:val="none"/>
        </w:rPr>
        <w:t>点</w:t>
      </w:r>
      <w:r>
        <w:rPr>
          <w:rFonts w:hint="eastAsia" w:ascii="仿宋" w:hAnsi="仿宋" w:eastAsia="仿宋"/>
          <w:bCs/>
          <w:sz w:val="28"/>
          <w:szCs w:val="28"/>
          <w:highlight w:val="none"/>
          <w:lang w:val="en-US" w:eastAsia="zh-CN"/>
        </w:rPr>
        <w:t>30</w:t>
      </w:r>
      <w:r>
        <w:rPr>
          <w:rFonts w:hint="eastAsia" w:ascii="仿宋" w:hAnsi="仿宋" w:eastAsia="仿宋"/>
          <w:bCs/>
          <w:sz w:val="28"/>
          <w:szCs w:val="28"/>
          <w:highlight w:val="none"/>
        </w:rPr>
        <w:t>分（北京时间）</w:t>
      </w:r>
    </w:p>
    <w:p>
      <w:pPr>
        <w:ind w:firstLine="560" w:firstLineChars="200"/>
        <w:rPr>
          <w:rFonts w:ascii="仿宋" w:hAnsi="仿宋" w:eastAsia="仿宋"/>
          <w:bCs/>
          <w:sz w:val="28"/>
          <w:szCs w:val="28"/>
          <w:highlight w:val="none"/>
        </w:rPr>
      </w:pPr>
      <w:r>
        <w:rPr>
          <w:rFonts w:hint="eastAsia" w:ascii="仿宋" w:hAnsi="仿宋" w:eastAsia="仿宋"/>
          <w:bCs/>
          <w:sz w:val="28"/>
          <w:szCs w:val="28"/>
          <w:highlight w:val="none"/>
        </w:rPr>
        <w:t>地点：“徽采云”电子交易系统。</w:t>
      </w:r>
    </w:p>
    <w:p>
      <w:pPr>
        <w:pStyle w:val="4"/>
        <w:widowControl w:val="0"/>
        <w:spacing w:line="360" w:lineRule="auto"/>
        <w:jc w:val="both"/>
        <w:rPr>
          <w:rFonts w:eastAsia="黑体" w:cs="宋体"/>
          <w:b w:val="0"/>
          <w:bCs/>
          <w:kern w:val="2"/>
          <w:sz w:val="28"/>
          <w:szCs w:val="28"/>
          <w:highlight w:val="none"/>
        </w:rPr>
      </w:pPr>
      <w:bookmarkStart w:id="19" w:name="_Toc35393625"/>
      <w:bookmarkStart w:id="20" w:name="_Toc28359007"/>
      <w:bookmarkStart w:id="21" w:name="_Toc35393794"/>
      <w:bookmarkStart w:id="22" w:name="_Toc28359084"/>
      <w:r>
        <w:rPr>
          <w:rFonts w:hint="eastAsia" w:eastAsia="黑体" w:cs="宋体"/>
          <w:b w:val="0"/>
          <w:bCs/>
          <w:kern w:val="2"/>
          <w:sz w:val="28"/>
          <w:szCs w:val="28"/>
          <w:highlight w:val="none"/>
        </w:rPr>
        <w:t>五、公告期限</w:t>
      </w:r>
      <w:bookmarkEnd w:id="19"/>
      <w:bookmarkEnd w:id="20"/>
      <w:bookmarkEnd w:id="21"/>
      <w:bookmarkEnd w:id="22"/>
    </w:p>
    <w:p>
      <w:pPr>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自本公告发布之日起5个工作日。</w:t>
      </w:r>
    </w:p>
    <w:p>
      <w:pPr>
        <w:pStyle w:val="4"/>
        <w:widowControl w:val="0"/>
        <w:spacing w:line="360" w:lineRule="auto"/>
        <w:jc w:val="both"/>
        <w:rPr>
          <w:rFonts w:eastAsia="黑体" w:cs="宋体"/>
          <w:b w:val="0"/>
          <w:bCs/>
          <w:kern w:val="2"/>
          <w:sz w:val="28"/>
          <w:szCs w:val="28"/>
          <w:highlight w:val="none"/>
        </w:rPr>
      </w:pPr>
      <w:bookmarkStart w:id="23" w:name="_Toc35393795"/>
      <w:bookmarkStart w:id="24" w:name="_Toc35393626"/>
      <w:r>
        <w:rPr>
          <w:rFonts w:hint="eastAsia" w:eastAsia="黑体" w:cs="宋体"/>
          <w:b w:val="0"/>
          <w:bCs/>
          <w:kern w:val="2"/>
          <w:sz w:val="28"/>
          <w:szCs w:val="28"/>
          <w:highlight w:val="none"/>
        </w:rPr>
        <w:t>六、其他补充事宜</w:t>
      </w:r>
      <w:bookmarkEnd w:id="23"/>
      <w:bookmarkEnd w:id="24"/>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1.本项目落实节能环保、中小微型企业扶持等相关政府采购政策。</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2.本次招标公告同时在安徽省政府采购网、安徽省招标投标信息网、中国政府采购网、中国招标投标公共服务平台、中国采购与招标网上发布。</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3.投标人应合理安排招标文件获取时间，特别是网络速度慢的地区防止在系统关闭前网络拥堵无法操作。如果因计算机及网络故障造成无法完成招标文件获取，责任自负。</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4.投标文件的提交要求:投标人应当在投标文件提交截止时间前通过“徽采云”电子交易系统上传加密的电子投标文件，未在投标文件提交截止时间前完成上传的，视为逾期送达，拒绝接收。</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5.电子招投标的说明</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5.1电子招投标：本项目以数据电文形式，依托“徽采云”电子交易系统进行招投标活动；</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5.2投标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投标客户端----前往“安徽省政府采购网-下载专区-电子交易系统专区”进行下载并安装（http://www.ccgp-anhui.gov.cn/anhuiCategory15/anhuiCategory119/9396667.html）；</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5.3招标文件的获取：使用CA登录“徽采云”电子交易系统；进入“项目采购”应用，在获取采购文件菜单中选择项目，获取招标文件；</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5.4投标文件的制作：在“徽采云投标客户端”中完成“填写基本信息”、“制作和导入投标（响应）文件”、“标书关联”、“标书检查”、“电子签名”、“生成电子标书”等操作；</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5.5投标文件的上传：使用CA登录“徽采云”电子交易系统；进入“项目采购”应用，在投标文件上传菜单中选择项目，上传加密的投标文件（*.jmbs）；</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5.6投标文件的解密：投标人按照系统提示和招标文件规定,在规定时间内完成在线解密；</w:t>
      </w:r>
    </w:p>
    <w:p>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5.7“徽采云”电子交易系统具体操作指南：详见安徽省政府采购网-徽采学院-电子交易系统学习专题-供应商-操作手册。</w:t>
      </w:r>
    </w:p>
    <w:p>
      <w:pPr>
        <w:spacing w:line="360" w:lineRule="auto"/>
        <w:ind w:firstLine="540"/>
        <w:rPr>
          <w:rFonts w:ascii="仿宋" w:hAnsi="仿宋" w:eastAsia="仿宋" w:cs="宋体"/>
          <w:sz w:val="28"/>
          <w:szCs w:val="28"/>
        </w:rPr>
      </w:pPr>
      <w:r>
        <w:rPr>
          <w:rFonts w:hint="eastAsia" w:ascii="仿宋" w:hAnsi="仿宋" w:eastAsia="仿宋" w:cs="宋体"/>
          <w:sz w:val="28"/>
          <w:szCs w:val="28"/>
          <w:highlight w:val="none"/>
        </w:rPr>
        <w:t>5.8 CA问题联系电话：安</w:t>
      </w:r>
      <w:r>
        <w:rPr>
          <w:rFonts w:hint="eastAsia" w:ascii="仿宋" w:hAnsi="仿宋" w:eastAsia="仿宋" w:cs="宋体"/>
          <w:sz w:val="28"/>
          <w:szCs w:val="28"/>
        </w:rPr>
        <w:t>徽CA 400-880-4959；翔晟CA 0551-68105136。</w:t>
      </w:r>
    </w:p>
    <w:p>
      <w:pPr>
        <w:pStyle w:val="4"/>
        <w:widowControl w:val="0"/>
        <w:spacing w:line="360" w:lineRule="auto"/>
        <w:jc w:val="both"/>
        <w:rPr>
          <w:rFonts w:eastAsia="黑体" w:cs="宋体"/>
          <w:b w:val="0"/>
          <w:bCs/>
          <w:kern w:val="2"/>
          <w:sz w:val="28"/>
          <w:szCs w:val="28"/>
        </w:rPr>
      </w:pPr>
      <w:bookmarkStart w:id="25" w:name="_Toc35393796"/>
      <w:bookmarkStart w:id="26" w:name="_Toc28359085"/>
      <w:bookmarkStart w:id="27" w:name="_Toc35393627"/>
      <w:bookmarkStart w:id="28" w:name="_Toc28359008"/>
      <w:r>
        <w:rPr>
          <w:rFonts w:hint="eastAsia" w:eastAsia="黑体" w:cs="宋体"/>
          <w:b w:val="0"/>
          <w:bCs/>
          <w:kern w:val="2"/>
          <w:sz w:val="28"/>
          <w:szCs w:val="28"/>
        </w:rPr>
        <w:t>七、对本次招标提出询问，请按以下方式联系。</w:t>
      </w:r>
      <w:bookmarkEnd w:id="25"/>
      <w:bookmarkEnd w:id="26"/>
      <w:bookmarkEnd w:id="27"/>
      <w:bookmarkEnd w:id="28"/>
    </w:p>
    <w:p>
      <w:pPr>
        <w:spacing w:line="360" w:lineRule="auto"/>
        <w:ind w:left="1129" w:leftChars="371" w:hanging="350" w:hangingChars="125"/>
        <w:jc w:val="left"/>
        <w:rPr>
          <w:rFonts w:ascii="仿宋" w:hAnsi="仿宋" w:eastAsia="仿宋" w:cs="宋体"/>
          <w:sz w:val="28"/>
          <w:szCs w:val="28"/>
        </w:rPr>
      </w:pPr>
      <w:r>
        <w:rPr>
          <w:rFonts w:hint="eastAsia" w:ascii="仿宋" w:hAnsi="仿宋" w:eastAsia="仿宋" w:cs="宋体"/>
          <w:sz w:val="28"/>
          <w:szCs w:val="28"/>
        </w:rPr>
        <w:t>1.采购人信息</w:t>
      </w:r>
    </w:p>
    <w:p>
      <w:pPr>
        <w:spacing w:line="360" w:lineRule="auto"/>
        <w:ind w:left="1129" w:leftChars="371" w:hanging="350" w:hangingChars="125"/>
        <w:jc w:val="left"/>
        <w:rPr>
          <w:rFonts w:ascii="仿宋" w:hAnsi="仿宋" w:eastAsia="仿宋" w:cs="宋体"/>
          <w:sz w:val="28"/>
          <w:szCs w:val="28"/>
        </w:rPr>
      </w:pPr>
      <w:r>
        <w:rPr>
          <w:rFonts w:hint="eastAsia" w:ascii="仿宋" w:hAnsi="仿宋" w:eastAsia="仿宋" w:cs="宋体"/>
          <w:sz w:val="28"/>
          <w:szCs w:val="28"/>
        </w:rPr>
        <w:t>名 称：安徽交通职业技术学院</w:t>
      </w:r>
    </w:p>
    <w:p>
      <w:pPr>
        <w:spacing w:line="360" w:lineRule="auto"/>
        <w:ind w:left="1129" w:leftChars="371" w:hanging="350" w:hangingChars="125"/>
        <w:jc w:val="left"/>
        <w:rPr>
          <w:rFonts w:ascii="仿宋" w:hAnsi="仿宋" w:eastAsia="仿宋" w:cs="宋体"/>
          <w:sz w:val="28"/>
          <w:szCs w:val="28"/>
        </w:rPr>
      </w:pPr>
      <w:r>
        <w:rPr>
          <w:rFonts w:hint="eastAsia" w:ascii="仿宋" w:hAnsi="仿宋" w:eastAsia="仿宋" w:cs="宋体"/>
          <w:sz w:val="28"/>
          <w:szCs w:val="28"/>
        </w:rPr>
        <w:t>地 址：安徽省合肥市太湖东路22号</w:t>
      </w:r>
    </w:p>
    <w:p>
      <w:pPr>
        <w:spacing w:line="360" w:lineRule="auto"/>
        <w:ind w:left="1129" w:leftChars="371" w:hanging="350" w:hangingChars="125"/>
        <w:jc w:val="left"/>
        <w:rPr>
          <w:rFonts w:ascii="仿宋" w:hAnsi="仿宋" w:eastAsia="仿宋" w:cs="宋体"/>
          <w:sz w:val="28"/>
          <w:szCs w:val="28"/>
          <w:highlight w:val="yellow"/>
        </w:rPr>
      </w:pPr>
      <w:r>
        <w:rPr>
          <w:rFonts w:hint="eastAsia" w:ascii="仿宋" w:hAnsi="仿宋" w:eastAsia="仿宋" w:cs="宋体"/>
          <w:sz w:val="28"/>
          <w:szCs w:val="28"/>
        </w:rPr>
        <w:t>联系方式：黄老师、0551-63446661</w:t>
      </w:r>
      <w:bookmarkStart w:id="29" w:name="_Toc28359009"/>
      <w:bookmarkStart w:id="30" w:name="_Toc28359086"/>
    </w:p>
    <w:p>
      <w:pPr>
        <w:spacing w:line="360" w:lineRule="auto"/>
        <w:ind w:left="1129" w:leftChars="371" w:hanging="350" w:hangingChars="125"/>
        <w:jc w:val="left"/>
        <w:rPr>
          <w:rFonts w:ascii="仿宋" w:hAnsi="仿宋" w:eastAsia="仿宋" w:cs="宋体"/>
          <w:sz w:val="28"/>
          <w:szCs w:val="28"/>
        </w:rPr>
      </w:pPr>
      <w:r>
        <w:rPr>
          <w:rFonts w:hint="eastAsia" w:ascii="仿宋" w:hAnsi="仿宋" w:eastAsia="仿宋" w:cs="宋体"/>
          <w:sz w:val="28"/>
          <w:szCs w:val="28"/>
        </w:rPr>
        <w:t>2.采购代理机构信息</w:t>
      </w:r>
      <w:bookmarkEnd w:id="29"/>
      <w:bookmarkEnd w:id="30"/>
    </w:p>
    <w:p>
      <w:pPr>
        <w:spacing w:line="360" w:lineRule="auto"/>
        <w:ind w:left="1129" w:leftChars="371" w:hanging="350" w:hangingChars="125"/>
        <w:jc w:val="left"/>
        <w:rPr>
          <w:rFonts w:ascii="仿宋" w:hAnsi="仿宋" w:eastAsia="仿宋"/>
          <w:sz w:val="28"/>
          <w:szCs w:val="28"/>
        </w:rPr>
      </w:pPr>
      <w:r>
        <w:rPr>
          <w:rFonts w:hint="eastAsia" w:ascii="仿宋" w:hAnsi="仿宋" w:eastAsia="仿宋"/>
          <w:sz w:val="28"/>
          <w:szCs w:val="28"/>
        </w:rPr>
        <w:t>名 称：安徽中技工程咨询有限公司</w:t>
      </w:r>
    </w:p>
    <w:p>
      <w:pPr>
        <w:spacing w:line="360" w:lineRule="auto"/>
        <w:ind w:firstLine="840" w:firstLineChars="300"/>
        <w:rPr>
          <w:rFonts w:ascii="仿宋" w:hAnsi="仿宋" w:eastAsia="仿宋"/>
          <w:sz w:val="28"/>
          <w:szCs w:val="28"/>
        </w:rPr>
      </w:pPr>
      <w:r>
        <w:rPr>
          <w:rFonts w:hint="eastAsia" w:ascii="仿宋" w:hAnsi="仿宋" w:eastAsia="仿宋"/>
          <w:sz w:val="28"/>
          <w:szCs w:val="28"/>
        </w:rPr>
        <w:t>地 址：合肥市合作化南路27号</w:t>
      </w:r>
    </w:p>
    <w:p>
      <w:pPr>
        <w:spacing w:line="360" w:lineRule="auto"/>
        <w:ind w:firstLine="840" w:firstLineChars="300"/>
        <w:rPr>
          <w:rFonts w:ascii="仿宋" w:hAnsi="仿宋" w:eastAsia="仿宋"/>
          <w:sz w:val="28"/>
          <w:szCs w:val="28"/>
        </w:rPr>
      </w:pPr>
      <w:r>
        <w:rPr>
          <w:rFonts w:hint="eastAsia" w:ascii="仿宋" w:hAnsi="仿宋" w:eastAsia="仿宋"/>
          <w:sz w:val="28"/>
          <w:szCs w:val="28"/>
        </w:rPr>
        <w:t>联系方式：</w:t>
      </w:r>
      <w:bookmarkStart w:id="31" w:name="_Toc28359010"/>
      <w:bookmarkStart w:id="32" w:name="_Toc28359087"/>
      <w:r>
        <w:rPr>
          <w:rFonts w:hint="eastAsia" w:ascii="仿宋" w:hAnsi="仿宋" w:eastAsia="仿宋"/>
          <w:sz w:val="28"/>
          <w:szCs w:val="28"/>
        </w:rPr>
        <w:t>0551－65149581-657、842</w:t>
      </w:r>
    </w:p>
    <w:p>
      <w:pPr>
        <w:spacing w:line="360" w:lineRule="auto"/>
        <w:ind w:firstLine="840" w:firstLineChars="300"/>
        <w:rPr>
          <w:rFonts w:ascii="仿宋" w:hAnsi="仿宋" w:eastAsia="仿宋"/>
          <w:sz w:val="28"/>
          <w:szCs w:val="28"/>
        </w:rPr>
      </w:pPr>
      <w:r>
        <w:rPr>
          <w:rFonts w:hint="eastAsia" w:ascii="仿宋" w:hAnsi="仿宋" w:eastAsia="仿宋" w:cs="宋体"/>
          <w:sz w:val="28"/>
          <w:szCs w:val="28"/>
        </w:rPr>
        <w:t>3.项目</w:t>
      </w:r>
      <w:r>
        <w:rPr>
          <w:rFonts w:ascii="仿宋" w:hAnsi="仿宋" w:eastAsia="仿宋" w:cs="宋体"/>
          <w:sz w:val="28"/>
          <w:szCs w:val="28"/>
        </w:rPr>
        <w:t>联系方式</w:t>
      </w:r>
      <w:bookmarkEnd w:id="31"/>
      <w:bookmarkEnd w:id="32"/>
    </w:p>
    <w:p>
      <w:pPr>
        <w:pStyle w:val="12"/>
        <w:spacing w:line="360" w:lineRule="auto"/>
        <w:ind w:firstLine="840" w:firstLineChars="300"/>
        <w:rPr>
          <w:rFonts w:ascii="仿宋" w:hAnsi="仿宋" w:eastAsia="仿宋"/>
          <w:sz w:val="28"/>
          <w:szCs w:val="28"/>
        </w:rPr>
      </w:pPr>
      <w:r>
        <w:rPr>
          <w:rFonts w:hint="eastAsia" w:ascii="仿宋" w:hAnsi="仿宋" w:eastAsia="仿宋"/>
          <w:sz w:val="28"/>
          <w:szCs w:val="28"/>
        </w:rPr>
        <w:t>项目联系人：王垚、崔巍</w:t>
      </w:r>
    </w:p>
    <w:p>
      <w:pPr>
        <w:pStyle w:val="12"/>
        <w:spacing w:line="360" w:lineRule="auto"/>
        <w:ind w:firstLine="840" w:firstLineChars="300"/>
        <w:rPr>
          <w:rFonts w:ascii="仿宋" w:hAnsi="仿宋" w:eastAsia="仿宋"/>
          <w:sz w:val="28"/>
          <w:szCs w:val="28"/>
        </w:rPr>
      </w:pPr>
      <w:r>
        <w:rPr>
          <w:rFonts w:hint="eastAsia" w:ascii="仿宋" w:hAnsi="仿宋" w:eastAsia="仿宋"/>
          <w:sz w:val="28"/>
          <w:szCs w:val="28"/>
        </w:rPr>
        <w:t>电 话：18756962615、18009691841</w:t>
      </w:r>
    </w:p>
    <w:p>
      <w:pPr>
        <w:widowControl/>
        <w:jc w:val="left"/>
        <w:rPr>
          <w:rFonts w:ascii="宋体" w:hAnsi="宋体" w:eastAsia="宋体"/>
          <w:sz w:val="24"/>
          <w:szCs w:val="18"/>
        </w:rPr>
      </w:pPr>
      <w:r>
        <w:rPr>
          <w:rFonts w:ascii="宋体" w:hAnsi="宋体" w:eastAsia="宋体"/>
          <w:sz w:val="24"/>
          <w:szCs w:val="18"/>
        </w:rPr>
        <w:br w:type="page"/>
      </w:r>
    </w:p>
    <w:p>
      <w:pPr>
        <w:spacing w:line="360" w:lineRule="auto"/>
        <w:jc w:val="center"/>
        <w:outlineLvl w:val="1"/>
        <w:rPr>
          <w:rFonts w:asciiTheme="minorEastAsia" w:hAnsiTheme="minorEastAsia" w:eastAsiaTheme="minorEastAsia"/>
          <w:b/>
          <w:sz w:val="28"/>
        </w:rPr>
      </w:pPr>
      <w:bookmarkStart w:id="33" w:name="_Toc60582624"/>
      <w:r>
        <w:rPr>
          <w:rFonts w:hint="eastAsia" w:asciiTheme="minorEastAsia" w:hAnsiTheme="minorEastAsia" w:eastAsiaTheme="minorEastAsia"/>
          <w:b/>
          <w:sz w:val="28"/>
        </w:rPr>
        <w:t>第二章</w:t>
      </w:r>
      <w:r>
        <w:rPr>
          <w:rFonts w:asciiTheme="minorEastAsia" w:hAnsiTheme="minorEastAsia" w:eastAsiaTheme="minorEastAsia"/>
          <w:b/>
          <w:sz w:val="28"/>
        </w:rPr>
        <w:t xml:space="preserve"> </w:t>
      </w:r>
      <w:r>
        <w:rPr>
          <w:rFonts w:hint="eastAsia" w:asciiTheme="minorEastAsia" w:hAnsiTheme="minorEastAsia" w:eastAsiaTheme="minorEastAsia"/>
          <w:b/>
          <w:sz w:val="28"/>
        </w:rPr>
        <w:t xml:space="preserve"> </w:t>
      </w:r>
      <w:r>
        <w:rPr>
          <w:rFonts w:asciiTheme="minorEastAsia" w:hAnsiTheme="minorEastAsia" w:eastAsiaTheme="minorEastAsia"/>
          <w:b/>
          <w:sz w:val="28"/>
        </w:rPr>
        <w:t>投标人须知</w:t>
      </w:r>
      <w:bookmarkEnd w:id="33"/>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一、</w:t>
      </w:r>
      <w:r>
        <w:rPr>
          <w:rFonts w:asciiTheme="minorEastAsia" w:hAnsiTheme="minorEastAsia" w:eastAsiaTheme="minorEastAsia"/>
          <w:b/>
          <w:sz w:val="24"/>
        </w:rPr>
        <w:t>投标人须知前附表</w:t>
      </w:r>
    </w:p>
    <w:p>
      <w:pPr>
        <w:spacing w:line="360" w:lineRule="auto"/>
        <w:ind w:firstLine="435"/>
        <w:rPr>
          <w:rFonts w:ascii="宋体" w:hAnsi="宋体" w:eastAsia="宋体"/>
          <w:sz w:val="24"/>
          <w:szCs w:val="18"/>
        </w:rPr>
      </w:pPr>
      <w:r>
        <w:rPr>
          <w:rFonts w:hint="eastAsia" w:ascii="宋体" w:hAnsi="宋体" w:eastAsia="宋体"/>
          <w:b/>
          <w:bCs/>
          <w:sz w:val="24"/>
          <w:szCs w:val="18"/>
        </w:rPr>
        <w:t>注：</w:t>
      </w:r>
      <w:r>
        <w:rPr>
          <w:rFonts w:hint="eastAsia" w:ascii="宋体" w:hAnsi="宋体" w:eastAsia="宋体"/>
          <w:sz w:val="24"/>
          <w:szCs w:val="18"/>
        </w:rPr>
        <w:t>本表是本项目的具体要求，是对投标人须知的具体补充和修改，如有不一致，以本表为准。</w:t>
      </w:r>
    </w:p>
    <w:tbl>
      <w:tblPr>
        <w:tblStyle w:val="24"/>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1937"/>
        <w:gridCol w:w="5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3"/>
              <w:widowControl w:val="0"/>
              <w:spacing w:before="0" w:beforeAutospacing="0" w:after="0" w:afterAutospacing="0" w:line="360" w:lineRule="auto"/>
              <w:rPr>
                <w:rFonts w:ascii="宋体" w:hAnsi="宋体" w:eastAsia="宋体"/>
                <w:bCs w:val="0"/>
                <w:kern w:val="2"/>
                <w:sz w:val="24"/>
                <w:szCs w:val="20"/>
              </w:rPr>
            </w:pPr>
            <w:r>
              <w:rPr>
                <w:rFonts w:hint="eastAsia" w:ascii="宋体" w:hAnsi="宋体" w:eastAsia="宋体"/>
                <w:bCs w:val="0"/>
                <w:kern w:val="2"/>
                <w:sz w:val="24"/>
                <w:szCs w:val="20"/>
              </w:rPr>
              <w:t>条款号</w:t>
            </w:r>
          </w:p>
        </w:tc>
        <w:tc>
          <w:tcPr>
            <w:tcW w:w="1937" w:type="dxa"/>
            <w:vAlign w:val="center"/>
          </w:tcPr>
          <w:p>
            <w:pPr>
              <w:pStyle w:val="33"/>
              <w:widowControl w:val="0"/>
              <w:spacing w:before="0" w:beforeAutospacing="0" w:after="0" w:afterAutospacing="0" w:line="360" w:lineRule="auto"/>
              <w:rPr>
                <w:rFonts w:ascii="宋体" w:hAnsi="宋体" w:eastAsia="宋体"/>
                <w:bCs w:val="0"/>
                <w:kern w:val="2"/>
                <w:sz w:val="24"/>
                <w:szCs w:val="20"/>
              </w:rPr>
            </w:pPr>
            <w:r>
              <w:rPr>
                <w:rFonts w:hint="eastAsia" w:ascii="宋体" w:hAnsi="宋体" w:eastAsia="宋体"/>
                <w:bCs w:val="0"/>
                <w:kern w:val="2"/>
                <w:sz w:val="24"/>
                <w:szCs w:val="20"/>
              </w:rPr>
              <w:t>条款名称</w:t>
            </w:r>
          </w:p>
        </w:tc>
        <w:tc>
          <w:tcPr>
            <w:tcW w:w="5812" w:type="dxa"/>
            <w:vAlign w:val="center"/>
          </w:tcPr>
          <w:p>
            <w:pPr>
              <w:pStyle w:val="33"/>
              <w:widowControl w:val="0"/>
              <w:spacing w:before="0" w:beforeAutospacing="0" w:after="0" w:afterAutospacing="0" w:line="360" w:lineRule="auto"/>
              <w:rPr>
                <w:rFonts w:ascii="宋体" w:hAnsi="宋体" w:eastAsia="宋体"/>
                <w:bCs w:val="0"/>
                <w:kern w:val="2"/>
                <w:sz w:val="24"/>
                <w:szCs w:val="20"/>
              </w:rPr>
            </w:pPr>
            <w:r>
              <w:rPr>
                <w:rFonts w:hint="eastAsia" w:ascii="宋体" w:hAnsi="宋体" w:eastAsia="宋体"/>
                <w:bCs w:val="0"/>
                <w:kern w:val="2"/>
                <w:sz w:val="24"/>
                <w:szCs w:val="20"/>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w:t>
            </w:r>
          </w:p>
        </w:tc>
        <w:tc>
          <w:tcPr>
            <w:tcW w:w="1937" w:type="dxa"/>
            <w:vAlign w:val="center"/>
          </w:tcPr>
          <w:p>
            <w:pPr>
              <w:pStyle w:val="33"/>
              <w:widowControl w:val="0"/>
              <w:spacing w:before="0" w:beforeAutospacing="0" w:after="0" w:afterAutospacing="0" w:line="360" w:lineRule="auto"/>
              <w:jc w:val="left"/>
              <w:rPr>
                <w:rFonts w:ascii="宋体" w:hAnsi="宋体" w:eastAsia="宋体"/>
                <w:b w:val="0"/>
                <w:bCs w:val="0"/>
                <w:sz w:val="24"/>
              </w:rPr>
            </w:pPr>
            <w:r>
              <w:rPr>
                <w:rFonts w:hint="eastAsia" w:ascii="宋体" w:hAnsi="宋体" w:eastAsia="宋体"/>
                <w:b w:val="0"/>
                <w:bCs w:val="0"/>
                <w:sz w:val="24"/>
              </w:rPr>
              <w:t>采购人</w:t>
            </w:r>
          </w:p>
        </w:tc>
        <w:tc>
          <w:tcPr>
            <w:tcW w:w="5812" w:type="dxa"/>
            <w:vAlign w:val="center"/>
          </w:tcPr>
          <w:p>
            <w:pPr>
              <w:pStyle w:val="33"/>
              <w:widowControl w:val="0"/>
              <w:spacing w:before="0" w:beforeAutospacing="0" w:after="0" w:afterAutospacing="0" w:line="360" w:lineRule="auto"/>
              <w:jc w:val="both"/>
              <w:rPr>
                <w:rFonts w:ascii="宋体" w:hAnsi="宋体" w:eastAsia="宋体"/>
                <w:b w:val="0"/>
                <w:bCs w:val="0"/>
                <w:kern w:val="2"/>
                <w:sz w:val="24"/>
                <w:szCs w:val="20"/>
              </w:rPr>
            </w:pPr>
            <w:r>
              <w:rPr>
                <w:rFonts w:hint="eastAsia" w:ascii="宋体" w:hAnsi="宋体" w:eastAsia="宋体"/>
                <w:b w:val="0"/>
                <w:bCs w:val="0"/>
                <w:sz w:val="24"/>
                <w:szCs w:val="18"/>
                <w:u w:val="single"/>
              </w:rPr>
              <w:t>安徽交通职业技术学院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w:t>
            </w:r>
          </w:p>
        </w:tc>
        <w:tc>
          <w:tcPr>
            <w:tcW w:w="1937" w:type="dxa"/>
            <w:vAlign w:val="center"/>
          </w:tcPr>
          <w:p>
            <w:pPr>
              <w:pStyle w:val="33"/>
              <w:widowControl w:val="0"/>
              <w:spacing w:before="0" w:beforeAutospacing="0" w:after="0" w:afterAutospacing="0" w:line="360" w:lineRule="auto"/>
              <w:jc w:val="left"/>
              <w:rPr>
                <w:rFonts w:ascii="宋体" w:hAnsi="宋体" w:eastAsia="宋体"/>
                <w:b w:val="0"/>
                <w:bCs w:val="0"/>
                <w:sz w:val="24"/>
              </w:rPr>
            </w:pPr>
            <w:r>
              <w:rPr>
                <w:rFonts w:hint="eastAsia" w:ascii="宋体" w:hAnsi="宋体" w:eastAsia="宋体"/>
                <w:b w:val="0"/>
                <w:bCs w:val="0"/>
                <w:sz w:val="24"/>
              </w:rPr>
              <w:t>采购代理机构</w:t>
            </w:r>
          </w:p>
        </w:tc>
        <w:tc>
          <w:tcPr>
            <w:tcW w:w="5812" w:type="dxa"/>
            <w:vAlign w:val="center"/>
          </w:tcPr>
          <w:p>
            <w:pPr>
              <w:pStyle w:val="33"/>
              <w:widowControl w:val="0"/>
              <w:spacing w:before="0" w:beforeAutospacing="0" w:after="0" w:afterAutospacing="0" w:line="360" w:lineRule="auto"/>
              <w:jc w:val="both"/>
              <w:rPr>
                <w:rFonts w:ascii="宋体" w:hAnsi="宋体" w:eastAsia="宋体"/>
                <w:b w:val="0"/>
                <w:bCs w:val="0"/>
                <w:sz w:val="24"/>
                <w:szCs w:val="18"/>
              </w:rPr>
            </w:pPr>
            <w:r>
              <w:rPr>
                <w:rFonts w:hint="eastAsia" w:ascii="宋体" w:hAnsi="宋体" w:eastAsia="宋体"/>
                <w:b w:val="0"/>
                <w:bCs w:val="0"/>
                <w:sz w:val="24"/>
                <w:szCs w:val="18"/>
                <w:u w:val="single"/>
              </w:rPr>
              <w:t>安徽中技工程咨询有限公司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w:t>
            </w:r>
          </w:p>
        </w:tc>
        <w:tc>
          <w:tcPr>
            <w:tcW w:w="1937" w:type="dxa"/>
            <w:vAlign w:val="center"/>
          </w:tcPr>
          <w:p>
            <w:pPr>
              <w:pStyle w:val="33"/>
              <w:widowControl w:val="0"/>
              <w:spacing w:before="0" w:beforeAutospacing="0" w:after="0" w:afterAutospacing="0" w:line="360" w:lineRule="auto"/>
              <w:jc w:val="left"/>
              <w:rPr>
                <w:rFonts w:ascii="宋体" w:hAnsi="宋体" w:eastAsia="宋体"/>
                <w:b w:val="0"/>
                <w:bCs w:val="0"/>
                <w:sz w:val="24"/>
              </w:rPr>
            </w:pPr>
            <w:r>
              <w:rPr>
                <w:rFonts w:hint="eastAsia" w:ascii="宋体" w:hAnsi="宋体" w:eastAsia="宋体"/>
                <w:b w:val="0"/>
                <w:bCs w:val="0"/>
                <w:sz w:val="24"/>
              </w:rPr>
              <w:t>政府采购监督管理部门</w:t>
            </w:r>
          </w:p>
        </w:tc>
        <w:tc>
          <w:tcPr>
            <w:tcW w:w="5812" w:type="dxa"/>
            <w:vAlign w:val="center"/>
          </w:tcPr>
          <w:p>
            <w:pPr>
              <w:pStyle w:val="33"/>
              <w:widowControl w:val="0"/>
              <w:spacing w:before="0" w:beforeAutospacing="0" w:after="0" w:afterAutospacing="0" w:line="360" w:lineRule="auto"/>
              <w:jc w:val="both"/>
              <w:rPr>
                <w:rFonts w:ascii="宋体" w:hAnsi="宋体" w:eastAsia="宋体"/>
                <w:b w:val="0"/>
                <w:bCs w:val="0"/>
                <w:sz w:val="24"/>
                <w:szCs w:val="18"/>
                <w:u w:val="single"/>
              </w:rPr>
            </w:pPr>
            <w:r>
              <w:rPr>
                <w:rFonts w:hint="eastAsia" w:ascii="宋体" w:hAnsi="宋体" w:eastAsia="宋体"/>
                <w:b w:val="0"/>
                <w:bCs w:val="0"/>
                <w:sz w:val="24"/>
                <w:szCs w:val="18"/>
                <w:u w:val="single"/>
              </w:rPr>
              <w:t>安徽省财政厅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4</w:t>
            </w:r>
          </w:p>
        </w:tc>
        <w:tc>
          <w:tcPr>
            <w:tcW w:w="1937" w:type="dxa"/>
            <w:vAlign w:val="center"/>
          </w:tcPr>
          <w:p>
            <w:pPr>
              <w:pStyle w:val="33"/>
              <w:widowControl w:val="0"/>
              <w:spacing w:before="0" w:beforeAutospacing="0" w:after="0" w:afterAutospacing="0" w:line="360" w:lineRule="auto"/>
              <w:jc w:val="left"/>
              <w:rPr>
                <w:rFonts w:ascii="宋体" w:hAnsi="宋体" w:eastAsia="宋体"/>
                <w:b w:val="0"/>
                <w:bCs w:val="0"/>
                <w:sz w:val="24"/>
              </w:rPr>
            </w:pPr>
            <w:r>
              <w:rPr>
                <w:rFonts w:hint="eastAsia" w:ascii="宋体" w:hAnsi="宋体" w:eastAsia="宋体"/>
                <w:b w:val="0"/>
                <w:bCs w:val="0"/>
                <w:sz w:val="24"/>
              </w:rPr>
              <w:t>是否允许采购进口产品</w:t>
            </w:r>
          </w:p>
        </w:tc>
        <w:tc>
          <w:tcPr>
            <w:tcW w:w="5812" w:type="dxa"/>
            <w:vAlign w:val="center"/>
          </w:tcPr>
          <w:p>
            <w:pPr>
              <w:pStyle w:val="33"/>
              <w:widowControl w:val="0"/>
              <w:spacing w:before="0" w:beforeAutospacing="0" w:after="0" w:afterAutospacing="0" w:line="360" w:lineRule="auto"/>
              <w:jc w:val="both"/>
              <w:rPr>
                <w:rFonts w:ascii="宋体" w:hAnsi="宋体" w:eastAsia="宋体"/>
                <w:b w:val="0"/>
                <w:bCs w:val="0"/>
                <w:sz w:val="24"/>
              </w:rPr>
            </w:pPr>
            <w:r>
              <w:rPr>
                <w:rFonts w:hint="eastAsia" w:ascii="宋体" w:hAnsi="宋体" w:eastAsia="宋体"/>
                <w:b w:val="0"/>
                <w:sz w:val="24"/>
                <w:u w:val="single"/>
              </w:rPr>
              <w:t>详见采购需求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5</w:t>
            </w:r>
          </w:p>
        </w:tc>
        <w:tc>
          <w:tcPr>
            <w:tcW w:w="1937" w:type="dxa"/>
            <w:vAlign w:val="center"/>
          </w:tcPr>
          <w:p>
            <w:pPr>
              <w:pStyle w:val="33"/>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是否为专门面向中小企业采购</w:t>
            </w:r>
          </w:p>
        </w:tc>
        <w:tc>
          <w:tcPr>
            <w:tcW w:w="5812" w:type="dxa"/>
            <w:vAlign w:val="center"/>
          </w:tcPr>
          <w:p>
            <w:pPr>
              <w:pStyle w:val="33"/>
              <w:widowControl w:val="0"/>
              <w:spacing w:before="0" w:beforeAutospacing="0" w:after="0" w:afterAutospacing="0" w:line="360" w:lineRule="auto"/>
              <w:jc w:val="both"/>
              <w:rPr>
                <w:rFonts w:ascii="宋体" w:hAnsi="宋体" w:eastAsia="宋体"/>
                <w:b w:val="0"/>
                <w:bCs w:val="0"/>
                <w:sz w:val="24"/>
                <w:szCs w:val="18"/>
              </w:rPr>
            </w:pPr>
            <w:r>
              <w:rPr>
                <w:rFonts w:hint="eastAsia" w:ascii="宋体" w:hAnsi="宋体" w:eastAsia="宋体"/>
                <w:bCs w:val="0"/>
                <w:sz w:val="24"/>
              </w:rPr>
              <w:sym w:font="Wingdings 2" w:char="0052"/>
            </w:r>
            <w:r>
              <w:rPr>
                <w:rFonts w:hint="eastAsia" w:ascii="宋体" w:hAnsi="宋体" w:eastAsia="宋体"/>
                <w:bCs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6</w:t>
            </w:r>
          </w:p>
        </w:tc>
        <w:tc>
          <w:tcPr>
            <w:tcW w:w="1937" w:type="dxa"/>
            <w:vAlign w:val="center"/>
          </w:tcPr>
          <w:p>
            <w:pPr>
              <w:pStyle w:val="33"/>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现场考察</w:t>
            </w:r>
          </w:p>
        </w:tc>
        <w:tc>
          <w:tcPr>
            <w:tcW w:w="5812" w:type="dxa"/>
            <w:vAlign w:val="center"/>
          </w:tcPr>
          <w:p>
            <w:pPr>
              <w:spacing w:line="360" w:lineRule="auto"/>
              <w:rPr>
                <w:rFonts w:ascii="宋体" w:hAnsi="宋体" w:eastAsia="宋体"/>
                <w:sz w:val="24"/>
              </w:rPr>
            </w:pPr>
            <w:r>
              <w:rPr>
                <w:rFonts w:ascii="宋体" w:hAnsi="宋体" w:eastAsia="宋体"/>
                <w:b/>
                <w:sz w:val="24"/>
                <w:szCs w:val="24"/>
              </w:rPr>
              <w:sym w:font="Wingdings 2" w:char="0052"/>
            </w:r>
            <w:r>
              <w:rPr>
                <w:rFonts w:hint="eastAsia" w:ascii="宋体" w:hAnsi="宋体" w:eastAsia="宋体"/>
                <w:b/>
                <w:sz w:val="24"/>
              </w:rPr>
              <w:t>不组织，投标人自行考察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7</w:t>
            </w:r>
          </w:p>
        </w:tc>
        <w:tc>
          <w:tcPr>
            <w:tcW w:w="1937" w:type="dxa"/>
            <w:vAlign w:val="center"/>
          </w:tcPr>
          <w:p>
            <w:pPr>
              <w:pStyle w:val="33"/>
              <w:widowControl w:val="0"/>
              <w:spacing w:before="0" w:beforeAutospacing="0" w:after="0" w:afterAutospacing="0" w:line="360" w:lineRule="auto"/>
              <w:jc w:val="left"/>
              <w:rPr>
                <w:rFonts w:ascii="宋体" w:hAnsi="宋体" w:eastAsia="宋体"/>
                <w:b w:val="0"/>
                <w:sz w:val="24"/>
                <w:highlight w:val="none"/>
                <w:u w:val="none"/>
              </w:rPr>
            </w:pPr>
            <w:r>
              <w:rPr>
                <w:rFonts w:hint="eastAsia" w:ascii="宋体" w:hAnsi="宋体" w:eastAsia="宋体"/>
                <w:b w:val="0"/>
                <w:sz w:val="24"/>
                <w:highlight w:val="none"/>
                <w:u w:val="none"/>
              </w:rPr>
              <w:t>网上询问截止时间</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highlight w:val="none"/>
                <w:u w:val="none"/>
              </w:rPr>
            </w:pPr>
            <w:r>
              <w:rPr>
                <w:rFonts w:hint="eastAsia" w:ascii="宋体" w:hAnsi="宋体" w:eastAsia="宋体"/>
                <w:b w:val="0"/>
                <w:sz w:val="24"/>
                <w:highlight w:val="none"/>
                <w:u w:val="none"/>
              </w:rPr>
              <w:t>202</w:t>
            </w:r>
            <w:r>
              <w:rPr>
                <w:rFonts w:hint="eastAsia" w:ascii="宋体" w:hAnsi="宋体" w:eastAsia="宋体"/>
                <w:b w:val="0"/>
                <w:sz w:val="24"/>
                <w:highlight w:val="none"/>
                <w:u w:val="none"/>
                <w:lang w:val="en-US" w:eastAsia="zh-CN"/>
              </w:rPr>
              <w:t>4</w:t>
            </w:r>
            <w:r>
              <w:rPr>
                <w:rFonts w:ascii="宋体" w:hAnsi="宋体" w:eastAsia="宋体"/>
                <w:b w:val="0"/>
                <w:sz w:val="24"/>
                <w:highlight w:val="none"/>
                <w:u w:val="none"/>
              </w:rPr>
              <w:t>年</w:t>
            </w:r>
            <w:r>
              <w:rPr>
                <w:rFonts w:hint="eastAsia" w:ascii="宋体" w:hAnsi="宋体" w:eastAsia="宋体"/>
                <w:b w:val="0"/>
                <w:sz w:val="24"/>
                <w:highlight w:val="none"/>
                <w:u w:val="none"/>
              </w:rPr>
              <w:t>1</w:t>
            </w:r>
            <w:r>
              <w:rPr>
                <w:rFonts w:ascii="宋体" w:hAnsi="宋体" w:eastAsia="宋体"/>
                <w:b w:val="0"/>
                <w:sz w:val="24"/>
                <w:highlight w:val="none"/>
                <w:u w:val="none"/>
              </w:rPr>
              <w:t>月</w:t>
            </w:r>
            <w:r>
              <w:rPr>
                <w:rFonts w:hint="eastAsia" w:ascii="宋体" w:hAnsi="宋体" w:eastAsia="宋体"/>
                <w:b w:val="0"/>
                <w:sz w:val="24"/>
                <w:highlight w:val="none"/>
                <w:u w:val="none"/>
                <w:lang w:val="en-US" w:eastAsia="zh-CN"/>
              </w:rPr>
              <w:t>9</w:t>
            </w:r>
            <w:r>
              <w:rPr>
                <w:rFonts w:ascii="宋体" w:hAnsi="宋体" w:eastAsia="宋体"/>
                <w:b w:val="0"/>
                <w:sz w:val="24"/>
                <w:highlight w:val="none"/>
                <w:u w:val="none"/>
              </w:rPr>
              <w:t>日</w:t>
            </w:r>
            <w:r>
              <w:rPr>
                <w:rFonts w:hint="eastAsia" w:ascii="宋体" w:hAnsi="宋体" w:eastAsia="宋体"/>
                <w:b w:val="0"/>
                <w:sz w:val="24"/>
                <w:highlight w:val="none"/>
                <w:u w:val="none"/>
              </w:rPr>
              <w:t>17</w:t>
            </w:r>
            <w:r>
              <w:rPr>
                <w:rFonts w:ascii="宋体" w:hAnsi="宋体" w:eastAsia="宋体"/>
                <w:b w:val="0"/>
                <w:sz w:val="24"/>
                <w:highlight w:val="none"/>
                <w:u w:val="none"/>
              </w:rPr>
              <w:t>时</w:t>
            </w:r>
            <w:r>
              <w:rPr>
                <w:rFonts w:hint="eastAsia" w:ascii="宋体" w:hAnsi="宋体" w:eastAsia="宋体"/>
                <w:b w:val="0"/>
                <w:sz w:val="24"/>
                <w:highlight w:val="none"/>
                <w:u w:val="none"/>
              </w:rPr>
              <w:t>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8</w:t>
            </w:r>
          </w:p>
        </w:tc>
        <w:tc>
          <w:tcPr>
            <w:tcW w:w="1937" w:type="dxa"/>
            <w:vAlign w:val="center"/>
          </w:tcPr>
          <w:p>
            <w:pPr>
              <w:pStyle w:val="33"/>
              <w:widowControl w:val="0"/>
              <w:spacing w:before="0" w:beforeAutospacing="0" w:after="0" w:afterAutospacing="0" w:line="360" w:lineRule="auto"/>
              <w:jc w:val="left"/>
              <w:rPr>
                <w:rFonts w:ascii="宋体" w:hAnsi="宋体" w:eastAsia="宋体"/>
                <w:b w:val="0"/>
                <w:sz w:val="24"/>
                <w:highlight w:val="none"/>
              </w:rPr>
            </w:pPr>
            <w:r>
              <w:rPr>
                <w:rFonts w:hint="eastAsia" w:ascii="宋体" w:hAnsi="宋体" w:eastAsia="宋体"/>
                <w:b w:val="0"/>
                <w:sz w:val="24"/>
                <w:highlight w:val="none"/>
              </w:rPr>
              <w:t>包别划分</w:t>
            </w:r>
          </w:p>
        </w:tc>
        <w:tc>
          <w:tcPr>
            <w:tcW w:w="5812" w:type="dxa"/>
            <w:vAlign w:val="center"/>
          </w:tcPr>
          <w:p>
            <w:pPr>
              <w:pStyle w:val="33"/>
              <w:widowControl w:val="0"/>
              <w:spacing w:before="0" w:beforeAutospacing="0" w:after="0" w:afterAutospacing="0" w:line="360" w:lineRule="auto"/>
              <w:jc w:val="both"/>
              <w:rPr>
                <w:rFonts w:ascii="宋体" w:hAnsi="宋体" w:eastAsia="宋体"/>
                <w:sz w:val="24"/>
                <w:szCs w:val="24"/>
                <w:highlight w:val="none"/>
              </w:rPr>
            </w:pPr>
            <w:r>
              <w:rPr>
                <w:rFonts w:hint="eastAsia" w:ascii="宋体" w:hAnsi="宋体" w:eastAsia="宋体"/>
                <w:sz w:val="24"/>
                <w:szCs w:val="24"/>
                <w:highlight w:val="none"/>
              </w:rPr>
              <w:t>共2个包，开标、评标按照包别顺序依次进行。</w:t>
            </w:r>
          </w:p>
          <w:p>
            <w:pPr>
              <w:pStyle w:val="33"/>
              <w:widowControl w:val="0"/>
              <w:spacing w:before="0" w:beforeAutospacing="0" w:after="0" w:afterAutospacing="0" w:line="360" w:lineRule="auto"/>
              <w:jc w:val="both"/>
              <w:rPr>
                <w:rFonts w:ascii="宋体" w:hAnsi="宋体" w:eastAsia="宋体"/>
                <w:sz w:val="24"/>
                <w:szCs w:val="24"/>
                <w:highlight w:val="none"/>
              </w:rPr>
            </w:pPr>
            <w:r>
              <w:rPr>
                <w:rFonts w:hint="eastAsia" w:ascii="宋体" w:hAnsi="宋体" w:eastAsia="宋体"/>
                <w:sz w:val="24"/>
                <w:szCs w:val="24"/>
                <w:highlight w:val="none"/>
              </w:rPr>
              <w:t>本项目与安徽交通职业技术学院产教融合实训基地建设项目（第</w:t>
            </w:r>
            <w:r>
              <w:rPr>
                <w:rFonts w:hint="eastAsia" w:ascii="宋体" w:hAnsi="宋体" w:eastAsia="宋体"/>
                <w:sz w:val="24"/>
                <w:szCs w:val="24"/>
                <w:highlight w:val="none"/>
                <w:lang w:val="en-US" w:eastAsia="zh-CN"/>
              </w:rPr>
              <w:t>三</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四</w:t>
            </w:r>
            <w:r>
              <w:rPr>
                <w:rFonts w:hint="eastAsia" w:ascii="宋体" w:hAnsi="宋体" w:eastAsia="宋体"/>
                <w:sz w:val="24"/>
                <w:szCs w:val="24"/>
                <w:highlight w:val="none"/>
              </w:rPr>
              <w:t>包）按包别顺序依次确定各包的中标候选人，投标人所投标包不限，但最多只能中标1个包。</w:t>
            </w:r>
          </w:p>
          <w:p>
            <w:pPr>
              <w:pStyle w:val="33"/>
              <w:widowControl w:val="0"/>
              <w:spacing w:before="0" w:beforeAutospacing="0" w:after="0" w:afterAutospacing="0" w:line="360" w:lineRule="auto"/>
              <w:jc w:val="both"/>
              <w:rPr>
                <w:rFonts w:ascii="宋体" w:hAnsi="宋体" w:eastAsia="宋体"/>
                <w:b w:val="0"/>
                <w:sz w:val="24"/>
                <w:highlight w:val="none"/>
                <w:u w:val="single"/>
              </w:rPr>
            </w:pPr>
            <w:r>
              <w:rPr>
                <w:rFonts w:hint="eastAsia" w:ascii="宋体" w:hAnsi="宋体" w:eastAsia="宋体"/>
                <w:sz w:val="24"/>
                <w:szCs w:val="24"/>
                <w:highlight w:val="none"/>
              </w:rPr>
              <w:t>第1包的第一中标候选人不再被推荐为第2标包中标候选人，第</w:t>
            </w:r>
            <w:r>
              <w:rPr>
                <w:rFonts w:hint="eastAsia" w:ascii="宋体" w:hAnsi="宋体" w:eastAsia="宋体"/>
                <w:sz w:val="24"/>
                <w:szCs w:val="24"/>
                <w:highlight w:val="none"/>
                <w:lang w:val="en-US" w:eastAsia="zh-CN"/>
              </w:rPr>
              <w:t>2</w:t>
            </w:r>
            <w:r>
              <w:rPr>
                <w:rFonts w:hint="eastAsia" w:ascii="宋体" w:hAnsi="宋体" w:eastAsia="宋体"/>
                <w:sz w:val="24"/>
                <w:szCs w:val="24"/>
                <w:highlight w:val="none"/>
              </w:rPr>
              <w:t>包的第一中标候选人不再被推荐为安徽交通职业技术学院产教融合实训基地建设项目（第三、四包）</w:t>
            </w:r>
            <w:r>
              <w:rPr>
                <w:rFonts w:hint="eastAsia" w:ascii="宋体" w:hAnsi="宋体" w:eastAsia="宋体"/>
                <w:sz w:val="24"/>
                <w:szCs w:val="24"/>
                <w:highlight w:val="none"/>
                <w:lang w:val="en-US" w:eastAsia="zh-CN"/>
              </w:rPr>
              <w:t>的中标候选人，以此类推，</w:t>
            </w:r>
            <w:r>
              <w:rPr>
                <w:rFonts w:hint="eastAsia" w:ascii="宋体" w:hAnsi="宋体" w:eastAsia="宋体"/>
                <w:sz w:val="24"/>
                <w:szCs w:val="24"/>
                <w:highlight w:val="none"/>
              </w:rPr>
              <w:t>但该投标人参与后续包别评审、评分。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9</w:t>
            </w:r>
          </w:p>
        </w:tc>
        <w:tc>
          <w:tcPr>
            <w:tcW w:w="1937" w:type="dxa"/>
            <w:vAlign w:val="center"/>
          </w:tcPr>
          <w:p>
            <w:pPr>
              <w:pStyle w:val="33"/>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投标保证金</w:t>
            </w:r>
          </w:p>
        </w:tc>
        <w:tc>
          <w:tcPr>
            <w:tcW w:w="5812" w:type="dxa"/>
            <w:vAlign w:val="center"/>
          </w:tcPr>
          <w:p>
            <w:pPr>
              <w:pStyle w:val="33"/>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szCs w:val="24"/>
              </w:rPr>
              <w:sym w:font="Wingdings 2" w:char="0052"/>
            </w:r>
            <w:r>
              <w:rPr>
                <w:rFonts w:hint="eastAsia" w:ascii="宋体" w:hAnsi="宋体" w:eastAsia="宋体"/>
                <w:sz w:val="24"/>
              </w:rPr>
              <w:t>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10</w:t>
            </w:r>
          </w:p>
        </w:tc>
        <w:tc>
          <w:tcPr>
            <w:tcW w:w="1937" w:type="dxa"/>
            <w:vAlign w:val="center"/>
          </w:tcPr>
          <w:p>
            <w:pPr>
              <w:pStyle w:val="33"/>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其他不予退还投标保证金的情形</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w:t>
            </w:r>
            <w:r>
              <w:rPr>
                <w:rFonts w:ascii="宋体" w:hAnsi="宋体" w:eastAsia="宋体"/>
                <w:b w:val="0"/>
                <w:sz w:val="24"/>
              </w:rPr>
              <w:t>1）投标人在投标截止时间后撤回投标文件的；</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w:t>
            </w:r>
            <w:r>
              <w:rPr>
                <w:rFonts w:ascii="宋体" w:hAnsi="宋体" w:eastAsia="宋体"/>
                <w:b w:val="0"/>
                <w:sz w:val="24"/>
              </w:rPr>
              <w:t>2）投标人在投标文件中提供虚假材料的；</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w:t>
            </w:r>
            <w:r>
              <w:rPr>
                <w:rFonts w:ascii="宋体" w:hAnsi="宋体" w:eastAsia="宋体"/>
                <w:b w:val="0"/>
                <w:sz w:val="24"/>
              </w:rPr>
              <w:t>3）除因不可抗力或招标文件认可的情形以外，中标不与采购人签订合同的；</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w:t>
            </w:r>
            <w:r>
              <w:rPr>
                <w:rFonts w:ascii="宋体" w:hAnsi="宋体" w:eastAsia="宋体"/>
                <w:b w:val="0"/>
                <w:sz w:val="24"/>
              </w:rPr>
              <w:t>4）投标人与采购人、其他投标人或者采购代理机构恶意串通的；</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（5）除因不可抗力或招标文件认可的情形以外，中标人放弃中标资格的。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11</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投标有效期</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90</w:t>
            </w:r>
            <w:r>
              <w:rPr>
                <w:rFonts w:hint="eastAsia" w:ascii="宋体" w:hAnsi="宋体" w:eastAsia="宋体"/>
                <w:b w:val="0"/>
                <w:sz w:val="24"/>
              </w:rPr>
              <w:t>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12</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投标文件要求</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single"/>
              </w:rPr>
              <w:t>加密电子投标文件</w:t>
            </w:r>
          </w:p>
          <w:p>
            <w:pPr>
              <w:pStyle w:val="33"/>
              <w:widowControl w:val="0"/>
              <w:spacing w:before="0" w:beforeAutospacing="0" w:after="0" w:afterAutospacing="0" w:line="360" w:lineRule="auto"/>
              <w:jc w:val="both"/>
              <w:rPr>
                <w:bCs w:val="0"/>
                <w:u w:val="single"/>
              </w:rPr>
            </w:pPr>
            <w:r>
              <w:rPr>
                <w:rFonts w:hint="eastAsia" w:ascii="宋体" w:hAnsi="宋体" w:eastAsia="宋体"/>
                <w:bCs w:val="0"/>
                <w:sz w:val="24"/>
                <w:u w:val="single"/>
              </w:rPr>
              <w:t>除须网络上传加密的电子投标文件外，投标人需提交全套纸质投标文件1份（纸质投标文件由“电子标书工具软件”直接导出，黑白打印即可）以供招标人存档使用。</w:t>
            </w:r>
          </w:p>
          <w:p>
            <w:pPr>
              <w:pStyle w:val="33"/>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Cs w:val="0"/>
                <w:sz w:val="24"/>
                <w:u w:val="single"/>
              </w:rPr>
              <w:t>纸质投标文件最迟于开标当日寄出，收件地址：安徽省合肥市蜀山区合作化南路27号安徽中技，王垚，18756962615。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13</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开标现场提交的其他材料要求</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bCs w:val="0"/>
                <w:sz w:val="24"/>
                <w:szCs w:val="18"/>
                <w:u w:val="singl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14</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投标截止时间</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15</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投标文件解密时间</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single"/>
              </w:rPr>
              <w:t>投标截止时间后3</w:t>
            </w:r>
            <w:r>
              <w:rPr>
                <w:rFonts w:ascii="宋体" w:hAnsi="宋体" w:eastAsia="宋体"/>
                <w:b w:val="0"/>
                <w:sz w:val="24"/>
                <w:u w:val="single"/>
              </w:rPr>
              <w:t>0</w:t>
            </w:r>
            <w:r>
              <w:rPr>
                <w:rFonts w:hint="eastAsia" w:ascii="宋体" w:hAnsi="宋体" w:eastAsia="宋体"/>
                <w:b w:val="0"/>
                <w:sz w:val="24"/>
                <w:u w:val="single"/>
              </w:rPr>
              <w:t>分钟内</w:t>
            </w:r>
          </w:p>
          <w:p>
            <w:pPr>
              <w:pStyle w:val="33"/>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single"/>
              </w:rPr>
              <w:t>（以电子交易系统解密倒计时为准）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Merge w:val="restart"/>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16</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开标时间</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Merge w:val="continue"/>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开标地点</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17</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核心产品</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详见采购需求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18</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评标方法</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sz w:val="24"/>
                <w:szCs w:val="24"/>
              </w:rPr>
              <w:sym w:font="Wingdings 2" w:char="0052"/>
            </w:r>
            <w:r>
              <w:rPr>
                <w:rFonts w:hint="eastAsia" w:ascii="宋体" w:hAnsi="宋体" w:eastAsia="宋体"/>
                <w:sz w:val="24"/>
                <w:u w:val="singl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19</w:t>
            </w:r>
          </w:p>
        </w:tc>
        <w:tc>
          <w:tcPr>
            <w:tcW w:w="1937" w:type="dxa"/>
            <w:vAlign w:val="center"/>
          </w:tcPr>
          <w:p>
            <w:pPr>
              <w:spacing w:line="360" w:lineRule="auto"/>
              <w:jc w:val="left"/>
              <w:rPr>
                <w:rFonts w:ascii="宋体" w:hAnsi="宋体" w:eastAsia="宋体"/>
                <w:sz w:val="24"/>
              </w:rPr>
            </w:pPr>
            <w:r>
              <w:rPr>
                <w:rFonts w:hint="eastAsia" w:asciiTheme="minorEastAsia" w:hAnsiTheme="minorEastAsia" w:eastAsiaTheme="minorEastAsia"/>
                <w:sz w:val="24"/>
                <w:szCs w:val="24"/>
              </w:rPr>
              <w:t>报价扣除</w:t>
            </w:r>
          </w:p>
        </w:tc>
        <w:tc>
          <w:tcPr>
            <w:tcW w:w="5812" w:type="dxa"/>
            <w:vAlign w:val="center"/>
          </w:tcPr>
          <w:p>
            <w:pPr>
              <w:spacing w:line="360" w:lineRule="auto"/>
              <w:rPr>
                <w:rFonts w:ascii="宋体" w:hAnsi="宋体" w:eastAsia="宋体"/>
                <w:bCs/>
                <w:kern w:val="0"/>
                <w:sz w:val="24"/>
                <w:szCs w:val="28"/>
              </w:rPr>
            </w:pPr>
            <w:r>
              <w:rPr>
                <w:rFonts w:hint="eastAsia" w:ascii="宋体" w:hAnsi="宋体" w:eastAsia="宋体"/>
                <w:bCs/>
                <w:kern w:val="0"/>
                <w:sz w:val="24"/>
                <w:szCs w:val="28"/>
              </w:rPr>
              <w:t>（1）小型和微型企业价格扣除：6%。</w:t>
            </w:r>
          </w:p>
          <w:p>
            <w:pPr>
              <w:spacing w:line="360" w:lineRule="auto"/>
              <w:rPr>
                <w:rFonts w:ascii="宋体" w:hAnsi="宋体" w:eastAsia="宋体"/>
                <w:bCs/>
                <w:kern w:val="0"/>
                <w:sz w:val="24"/>
                <w:szCs w:val="28"/>
              </w:rPr>
            </w:pPr>
            <w:r>
              <w:rPr>
                <w:rFonts w:hint="eastAsia" w:ascii="宋体" w:hAnsi="宋体" w:eastAsia="宋体"/>
                <w:bCs/>
                <w:kern w:val="0"/>
                <w:sz w:val="24"/>
                <w:szCs w:val="28"/>
              </w:rPr>
              <w:t>（2）监狱企业价格扣除：同小型和微型企业。</w:t>
            </w:r>
          </w:p>
          <w:p>
            <w:pPr>
              <w:spacing w:line="360" w:lineRule="auto"/>
              <w:rPr>
                <w:rFonts w:ascii="宋体" w:hAnsi="宋体" w:eastAsia="宋体"/>
                <w:bCs/>
                <w:kern w:val="0"/>
                <w:sz w:val="24"/>
                <w:szCs w:val="28"/>
              </w:rPr>
            </w:pPr>
            <w:r>
              <w:rPr>
                <w:rFonts w:hint="eastAsia" w:ascii="宋体" w:hAnsi="宋体" w:eastAsia="宋体"/>
                <w:bCs/>
                <w:kern w:val="0"/>
                <w:sz w:val="24"/>
                <w:szCs w:val="28"/>
              </w:rPr>
              <w:t>（3）残疾人福利性单位价格扣除：同小型和微型企业。</w:t>
            </w:r>
          </w:p>
          <w:p>
            <w:pPr>
              <w:spacing w:line="360" w:lineRule="auto"/>
              <w:rPr>
                <w:rFonts w:ascii="宋体" w:hAnsi="宋体" w:eastAsia="宋体"/>
                <w:bCs/>
                <w:kern w:val="0"/>
                <w:sz w:val="24"/>
                <w:szCs w:val="28"/>
              </w:rPr>
            </w:pPr>
            <w:r>
              <w:rPr>
                <w:rFonts w:hint="eastAsia" w:ascii="宋体" w:hAnsi="宋体" w:eastAsia="宋体"/>
                <w:bCs/>
                <w:kern w:val="0"/>
                <w:sz w:val="24"/>
                <w:szCs w:val="28"/>
              </w:rPr>
              <w:t>（4）符合条件的联合体价格扣除：/%。</w:t>
            </w:r>
          </w:p>
          <w:p>
            <w:pPr>
              <w:spacing w:line="360" w:lineRule="auto"/>
              <w:rPr>
                <w:rFonts w:ascii="宋体" w:hAnsi="宋体" w:eastAsia="宋体"/>
                <w:bCs/>
                <w:kern w:val="0"/>
                <w:sz w:val="24"/>
                <w:szCs w:val="28"/>
              </w:rPr>
            </w:pPr>
            <w:r>
              <w:rPr>
                <w:rFonts w:hint="eastAsia" w:ascii="宋体" w:hAnsi="宋体" w:eastAsia="宋体"/>
                <w:bCs/>
                <w:kern w:val="0"/>
                <w:sz w:val="24"/>
                <w:szCs w:val="28"/>
              </w:rPr>
              <w:t>（5）符合条件的向小微企业分包的大中型企业价格扣</w:t>
            </w:r>
          </w:p>
          <w:p>
            <w:pPr>
              <w:spacing w:line="360" w:lineRule="auto"/>
            </w:pPr>
            <w:r>
              <w:rPr>
                <w:rFonts w:hint="eastAsia" w:ascii="宋体" w:hAnsi="宋体" w:eastAsia="宋体"/>
                <w:bCs/>
                <w:kern w:val="0"/>
                <w:sz w:val="24"/>
                <w:szCs w:val="28"/>
              </w:rPr>
              <w:t>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20</w:t>
            </w:r>
          </w:p>
        </w:tc>
        <w:tc>
          <w:tcPr>
            <w:tcW w:w="1937" w:type="dxa"/>
            <w:vAlign w:val="center"/>
          </w:tcPr>
          <w:p>
            <w:pPr>
              <w:pStyle w:val="33"/>
              <w:widowControl w:val="0"/>
              <w:spacing w:before="0" w:beforeAutospacing="0" w:after="0" w:afterAutospacing="0" w:line="360" w:lineRule="auto"/>
              <w:jc w:val="both"/>
              <w:rPr>
                <w:rFonts w:ascii="宋体" w:hAnsi="宋体" w:eastAsia="宋体"/>
                <w:b w:val="0"/>
                <w:bCs w:val="0"/>
                <w:sz w:val="24"/>
              </w:rPr>
            </w:pPr>
            <w:r>
              <w:rPr>
                <w:rFonts w:hint="eastAsia" w:ascii="宋体" w:hAnsi="宋体" w:eastAsia="宋体"/>
                <w:b w:val="0"/>
                <w:sz w:val="24"/>
              </w:rPr>
              <w:t>评标委员会推荐</w:t>
            </w:r>
            <w:r>
              <w:rPr>
                <w:rFonts w:ascii="宋体" w:hAnsi="宋体" w:eastAsia="宋体"/>
                <w:b w:val="0"/>
                <w:sz w:val="24"/>
              </w:rPr>
              <w:t>中标候选</w:t>
            </w:r>
            <w:r>
              <w:rPr>
                <w:rFonts w:hint="eastAsia" w:ascii="宋体" w:hAnsi="宋体" w:eastAsia="宋体"/>
                <w:b w:val="0"/>
                <w:sz w:val="24"/>
              </w:rPr>
              <w:t>人的</w:t>
            </w:r>
            <w:r>
              <w:rPr>
                <w:rFonts w:ascii="宋体" w:hAnsi="宋体" w:eastAsia="宋体"/>
                <w:b w:val="0"/>
                <w:sz w:val="24"/>
              </w:rPr>
              <w:t>数量</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Cs w:val="0"/>
                <w:sz w:val="24"/>
                <w:u w:val="single"/>
              </w:rPr>
              <w:t>每标包</w:t>
            </w:r>
            <w:r>
              <w:rPr>
                <w:rFonts w:ascii="宋体" w:hAnsi="宋体" w:eastAsia="宋体"/>
                <w:bCs w:val="0"/>
                <w:sz w:val="24"/>
                <w:u w:val="single"/>
              </w:rPr>
              <w:t>3家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21</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确定中标人</w:t>
            </w:r>
          </w:p>
        </w:tc>
        <w:tc>
          <w:tcPr>
            <w:tcW w:w="5812" w:type="dxa"/>
            <w:vAlign w:val="center"/>
          </w:tcPr>
          <w:p>
            <w:pPr>
              <w:pStyle w:val="33"/>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□采购人委托评标委员会确定</w:t>
            </w:r>
          </w:p>
          <w:p>
            <w:pPr>
              <w:pStyle w:val="33"/>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sz w:val="24"/>
                <w:szCs w:val="24"/>
              </w:rPr>
              <w:sym w:font="Wingdings 2" w:char="0052"/>
            </w:r>
            <w:r>
              <w:rPr>
                <w:rFonts w:hint="eastAsia" w:ascii="宋体" w:hAnsi="宋体" w:eastAsia="宋体"/>
                <w:sz w:val="24"/>
                <w:szCs w:val="24"/>
              </w:rPr>
              <w:t>采购人确定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22</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随中标结果公告同时公告的中标人的投标文件内容</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（1）</w:t>
            </w:r>
            <w:r>
              <w:rPr>
                <w:rFonts w:hint="eastAsia" w:ascii="宋体" w:hAnsi="宋体" w:eastAsia="宋体"/>
                <w:b w:val="0"/>
                <w:sz w:val="24"/>
                <w:u w:val="single"/>
              </w:rPr>
              <w:t>无重大违法记录声明函、无不良信用记录声明函</w:t>
            </w:r>
            <w:r>
              <w:rPr>
                <w:rFonts w:hint="eastAsia" w:ascii="宋体" w:hAnsi="宋体" w:eastAsia="宋体"/>
                <w:b w:val="0"/>
                <w:sz w:val="24"/>
              </w:rPr>
              <w:t>；</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w:t>
            </w:r>
            <w:r>
              <w:rPr>
                <w:rFonts w:hint="eastAsia" w:ascii="宋体" w:hAnsi="宋体" w:eastAsia="宋体"/>
                <w:b w:val="0"/>
                <w:sz w:val="24"/>
                <w:u w:val="single"/>
              </w:rPr>
              <w:t>主要中标标的承诺函</w:t>
            </w:r>
            <w:r>
              <w:rPr>
                <w:rFonts w:hint="eastAsia" w:ascii="宋体" w:hAnsi="宋体" w:eastAsia="宋体"/>
                <w:b w:val="0"/>
                <w:sz w:val="24"/>
              </w:rPr>
              <w:t>；</w:t>
            </w:r>
          </w:p>
          <w:p>
            <w:pPr>
              <w:pStyle w:val="33"/>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（3）</w:t>
            </w:r>
            <w:r>
              <w:rPr>
                <w:rFonts w:hint="eastAsia" w:ascii="宋体" w:hAnsi="宋体" w:eastAsia="宋体"/>
                <w:b w:val="0"/>
                <w:sz w:val="24"/>
                <w:u w:val="single"/>
              </w:rPr>
              <w:t>投标业绩承诺函</w:t>
            </w:r>
            <w:r>
              <w:rPr>
                <w:rFonts w:hint="eastAsia" w:ascii="宋体" w:hAnsi="宋体" w:eastAsia="宋体"/>
                <w:b w:val="0"/>
                <w:sz w:val="24"/>
              </w:rPr>
              <w:t>；</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w:t>
            </w:r>
            <w:r>
              <w:rPr>
                <w:rFonts w:hint="eastAsia" w:ascii="宋体" w:hAnsi="宋体" w:eastAsia="宋体"/>
                <w:b w:val="0"/>
                <w:sz w:val="24"/>
                <w:u w:val="single"/>
              </w:rPr>
              <w:t>中小企业声明函</w:t>
            </w:r>
            <w:r>
              <w:rPr>
                <w:rFonts w:hint="eastAsia" w:ascii="宋体" w:hAnsi="宋体" w:eastAsia="宋体"/>
                <w:b w:val="0"/>
                <w:sz w:val="24"/>
              </w:rPr>
              <w:t>；</w:t>
            </w:r>
            <w:r>
              <w:rPr>
                <w:rFonts w:hint="eastAsia" w:ascii="宋体" w:hAnsi="宋体" w:eastAsia="宋体"/>
                <w:b w:val="0"/>
                <w:i/>
                <w:iCs/>
                <w:sz w:val="24"/>
              </w:rPr>
              <w:t>（如有）</w:t>
            </w:r>
          </w:p>
          <w:p>
            <w:pPr>
              <w:pStyle w:val="33"/>
              <w:widowControl w:val="0"/>
              <w:spacing w:before="0" w:beforeAutospacing="0" w:after="0" w:afterAutospacing="0" w:line="360" w:lineRule="auto"/>
              <w:jc w:val="both"/>
              <w:rPr>
                <w:rFonts w:ascii="宋体" w:hAnsi="宋体" w:eastAsia="宋体"/>
                <w:b w:val="0"/>
                <w:i/>
                <w:sz w:val="24"/>
              </w:rPr>
            </w:pPr>
            <w:r>
              <w:rPr>
                <w:rFonts w:hint="eastAsia" w:ascii="宋体" w:hAnsi="宋体" w:eastAsia="宋体"/>
                <w:b w:val="0"/>
                <w:sz w:val="24"/>
              </w:rPr>
              <w:t>（5）</w:t>
            </w:r>
            <w:r>
              <w:rPr>
                <w:rFonts w:hint="eastAsia" w:ascii="宋体" w:hAnsi="宋体" w:eastAsia="宋体"/>
                <w:b w:val="0"/>
                <w:sz w:val="24"/>
                <w:u w:val="single"/>
              </w:rPr>
              <w:t>残疾人福利性单位声明函</w:t>
            </w:r>
            <w:r>
              <w:rPr>
                <w:rFonts w:hint="eastAsia" w:ascii="宋体" w:hAnsi="宋体" w:eastAsia="宋体"/>
                <w:b w:val="0"/>
                <w:sz w:val="24"/>
              </w:rPr>
              <w:t>；</w:t>
            </w:r>
            <w:r>
              <w:rPr>
                <w:rFonts w:hint="eastAsia" w:ascii="宋体" w:hAnsi="宋体" w:eastAsia="宋体"/>
                <w:b w:val="0"/>
                <w:i/>
                <w:iCs/>
                <w:sz w:val="24"/>
              </w:rPr>
              <w:t>（如有）</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（6）</w:t>
            </w:r>
            <w:r>
              <w:rPr>
                <w:rFonts w:hint="eastAsia" w:ascii="宋体" w:hAnsi="宋体" w:eastAsia="宋体"/>
                <w:b w:val="0"/>
                <w:sz w:val="24"/>
                <w:u w:val="single"/>
              </w:rPr>
              <w:t>两创产品投标声明函</w:t>
            </w:r>
            <w:r>
              <w:rPr>
                <w:rFonts w:hint="eastAsia" w:ascii="宋体" w:hAnsi="宋体" w:eastAsia="宋体"/>
                <w:b w:val="0"/>
                <w:sz w:val="24"/>
              </w:rPr>
              <w:t>；</w:t>
            </w:r>
            <w:r>
              <w:rPr>
                <w:rFonts w:hint="eastAsia" w:ascii="宋体" w:hAnsi="宋体" w:eastAsia="宋体"/>
                <w:b w:val="0"/>
                <w:i/>
                <w:iCs/>
                <w:sz w:val="24"/>
              </w:rPr>
              <w:t>（如有）</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（7）</w:t>
            </w:r>
            <w:r>
              <w:rPr>
                <w:rFonts w:hint="eastAsia" w:ascii="宋体" w:hAnsi="宋体" w:eastAsia="宋体"/>
                <w:b w:val="0"/>
                <w:sz w:val="24"/>
                <w:u w:val="single"/>
              </w:rPr>
              <w:t>招标文件中规定进行公示的其他内容</w:t>
            </w:r>
            <w:r>
              <w:rPr>
                <w:rFonts w:hint="eastAsia" w:ascii="宋体" w:hAnsi="宋体" w:eastAsia="宋体"/>
                <w:b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23</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中标通知书发出的形式</w:t>
            </w:r>
          </w:p>
        </w:tc>
        <w:tc>
          <w:tcPr>
            <w:tcW w:w="5812" w:type="dxa"/>
            <w:vAlign w:val="center"/>
          </w:tcPr>
          <w:p>
            <w:pPr>
              <w:pStyle w:val="33"/>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Cs w:val="0"/>
                <w:sz w:val="24"/>
              </w:rPr>
              <w:sym w:font="Wingdings 2" w:char="0052"/>
            </w:r>
            <w:r>
              <w:rPr>
                <w:rFonts w:hint="eastAsia" w:ascii="宋体" w:hAnsi="宋体" w:eastAsia="宋体"/>
                <w:bCs w:val="0"/>
                <w:sz w:val="24"/>
              </w:rPr>
              <w:t>书面</w:t>
            </w:r>
            <w:r>
              <w:rPr>
                <w:rFonts w:hint="eastAsia" w:ascii="宋体" w:hAnsi="宋体" w:eastAsia="宋体"/>
                <w:b w:val="0"/>
                <w:sz w:val="24"/>
              </w:rPr>
              <w:t xml:space="preserve"> </w:t>
            </w:r>
            <w:r>
              <w:rPr>
                <w:rFonts w:ascii="宋体" w:hAnsi="宋体" w:eastAsia="宋体"/>
                <w:b w:val="0"/>
                <w:sz w:val="24"/>
              </w:rPr>
              <w:t xml:space="preserve">    </w:t>
            </w:r>
            <w:r>
              <w:rPr>
                <w:rFonts w:hint="eastAsia" w:ascii="宋体" w:hAnsi="宋体" w:eastAsia="宋体"/>
                <w:b w:val="0"/>
                <w:sz w:val="24"/>
              </w:rPr>
              <w:t>□数据电文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24</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告知招标结果的形式</w:t>
            </w:r>
          </w:p>
        </w:tc>
        <w:tc>
          <w:tcPr>
            <w:tcW w:w="5812" w:type="dxa"/>
            <w:vAlign w:val="center"/>
          </w:tcPr>
          <w:p>
            <w:pPr>
              <w:pStyle w:val="33"/>
              <w:widowControl w:val="0"/>
              <w:spacing w:before="0" w:beforeAutospacing="0" w:after="0" w:afterAutospacing="0" w:line="360" w:lineRule="auto"/>
              <w:jc w:val="both"/>
              <w:rPr>
                <w:rFonts w:ascii="宋体" w:hAnsi="宋体" w:eastAsia="宋体"/>
                <w:bCs w:val="0"/>
                <w:sz w:val="24"/>
                <w:szCs w:val="24"/>
              </w:rPr>
            </w:pPr>
            <w:r>
              <w:rPr>
                <w:rFonts w:hint="eastAsia" w:ascii="宋体" w:hAnsi="宋体" w:eastAsia="宋体"/>
                <w:bCs w:val="0"/>
                <w:sz w:val="24"/>
              </w:rPr>
              <w:sym w:font="Wingdings 2" w:char="0052"/>
            </w:r>
            <w:r>
              <w:rPr>
                <w:rFonts w:hint="eastAsia" w:ascii="宋体" w:hAnsi="宋体" w:eastAsia="宋体"/>
                <w:bCs w:val="0"/>
                <w:sz w:val="24"/>
                <w:szCs w:val="24"/>
              </w:rPr>
              <w:t>投标人自行登录电子服务系统查看</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□评标现场告知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25</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履约保证金</w:t>
            </w:r>
          </w:p>
        </w:tc>
        <w:tc>
          <w:tcPr>
            <w:tcW w:w="5812" w:type="dxa"/>
            <w:vAlign w:val="center"/>
          </w:tcPr>
          <w:p>
            <w:pPr>
              <w:pStyle w:val="33"/>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sz w:val="24"/>
                <w:szCs w:val="24"/>
              </w:rPr>
              <w:sym w:font="Wingdings 2" w:char="0052"/>
            </w:r>
            <w:r>
              <w:rPr>
                <w:rFonts w:hint="eastAsia" w:ascii="宋体" w:hAnsi="宋体" w:eastAsia="宋体"/>
                <w:sz w:val="24"/>
              </w:rPr>
              <w:t>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26</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中标服务费</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（1）金额：按下列标准收取：按计价格【2002】1980号文件规定的货物类项目收费标准的70%向中标人收取。</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（2）支付方式：转账/电汇</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（3）收取单位：安徽中技工程咨询有限公司</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（4）缴纳时间：领取中标通知书前</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开户名称：安徽中技工程咨询有限公司</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开户银行：交通银行合肥分行黄山路支行</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银行帐号：341314000018150070757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27</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质疑函递交方式、接收部门、联系电话和通讯地址</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递交方式：</w:t>
            </w:r>
            <w:r>
              <w:rPr>
                <w:rFonts w:hint="eastAsia" w:ascii="宋体" w:hAnsi="宋体" w:eastAsia="宋体"/>
                <w:b w:val="0"/>
                <w:sz w:val="24"/>
                <w:u w:val="single"/>
              </w:rPr>
              <w:t>书面形式</w:t>
            </w:r>
          </w:p>
          <w:p>
            <w:pPr>
              <w:pStyle w:val="33"/>
              <w:widowControl w:val="0"/>
              <w:spacing w:before="0" w:beforeAutospacing="0" w:after="0" w:afterAutospacing="0" w:line="360" w:lineRule="auto"/>
              <w:jc w:val="both"/>
              <w:rPr>
                <w:rFonts w:ascii="宋体" w:hAnsi="宋体" w:eastAsia="宋体"/>
                <w:b w:val="0"/>
                <w:bCs w:val="0"/>
                <w:sz w:val="24"/>
                <w:szCs w:val="18"/>
                <w:u w:val="single"/>
              </w:rPr>
            </w:pPr>
            <w:r>
              <w:rPr>
                <w:rFonts w:hint="eastAsia" w:ascii="宋体" w:hAnsi="宋体" w:eastAsia="宋体"/>
                <w:b w:val="0"/>
                <w:sz w:val="24"/>
              </w:rPr>
              <w:t>接收部门：</w:t>
            </w:r>
            <w:r>
              <w:rPr>
                <w:rFonts w:hint="eastAsia" w:ascii="宋体" w:hAnsi="宋体" w:eastAsia="宋体"/>
                <w:b w:val="0"/>
                <w:sz w:val="24"/>
                <w:u w:val="single"/>
              </w:rPr>
              <w:t>安徽中技工程咨询有限公司</w:t>
            </w:r>
          </w:p>
          <w:p>
            <w:pPr>
              <w:pStyle w:val="33"/>
              <w:widowControl w:val="0"/>
              <w:spacing w:before="0" w:beforeAutospacing="0" w:after="0" w:afterAutospacing="0" w:line="360" w:lineRule="auto"/>
              <w:jc w:val="both"/>
              <w:rPr>
                <w:rFonts w:ascii="宋体" w:hAnsi="宋体" w:eastAsia="宋体"/>
                <w:b w:val="0"/>
                <w:bCs w:val="0"/>
                <w:sz w:val="24"/>
                <w:szCs w:val="18"/>
                <w:u w:val="single"/>
              </w:rPr>
            </w:pPr>
            <w:r>
              <w:rPr>
                <w:rFonts w:ascii="宋体" w:hAnsi="宋体" w:eastAsia="宋体"/>
                <w:b w:val="0"/>
                <w:sz w:val="24"/>
              </w:rPr>
              <w:t>联系电话：</w:t>
            </w:r>
            <w:r>
              <w:rPr>
                <w:rFonts w:hint="eastAsia" w:ascii="宋体" w:hAnsi="宋体" w:eastAsia="宋体"/>
                <w:b w:val="0"/>
                <w:bCs w:val="0"/>
                <w:sz w:val="24"/>
                <w:szCs w:val="18"/>
                <w:u w:val="single"/>
              </w:rPr>
              <w:t>0551-65149581转657</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通讯地址：</w:t>
            </w:r>
            <w:r>
              <w:rPr>
                <w:rFonts w:hint="eastAsia" w:ascii="宋体" w:hAnsi="宋体" w:eastAsia="宋体"/>
                <w:b w:val="0"/>
                <w:bCs w:val="0"/>
                <w:sz w:val="24"/>
                <w:szCs w:val="18"/>
                <w:u w:val="single"/>
              </w:rPr>
              <w:t>安徽省合肥市合作化南路27号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3"/>
              <w:widowControl w:val="0"/>
              <w:spacing w:before="0" w:beforeAutospacing="0" w:after="0" w:afterAutospacing="0" w:line="360" w:lineRule="auto"/>
              <w:rPr>
                <w:rFonts w:ascii="宋体" w:hAnsi="宋体" w:eastAsia="宋体"/>
                <w:kern w:val="2"/>
              </w:rPr>
            </w:pPr>
            <w:r>
              <w:rPr>
                <w:rFonts w:hint="eastAsia" w:ascii="宋体" w:hAnsi="宋体" w:eastAsia="宋体"/>
                <w:b w:val="0"/>
                <w:sz w:val="24"/>
              </w:rPr>
              <w:t>28</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其他内容</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3"/>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28.1</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自主技术创新和首创型产品的政府采购政策</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本项目对《合肥市两创产品目录》产品的价格给予</w:t>
            </w:r>
            <w:r>
              <w:rPr>
                <w:rFonts w:ascii="宋体" w:hAnsi="宋体" w:eastAsia="宋体"/>
                <w:b w:val="0"/>
                <w:sz w:val="24"/>
              </w:rPr>
              <w:t>6%的扣除，用扣除后的价格参与评审。若招标文件对产品的业绩提出要求，纳入目录的产品视同其</w:t>
            </w:r>
            <w:r>
              <w:rPr>
                <w:rFonts w:hint="eastAsia" w:ascii="宋体" w:hAnsi="宋体" w:eastAsia="宋体"/>
                <w:b w:val="0"/>
                <w:sz w:val="24"/>
              </w:rPr>
              <w:t>满足</w:t>
            </w:r>
            <w:r>
              <w:rPr>
                <w:rFonts w:ascii="宋体" w:hAnsi="宋体" w:eastAsia="宋体"/>
                <w:b w:val="0"/>
                <w:sz w:val="24"/>
              </w:rPr>
              <w:t>符合性审查要求。参加本次采购活动并符合条件的投标人应当在投标文件中提供有效的《两创产品投标声明函》，并对其真实性负责。</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本项目将对排名第一的中标候选人提供的两创产品品名等内容，随评审结果一并公吿。如有虚假，将取消中标资格并上报政府采购监督管理部门按有关规定处理。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3"/>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28.2</w:t>
            </w:r>
          </w:p>
        </w:tc>
        <w:tc>
          <w:tcPr>
            <w:tcW w:w="1937" w:type="dxa"/>
            <w:vAlign w:val="center"/>
          </w:tcPr>
          <w:p>
            <w:pPr>
              <w:spacing w:line="360" w:lineRule="auto"/>
              <w:rPr>
                <w:rFonts w:ascii="宋体" w:hAnsi="宋体" w:eastAsia="宋体"/>
                <w:sz w:val="24"/>
              </w:rPr>
            </w:pPr>
            <w:r>
              <w:rPr>
                <w:rFonts w:hint="eastAsia" w:ascii="宋体" w:hAnsi="宋体" w:eastAsia="宋体"/>
                <w:bCs/>
                <w:kern w:val="0"/>
                <w:sz w:val="24"/>
                <w:szCs w:val="28"/>
              </w:rPr>
              <w:t>是否允许大中型企业向小微企业分包</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bCs w:val="0"/>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rPr>
            </w:pPr>
            <w:r>
              <w:rPr>
                <w:rFonts w:hint="eastAsia" w:ascii="宋体" w:hAnsi="宋体" w:eastAsia="宋体"/>
                <w:bCs/>
                <w:kern w:val="2"/>
              </w:rPr>
              <w:t>28.3</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总包及分包规定</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中标人不得在中标后将本项目转包给其它单位。</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分包情况：☑不允许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rPr>
            </w:pPr>
            <w:r>
              <w:rPr>
                <w:rFonts w:hint="eastAsia" w:ascii="宋体" w:hAnsi="宋体" w:eastAsia="宋体"/>
                <w:bCs/>
                <w:kern w:val="2"/>
              </w:rPr>
              <w:t>28.4</w:t>
            </w:r>
          </w:p>
        </w:tc>
        <w:tc>
          <w:tcPr>
            <w:tcW w:w="1937" w:type="dxa"/>
            <w:vAlign w:val="center"/>
          </w:tcPr>
          <w:p>
            <w:pPr>
              <w:pStyle w:val="33"/>
              <w:widowControl w:val="0"/>
              <w:spacing w:before="0" w:beforeAutospacing="0" w:after="0" w:afterAutospacing="0" w:line="360" w:lineRule="auto"/>
              <w:jc w:val="both"/>
              <w:rPr>
                <w:rFonts w:ascii="宋体" w:hAnsi="宋体" w:eastAsia="宋体"/>
                <w:b w:val="0"/>
                <w:bCs w:val="0"/>
                <w:sz w:val="24"/>
              </w:rPr>
            </w:pPr>
            <w:r>
              <w:rPr>
                <w:rFonts w:hint="eastAsia" w:ascii="宋体" w:hAnsi="宋体" w:eastAsia="宋体"/>
                <w:b w:val="0"/>
                <w:sz w:val="24"/>
              </w:rPr>
              <w:t>社保</w:t>
            </w:r>
            <w:r>
              <w:rPr>
                <w:rFonts w:ascii="宋体" w:hAnsi="宋体" w:eastAsia="宋体"/>
                <w:b w:val="0"/>
                <w:sz w:val="24"/>
              </w:rPr>
              <w:t>证明材料</w:t>
            </w:r>
          </w:p>
        </w:tc>
        <w:tc>
          <w:tcPr>
            <w:tcW w:w="5812"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本项目招标文件中要求提供的社保</w:t>
            </w:r>
            <w:r>
              <w:rPr>
                <w:rFonts w:ascii="宋体" w:hAnsi="宋体" w:eastAsia="宋体"/>
                <w:b w:val="0"/>
                <w:sz w:val="24"/>
              </w:rPr>
              <w:t>证明材料</w:t>
            </w:r>
            <w:r>
              <w:rPr>
                <w:rFonts w:hint="eastAsia" w:ascii="宋体" w:hAnsi="宋体" w:eastAsia="宋体"/>
                <w:b w:val="0"/>
                <w:sz w:val="24"/>
              </w:rPr>
              <w:t>为下述形式之一（投标文件中须提供扫描件）：</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w:t>
            </w:r>
            <w:r>
              <w:rPr>
                <w:rFonts w:ascii="宋体" w:hAnsi="宋体" w:eastAsia="宋体"/>
                <w:b w:val="0"/>
                <w:sz w:val="24"/>
              </w:rPr>
              <w:t>社保局官方网站查询的缴费记录截图；</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w:t>
            </w:r>
            <w:r>
              <w:rPr>
                <w:rFonts w:ascii="宋体" w:hAnsi="宋体" w:eastAsia="宋体"/>
                <w:b w:val="0"/>
                <w:sz w:val="24"/>
              </w:rPr>
              <w:t>社保局的书面证明材料；</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w:t>
            </w:r>
            <w:r>
              <w:rPr>
                <w:rFonts w:ascii="宋体" w:hAnsi="宋体" w:eastAsia="宋体"/>
                <w:b w:val="0"/>
                <w:sz w:val="24"/>
              </w:rPr>
              <w:t>经投标</w:t>
            </w:r>
            <w:r>
              <w:rPr>
                <w:rFonts w:hint="eastAsia" w:ascii="宋体" w:hAnsi="宋体" w:eastAsia="宋体"/>
                <w:b w:val="0"/>
                <w:sz w:val="24"/>
              </w:rPr>
              <w:t>人</w:t>
            </w:r>
            <w:r>
              <w:rPr>
                <w:rFonts w:ascii="宋体" w:hAnsi="宋体" w:eastAsia="宋体"/>
                <w:b w:val="0"/>
                <w:sz w:val="24"/>
              </w:rPr>
              <w:t>委托的第三方人力资源服务机构或与投标</w:t>
            </w:r>
            <w:r>
              <w:rPr>
                <w:rFonts w:hint="eastAsia" w:ascii="宋体" w:hAnsi="宋体" w:eastAsia="宋体"/>
                <w:b w:val="0"/>
                <w:sz w:val="24"/>
              </w:rPr>
              <w:t>人</w:t>
            </w:r>
            <w:r>
              <w:rPr>
                <w:rFonts w:ascii="宋体" w:hAnsi="宋体" w:eastAsia="宋体"/>
                <w:b w:val="0"/>
                <w:sz w:val="24"/>
              </w:rPr>
              <w:t>有直接隶属关系的机构可以代缴社保，但须提供有关证明材料并经评标委员会确认。</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w:t>
            </w:r>
            <w:r>
              <w:rPr>
                <w:rFonts w:ascii="宋体" w:hAnsi="宋体" w:eastAsia="宋体"/>
                <w:b w:val="0"/>
                <w:sz w:val="24"/>
              </w:rPr>
              <w:t>参与投标的院校，社保证明可以用以下任意一种：</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①</w:t>
            </w:r>
            <w:r>
              <w:rPr>
                <w:rFonts w:ascii="宋体" w:hAnsi="宋体" w:eastAsia="宋体"/>
                <w:b w:val="0"/>
                <w:sz w:val="24"/>
              </w:rPr>
              <w:t>加盖投标</w:t>
            </w:r>
            <w:r>
              <w:rPr>
                <w:rFonts w:hint="eastAsia" w:ascii="宋体" w:hAnsi="宋体" w:eastAsia="宋体"/>
                <w:b w:val="0"/>
                <w:sz w:val="24"/>
              </w:rPr>
              <w:t>人</w:t>
            </w:r>
            <w:r>
              <w:rPr>
                <w:rFonts w:ascii="宋体" w:hAnsi="宋体" w:eastAsia="宋体"/>
                <w:b w:val="0"/>
                <w:sz w:val="24"/>
              </w:rPr>
              <w:t>公章的教师证（须为本</w:t>
            </w:r>
            <w:r>
              <w:rPr>
                <w:rFonts w:hint="eastAsia" w:ascii="宋体" w:hAnsi="宋体" w:eastAsia="宋体"/>
                <w:b w:val="0"/>
                <w:sz w:val="24"/>
              </w:rPr>
              <w:t>单位</w:t>
            </w:r>
            <w:r>
              <w:rPr>
                <w:rFonts w:ascii="宋体" w:hAnsi="宋体" w:eastAsia="宋体"/>
                <w:b w:val="0"/>
                <w:sz w:val="24"/>
              </w:rPr>
              <w:t>人员）</w:t>
            </w:r>
            <w:r>
              <w:rPr>
                <w:rFonts w:hint="eastAsia" w:ascii="宋体" w:hAnsi="宋体" w:eastAsia="宋体"/>
                <w:b w:val="0"/>
                <w:sz w:val="24"/>
              </w:rPr>
              <w:t>；</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②</w:t>
            </w:r>
            <w:r>
              <w:rPr>
                <w:rFonts w:ascii="宋体" w:hAnsi="宋体" w:eastAsia="宋体"/>
                <w:b w:val="0"/>
                <w:sz w:val="24"/>
              </w:rPr>
              <w:t>医保证明材料</w:t>
            </w:r>
            <w:r>
              <w:rPr>
                <w:rFonts w:hint="eastAsia" w:ascii="宋体" w:hAnsi="宋体" w:eastAsia="宋体"/>
                <w:b w:val="0"/>
                <w:sz w:val="24"/>
              </w:rPr>
              <w:t>。</w:t>
            </w:r>
          </w:p>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（5）</w:t>
            </w:r>
            <w:r>
              <w:rPr>
                <w:rFonts w:ascii="宋体" w:hAnsi="宋体" w:eastAsia="宋体"/>
                <w:b w:val="0"/>
                <w:sz w:val="24"/>
              </w:rPr>
              <w:t>其他经评标委员会认可的证明材料。</w:t>
            </w:r>
          </w:p>
          <w:p>
            <w:pPr>
              <w:pStyle w:val="33"/>
              <w:widowControl w:val="0"/>
              <w:spacing w:before="0" w:beforeAutospacing="0" w:after="0" w:afterAutospacing="0" w:line="360" w:lineRule="auto"/>
              <w:jc w:val="both"/>
              <w:rPr>
                <w:rFonts w:ascii="宋体" w:hAnsi="宋体" w:eastAsia="宋体"/>
                <w:b w:val="0"/>
                <w:bCs w:val="0"/>
                <w:sz w:val="24"/>
              </w:rPr>
            </w:pPr>
            <w:r>
              <w:rPr>
                <w:rFonts w:hint="eastAsia" w:ascii="宋体" w:hAnsi="宋体" w:eastAsia="宋体"/>
                <w:b w:val="0"/>
                <w:iCs/>
                <w:sz w:val="24"/>
              </w:rPr>
              <w:t>（6）法定代表人参与项目的，无需提供社保证明材料，提供身份证明材料即可。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28.5</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本项目提供除电子版招标文件以外的其他资料</w:t>
            </w:r>
          </w:p>
        </w:tc>
        <w:tc>
          <w:tcPr>
            <w:tcW w:w="5812" w:type="dxa"/>
            <w:vAlign w:val="center"/>
          </w:tcPr>
          <w:p>
            <w:pPr>
              <w:spacing w:line="360" w:lineRule="auto"/>
              <w:rPr>
                <w:rFonts w:asciiTheme="minorEastAsia" w:hAnsiTheme="minorEastAsia" w:eastAsiaTheme="minorEastAsia"/>
                <w:sz w:val="24"/>
                <w:u w:val="single"/>
              </w:rPr>
            </w:pPr>
            <w:r>
              <w:rPr>
                <w:rFonts w:asciiTheme="minorEastAsia" w:hAnsiTheme="minorEastAsia" w:eastAsiaTheme="minorEastAsia"/>
                <w:b/>
                <w:sz w:val="24"/>
                <w:szCs w:val="24"/>
              </w:rPr>
              <w:sym w:font="Wingdings 2" w:char="0052"/>
            </w:r>
            <w:r>
              <w:rPr>
                <w:rFonts w:hint="eastAsia" w:asciiTheme="minorEastAsia" w:hAnsiTheme="minorEastAsia" w:eastAsiaTheme="minorEastAsia"/>
                <w:b/>
                <w:sz w:val="24"/>
              </w:rPr>
              <w:t>无</w:t>
            </w:r>
            <w:r>
              <w:rPr>
                <w:rFonts w:hint="eastAsia" w:asciiTheme="minorEastAsia" w:hAnsiTheme="minorEastAsia" w:eastAsiaTheme="minorEastAsia"/>
                <w:sz w:val="24"/>
              </w:rPr>
              <w:t xml:space="preserve">   □图纸   □光盘   □</w:t>
            </w:r>
            <w:r>
              <w:rPr>
                <w:rFonts w:hint="eastAsia" w:asciiTheme="minorEastAsia" w:hAnsiTheme="minorEastAsia" w:eastAsiaTheme="minorEastAsia"/>
                <w:sz w:val="24"/>
                <w:u w:val="single"/>
              </w:rPr>
              <w:t xml:space="preserve">   </w:t>
            </w:r>
          </w:p>
          <w:p>
            <w:pPr>
              <w:spacing w:line="360" w:lineRule="auto"/>
              <w:rPr>
                <w:rFonts w:asciiTheme="minorEastAsia" w:hAnsiTheme="minorEastAsia" w:eastAsiaTheme="minorEastAsia"/>
                <w:bCs/>
                <w:sz w:val="24"/>
              </w:rPr>
            </w:pPr>
            <w:r>
              <w:rPr>
                <w:rFonts w:hint="eastAsia" w:asciiTheme="minorEastAsia" w:hAnsiTheme="minorEastAsia" w:eastAsiaTheme="minorEastAsia"/>
                <w:bCs/>
                <w:sz w:val="24"/>
              </w:rPr>
              <w:t>获取方式：</w:t>
            </w:r>
          </w:p>
          <w:p>
            <w:pPr>
              <w:spacing w:line="360" w:lineRule="auto"/>
              <w:rPr>
                <w:rFonts w:ascii="宋体" w:hAnsi="宋体" w:eastAsia="宋体"/>
                <w:iCs/>
                <w:sz w:val="24"/>
              </w:rPr>
            </w:pPr>
            <w:r>
              <w:rPr>
                <w:rFonts w:hint="eastAsia" w:asciiTheme="minorEastAsia" w:hAnsiTheme="minorEastAsia" w:eastAsiaTheme="minorEastAsia"/>
                <w:bCs/>
                <w:sz w:val="24"/>
              </w:rPr>
              <w:t>上述资料请投标人在获取招标文件后，自行登陆电子交易系统下载本项目附件。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28.6</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重要提示</w:t>
            </w:r>
          </w:p>
        </w:tc>
        <w:tc>
          <w:tcPr>
            <w:tcW w:w="5812" w:type="dxa"/>
            <w:vAlign w:val="center"/>
          </w:tcPr>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1）中标人应在规定期限内领取《中标通知书》，若中标人未在规定期限内领取《中标通知书》，采购人有权取消中标人中标资格，并将相关违约行为报送监管部门，实施信用惩戒</w:t>
            </w:r>
            <w:r>
              <w:rPr>
                <w:rFonts w:hint="eastAsia" w:asciiTheme="minorEastAsia" w:hAnsiTheme="minorEastAsia" w:eastAsiaTheme="minorEastAsia"/>
                <w:bCs/>
                <w:sz w:val="24"/>
                <w:szCs w:val="24"/>
              </w:rPr>
              <w:t>；</w:t>
            </w:r>
          </w:p>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2）中标人应在规定期限内提交履约担保并与</w:t>
            </w:r>
            <w:r>
              <w:rPr>
                <w:rFonts w:hint="eastAsia" w:asciiTheme="minorEastAsia" w:hAnsiTheme="minorEastAsia" w:eastAsiaTheme="minorEastAsia"/>
                <w:bCs/>
                <w:sz w:val="24"/>
                <w:szCs w:val="24"/>
              </w:rPr>
              <w:t>采购</w:t>
            </w:r>
            <w:r>
              <w:rPr>
                <w:rFonts w:asciiTheme="minorEastAsia" w:hAnsiTheme="minorEastAsia" w:eastAsiaTheme="minorEastAsia"/>
                <w:bCs/>
                <w:sz w:val="24"/>
                <w:szCs w:val="24"/>
              </w:rPr>
              <w:t>人签订合同，若中标人未能在规定期限内提交履约担保或签订合同，采购人有权取消中标人中标资格，并将相关违约行为报送监管部门，实施信用惩戒</w:t>
            </w:r>
            <w:r>
              <w:rPr>
                <w:rFonts w:hint="eastAsia" w:asciiTheme="minorEastAsia" w:hAnsiTheme="minorEastAsia" w:eastAsiaTheme="minorEastAsia"/>
                <w:bCs/>
                <w:sz w:val="24"/>
                <w:szCs w:val="24"/>
              </w:rPr>
              <w:t>；</w:t>
            </w:r>
          </w:p>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3）合同签订后，中标人存在规定时间内不组织人员进场开工</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不履行供货</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安装</w:t>
            </w:r>
            <w:r>
              <w:rPr>
                <w:rFonts w:hint="eastAsia" w:asciiTheme="minorEastAsia" w:hAnsiTheme="minorEastAsia" w:eastAsiaTheme="minorEastAsia"/>
                <w:bCs/>
                <w:sz w:val="24"/>
                <w:szCs w:val="24"/>
              </w:rPr>
              <w:t>或服务</w:t>
            </w:r>
            <w:r>
              <w:rPr>
                <w:rFonts w:asciiTheme="minorEastAsia" w:hAnsiTheme="minorEastAsia" w:eastAsiaTheme="minorEastAsia"/>
                <w:bCs/>
                <w:sz w:val="24"/>
                <w:szCs w:val="24"/>
              </w:rPr>
              <w:t>义务等情况，采购人有权解除合同，并追究违约责任，同时将相关违约行为报送监管部门，记不良行为记录，实施信用惩戒</w:t>
            </w:r>
            <w:r>
              <w:rPr>
                <w:rFonts w:hint="eastAsia" w:asciiTheme="minorEastAsia" w:hAnsiTheme="minorEastAsia" w:eastAsiaTheme="minorEastAsia"/>
                <w:bCs/>
                <w:sz w:val="24"/>
                <w:szCs w:val="24"/>
              </w:rPr>
              <w:t>；</w:t>
            </w:r>
          </w:p>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4）中标人中标后被监管部门查实存在违法行为，不满足中标条件的，由采购人取消中标资格，并做好项目后续工作</w:t>
            </w:r>
            <w:r>
              <w:rPr>
                <w:rFonts w:hint="eastAsia" w:asciiTheme="minorEastAsia" w:hAnsiTheme="minorEastAsia" w:eastAsiaTheme="minorEastAsia"/>
                <w:bCs/>
                <w:sz w:val="24"/>
                <w:szCs w:val="24"/>
              </w:rPr>
              <w:t>；</w:t>
            </w:r>
          </w:p>
          <w:p>
            <w:pPr>
              <w:spacing w:line="360" w:lineRule="auto"/>
              <w:rPr>
                <w:rFonts w:ascii="宋体" w:hAnsi="宋体" w:eastAsia="宋体"/>
                <w:sz w:val="24"/>
              </w:rPr>
            </w:pPr>
            <w:r>
              <w:rPr>
                <w:rFonts w:hint="eastAsia" w:asciiTheme="minorEastAsia" w:hAnsiTheme="minorEastAsia" w:eastAsiaTheme="minorEastAsia"/>
                <w:b/>
                <w:sz w:val="24"/>
                <w:szCs w:val="24"/>
              </w:rPr>
              <w:t>（</w:t>
            </w:r>
            <w:r>
              <w:rPr>
                <w:rFonts w:asciiTheme="minorEastAsia" w:hAnsiTheme="minorEastAsia" w:eastAsiaTheme="minorEastAsia"/>
                <w:b/>
                <w:sz w:val="24"/>
                <w:szCs w:val="24"/>
              </w:rPr>
              <w:t>5）中标人在中标项目发生投诉、信访举报案件、履约存在争议时，拒绝协助配合执法部门调查案件的，采购人可以取消其中标资格或解除合同，并追究其违约责任。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28.7</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解释权</w:t>
            </w:r>
          </w:p>
        </w:tc>
        <w:tc>
          <w:tcPr>
            <w:tcW w:w="5812" w:type="dxa"/>
            <w:vAlign w:val="center"/>
          </w:tcPr>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构成本招标文件的各个组成文件应互为解释，互为说明；</w:t>
            </w:r>
          </w:p>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同一组成文件中就同一事项的规定或约定不一致的，以编排顺序在后者为准；</w:t>
            </w:r>
          </w:p>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（3）</w:t>
            </w:r>
            <w:r>
              <w:rPr>
                <w:rFonts w:asciiTheme="minorEastAsia" w:hAnsiTheme="minorEastAsia" w:eastAsiaTheme="minorEastAsia"/>
                <w:bCs/>
                <w:sz w:val="24"/>
                <w:szCs w:val="24"/>
              </w:rPr>
              <w:t>如有不明确或不一致，构成合同文件组成内容的，以合同文件约定内容为准，且以专用合同条款约定的合同文件优先顺序解释；</w:t>
            </w:r>
          </w:p>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除招标文件中有特别规定外，仅适用于招标投标阶段的规定，按招标公告</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投标人须知、评标</w:t>
            </w:r>
            <w:r>
              <w:rPr>
                <w:rFonts w:hint="eastAsia" w:asciiTheme="minorEastAsia" w:hAnsiTheme="minorEastAsia" w:eastAsiaTheme="minorEastAsia"/>
                <w:bCs/>
                <w:sz w:val="24"/>
                <w:szCs w:val="24"/>
              </w:rPr>
              <w:t>方</w:t>
            </w:r>
            <w:r>
              <w:rPr>
                <w:rFonts w:asciiTheme="minorEastAsia" w:hAnsiTheme="minorEastAsia" w:eastAsiaTheme="minorEastAsia"/>
                <w:bCs/>
                <w:sz w:val="24"/>
                <w:szCs w:val="24"/>
              </w:rPr>
              <w:t>法</w:t>
            </w:r>
            <w:r>
              <w:rPr>
                <w:rFonts w:hint="eastAsia" w:asciiTheme="minorEastAsia" w:hAnsiTheme="minorEastAsia" w:eastAsiaTheme="minorEastAsia"/>
                <w:bCs/>
                <w:sz w:val="24"/>
                <w:szCs w:val="24"/>
              </w:rPr>
              <w:t>和标准</w:t>
            </w:r>
            <w:r>
              <w:rPr>
                <w:rFonts w:asciiTheme="minorEastAsia" w:hAnsiTheme="minorEastAsia" w:eastAsiaTheme="minorEastAsia"/>
                <w:bCs/>
                <w:sz w:val="24"/>
                <w:szCs w:val="24"/>
              </w:rPr>
              <w:t>、投标文件格式的先后顺序解释；</w:t>
            </w:r>
          </w:p>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（5）</w:t>
            </w:r>
            <w:r>
              <w:rPr>
                <w:rFonts w:asciiTheme="minorEastAsia" w:hAnsiTheme="minorEastAsia" w:eastAsiaTheme="minorEastAsia"/>
                <w:bCs/>
                <w:sz w:val="24"/>
                <w:szCs w:val="24"/>
              </w:rPr>
              <w:t>按本款前述规定仍不能形成结论的，由</w:t>
            </w:r>
            <w:r>
              <w:rPr>
                <w:rFonts w:hint="eastAsia" w:asciiTheme="minorEastAsia" w:hAnsiTheme="minorEastAsia" w:eastAsiaTheme="minorEastAsia"/>
                <w:bCs/>
                <w:sz w:val="24"/>
                <w:szCs w:val="24"/>
              </w:rPr>
              <w:t>采购</w:t>
            </w:r>
            <w:r>
              <w:rPr>
                <w:rFonts w:asciiTheme="minorEastAsia" w:hAnsiTheme="minorEastAsia" w:eastAsiaTheme="minorEastAsia"/>
                <w:bCs/>
                <w:sz w:val="24"/>
                <w:szCs w:val="24"/>
              </w:rPr>
              <w:t>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7"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28.8</w:t>
            </w:r>
          </w:p>
        </w:tc>
        <w:tc>
          <w:tcPr>
            <w:tcW w:w="1937"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sz w:val="24"/>
              </w:rPr>
              <w:t>特别提醒</w:t>
            </w:r>
          </w:p>
        </w:tc>
        <w:tc>
          <w:tcPr>
            <w:tcW w:w="5812" w:type="dxa"/>
            <w:vAlign w:val="center"/>
          </w:tcPr>
          <w:p>
            <w:pPr>
              <w:spacing w:line="360" w:lineRule="auto"/>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1</w:t>
            </w:r>
            <w:r>
              <w:rPr>
                <w:rFonts w:hint="eastAsia" w:ascii="宋体" w:hAnsi="宋体" w:eastAsia="宋体"/>
                <w:bCs/>
                <w:sz w:val="24"/>
                <w:szCs w:val="24"/>
              </w:rPr>
              <w:t>）本项目评审时将查询投标文件的特征码，如不同投标文件的特征码全部相同，相关投标将被认定为</w:t>
            </w:r>
            <w:r>
              <w:rPr>
                <w:rFonts w:hint="eastAsia" w:ascii="宋体" w:hAnsi="宋体" w:eastAsia="宋体"/>
                <w:b/>
                <w:bCs/>
                <w:sz w:val="24"/>
                <w:szCs w:val="24"/>
              </w:rPr>
              <w:t>投标无效</w:t>
            </w:r>
            <w:r>
              <w:rPr>
                <w:rFonts w:hint="eastAsia" w:ascii="宋体" w:hAnsi="宋体" w:eastAsia="宋体"/>
                <w:bCs/>
                <w:sz w:val="24"/>
                <w:szCs w:val="24"/>
              </w:rPr>
              <w:t>，并报政府采购监督管理部门处理。</w:t>
            </w:r>
          </w:p>
          <w:p>
            <w:pPr>
              <w:spacing w:line="360" w:lineRule="auto"/>
              <w:rPr>
                <w:rFonts w:asciiTheme="minorEastAsia" w:hAnsiTheme="minorEastAsia" w:eastAsiaTheme="minorEastAsia"/>
                <w:bCs/>
                <w:sz w:val="24"/>
                <w:szCs w:val="24"/>
              </w:rPr>
            </w:pPr>
            <w:r>
              <w:rPr>
                <w:rFonts w:hint="eastAsia" w:ascii="宋体" w:hAnsi="宋体" w:eastAsia="宋体"/>
                <w:bCs/>
                <w:sz w:val="24"/>
                <w:szCs w:val="24"/>
              </w:rPr>
              <w:t>（</w:t>
            </w:r>
            <w:r>
              <w:rPr>
                <w:rFonts w:ascii="宋体" w:hAnsi="宋体" w:eastAsia="宋体"/>
                <w:bCs/>
                <w:sz w:val="24"/>
                <w:szCs w:val="24"/>
              </w:rPr>
              <w:t>2</w:t>
            </w:r>
            <w:r>
              <w:rPr>
                <w:rFonts w:hint="eastAsia" w:ascii="宋体" w:hAnsi="宋体" w:eastAsia="宋体"/>
                <w:bCs/>
                <w:sz w:val="24"/>
                <w:szCs w:val="24"/>
              </w:rPr>
              <w:t>）因电子交易系统出现软件设计或功能缺陷、运行异常等情况，影响政府采购活动正常进行的，政府采购各方当事人免责。</w:t>
            </w:r>
          </w:p>
        </w:tc>
      </w:tr>
    </w:tbl>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br w:type="page"/>
      </w:r>
      <w:r>
        <w:rPr>
          <w:rFonts w:hint="eastAsia" w:asciiTheme="minorEastAsia" w:hAnsiTheme="minorEastAsia" w:eastAsiaTheme="minorEastAsia"/>
          <w:b/>
          <w:sz w:val="24"/>
        </w:rPr>
        <w:t>二、</w:t>
      </w:r>
      <w:r>
        <w:rPr>
          <w:rFonts w:asciiTheme="minorEastAsia" w:hAnsiTheme="minorEastAsia" w:eastAsiaTheme="minorEastAsia"/>
          <w:b/>
          <w:sz w:val="24"/>
        </w:rPr>
        <w:t>投标人须知</w:t>
      </w:r>
      <w:r>
        <w:rPr>
          <w:rFonts w:hint="eastAsia" w:asciiTheme="minorEastAsia" w:hAnsiTheme="minorEastAsia" w:eastAsiaTheme="minorEastAsia"/>
          <w:b/>
          <w:sz w:val="24"/>
        </w:rPr>
        <w:t>正文</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w:t>
      </w:r>
      <w:r>
        <w:rPr>
          <w:rFonts w:hint="eastAsia" w:asciiTheme="minorEastAsia" w:hAnsiTheme="minorEastAsia" w:eastAsiaTheme="minorEastAsia"/>
          <w:b/>
          <w:sz w:val="24"/>
        </w:rPr>
        <w:t>适用范围</w:t>
      </w:r>
    </w:p>
    <w:p>
      <w:pPr>
        <w:spacing w:line="360" w:lineRule="auto"/>
        <w:ind w:firstLine="435"/>
        <w:rPr>
          <w:rFonts w:ascii="宋体" w:hAnsi="宋体" w:eastAsia="宋体"/>
          <w:sz w:val="24"/>
        </w:rPr>
      </w:pPr>
      <w:r>
        <w:rPr>
          <w:rFonts w:ascii="宋体" w:hAnsi="宋体" w:eastAsia="宋体"/>
          <w:sz w:val="24"/>
        </w:rPr>
        <w:t>1.1</w:t>
      </w:r>
      <w:r>
        <w:rPr>
          <w:rFonts w:hint="eastAsia" w:ascii="宋体" w:hAnsi="宋体" w:eastAsia="宋体"/>
          <w:sz w:val="24"/>
        </w:rPr>
        <w:t>本招标文件仅适用于本次公开招标所述的货物项目采购。</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w:t>
      </w:r>
      <w:r>
        <w:rPr>
          <w:rFonts w:hint="eastAsia" w:asciiTheme="minorEastAsia" w:hAnsiTheme="minorEastAsia" w:eastAsiaTheme="minorEastAsia"/>
          <w:b/>
          <w:sz w:val="24"/>
        </w:rPr>
        <w:t>定义</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w:t>
      </w:r>
      <w:r>
        <w:rPr>
          <w:rFonts w:hint="eastAsia" w:ascii="宋体" w:hAnsi="宋体" w:eastAsia="宋体"/>
          <w:sz w:val="24"/>
        </w:rPr>
        <w:t>货物：</w:t>
      </w:r>
      <w:r>
        <w:rPr>
          <w:rFonts w:ascii="宋体" w:hAnsi="宋体" w:eastAsia="宋体"/>
          <w:sz w:val="24"/>
        </w:rPr>
        <w:t>是指各种形态和种类的物品，包括原材料、燃料、设备、产品等。</w:t>
      </w:r>
    </w:p>
    <w:p>
      <w:pPr>
        <w:spacing w:line="360" w:lineRule="auto"/>
        <w:ind w:firstLine="435"/>
        <w:rPr>
          <w:rFonts w:ascii="宋体" w:hAnsi="宋体" w:eastAsia="宋体"/>
          <w:sz w:val="24"/>
        </w:rPr>
      </w:pPr>
      <w:r>
        <w:rPr>
          <w:rFonts w:ascii="宋体" w:hAnsi="宋体" w:eastAsia="宋体"/>
          <w:sz w:val="24"/>
        </w:rPr>
        <w:t>2.2时限（年份、月份等）计算：系指从开标之日向前追溯X年/月（“X”为“一”及以后整数）起算。</w:t>
      </w:r>
    </w:p>
    <w:p>
      <w:pPr>
        <w:spacing w:line="360" w:lineRule="auto"/>
        <w:ind w:firstLine="435"/>
        <w:rPr>
          <w:rFonts w:ascii="宋体" w:hAnsi="宋体" w:eastAsia="宋体"/>
          <w:sz w:val="24"/>
        </w:rPr>
      </w:pPr>
      <w:r>
        <w:rPr>
          <w:rFonts w:ascii="宋体" w:hAnsi="宋体" w:eastAsia="宋体"/>
          <w:sz w:val="24"/>
        </w:rPr>
        <w:t>2.3业绩：业绩系指符合本招标文件规定的与最终用户签订的合同</w:t>
      </w:r>
      <w:r>
        <w:rPr>
          <w:rFonts w:hint="eastAsia" w:ascii="宋体" w:hAnsi="宋体" w:eastAsia="宋体"/>
          <w:sz w:val="24"/>
        </w:rPr>
        <w:t>或</w:t>
      </w:r>
      <w:r>
        <w:rPr>
          <w:rFonts w:ascii="宋体" w:hAnsi="宋体" w:eastAsia="宋体"/>
          <w:sz w:val="24"/>
        </w:rPr>
        <w:t>招标文件要求的相关证明。投标人与其关联公司（如母公司、控股公司、分公司、子公司、同一法定代表人的公司等）之间签订的合同，均不予认可。</w:t>
      </w:r>
    </w:p>
    <w:p>
      <w:pPr>
        <w:spacing w:line="360" w:lineRule="auto"/>
        <w:ind w:firstLine="435"/>
        <w:rPr>
          <w:rFonts w:ascii="宋体" w:hAnsi="宋体" w:eastAsia="宋体"/>
          <w:sz w:val="24"/>
        </w:rPr>
      </w:pPr>
      <w:r>
        <w:rPr>
          <w:rFonts w:ascii="宋体" w:hAnsi="宋体" w:eastAsia="宋体"/>
          <w:sz w:val="24"/>
        </w:rPr>
        <w:t>除非本招标文件</w:t>
      </w:r>
      <w:r>
        <w:rPr>
          <w:rFonts w:hint="eastAsia" w:ascii="宋体" w:hAnsi="宋体" w:eastAsia="宋体"/>
          <w:sz w:val="24"/>
        </w:rPr>
        <w:t>中</w:t>
      </w:r>
      <w:r>
        <w:rPr>
          <w:rFonts w:ascii="宋体" w:hAnsi="宋体" w:eastAsia="宋体"/>
          <w:sz w:val="24"/>
        </w:rPr>
        <w:t>另有规定，否则业绩</w:t>
      </w:r>
      <w:r>
        <w:rPr>
          <w:rFonts w:hint="eastAsia" w:ascii="宋体" w:hAnsi="宋体" w:eastAsia="宋体"/>
          <w:sz w:val="24"/>
        </w:rPr>
        <w:t>均为已供货</w:t>
      </w:r>
      <w:r>
        <w:rPr>
          <w:rFonts w:ascii="宋体" w:hAnsi="宋体" w:eastAsia="宋体"/>
          <w:sz w:val="24"/>
        </w:rPr>
        <w:t>（安装）完毕的</w:t>
      </w:r>
      <w:r>
        <w:rPr>
          <w:rFonts w:hint="eastAsia" w:ascii="宋体" w:hAnsi="宋体" w:eastAsia="宋体"/>
          <w:sz w:val="24"/>
        </w:rPr>
        <w:t>业绩，业绩</w:t>
      </w:r>
      <w:r>
        <w:rPr>
          <w:rFonts w:ascii="宋体" w:hAnsi="宋体" w:eastAsia="宋体"/>
          <w:sz w:val="24"/>
        </w:rPr>
        <w:t>时间均以合同签订之日为追溯</w:t>
      </w:r>
      <w:r>
        <w:rPr>
          <w:rFonts w:hint="eastAsia" w:ascii="宋体" w:hAnsi="宋体" w:eastAsia="宋体"/>
          <w:sz w:val="24"/>
        </w:rPr>
        <w:t>节</w:t>
      </w:r>
      <w:r>
        <w:rPr>
          <w:rFonts w:ascii="宋体" w:hAnsi="宋体" w:eastAsia="宋体"/>
          <w:sz w:val="24"/>
        </w:rPr>
        <w:t>点。</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3</w:t>
      </w:r>
      <w:r>
        <w:rPr>
          <w:rFonts w:asciiTheme="minorEastAsia" w:hAnsiTheme="minorEastAsia" w:eastAsiaTheme="minorEastAsia"/>
          <w:b/>
          <w:sz w:val="24"/>
        </w:rPr>
        <w:t>.</w:t>
      </w:r>
      <w:r>
        <w:rPr>
          <w:rFonts w:hint="eastAsia" w:asciiTheme="minorEastAsia" w:hAnsiTheme="minorEastAsia" w:eastAsiaTheme="minorEastAsia"/>
          <w:b/>
          <w:sz w:val="24"/>
        </w:rPr>
        <w:t>采购人、采购代理机构及投标人</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.1采购人：是指依法开展政府采购活动的国家机关、事业单位、团体组织。</w:t>
      </w:r>
      <w:r>
        <w:rPr>
          <w:rFonts w:hint="eastAsia" w:ascii="宋体" w:hAnsi="宋体" w:eastAsia="宋体"/>
          <w:sz w:val="24"/>
        </w:rPr>
        <w:t>本项目的采购人见</w:t>
      </w:r>
      <w:r>
        <w:rPr>
          <w:rFonts w:hint="eastAsia" w:ascii="宋体" w:hAnsi="宋体" w:eastAsia="宋体"/>
          <w:sz w:val="24"/>
          <w:u w:val="single"/>
        </w:rPr>
        <w:t>投标人须知前附表</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.2采购代理机构：是指集中采购机构或从事采购代理业务的社会中介机构。本项目的采购代理机构见</w:t>
      </w:r>
      <w:r>
        <w:rPr>
          <w:rFonts w:hint="eastAsia" w:ascii="宋体" w:hAnsi="宋体" w:eastAsia="宋体"/>
          <w:sz w:val="24"/>
          <w:u w:val="single"/>
        </w:rPr>
        <w:t>投标人须知前附表</w:t>
      </w:r>
      <w:r>
        <w:rPr>
          <w:rFonts w:ascii="宋体" w:hAnsi="宋体" w:eastAsia="宋体"/>
          <w:sz w:val="24"/>
        </w:rPr>
        <w:t>。</w:t>
      </w:r>
    </w:p>
    <w:p>
      <w:pPr>
        <w:spacing w:line="360" w:lineRule="auto"/>
        <w:ind w:firstLine="435"/>
        <w:rPr>
          <w:rFonts w:ascii="宋体" w:hAnsi="宋体" w:eastAsia="宋体"/>
          <w:sz w:val="24"/>
        </w:rPr>
      </w:pPr>
      <w:r>
        <w:rPr>
          <w:rFonts w:ascii="宋体" w:hAnsi="宋体" w:eastAsia="宋体"/>
          <w:sz w:val="24"/>
        </w:rPr>
        <w:t>3.3政府采购监督管理部门：</w:t>
      </w:r>
      <w:r>
        <w:rPr>
          <w:rFonts w:hint="eastAsia" w:ascii="宋体" w:hAnsi="宋体" w:eastAsia="宋体"/>
          <w:sz w:val="24"/>
        </w:rPr>
        <w:t>各级人民政府指定的有关部门依法履行与政府采购活动有关的监督管理职责。本项目的政府采购监督管理部门见</w:t>
      </w:r>
      <w:r>
        <w:rPr>
          <w:rFonts w:hint="eastAsia" w:ascii="宋体" w:hAnsi="宋体" w:eastAsia="宋体"/>
          <w:sz w:val="24"/>
          <w:u w:val="single"/>
        </w:rPr>
        <w:t>投标人须知前附表</w:t>
      </w:r>
      <w:r>
        <w:rPr>
          <w:rFonts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.4投标人：是指向采购人提供货物、工程或者服务的法人、非法人组织或者自然人。</w:t>
      </w:r>
      <w:r>
        <w:rPr>
          <w:rFonts w:hint="eastAsia" w:ascii="宋体" w:hAnsi="宋体" w:eastAsia="宋体"/>
          <w:sz w:val="24"/>
        </w:rPr>
        <w:t>分支机构不得参加政府采购活动，但银行、保险、石油石化、电力、电信等特殊行业除外。</w:t>
      </w:r>
      <w:r>
        <w:rPr>
          <w:rFonts w:ascii="宋体" w:hAnsi="宋体" w:eastAsia="宋体"/>
          <w:sz w:val="24"/>
        </w:rPr>
        <w:t>本项目的投标人及其投标货物须满足以下条件：</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.4.1在中华人民共和国境内注册，能够独立承担民事责任，有生产或供应能力的本国供应商。</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.4.2具备《中华人民共和国政府采购法》第二十二条关于供应商条件的规定，遵守本项目采购人本级和上级财政部门政府采购的有关规定。</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.4.3以采购代理机构认可的方式获得了本项目的招标文件。</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.4.4若</w:t>
      </w:r>
      <w:r>
        <w:rPr>
          <w:rFonts w:hint="eastAsia" w:ascii="宋体" w:hAnsi="宋体" w:eastAsia="宋体"/>
          <w:sz w:val="24"/>
          <w:u w:val="single"/>
        </w:rPr>
        <w:t>投标人须知前附表</w:t>
      </w:r>
      <w:r>
        <w:rPr>
          <w:rFonts w:ascii="宋体" w:hAnsi="宋体" w:eastAsia="宋体"/>
          <w:sz w:val="24"/>
        </w:rPr>
        <w:t>中写明允许采购进口产品，投标人应保证所投产品可履行合法报通关手续进入中国关境内。</w:t>
      </w:r>
    </w:p>
    <w:p>
      <w:pPr>
        <w:spacing w:line="360" w:lineRule="auto"/>
        <w:ind w:firstLine="435"/>
        <w:rPr>
          <w:rFonts w:ascii="宋体" w:hAnsi="宋体" w:eastAsia="宋体"/>
          <w:sz w:val="24"/>
        </w:rPr>
      </w:pPr>
      <w:r>
        <w:rPr>
          <w:rFonts w:hint="eastAsia" w:ascii="宋体" w:hAnsi="宋体" w:eastAsia="宋体"/>
          <w:sz w:val="24"/>
        </w:rPr>
        <w:t>若</w:t>
      </w:r>
      <w:r>
        <w:rPr>
          <w:rFonts w:hint="eastAsia" w:ascii="宋体" w:hAnsi="宋体" w:eastAsia="宋体"/>
          <w:sz w:val="24"/>
          <w:u w:val="single"/>
        </w:rPr>
        <w:t>投标人须知前附表</w:t>
      </w:r>
      <w:r>
        <w:rPr>
          <w:rFonts w:hint="eastAsia" w:ascii="宋体" w:hAnsi="宋体" w:eastAsia="宋体"/>
          <w:sz w:val="24"/>
        </w:rPr>
        <w:t>中未写明允许采购进口产品，如投标人所投产品为进口产品，其投标将被认定为</w:t>
      </w:r>
      <w:r>
        <w:rPr>
          <w:rFonts w:hint="eastAsia" w:ascii="宋体" w:hAnsi="宋体" w:eastAsia="宋体"/>
          <w:b/>
          <w:sz w:val="24"/>
        </w:rPr>
        <w:t>投标无效</w:t>
      </w:r>
      <w:r>
        <w:rPr>
          <w:rFonts w:hint="eastAsia" w:ascii="宋体" w:hAnsi="宋体" w:eastAsia="宋体"/>
          <w:sz w:val="24"/>
        </w:rPr>
        <w:t>。</w:t>
      </w:r>
    </w:p>
    <w:p>
      <w:pPr>
        <w:spacing w:line="360" w:lineRule="auto"/>
        <w:ind w:firstLine="435"/>
        <w:rPr>
          <w:rFonts w:ascii="宋体" w:hAnsi="宋体" w:eastAsia="宋体"/>
          <w:sz w:val="24"/>
        </w:rPr>
      </w:pPr>
      <w:bookmarkStart w:id="34" w:name="_Hlk60580614"/>
      <w:r>
        <w:rPr>
          <w:rFonts w:hint="eastAsia" w:ascii="宋体" w:hAnsi="宋体" w:eastAsia="宋体"/>
          <w:sz w:val="24"/>
        </w:rPr>
        <w:t>3</w:t>
      </w:r>
      <w:r>
        <w:rPr>
          <w:rFonts w:ascii="宋体" w:hAnsi="宋体" w:eastAsia="宋体"/>
          <w:sz w:val="24"/>
        </w:rPr>
        <w:t>.4.5若</w:t>
      </w:r>
      <w:r>
        <w:rPr>
          <w:rFonts w:hint="eastAsia" w:ascii="宋体" w:hAnsi="宋体" w:eastAsia="宋体"/>
          <w:sz w:val="24"/>
          <w:u w:val="single"/>
        </w:rPr>
        <w:t>投标人须知前附表</w:t>
      </w:r>
      <w:r>
        <w:rPr>
          <w:rFonts w:ascii="宋体" w:hAnsi="宋体" w:eastAsia="宋体"/>
          <w:sz w:val="24"/>
        </w:rPr>
        <w:t>中写明专门面向中小企业采购的，如投标人</w:t>
      </w:r>
      <w:r>
        <w:rPr>
          <w:rFonts w:hint="eastAsia" w:ascii="宋体" w:hAnsi="宋体" w:eastAsia="宋体"/>
          <w:sz w:val="24"/>
        </w:rPr>
        <w:t>提供的货物非</w:t>
      </w:r>
      <w:r>
        <w:rPr>
          <w:rFonts w:ascii="宋体" w:hAnsi="宋体" w:eastAsia="宋体"/>
          <w:sz w:val="24"/>
        </w:rPr>
        <w:t>中小企业</w:t>
      </w:r>
      <w:r>
        <w:rPr>
          <w:rFonts w:hint="eastAsia" w:ascii="宋体" w:hAnsi="宋体" w:eastAsia="宋体"/>
          <w:sz w:val="24"/>
        </w:rPr>
        <w:t>制造的</w:t>
      </w:r>
      <w:r>
        <w:rPr>
          <w:rFonts w:ascii="宋体" w:hAnsi="宋体" w:eastAsia="宋体"/>
          <w:sz w:val="24"/>
        </w:rPr>
        <w:t>，其投标将被认定为</w:t>
      </w:r>
      <w:r>
        <w:rPr>
          <w:rFonts w:ascii="宋体" w:hAnsi="宋体" w:eastAsia="宋体"/>
          <w:b/>
          <w:sz w:val="24"/>
        </w:rPr>
        <w:t>投标无效</w:t>
      </w:r>
      <w:r>
        <w:rPr>
          <w:rFonts w:ascii="宋体" w:hAnsi="宋体" w:eastAsia="宋体"/>
          <w:sz w:val="24"/>
        </w:rPr>
        <w:t>。</w:t>
      </w:r>
    </w:p>
    <w:bookmarkEnd w:id="34"/>
    <w:p>
      <w:pPr>
        <w:spacing w:line="360" w:lineRule="auto"/>
        <w:ind w:firstLine="435"/>
        <w:rPr>
          <w:rFonts w:ascii="宋体" w:hAnsi="宋体" w:eastAsia="宋体"/>
          <w:bCs/>
          <w:kern w:val="0"/>
          <w:sz w:val="24"/>
          <w:szCs w:val="28"/>
        </w:rPr>
      </w:pPr>
      <w:bookmarkStart w:id="35" w:name="_Hlk60580861"/>
      <w:r>
        <w:rPr>
          <w:rFonts w:hint="eastAsia" w:ascii="宋体" w:hAnsi="宋体" w:eastAsia="宋体"/>
          <w:bCs/>
          <w:kern w:val="0"/>
          <w:sz w:val="24"/>
          <w:szCs w:val="28"/>
        </w:rPr>
        <w:t>3</w:t>
      </w:r>
      <w:r>
        <w:rPr>
          <w:rFonts w:ascii="宋体" w:hAnsi="宋体" w:eastAsia="宋体"/>
          <w:bCs/>
          <w:kern w:val="0"/>
          <w:sz w:val="24"/>
          <w:szCs w:val="28"/>
        </w:rPr>
        <w:t>.5</w:t>
      </w:r>
      <w:r>
        <w:rPr>
          <w:rFonts w:hint="eastAsia" w:ascii="宋体" w:hAnsi="宋体" w:eastAsia="宋体"/>
          <w:bCs/>
          <w:kern w:val="0"/>
          <w:sz w:val="24"/>
          <w:szCs w:val="28"/>
        </w:rPr>
        <w:t>若招标公告</w:t>
      </w:r>
      <w:r>
        <w:rPr>
          <w:rFonts w:ascii="宋体" w:hAnsi="宋体" w:eastAsia="宋体"/>
          <w:bCs/>
          <w:kern w:val="0"/>
          <w:sz w:val="24"/>
          <w:szCs w:val="28"/>
        </w:rPr>
        <w:t>中允许联合体投标，对联合体规定如下：</w:t>
      </w:r>
    </w:p>
    <w:bookmarkEnd w:id="35"/>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.5.1两个以上供应商可以组成一个投标联合体，以一个投标人的身份投标。</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.5.2联合体各方均应符合《中华人民共和国政府采购法》第二十二条规定的条件。</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.5.3采购人根据采购项目对投标人的特殊要求，联合体中至少应当有一方符合相关规定。</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.5.4联合体各方应签订</w:t>
      </w:r>
      <w:r>
        <w:rPr>
          <w:rFonts w:hint="eastAsia" w:ascii="宋体" w:hAnsi="宋体" w:eastAsia="宋体"/>
          <w:sz w:val="24"/>
        </w:rPr>
        <w:t>联合协议</w:t>
      </w:r>
      <w:r>
        <w:rPr>
          <w:rFonts w:ascii="宋体" w:hAnsi="宋体" w:eastAsia="宋体"/>
          <w:sz w:val="24"/>
        </w:rPr>
        <w:t>，明确约定联合体各方承担的工作和相应的责任，并将</w:t>
      </w:r>
      <w:r>
        <w:rPr>
          <w:rFonts w:hint="eastAsia" w:ascii="宋体" w:hAnsi="宋体" w:eastAsia="宋体"/>
          <w:sz w:val="24"/>
        </w:rPr>
        <w:t>联合协议</w:t>
      </w:r>
      <w:r>
        <w:rPr>
          <w:rFonts w:ascii="宋体" w:hAnsi="宋体" w:eastAsia="宋体"/>
          <w:sz w:val="24"/>
        </w:rPr>
        <w:t>作为投标文件</w:t>
      </w:r>
      <w:r>
        <w:rPr>
          <w:rFonts w:hint="eastAsia" w:ascii="宋体" w:hAnsi="宋体" w:eastAsia="宋体"/>
          <w:sz w:val="24"/>
        </w:rPr>
        <w:t>的</w:t>
      </w:r>
      <w:r>
        <w:rPr>
          <w:rFonts w:ascii="宋体" w:hAnsi="宋体" w:eastAsia="宋体"/>
          <w:sz w:val="24"/>
        </w:rPr>
        <w:t>一部分提交。</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.5.5大中型企业、其他自然人、法人或者非法人组织与小型、微型企业组成联合体共同参加投标，</w:t>
      </w:r>
      <w:r>
        <w:rPr>
          <w:rFonts w:hint="eastAsia" w:ascii="宋体" w:hAnsi="宋体" w:eastAsia="宋体"/>
          <w:sz w:val="24"/>
        </w:rPr>
        <w:t>联合协议中</w:t>
      </w:r>
      <w:r>
        <w:rPr>
          <w:rFonts w:ascii="宋体" w:hAnsi="宋体" w:eastAsia="宋体"/>
          <w:sz w:val="24"/>
        </w:rPr>
        <w:t>应写明小型、微型企业的协议合同金额占到</w:t>
      </w:r>
      <w:r>
        <w:rPr>
          <w:rFonts w:hint="eastAsia" w:ascii="宋体" w:hAnsi="宋体" w:eastAsia="宋体"/>
          <w:sz w:val="24"/>
        </w:rPr>
        <w:t>联合协议</w:t>
      </w:r>
      <w:r>
        <w:rPr>
          <w:rFonts w:ascii="宋体" w:hAnsi="宋体" w:eastAsia="宋体"/>
          <w:sz w:val="24"/>
        </w:rPr>
        <w:t>投标总金额的比例。</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.5.6</w:t>
      </w:r>
      <w:r>
        <w:rPr>
          <w:rFonts w:hint="eastAsia" w:ascii="宋体" w:hAnsi="宋体" w:eastAsia="宋体"/>
          <w:sz w:val="24"/>
        </w:rPr>
        <w:t>联合体中有同类资质的供应商按照联合体分工承担相同工作的，</w:t>
      </w:r>
      <w:r>
        <w:rPr>
          <w:rFonts w:ascii="宋体" w:hAnsi="宋体" w:eastAsia="宋体"/>
          <w:sz w:val="24"/>
        </w:rPr>
        <w:t>应当按照</w:t>
      </w:r>
      <w:r>
        <w:rPr>
          <w:rFonts w:hint="eastAsia" w:ascii="宋体" w:hAnsi="宋体" w:eastAsia="宋体"/>
          <w:sz w:val="24"/>
        </w:rPr>
        <w:t>资质等级较低的供应商确定资质等级。</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.5.7以联合体形式参加政府采购活动的，联合体各方不得再单独参加或者与其他供应商另外组成联合体参加本项目投标，否则相关投标将被认定为</w:t>
      </w:r>
      <w:r>
        <w:rPr>
          <w:rFonts w:ascii="宋体" w:hAnsi="宋体" w:eastAsia="宋体"/>
          <w:b/>
          <w:sz w:val="24"/>
        </w:rPr>
        <w:t>投标无效</w:t>
      </w:r>
      <w:r>
        <w:rPr>
          <w:rFonts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.5.8对联合体投标的其他资格要求见</w:t>
      </w:r>
      <w:r>
        <w:rPr>
          <w:rFonts w:hint="eastAsia" w:ascii="宋体" w:hAnsi="宋体" w:eastAsia="宋体"/>
          <w:sz w:val="24"/>
          <w:u w:val="single"/>
        </w:rPr>
        <w:t>投标人资格</w:t>
      </w:r>
      <w:r>
        <w:rPr>
          <w:rFonts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.6单位负责人为同一人或者存在直接控股、管理关系的不同供应商，</w:t>
      </w:r>
      <w:r>
        <w:rPr>
          <w:rFonts w:hint="eastAsia" w:ascii="宋体" w:hAnsi="宋体" w:eastAsia="宋体"/>
          <w:sz w:val="24"/>
        </w:rPr>
        <w:t>不得参加同一合同项下的政府采购活动。否则其投标将被认定为</w:t>
      </w:r>
      <w:r>
        <w:rPr>
          <w:rFonts w:hint="eastAsia" w:ascii="宋体" w:hAnsi="宋体" w:eastAsia="宋体"/>
          <w:b/>
          <w:bCs/>
          <w:sz w:val="24"/>
        </w:rPr>
        <w:t>投标无效</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.7为本项目提供过整体设计、规范编制或者项目管理、监理、检测等服务的供应商，不得再参加本项目上述服务以外的其他采购活动。</w:t>
      </w:r>
      <w:bookmarkStart w:id="36" w:name="_Hlk13431092"/>
      <w:r>
        <w:rPr>
          <w:rFonts w:ascii="宋体" w:hAnsi="宋体" w:eastAsia="宋体"/>
          <w:sz w:val="24"/>
        </w:rPr>
        <w:t>否则其投标将被认定为</w:t>
      </w:r>
      <w:r>
        <w:rPr>
          <w:rFonts w:ascii="宋体" w:hAnsi="宋体" w:eastAsia="宋体"/>
          <w:b/>
          <w:sz w:val="24"/>
        </w:rPr>
        <w:t>投标无效</w:t>
      </w:r>
      <w:r>
        <w:rPr>
          <w:rFonts w:ascii="宋体" w:hAnsi="宋体" w:eastAsia="宋体"/>
          <w:sz w:val="24"/>
        </w:rPr>
        <w:t>。</w:t>
      </w:r>
      <w:bookmarkEnd w:id="36"/>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4</w:t>
      </w:r>
      <w:r>
        <w:rPr>
          <w:rFonts w:asciiTheme="minorEastAsia" w:hAnsiTheme="minorEastAsia" w:eastAsiaTheme="minorEastAsia"/>
          <w:b/>
          <w:sz w:val="24"/>
        </w:rPr>
        <w:t>.</w:t>
      </w:r>
      <w:r>
        <w:rPr>
          <w:rFonts w:hint="eastAsia" w:asciiTheme="minorEastAsia" w:hAnsiTheme="minorEastAsia" w:eastAsiaTheme="minorEastAsia"/>
          <w:b/>
          <w:sz w:val="24"/>
        </w:rPr>
        <w:t>资金来源</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.1</w:t>
      </w:r>
      <w:r>
        <w:rPr>
          <w:rFonts w:hint="eastAsia" w:asciiTheme="minorEastAsia" w:hAnsiTheme="minorEastAsia" w:eastAsiaTheme="minorEastAsia"/>
          <w:sz w:val="24"/>
        </w:rPr>
        <w:t>本</w:t>
      </w:r>
      <w:r>
        <w:rPr>
          <w:rFonts w:hint="eastAsia" w:ascii="宋体" w:hAnsi="宋体" w:eastAsia="宋体"/>
          <w:sz w:val="24"/>
        </w:rPr>
        <w:t>项目</w:t>
      </w:r>
      <w:r>
        <w:rPr>
          <w:rFonts w:hint="eastAsia" w:asciiTheme="minorEastAsia" w:hAnsiTheme="minorEastAsia" w:eastAsiaTheme="minorEastAsia"/>
          <w:sz w:val="24"/>
        </w:rPr>
        <w:t>的采购人已获得足以支付本次招标后所签订的合同项下的资金。</w:t>
      </w:r>
    </w:p>
    <w:p>
      <w:pPr>
        <w:spacing w:line="360" w:lineRule="auto"/>
        <w:ind w:firstLine="435"/>
        <w:rPr>
          <w:rFonts w:ascii="宋体" w:hAnsi="宋体" w:eastAsia="宋体"/>
          <w:sz w:val="24"/>
        </w:rPr>
      </w:pPr>
      <w:bookmarkStart w:id="37" w:name="_Hlk11702998"/>
      <w:r>
        <w:rPr>
          <w:rFonts w:hint="eastAsia" w:ascii="宋体" w:hAnsi="宋体" w:eastAsia="宋体"/>
          <w:sz w:val="24"/>
        </w:rPr>
        <w:t>4.2项目预算金额和分项（或分包）最高限价见</w:t>
      </w:r>
      <w:r>
        <w:rPr>
          <w:rFonts w:hint="eastAsia" w:ascii="宋体" w:hAnsi="宋体" w:eastAsia="宋体"/>
          <w:sz w:val="24"/>
          <w:u w:val="single"/>
        </w:rPr>
        <w:t>投标邀请</w:t>
      </w:r>
      <w:r>
        <w:rPr>
          <w:rFonts w:hint="eastAsia" w:ascii="宋体" w:hAnsi="宋体" w:eastAsia="宋体"/>
          <w:sz w:val="24"/>
        </w:rPr>
        <w:t>。</w:t>
      </w:r>
    </w:p>
    <w:bookmarkEnd w:id="37"/>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5</w:t>
      </w:r>
      <w:r>
        <w:rPr>
          <w:rFonts w:asciiTheme="minorEastAsia" w:hAnsiTheme="minorEastAsia" w:eastAsiaTheme="minorEastAsia"/>
          <w:b/>
          <w:sz w:val="24"/>
        </w:rPr>
        <w:t>.</w:t>
      </w:r>
      <w:r>
        <w:rPr>
          <w:rFonts w:hint="eastAsia" w:asciiTheme="minorEastAsia" w:hAnsiTheme="minorEastAsia" w:eastAsiaTheme="minorEastAsia"/>
          <w:b/>
          <w:sz w:val="24"/>
        </w:rPr>
        <w:t>投标费用</w:t>
      </w:r>
    </w:p>
    <w:p>
      <w:pPr>
        <w:spacing w:line="360" w:lineRule="auto"/>
        <w:ind w:firstLine="435"/>
        <w:rPr>
          <w:rFonts w:ascii="宋体" w:hAnsi="宋体" w:eastAsia="宋体"/>
          <w:sz w:val="24"/>
        </w:rPr>
      </w:pPr>
      <w:r>
        <w:rPr>
          <w:rFonts w:hint="eastAsia" w:ascii="宋体" w:hAnsi="宋体" w:eastAsia="宋体"/>
          <w:sz w:val="24"/>
        </w:rPr>
        <w:t>不论投标的结果如何，投标人应承担所有与准备和参加投标有关的费用。</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w:t>
      </w:r>
      <w:r>
        <w:rPr>
          <w:rFonts w:hint="eastAsia" w:asciiTheme="minorEastAsia" w:hAnsiTheme="minorEastAsia" w:eastAsiaTheme="minorEastAsia"/>
          <w:b/>
          <w:sz w:val="24"/>
        </w:rPr>
        <w:t>适用法律</w:t>
      </w:r>
    </w:p>
    <w:p>
      <w:pPr>
        <w:spacing w:line="360" w:lineRule="auto"/>
        <w:ind w:firstLine="435"/>
        <w:rPr>
          <w:rFonts w:asciiTheme="minorEastAsia" w:hAnsiTheme="minorEastAsia" w:eastAsiaTheme="minorEastAsia"/>
          <w:sz w:val="24"/>
        </w:rPr>
      </w:pPr>
      <w:r>
        <w:rPr>
          <w:rFonts w:hint="eastAsia" w:ascii="宋体" w:hAnsi="宋体" w:eastAsia="宋体"/>
          <w:sz w:val="24"/>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7</w:t>
      </w:r>
      <w:r>
        <w:rPr>
          <w:rFonts w:asciiTheme="minorEastAsia" w:hAnsiTheme="minorEastAsia" w:eastAsiaTheme="minorEastAsia"/>
          <w:b/>
          <w:sz w:val="24"/>
        </w:rPr>
        <w:t>.</w:t>
      </w:r>
      <w:r>
        <w:rPr>
          <w:rFonts w:hint="eastAsia" w:asciiTheme="minorEastAsia" w:hAnsiTheme="minorEastAsia" w:eastAsiaTheme="minorEastAsia"/>
          <w:b/>
          <w:sz w:val="24"/>
        </w:rPr>
        <w:t>招标文件构成</w:t>
      </w:r>
    </w:p>
    <w:p>
      <w:pPr>
        <w:spacing w:line="360" w:lineRule="auto"/>
        <w:ind w:firstLine="435"/>
        <w:rPr>
          <w:rFonts w:ascii="宋体" w:hAnsi="宋体" w:eastAsia="宋体"/>
          <w:sz w:val="24"/>
        </w:rPr>
      </w:pPr>
      <w:r>
        <w:rPr>
          <w:rFonts w:hint="eastAsia" w:ascii="宋体" w:hAnsi="宋体" w:eastAsia="宋体"/>
          <w:sz w:val="24"/>
        </w:rPr>
        <w:t>7.1招标文件包括下列内容：</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第一章</w:t>
      </w:r>
      <w:r>
        <w:rPr>
          <w:rFonts w:asciiTheme="minorEastAsia" w:hAnsiTheme="minorEastAsia" w:eastAsiaTheme="minorEastAsia"/>
          <w:sz w:val="24"/>
        </w:rPr>
        <w:t xml:space="preserve">  投标邀请</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第二章</w:t>
      </w:r>
      <w:r>
        <w:rPr>
          <w:rFonts w:asciiTheme="minorEastAsia" w:hAnsiTheme="minorEastAsia" w:eastAsiaTheme="minorEastAsia"/>
          <w:sz w:val="24"/>
        </w:rPr>
        <w:t xml:space="preserve">  投标人须知</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第三章</w:t>
      </w:r>
      <w:r>
        <w:rPr>
          <w:rFonts w:asciiTheme="minorEastAsia" w:hAnsiTheme="minorEastAsia" w:eastAsiaTheme="minorEastAsia"/>
          <w:sz w:val="24"/>
        </w:rPr>
        <w:t xml:space="preserve">  采购需求</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第四章</w:t>
      </w:r>
      <w:r>
        <w:rPr>
          <w:rFonts w:asciiTheme="minorEastAsia" w:hAnsiTheme="minorEastAsia" w:eastAsiaTheme="minorEastAsia"/>
          <w:sz w:val="24"/>
        </w:rPr>
        <w:t xml:space="preserve">  评标</w:t>
      </w:r>
      <w:r>
        <w:rPr>
          <w:rFonts w:hint="eastAsia" w:asciiTheme="minorEastAsia" w:hAnsiTheme="minorEastAsia" w:eastAsiaTheme="minorEastAsia"/>
          <w:sz w:val="24"/>
        </w:rPr>
        <w:t>方法</w:t>
      </w:r>
      <w:r>
        <w:rPr>
          <w:rFonts w:asciiTheme="minorEastAsia" w:hAnsiTheme="minorEastAsia" w:eastAsiaTheme="minorEastAsia"/>
          <w:sz w:val="24"/>
        </w:rPr>
        <w:t>和标准</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第五章</w:t>
      </w:r>
      <w:r>
        <w:rPr>
          <w:rFonts w:asciiTheme="minorEastAsia" w:hAnsiTheme="minorEastAsia" w:eastAsiaTheme="minorEastAsia"/>
          <w:sz w:val="24"/>
        </w:rPr>
        <w:t xml:space="preserve">  政府采购合同</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第六章</w:t>
      </w:r>
      <w:r>
        <w:rPr>
          <w:rFonts w:asciiTheme="minorEastAsia" w:hAnsiTheme="minorEastAsia" w:eastAsiaTheme="minorEastAsia"/>
          <w:sz w:val="24"/>
        </w:rPr>
        <w:t xml:space="preserve">  投标文件格式</w:t>
      </w:r>
    </w:p>
    <w:p>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第七章</w:t>
      </w:r>
      <w:r>
        <w:rPr>
          <w:rFonts w:asciiTheme="minorEastAsia" w:hAnsiTheme="minorEastAsia" w:eastAsiaTheme="minorEastAsia"/>
          <w:sz w:val="24"/>
        </w:rPr>
        <w:t xml:space="preserve">  政府采购供应商质疑函范本</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7.2招标文件中有不一致的，有</w:t>
      </w:r>
      <w:r>
        <w:rPr>
          <w:rFonts w:hint="eastAsia" w:asciiTheme="minorEastAsia" w:hAnsiTheme="minorEastAsia" w:eastAsiaTheme="minorEastAsia"/>
          <w:sz w:val="24"/>
        </w:rPr>
        <w:t>澄清</w:t>
      </w:r>
      <w:r>
        <w:rPr>
          <w:rFonts w:asciiTheme="minorEastAsia" w:hAnsiTheme="minorEastAsia" w:eastAsiaTheme="minorEastAsia"/>
          <w:sz w:val="24"/>
        </w:rPr>
        <w:t>的部分以最终的</w:t>
      </w:r>
      <w:r>
        <w:rPr>
          <w:rFonts w:hint="eastAsia" w:asciiTheme="minorEastAsia" w:hAnsiTheme="minorEastAsia" w:eastAsiaTheme="minorEastAsia"/>
          <w:sz w:val="24"/>
        </w:rPr>
        <w:t>澄清更正</w:t>
      </w:r>
      <w:r>
        <w:rPr>
          <w:rFonts w:asciiTheme="minorEastAsia" w:hAnsiTheme="minorEastAsia" w:eastAsiaTheme="minorEastAsia"/>
          <w:sz w:val="24"/>
        </w:rPr>
        <w:t>内容为准</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7.3现场</w:t>
      </w:r>
      <w:r>
        <w:rPr>
          <w:rFonts w:hint="eastAsia" w:asciiTheme="minorEastAsia" w:hAnsiTheme="minorEastAsia" w:eastAsiaTheme="minorEastAsia"/>
          <w:sz w:val="24"/>
        </w:rPr>
        <w:t>考察</w:t>
      </w:r>
      <w:r>
        <w:rPr>
          <w:rFonts w:asciiTheme="minorEastAsia" w:hAnsiTheme="minorEastAsia" w:eastAsiaTheme="minorEastAsia"/>
          <w:sz w:val="24"/>
        </w:rPr>
        <w:t>及相关事项见</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7.4原则上采购人、采购代理机构不要求投标人提供样品。除仅凭书面方式不能准确描述采购需求，或者需要对样品进行主观判断以确认是否满足采购需求等特殊情况除外。</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如需提供样品，对样品相关要求见</w:t>
      </w:r>
      <w:r>
        <w:rPr>
          <w:rFonts w:hint="eastAsia" w:asciiTheme="minorEastAsia" w:hAnsiTheme="minorEastAsia" w:eastAsiaTheme="minorEastAsia"/>
          <w:sz w:val="24"/>
        </w:rPr>
        <w:t>采购需求</w:t>
      </w:r>
      <w:r>
        <w:rPr>
          <w:rFonts w:asciiTheme="minorEastAsia" w:hAnsiTheme="minorEastAsia" w:eastAsiaTheme="minorEastAsia"/>
          <w:sz w:val="24"/>
        </w:rPr>
        <w:t>，对样品的评审方法及评审标准见招标文件第</w:t>
      </w:r>
      <w:r>
        <w:rPr>
          <w:rFonts w:hint="eastAsia" w:asciiTheme="minorEastAsia" w:hAnsiTheme="minorEastAsia" w:eastAsiaTheme="minorEastAsia"/>
          <w:sz w:val="24"/>
        </w:rPr>
        <w:t>四</w:t>
      </w:r>
      <w:r>
        <w:rPr>
          <w:rFonts w:asciiTheme="minorEastAsia" w:hAnsiTheme="minorEastAsia" w:eastAsiaTheme="minorEastAsia"/>
          <w:sz w:val="24"/>
        </w:rPr>
        <w:t>章。</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7.5投标人应认真阅读招标文件所有的事项、格式、条款和技术规范等。</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8</w:t>
      </w:r>
      <w:r>
        <w:rPr>
          <w:rFonts w:asciiTheme="minorEastAsia" w:hAnsiTheme="minorEastAsia" w:eastAsiaTheme="minorEastAsia"/>
          <w:b/>
          <w:sz w:val="24"/>
        </w:rPr>
        <w:t>.</w:t>
      </w:r>
      <w:r>
        <w:rPr>
          <w:rFonts w:hint="eastAsia" w:asciiTheme="minorEastAsia" w:hAnsiTheme="minorEastAsia" w:eastAsiaTheme="minorEastAsia"/>
          <w:b/>
          <w:sz w:val="24"/>
        </w:rPr>
        <w:t>招标文件的澄清与修改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w:t>
      </w:r>
      <w:r>
        <w:rPr>
          <w:rFonts w:asciiTheme="minorEastAsia" w:hAnsiTheme="minorEastAsia" w:eastAsiaTheme="minorEastAsia"/>
          <w:sz w:val="24"/>
        </w:rPr>
        <w:t>.</w:t>
      </w:r>
      <w:r>
        <w:rPr>
          <w:rFonts w:hint="eastAsia" w:asciiTheme="minorEastAsia" w:hAnsiTheme="minorEastAsia" w:eastAsiaTheme="minorEastAsia"/>
          <w:sz w:val="24"/>
        </w:rPr>
        <w:t>1</w:t>
      </w:r>
      <w:r>
        <w:rPr>
          <w:rFonts w:asciiTheme="minorEastAsia" w:hAnsiTheme="minorEastAsia" w:eastAsiaTheme="minorEastAsia"/>
          <w:sz w:val="24"/>
        </w:rPr>
        <w:t>投标人如对招标文件内容有疑问，必须在</w:t>
      </w:r>
      <w:r>
        <w:rPr>
          <w:rFonts w:ascii="宋体" w:hAnsi="宋体" w:eastAsia="宋体"/>
          <w:sz w:val="24"/>
          <w:u w:val="single"/>
        </w:rPr>
        <w:t>投标人须知前附表</w:t>
      </w:r>
      <w:r>
        <w:rPr>
          <w:rFonts w:asciiTheme="minorEastAsia" w:hAnsiTheme="minorEastAsia" w:eastAsiaTheme="minorEastAsia"/>
          <w:sz w:val="24"/>
        </w:rPr>
        <w:t>规定的</w:t>
      </w:r>
      <w:r>
        <w:rPr>
          <w:rFonts w:hint="eastAsia" w:asciiTheme="minorEastAsia" w:hAnsiTheme="minorEastAsia" w:eastAsiaTheme="minorEastAsia"/>
          <w:sz w:val="24"/>
        </w:rPr>
        <w:t>网上询问</w:t>
      </w:r>
      <w:r>
        <w:rPr>
          <w:rFonts w:asciiTheme="minorEastAsia" w:hAnsiTheme="minorEastAsia" w:eastAsiaTheme="minorEastAsia"/>
          <w:sz w:val="24"/>
        </w:rPr>
        <w:t>截止时间前以网上提问形式</w:t>
      </w:r>
      <w:r>
        <w:rPr>
          <w:rFonts w:hint="eastAsia" w:asciiTheme="minorEastAsia" w:hAnsiTheme="minorEastAsia" w:eastAsiaTheme="minorEastAsia"/>
          <w:sz w:val="24"/>
        </w:rPr>
        <w:t>（电子交易系统）</w:t>
      </w:r>
      <w:r>
        <w:rPr>
          <w:rFonts w:asciiTheme="minorEastAsia" w:hAnsiTheme="minorEastAsia" w:eastAsiaTheme="minorEastAsia"/>
          <w:sz w:val="24"/>
        </w:rPr>
        <w:t>提交给采购代理机构。</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w:t>
      </w:r>
      <w:r>
        <w:rPr>
          <w:rFonts w:asciiTheme="minorEastAsia" w:hAnsiTheme="minorEastAsia" w:eastAsiaTheme="minorEastAsia"/>
          <w:sz w:val="24"/>
        </w:rPr>
        <w:t>.</w:t>
      </w:r>
      <w:r>
        <w:rPr>
          <w:rFonts w:hint="eastAsia" w:asciiTheme="minorEastAsia" w:hAnsiTheme="minorEastAsia" w:eastAsiaTheme="minorEastAsia"/>
          <w:sz w:val="24"/>
        </w:rPr>
        <w:t>2采购人可主动地或在解答投标人提出的问题时对招标文件进行澄清与修改。</w:t>
      </w:r>
      <w:r>
        <w:rPr>
          <w:rFonts w:asciiTheme="minorEastAsia" w:hAnsiTheme="minorEastAsia" w:eastAsiaTheme="minorEastAsia"/>
          <w:sz w:val="24"/>
        </w:rPr>
        <w:t>采购代理机构将</w:t>
      </w:r>
      <w:r>
        <w:rPr>
          <w:rFonts w:hint="eastAsia" w:asciiTheme="minorEastAsia" w:hAnsiTheme="minorEastAsia" w:eastAsiaTheme="minorEastAsia"/>
          <w:sz w:val="24"/>
        </w:rPr>
        <w:t>在在电子交易系统以发布更正公告的方式</w:t>
      </w:r>
      <w:r>
        <w:rPr>
          <w:rFonts w:asciiTheme="minorEastAsia" w:hAnsiTheme="minorEastAsia" w:eastAsiaTheme="minorEastAsia"/>
          <w:sz w:val="24"/>
        </w:rPr>
        <w:t>，</w:t>
      </w:r>
      <w:r>
        <w:rPr>
          <w:rFonts w:hint="eastAsia" w:asciiTheme="minorEastAsia" w:hAnsiTheme="minorEastAsia" w:eastAsiaTheme="minorEastAsia"/>
          <w:sz w:val="24"/>
        </w:rPr>
        <w:t>澄清或修改招标文件，更正公告的</w:t>
      </w:r>
      <w:r>
        <w:rPr>
          <w:rFonts w:asciiTheme="minorEastAsia" w:hAnsiTheme="minorEastAsia" w:eastAsiaTheme="minorEastAsia"/>
          <w:sz w:val="24"/>
        </w:rPr>
        <w:t>内容</w:t>
      </w:r>
      <w:r>
        <w:rPr>
          <w:rFonts w:hint="eastAsia" w:asciiTheme="minorEastAsia" w:hAnsiTheme="minorEastAsia" w:eastAsiaTheme="minorEastAsia"/>
          <w:sz w:val="24"/>
        </w:rPr>
        <w:t>作</w:t>
      </w:r>
      <w:r>
        <w:rPr>
          <w:rFonts w:asciiTheme="minorEastAsia" w:hAnsiTheme="minorEastAsia" w:eastAsiaTheme="minorEastAsia"/>
          <w:sz w:val="24"/>
        </w:rPr>
        <w:t>为招标文件</w:t>
      </w:r>
      <w:r>
        <w:rPr>
          <w:rFonts w:hint="eastAsia" w:asciiTheme="minorEastAsia" w:hAnsiTheme="minorEastAsia" w:eastAsiaTheme="minorEastAsia"/>
          <w:sz w:val="24"/>
        </w:rPr>
        <w:t>的</w:t>
      </w:r>
      <w:r>
        <w:rPr>
          <w:rFonts w:asciiTheme="minorEastAsia" w:hAnsiTheme="minorEastAsia" w:eastAsiaTheme="minorEastAsia"/>
          <w:sz w:val="24"/>
        </w:rPr>
        <w:t>组成部分，对投标人起约束作用</w:t>
      </w:r>
      <w:r>
        <w:rPr>
          <w:rFonts w:hint="eastAsia" w:asciiTheme="minorEastAsia" w:hAnsiTheme="minorEastAsia" w:eastAsiaTheme="minorEastAsia"/>
          <w:sz w:val="24"/>
        </w:rPr>
        <w:t>。投标人应主动上网查询。采购代理机构不承担投标人未及时关注相关信息引发的相关责任。</w:t>
      </w:r>
    </w:p>
    <w:p>
      <w:pPr>
        <w:spacing w:line="360" w:lineRule="auto"/>
        <w:ind w:firstLine="435"/>
        <w:rPr>
          <w:rFonts w:ascii="宋体" w:hAnsi="宋体" w:eastAsia="宋体"/>
          <w:sz w:val="24"/>
        </w:rPr>
      </w:pPr>
      <w:r>
        <w:rPr>
          <w:rFonts w:ascii="宋体" w:hAnsi="宋体" w:eastAsia="宋体"/>
          <w:sz w:val="24"/>
        </w:rPr>
        <w:t>8</w:t>
      </w:r>
      <w:r>
        <w:rPr>
          <w:rFonts w:hint="eastAsia" w:ascii="宋体" w:hAnsi="宋体" w:eastAsia="宋体"/>
          <w:sz w:val="24"/>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pPr>
        <w:spacing w:line="360" w:lineRule="auto"/>
        <w:ind w:firstLine="435"/>
        <w:rPr>
          <w:rFonts w:asciiTheme="minorEastAsia" w:hAnsiTheme="minorEastAsia" w:eastAsiaTheme="minorEastAsia"/>
          <w:i/>
          <w:iCs/>
          <w:sz w:val="24"/>
        </w:rPr>
      </w:pPr>
      <w:r>
        <w:rPr>
          <w:rFonts w:hint="eastAsia" w:asciiTheme="minorEastAsia" w:hAnsiTheme="minorEastAsia" w:eastAsiaTheme="minorEastAsia"/>
          <w:sz w:val="24"/>
        </w:rPr>
        <w:t>8</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对于</w:t>
      </w:r>
      <w:r>
        <w:rPr>
          <w:rFonts w:ascii="宋体" w:hAnsi="宋体" w:eastAsia="宋体"/>
          <w:sz w:val="24"/>
        </w:rPr>
        <w:t>没有</w:t>
      </w:r>
      <w:r>
        <w:rPr>
          <w:rFonts w:asciiTheme="minorEastAsia" w:hAnsiTheme="minorEastAsia" w:eastAsiaTheme="minorEastAsia"/>
          <w:sz w:val="24"/>
        </w:rPr>
        <w:t>提出</w:t>
      </w:r>
      <w:r>
        <w:rPr>
          <w:rFonts w:hint="eastAsia" w:asciiTheme="minorEastAsia" w:hAnsiTheme="minorEastAsia" w:eastAsiaTheme="minorEastAsia"/>
          <w:sz w:val="24"/>
        </w:rPr>
        <w:t>疑问</w:t>
      </w:r>
      <w:r>
        <w:rPr>
          <w:rFonts w:asciiTheme="minorEastAsia" w:hAnsiTheme="minorEastAsia" w:eastAsiaTheme="minorEastAsia"/>
          <w:sz w:val="24"/>
        </w:rPr>
        <w:t>又参与了</w:t>
      </w:r>
      <w:r>
        <w:rPr>
          <w:rFonts w:hint="eastAsia" w:asciiTheme="minorEastAsia" w:hAnsiTheme="minorEastAsia" w:eastAsiaTheme="minorEastAsia"/>
          <w:sz w:val="24"/>
        </w:rPr>
        <w:t>本</w:t>
      </w:r>
      <w:r>
        <w:rPr>
          <w:rFonts w:asciiTheme="minorEastAsia" w:hAnsiTheme="minorEastAsia" w:eastAsiaTheme="minorEastAsia"/>
          <w:sz w:val="24"/>
        </w:rPr>
        <w:t>项目投标的</w:t>
      </w:r>
      <w:r>
        <w:rPr>
          <w:rFonts w:hint="eastAsia" w:asciiTheme="minorEastAsia" w:hAnsiTheme="minorEastAsia" w:eastAsiaTheme="minorEastAsia"/>
          <w:sz w:val="24"/>
        </w:rPr>
        <w:t>投标人</w:t>
      </w:r>
      <w:r>
        <w:rPr>
          <w:rFonts w:asciiTheme="minorEastAsia" w:hAnsiTheme="minorEastAsia" w:eastAsiaTheme="minorEastAsia"/>
          <w:sz w:val="24"/>
        </w:rPr>
        <w:t>将被视为完全认同</w:t>
      </w:r>
      <w:r>
        <w:rPr>
          <w:rFonts w:hint="eastAsia" w:asciiTheme="minorEastAsia" w:hAnsiTheme="minorEastAsia" w:eastAsiaTheme="minorEastAsia"/>
          <w:sz w:val="24"/>
        </w:rPr>
        <w:t>本</w:t>
      </w:r>
      <w:r>
        <w:rPr>
          <w:rFonts w:asciiTheme="minorEastAsia" w:hAnsiTheme="minorEastAsia" w:eastAsiaTheme="minorEastAsia"/>
          <w:sz w:val="24"/>
        </w:rPr>
        <w:t>招标文件（含</w:t>
      </w:r>
      <w:r>
        <w:rPr>
          <w:rFonts w:hint="eastAsia" w:asciiTheme="minorEastAsia" w:hAnsiTheme="minorEastAsia" w:eastAsiaTheme="minorEastAsia"/>
          <w:sz w:val="24"/>
        </w:rPr>
        <w:t>更正公告的</w:t>
      </w:r>
      <w:r>
        <w:rPr>
          <w:rFonts w:asciiTheme="minorEastAsia" w:hAnsiTheme="minorEastAsia" w:eastAsiaTheme="minorEastAsia"/>
          <w:sz w:val="24"/>
        </w:rPr>
        <w:t>内容）</w:t>
      </w:r>
      <w:r>
        <w:rPr>
          <w:rFonts w:hint="eastAsia" w:asciiTheme="minorEastAsia" w:hAnsiTheme="minorEastAsia" w:eastAsiaTheme="minorEastAsia"/>
          <w:i/>
          <w:sz w:val="24"/>
        </w:rPr>
        <w:t>。</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9</w:t>
      </w:r>
      <w:r>
        <w:rPr>
          <w:rFonts w:asciiTheme="minorEastAsia" w:hAnsiTheme="minorEastAsia" w:eastAsiaTheme="minorEastAsia"/>
          <w:b/>
          <w:sz w:val="24"/>
        </w:rPr>
        <w:t>.</w:t>
      </w:r>
      <w:r>
        <w:rPr>
          <w:rFonts w:hint="eastAsia" w:asciiTheme="minorEastAsia" w:hAnsiTheme="minorEastAsia" w:eastAsiaTheme="minorEastAsia"/>
          <w:b/>
          <w:sz w:val="24"/>
        </w:rPr>
        <w:t>投标范围及投标文件中标准和计量单位的使用</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.1</w:t>
      </w:r>
      <w:r>
        <w:rPr>
          <w:rFonts w:ascii="宋体" w:hAnsi="宋体" w:eastAsia="宋体"/>
          <w:sz w:val="24"/>
        </w:rPr>
        <w:t>项目</w:t>
      </w:r>
      <w:r>
        <w:rPr>
          <w:rFonts w:asciiTheme="minorEastAsia" w:hAnsiTheme="minorEastAsia" w:eastAsiaTheme="minorEastAsia"/>
          <w:sz w:val="24"/>
        </w:rPr>
        <w:t>有分包的，投标人可对招标文件其中某一个或几个分包货物进行投标，除非在</w:t>
      </w:r>
      <w:r>
        <w:rPr>
          <w:rFonts w:asciiTheme="minorEastAsia" w:hAnsiTheme="minorEastAsia" w:eastAsiaTheme="minorEastAsia"/>
          <w:sz w:val="24"/>
          <w:u w:val="single"/>
        </w:rPr>
        <w:t>投标人须知前附表</w:t>
      </w:r>
      <w:r>
        <w:rPr>
          <w:rFonts w:asciiTheme="minorEastAsia" w:hAnsiTheme="minorEastAsia" w:eastAsiaTheme="minorEastAsia"/>
          <w:sz w:val="24"/>
        </w:rPr>
        <w:t>中另有规定。</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.2投标人应当对所投分包招标文件中“</w:t>
      </w:r>
      <w:r>
        <w:rPr>
          <w:rFonts w:hint="eastAsia" w:asciiTheme="minorEastAsia" w:hAnsiTheme="minorEastAsia" w:eastAsiaTheme="minorEastAsia"/>
          <w:sz w:val="24"/>
        </w:rPr>
        <w:t>采购</w:t>
      </w:r>
      <w:r>
        <w:rPr>
          <w:rFonts w:asciiTheme="minorEastAsia" w:hAnsiTheme="minorEastAsia" w:eastAsiaTheme="minorEastAsia"/>
          <w:sz w:val="24"/>
        </w:rPr>
        <w:t>需求”所列的所有内容进行投标，如仅响应</w:t>
      </w:r>
      <w:r>
        <w:rPr>
          <w:rFonts w:hint="eastAsia" w:asciiTheme="minorEastAsia" w:hAnsiTheme="minorEastAsia" w:eastAsiaTheme="minorEastAsia"/>
          <w:sz w:val="24"/>
        </w:rPr>
        <w:t>所投包别</w:t>
      </w:r>
      <w:r>
        <w:rPr>
          <w:rFonts w:asciiTheme="minorEastAsia" w:hAnsiTheme="minorEastAsia" w:eastAsiaTheme="minorEastAsia"/>
          <w:sz w:val="24"/>
        </w:rPr>
        <w:t>中的部分内容，其</w:t>
      </w:r>
      <w:r>
        <w:rPr>
          <w:rFonts w:hint="eastAsia" w:asciiTheme="minorEastAsia" w:hAnsiTheme="minorEastAsia" w:eastAsiaTheme="minorEastAsia"/>
          <w:sz w:val="24"/>
        </w:rPr>
        <w:t>所投包别的</w:t>
      </w:r>
      <w:r>
        <w:rPr>
          <w:rFonts w:asciiTheme="minorEastAsia" w:hAnsiTheme="minorEastAsia" w:eastAsiaTheme="minorEastAsia"/>
          <w:sz w:val="24"/>
        </w:rPr>
        <w:t>投标将被认定为</w:t>
      </w:r>
      <w:r>
        <w:rPr>
          <w:rFonts w:asciiTheme="minorEastAsia" w:hAnsiTheme="minorEastAsia" w:eastAsiaTheme="minorEastAsia"/>
          <w:b/>
          <w:sz w:val="24"/>
        </w:rPr>
        <w:t>投标无效</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bookmarkStart w:id="38" w:name="_Hlk16458980"/>
      <w:r>
        <w:rPr>
          <w:rFonts w:hint="eastAsia" w:asciiTheme="minorEastAsia" w:hAnsiTheme="minorEastAsia" w:eastAsiaTheme="minorEastAsia"/>
          <w:sz w:val="24"/>
        </w:rPr>
        <w:t>9</w:t>
      </w:r>
      <w:r>
        <w:rPr>
          <w:rFonts w:asciiTheme="minorEastAsia" w:hAnsiTheme="minorEastAsia" w:eastAsiaTheme="minorEastAsia"/>
          <w:sz w:val="24"/>
        </w:rPr>
        <w:t>.3无论招标文件中是否要求，</w:t>
      </w:r>
      <w:r>
        <w:rPr>
          <w:rFonts w:hint="eastAsia" w:asciiTheme="minorEastAsia" w:hAnsiTheme="minorEastAsia" w:eastAsiaTheme="minorEastAsia"/>
          <w:sz w:val="24"/>
        </w:rPr>
        <w:t>投标人所投货物及伴随的服务和工程均应符合国家强制性标准。</w:t>
      </w:r>
    </w:p>
    <w:bookmarkEnd w:id="38"/>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投标人与采购</w:t>
      </w:r>
      <w:r>
        <w:rPr>
          <w:rFonts w:hint="eastAsia" w:asciiTheme="minorEastAsia" w:hAnsiTheme="minorEastAsia" w:eastAsiaTheme="minorEastAsia"/>
          <w:sz w:val="24"/>
        </w:rPr>
        <w:t>代理</w:t>
      </w:r>
      <w:r>
        <w:rPr>
          <w:rFonts w:asciiTheme="minorEastAsia" w:hAnsiTheme="minorEastAsia" w:eastAsiaTheme="minorEastAsia"/>
          <w:sz w:val="24"/>
        </w:rPr>
        <w:t>机构之间与投标有关的所有往来通知、函件和投标文件均用中文表述。投标人随投标文件提供的证明文件和资料可以为其它语言，但必须附中文译文。翻译的中文资料与外文资料出现差异时，以中文为准。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5</w:t>
      </w:r>
      <w:r>
        <w:rPr>
          <w:rFonts w:asciiTheme="minorEastAsia" w:hAnsiTheme="minorEastAsia" w:eastAsiaTheme="minorEastAsia"/>
          <w:sz w:val="24"/>
        </w:rPr>
        <w:t>除</w:t>
      </w:r>
      <w:r>
        <w:rPr>
          <w:rFonts w:ascii="宋体" w:hAnsi="宋体" w:eastAsia="宋体"/>
          <w:sz w:val="24"/>
        </w:rPr>
        <w:t>招标文件</w:t>
      </w:r>
      <w:r>
        <w:rPr>
          <w:rFonts w:asciiTheme="minorEastAsia" w:hAnsiTheme="minorEastAsia" w:eastAsiaTheme="minorEastAsia"/>
          <w:sz w:val="24"/>
        </w:rPr>
        <w:t>中有特殊要求外，投标文件中所使用的计量单位，应采用中华人民共和国法定计量单位。</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0.</w:t>
      </w:r>
      <w:r>
        <w:rPr>
          <w:rFonts w:hint="eastAsia" w:asciiTheme="minorEastAsia" w:hAnsiTheme="minorEastAsia" w:eastAsiaTheme="minorEastAsia"/>
          <w:b/>
          <w:sz w:val="24"/>
        </w:rPr>
        <w:t>投标文件构成</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10</w:t>
      </w:r>
      <w:r>
        <w:rPr>
          <w:rFonts w:asciiTheme="minorEastAsia" w:hAnsiTheme="minorEastAsia" w:eastAsiaTheme="minorEastAsia"/>
          <w:sz w:val="24"/>
        </w:rPr>
        <w:t>.1</w:t>
      </w:r>
      <w:r>
        <w:rPr>
          <w:rFonts w:ascii="宋体" w:hAnsi="宋体" w:eastAsia="宋体"/>
          <w:sz w:val="24"/>
        </w:rPr>
        <w:t>投标人</w:t>
      </w:r>
      <w:r>
        <w:rPr>
          <w:rFonts w:asciiTheme="minorEastAsia" w:hAnsiTheme="minorEastAsia" w:eastAsiaTheme="minorEastAsia"/>
          <w:sz w:val="24"/>
        </w:rPr>
        <w:t>应完整地按招标文件提供的投标文件格式及要求</w:t>
      </w:r>
      <w:r>
        <w:rPr>
          <w:rFonts w:hint="eastAsia" w:asciiTheme="minorEastAsia" w:hAnsiTheme="minorEastAsia" w:eastAsiaTheme="minorEastAsia"/>
          <w:sz w:val="24"/>
        </w:rPr>
        <w:t>编</w:t>
      </w:r>
      <w:r>
        <w:rPr>
          <w:rFonts w:asciiTheme="minorEastAsia" w:hAnsiTheme="minorEastAsia" w:eastAsiaTheme="minorEastAsia"/>
          <w:sz w:val="24"/>
        </w:rPr>
        <w:t>写投标文件，</w:t>
      </w:r>
      <w:r>
        <w:rPr>
          <w:rFonts w:hint="eastAsia" w:asciiTheme="minorEastAsia" w:hAnsiTheme="minorEastAsia" w:eastAsiaTheme="minorEastAsia"/>
          <w:sz w:val="24"/>
        </w:rPr>
        <w:t>具体内容详见本项目第六章投标文件格式的相关内容。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10</w:t>
      </w:r>
      <w:r>
        <w:rPr>
          <w:rFonts w:asciiTheme="minorEastAsia" w:hAnsiTheme="minorEastAsia" w:eastAsiaTheme="minorEastAsia"/>
          <w:sz w:val="24"/>
        </w:rPr>
        <w:t>.2上述</w:t>
      </w:r>
      <w:r>
        <w:rPr>
          <w:rFonts w:ascii="宋体" w:hAnsi="宋体" w:eastAsia="宋体"/>
          <w:sz w:val="24"/>
        </w:rPr>
        <w:t>文件</w:t>
      </w:r>
      <w:r>
        <w:rPr>
          <w:rFonts w:asciiTheme="minorEastAsia" w:hAnsiTheme="minorEastAsia" w:eastAsiaTheme="minorEastAsia"/>
          <w:sz w:val="24"/>
        </w:rPr>
        <w:t>应按照招标文件规定的格式填写、签署和盖章。</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1.</w:t>
      </w:r>
      <w:r>
        <w:rPr>
          <w:rFonts w:hint="eastAsia" w:asciiTheme="minorEastAsia" w:hAnsiTheme="minorEastAsia" w:eastAsiaTheme="minorEastAsia"/>
          <w:b/>
          <w:sz w:val="24"/>
        </w:rPr>
        <w:t>证明投标标的的合格性和符合招标文件规定的技术文件</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.1</w:t>
      </w:r>
      <w:r>
        <w:rPr>
          <w:rFonts w:ascii="宋体" w:hAnsi="宋体" w:eastAsia="宋体"/>
          <w:sz w:val="24"/>
        </w:rPr>
        <w:t>投标人</w:t>
      </w:r>
      <w:r>
        <w:rPr>
          <w:rFonts w:asciiTheme="minorEastAsia" w:hAnsiTheme="minorEastAsia" w:eastAsiaTheme="minorEastAsia"/>
          <w:sz w:val="24"/>
        </w:rPr>
        <w:t>应提交</w:t>
      </w:r>
      <w:r>
        <w:rPr>
          <w:rFonts w:hint="eastAsia" w:asciiTheme="minorEastAsia" w:hAnsiTheme="minorEastAsia" w:eastAsiaTheme="minorEastAsia"/>
          <w:sz w:val="24"/>
        </w:rPr>
        <w:t>招标文件要求的</w:t>
      </w:r>
      <w:r>
        <w:rPr>
          <w:rFonts w:asciiTheme="minorEastAsia" w:hAnsiTheme="minorEastAsia" w:eastAsiaTheme="minorEastAsia"/>
          <w:sz w:val="24"/>
        </w:rPr>
        <w:t>证明文件，证明其投标内容符合招标文件规定。该证明文件是投标文件的一部分。</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.2上款所述的证明文件，可以是文字资料、图纸和数据</w:t>
      </w:r>
      <w:bookmarkStart w:id="39" w:name="_Hlk11703583"/>
      <w:r>
        <w:rPr>
          <w:rFonts w:asciiTheme="minorEastAsia" w:hAnsiTheme="minorEastAsia" w:eastAsiaTheme="minorEastAsia"/>
          <w:sz w:val="24"/>
        </w:rPr>
        <w:t>，它包括：</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.2.1</w:t>
      </w:r>
      <w:r>
        <w:rPr>
          <w:rFonts w:ascii="宋体" w:hAnsi="宋体" w:eastAsia="宋体"/>
          <w:sz w:val="24"/>
        </w:rPr>
        <w:t>货物</w:t>
      </w:r>
      <w:r>
        <w:rPr>
          <w:rFonts w:asciiTheme="minorEastAsia" w:hAnsiTheme="minorEastAsia" w:eastAsiaTheme="minorEastAsia"/>
          <w:sz w:val="24"/>
        </w:rPr>
        <w:t>主要技术指标和性能的详细说明；</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.2.2</w:t>
      </w:r>
      <w:r>
        <w:rPr>
          <w:rFonts w:ascii="宋体" w:hAnsi="宋体" w:eastAsia="宋体"/>
          <w:sz w:val="24"/>
        </w:rPr>
        <w:t>货物</w:t>
      </w:r>
      <w:r>
        <w:rPr>
          <w:rFonts w:asciiTheme="minorEastAsia" w:hAnsiTheme="minorEastAsia" w:eastAsiaTheme="minorEastAsia"/>
          <w:sz w:val="24"/>
        </w:rPr>
        <w:t>从买方开始使用至招标文件规定的保质期内正常、连续地使用所必须的备件和专用工具清单，包括备件和专用工具的货源及现行价格；</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.2.3对照</w:t>
      </w:r>
      <w:r>
        <w:rPr>
          <w:rFonts w:ascii="宋体" w:hAnsi="宋体" w:eastAsia="宋体"/>
          <w:sz w:val="24"/>
        </w:rPr>
        <w:t>招标文件</w:t>
      </w:r>
      <w:r>
        <w:rPr>
          <w:rFonts w:asciiTheme="minorEastAsia" w:hAnsiTheme="minorEastAsia" w:eastAsiaTheme="minorEastAsia"/>
          <w:sz w:val="24"/>
        </w:rPr>
        <w:t>技术规格，逐条说明所提供货物及伴随的工程和服务已对招标文件的技术规格做出了实质性的响应，或申明与技术规格条文的偏差和例外。</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.3投标人应</w:t>
      </w:r>
      <w:r>
        <w:rPr>
          <w:rFonts w:ascii="宋体" w:hAnsi="宋体" w:eastAsia="宋体"/>
          <w:sz w:val="24"/>
        </w:rPr>
        <w:t>注意</w:t>
      </w:r>
      <w:r>
        <w:rPr>
          <w:rFonts w:asciiTheme="minorEastAsia" w:hAnsiTheme="minorEastAsia" w:eastAsiaTheme="minorEastAsia"/>
          <w:sz w:val="24"/>
        </w:rPr>
        <w:t>采购人在</w:t>
      </w:r>
      <w:r>
        <w:rPr>
          <w:rFonts w:hint="eastAsia" w:asciiTheme="minorEastAsia" w:hAnsiTheme="minorEastAsia" w:eastAsiaTheme="minorEastAsia"/>
          <w:sz w:val="24"/>
        </w:rPr>
        <w:t>采购需求</w:t>
      </w:r>
      <w:r>
        <w:rPr>
          <w:rFonts w:asciiTheme="minorEastAsia" w:hAnsiTheme="minorEastAsia" w:eastAsiaTheme="minorEastAsia"/>
          <w:sz w:val="24"/>
        </w:rPr>
        <w:t>中</w:t>
      </w:r>
      <w:r>
        <w:rPr>
          <w:rFonts w:hint="eastAsia" w:asciiTheme="minorEastAsia" w:hAnsiTheme="minorEastAsia" w:eastAsiaTheme="minorEastAsia"/>
          <w:sz w:val="24"/>
        </w:rPr>
        <w:t>提供</w:t>
      </w:r>
      <w:r>
        <w:rPr>
          <w:rFonts w:asciiTheme="minorEastAsia" w:hAnsiTheme="minorEastAsia" w:eastAsiaTheme="minorEastAsia"/>
          <w:sz w:val="24"/>
        </w:rPr>
        <w:t>的工艺、材料和设备的参</w:t>
      </w:r>
      <w:r>
        <w:rPr>
          <w:rFonts w:hint="eastAsia" w:asciiTheme="minorEastAsia" w:hAnsiTheme="minorEastAsia" w:eastAsiaTheme="minorEastAsia"/>
          <w:sz w:val="24"/>
        </w:rPr>
        <w:t>考</w:t>
      </w:r>
      <w:r>
        <w:rPr>
          <w:rFonts w:asciiTheme="minorEastAsia" w:hAnsiTheme="minorEastAsia" w:eastAsiaTheme="minorEastAsia"/>
          <w:sz w:val="24"/>
        </w:rPr>
        <w:t>品牌型号或分类号仅起说明作用，并没有任何限制性。投标人在投标</w:t>
      </w:r>
      <w:r>
        <w:rPr>
          <w:rFonts w:hint="eastAsia" w:asciiTheme="minorEastAsia" w:hAnsiTheme="minorEastAsia" w:eastAsiaTheme="minorEastAsia"/>
          <w:sz w:val="24"/>
        </w:rPr>
        <w:t>文件</w:t>
      </w:r>
      <w:r>
        <w:rPr>
          <w:rFonts w:asciiTheme="minorEastAsia" w:hAnsiTheme="minorEastAsia" w:eastAsiaTheme="minorEastAsia"/>
          <w:sz w:val="24"/>
        </w:rPr>
        <w:t>中可以选用替代品牌型号或分类号，但这些替代要实质上相当于技术规格的要求</w:t>
      </w:r>
      <w:r>
        <w:rPr>
          <w:rFonts w:hint="eastAsia" w:asciiTheme="minorEastAsia" w:hAnsiTheme="minorEastAsia" w:eastAsiaTheme="minorEastAsia"/>
          <w:sz w:val="24"/>
        </w:rPr>
        <w:t>，是否满足要求，由评标委员会来评判。</w:t>
      </w:r>
    </w:p>
    <w:bookmarkEnd w:id="39"/>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1.4</w:t>
      </w:r>
      <w:r>
        <w:rPr>
          <w:rFonts w:hint="eastAsia" w:asciiTheme="minorEastAsia" w:hAnsiTheme="minorEastAsia" w:eastAsiaTheme="minorEastAsia"/>
          <w:sz w:val="24"/>
        </w:rPr>
        <w:t>本条所指证明文件不包括对招标文件相关部分的文字、图标的复制。</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.5为保证</w:t>
      </w:r>
      <w:r>
        <w:rPr>
          <w:rFonts w:ascii="宋体" w:hAnsi="宋体" w:eastAsia="宋体"/>
          <w:sz w:val="24"/>
        </w:rPr>
        <w:t>公平</w:t>
      </w:r>
      <w:r>
        <w:rPr>
          <w:rFonts w:asciiTheme="minorEastAsia" w:hAnsiTheme="minorEastAsia" w:eastAsiaTheme="minorEastAsia"/>
          <w:sz w:val="24"/>
        </w:rPr>
        <w:t>公正，除非另有规定或说明，投标人对同一项目投标时，不得同时提供</w:t>
      </w:r>
      <w:r>
        <w:rPr>
          <w:rFonts w:hint="eastAsia" w:asciiTheme="minorEastAsia" w:hAnsiTheme="minorEastAsia" w:eastAsiaTheme="minorEastAsia"/>
          <w:sz w:val="24"/>
        </w:rPr>
        <w:t>备选</w:t>
      </w:r>
      <w:r>
        <w:rPr>
          <w:rFonts w:asciiTheme="minorEastAsia" w:hAnsiTheme="minorEastAsia" w:eastAsiaTheme="minorEastAsia"/>
          <w:sz w:val="24"/>
        </w:rPr>
        <w:t>投标方案。</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2.</w:t>
      </w:r>
      <w:r>
        <w:rPr>
          <w:rFonts w:hint="eastAsia" w:asciiTheme="minorEastAsia" w:hAnsiTheme="minorEastAsia" w:eastAsiaTheme="minorEastAsia"/>
          <w:b/>
          <w:sz w:val="24"/>
        </w:rPr>
        <w:t>投标报价</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2.1投标人的报价应当包括满足本次招标全部采购需求所应提供的</w:t>
      </w:r>
      <w:r>
        <w:rPr>
          <w:rFonts w:hint="eastAsia" w:asciiTheme="minorEastAsia" w:hAnsiTheme="minorEastAsia" w:eastAsiaTheme="minorEastAsia"/>
          <w:sz w:val="24"/>
        </w:rPr>
        <w:t>货物，</w:t>
      </w:r>
      <w:r>
        <w:rPr>
          <w:rFonts w:asciiTheme="minorEastAsia" w:hAnsiTheme="minorEastAsia" w:eastAsiaTheme="minorEastAsia"/>
          <w:sz w:val="24"/>
        </w:rPr>
        <w:t>以及伴随的</w:t>
      </w:r>
      <w:r>
        <w:rPr>
          <w:rFonts w:hint="eastAsia" w:asciiTheme="minorEastAsia" w:hAnsiTheme="minorEastAsia" w:eastAsiaTheme="minorEastAsia"/>
          <w:sz w:val="24"/>
        </w:rPr>
        <w:t>服务</w:t>
      </w:r>
      <w:r>
        <w:rPr>
          <w:rFonts w:asciiTheme="minorEastAsia" w:hAnsiTheme="minorEastAsia" w:eastAsiaTheme="minorEastAsia"/>
          <w:sz w:val="24"/>
        </w:rPr>
        <w:t>和工程</w:t>
      </w:r>
      <w:r>
        <w:rPr>
          <w:rFonts w:hint="eastAsia" w:asciiTheme="minorEastAsia" w:hAnsiTheme="minorEastAsia" w:eastAsiaTheme="minorEastAsia"/>
          <w:sz w:val="24"/>
        </w:rPr>
        <w:t>。所有投标均应以人民币报价。投标人的投标报价应遵守《中华人民共和国价格法》。</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12.2投标人报价超过招标文件规定的预算金额或者分项、分包最高限价，其投标将被认定为</w:t>
      </w:r>
      <w:r>
        <w:rPr>
          <w:rFonts w:asciiTheme="minorEastAsia" w:hAnsiTheme="minorEastAsia" w:eastAsiaTheme="minorEastAsia"/>
          <w:b/>
          <w:bCs/>
          <w:sz w:val="24"/>
        </w:rPr>
        <w:t>投标无效</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w:t>
      </w:r>
      <w:r>
        <w:rPr>
          <w:rFonts w:asciiTheme="minorEastAsia" w:hAnsiTheme="minorEastAsia" w:eastAsiaTheme="minorEastAsia"/>
          <w:sz w:val="24"/>
        </w:rPr>
        <w:t>.3投标人应在投标分项报价表上标明投标货物及相关服务的单价（如适用）和总价。</w:t>
      </w:r>
      <w:r>
        <w:rPr>
          <w:rFonts w:hint="eastAsia" w:asciiTheme="minorEastAsia" w:hAnsiTheme="minorEastAsia" w:eastAsiaTheme="minorEastAsia"/>
          <w:sz w:val="24"/>
        </w:rPr>
        <w:t>未标明的视同包含在投标报价中。</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w:t>
      </w:r>
      <w:r>
        <w:rPr>
          <w:rFonts w:asciiTheme="minorEastAsia" w:hAnsiTheme="minorEastAsia" w:eastAsiaTheme="minorEastAsia"/>
          <w:sz w:val="24"/>
        </w:rPr>
        <w:t>.4</w:t>
      </w:r>
      <w:r>
        <w:rPr>
          <w:rFonts w:hint="eastAsia" w:asciiTheme="minorEastAsia" w:hAnsiTheme="minorEastAsia" w:eastAsiaTheme="minorEastAsia"/>
          <w:sz w:val="24"/>
        </w:rPr>
        <w:t>投标报价</w:t>
      </w:r>
      <w:r>
        <w:rPr>
          <w:rFonts w:asciiTheme="minorEastAsia" w:hAnsiTheme="minorEastAsia" w:eastAsiaTheme="minorEastAsia"/>
          <w:sz w:val="24"/>
        </w:rPr>
        <w:t>在合同履行过程中是固定不变的，不得以任何理由予以变更。任何包含价格调整要求的投标，其投标将被认定为</w:t>
      </w:r>
      <w:r>
        <w:rPr>
          <w:rFonts w:asciiTheme="minorEastAsia" w:hAnsiTheme="minorEastAsia" w:eastAsiaTheme="minorEastAsia"/>
          <w:b/>
          <w:sz w:val="24"/>
        </w:rPr>
        <w:t>投标无效</w:t>
      </w:r>
      <w:r>
        <w:rPr>
          <w:rFonts w:asciiTheme="minorEastAsia" w:hAnsiTheme="minorEastAsia" w:eastAsiaTheme="minorEastAsia"/>
          <w:sz w:val="24"/>
        </w:rPr>
        <w:t>。</w:t>
      </w:r>
    </w:p>
    <w:p>
      <w:pPr>
        <w:spacing w:line="360" w:lineRule="auto"/>
        <w:ind w:firstLine="435"/>
        <w:rPr>
          <w:rFonts w:ascii="宋体" w:hAnsi="宋体" w:eastAsia="宋体"/>
          <w:sz w:val="24"/>
        </w:rPr>
      </w:pPr>
      <w:r>
        <w:rPr>
          <w:rFonts w:hint="eastAsia" w:asciiTheme="minorEastAsia" w:hAnsiTheme="minorEastAsia" w:eastAsiaTheme="minorEastAsia"/>
          <w:sz w:val="24"/>
        </w:rPr>
        <w:t>1</w:t>
      </w:r>
      <w:r>
        <w:rPr>
          <w:rFonts w:asciiTheme="minorEastAsia" w:hAnsiTheme="minorEastAsia" w:eastAsiaTheme="minorEastAsia"/>
          <w:sz w:val="24"/>
        </w:rPr>
        <w:t>2.5</w:t>
      </w:r>
      <w:r>
        <w:rPr>
          <w:rFonts w:hint="eastAsia" w:asciiTheme="minorEastAsia" w:hAnsiTheme="minorEastAsia" w:eastAsiaTheme="minorEastAsia"/>
          <w:sz w:val="24"/>
        </w:rPr>
        <w:t>评标委员会认为投标人的报价明显低于其他通过符合性审查投标人的报价，有可能影响产品质量或者不能诚信履约的，应当要求其在合理的时间内提供书面说明，</w:t>
      </w:r>
      <w:r>
        <w:rPr>
          <w:rFonts w:asciiTheme="minorEastAsia" w:hAnsiTheme="minorEastAsia" w:eastAsiaTheme="minorEastAsia"/>
          <w:sz w:val="24"/>
        </w:rPr>
        <w:t>必要时提交相关证明材料；投标人不能证明其报价合理性的，其投标将被认定为</w:t>
      </w:r>
      <w:r>
        <w:rPr>
          <w:rFonts w:asciiTheme="minorEastAsia" w:hAnsiTheme="minorEastAsia" w:eastAsiaTheme="minorEastAsia"/>
          <w:b/>
          <w:sz w:val="24"/>
        </w:rPr>
        <w:t>投标无效</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w:t>
      </w:r>
      <w:r>
        <w:rPr>
          <w:rFonts w:asciiTheme="minorEastAsia" w:hAnsiTheme="minorEastAsia" w:eastAsiaTheme="minorEastAsia"/>
          <w:sz w:val="24"/>
        </w:rPr>
        <w:t>.6采购人不接受具有附加条件的报价。</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3.</w:t>
      </w:r>
      <w:r>
        <w:rPr>
          <w:rFonts w:hint="eastAsia" w:asciiTheme="minorEastAsia" w:hAnsiTheme="minorEastAsia" w:eastAsiaTheme="minorEastAsia"/>
          <w:b/>
          <w:sz w:val="24"/>
        </w:rPr>
        <w:t>投标保证金</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3</w:t>
      </w:r>
      <w:r>
        <w:rPr>
          <w:rFonts w:asciiTheme="minorEastAsia" w:hAnsiTheme="minorEastAsia" w:eastAsiaTheme="minorEastAsia"/>
          <w:sz w:val="24"/>
        </w:rPr>
        <w:t>.1</w:t>
      </w:r>
      <w:r>
        <w:rPr>
          <w:rFonts w:ascii="宋体" w:hAnsi="宋体" w:eastAsia="宋体"/>
          <w:sz w:val="24"/>
        </w:rPr>
        <w:t>投标人</w:t>
      </w:r>
      <w:r>
        <w:rPr>
          <w:rFonts w:asciiTheme="minorEastAsia" w:hAnsiTheme="minorEastAsia" w:eastAsiaTheme="minorEastAsia"/>
          <w:sz w:val="24"/>
        </w:rPr>
        <w:t>应提交</w:t>
      </w:r>
      <w:r>
        <w:rPr>
          <w:rFonts w:asciiTheme="minorEastAsia" w:hAnsiTheme="minorEastAsia" w:eastAsiaTheme="minorEastAsia"/>
          <w:sz w:val="24"/>
          <w:u w:val="single"/>
        </w:rPr>
        <w:t>投标人须知前附表</w:t>
      </w:r>
      <w:r>
        <w:rPr>
          <w:rFonts w:asciiTheme="minorEastAsia" w:hAnsiTheme="minorEastAsia" w:eastAsiaTheme="minorEastAsia"/>
          <w:sz w:val="24"/>
        </w:rPr>
        <w:t>中规定的投标保证金，并作为其投标的一部分。投标人未按本</w:t>
      </w:r>
      <w:r>
        <w:rPr>
          <w:rFonts w:hint="eastAsia" w:asciiTheme="minorEastAsia" w:hAnsiTheme="minorEastAsia" w:eastAsiaTheme="minorEastAsia"/>
          <w:sz w:val="24"/>
        </w:rPr>
        <w:t>招标文件</w:t>
      </w:r>
      <w:r>
        <w:rPr>
          <w:rFonts w:asciiTheme="minorEastAsia" w:hAnsiTheme="minorEastAsia" w:eastAsiaTheme="minorEastAsia"/>
          <w:sz w:val="24"/>
        </w:rPr>
        <w:t>规定提交投标保证金的，其投标将被认定为</w:t>
      </w:r>
      <w:r>
        <w:rPr>
          <w:rFonts w:asciiTheme="minorEastAsia" w:hAnsiTheme="minorEastAsia" w:eastAsiaTheme="minorEastAsia"/>
          <w:b/>
          <w:sz w:val="24"/>
        </w:rPr>
        <w:t>投标无效</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3.2</w:t>
      </w:r>
      <w:r>
        <w:rPr>
          <w:rFonts w:hint="eastAsia" w:asciiTheme="minorEastAsia" w:hAnsiTheme="minorEastAsia" w:eastAsiaTheme="minorEastAsia"/>
          <w:sz w:val="24"/>
        </w:rPr>
        <w:t>投标人请注意：</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（1）除非招标文件另有规定，投标保证金缴纳人名称与投标人名称应当一致，否则</w:t>
      </w:r>
      <w:r>
        <w:rPr>
          <w:rFonts w:asciiTheme="minorEastAsia" w:hAnsiTheme="minorEastAsia" w:eastAsiaTheme="minorEastAsia"/>
          <w:sz w:val="24"/>
        </w:rPr>
        <w:t>其投标将被认定为</w:t>
      </w:r>
      <w:r>
        <w:rPr>
          <w:rFonts w:asciiTheme="minorEastAsia" w:hAnsiTheme="minorEastAsia" w:eastAsiaTheme="minorEastAsia"/>
          <w:b/>
          <w:sz w:val="24"/>
        </w:rPr>
        <w:t>投标无效</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）前次采购失败的，采购代理机构将退还投标人的投标保证金。</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采购代理机构投标保证金缴纳账号采用动态虚拟账号（分包项目每一个包别对应一个账号），项目采购失败后，投标保证金缴纳账号将会发生变化，请投标人参与后续采购时，注意勿将投标保证金错交至其他项目虚拟账号或前次公告账号。</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）凡转账到其他项目虚拟账号或本项目前次公告账号的，投标保证金无效。</w:t>
      </w:r>
    </w:p>
    <w:p>
      <w:pPr>
        <w:spacing w:line="360" w:lineRule="auto"/>
        <w:ind w:firstLine="435"/>
        <w:rPr>
          <w:rFonts w:asciiTheme="majorEastAsia" w:hAnsiTheme="majorEastAsia" w:eastAsiaTheme="majorEastAsia"/>
          <w:sz w:val="24"/>
        </w:rPr>
      </w:pPr>
      <w:bookmarkStart w:id="40" w:name="_Hlk60580952"/>
      <w:r>
        <w:rPr>
          <w:rFonts w:hint="eastAsia" w:asciiTheme="majorEastAsia" w:hAnsiTheme="majorEastAsia" w:eastAsiaTheme="majorEastAsia"/>
          <w:sz w:val="24"/>
        </w:rPr>
        <w:t>13.3有下列情形之一的，投标保证金不予退还：</w:t>
      </w:r>
    </w:p>
    <w:p>
      <w:pPr>
        <w:spacing w:line="360" w:lineRule="auto"/>
        <w:ind w:firstLine="435"/>
        <w:rPr>
          <w:rFonts w:asciiTheme="majorEastAsia" w:hAnsiTheme="majorEastAsia" w:eastAsiaTheme="majorEastAsia"/>
          <w:sz w:val="24"/>
        </w:rPr>
      </w:pPr>
      <w:r>
        <w:rPr>
          <w:rFonts w:hint="eastAsia" w:asciiTheme="majorEastAsia" w:hAnsiTheme="majorEastAsia" w:eastAsiaTheme="majorEastAsia"/>
          <w:sz w:val="24"/>
        </w:rPr>
        <w:t>（1）投标人在投标有效期内撤销投标文件的；</w:t>
      </w:r>
    </w:p>
    <w:p>
      <w:pPr>
        <w:spacing w:line="360" w:lineRule="auto"/>
        <w:ind w:firstLine="435"/>
        <w:rPr>
          <w:rFonts w:asciiTheme="majorEastAsia" w:hAnsiTheme="majorEastAsia" w:eastAsiaTheme="majorEastAsia"/>
          <w:sz w:val="24"/>
        </w:rPr>
      </w:pPr>
      <w:r>
        <w:rPr>
          <w:rFonts w:hint="eastAsia" w:asciiTheme="majorEastAsia" w:hAnsiTheme="majorEastAsia" w:eastAsiaTheme="majorEastAsia"/>
          <w:sz w:val="24"/>
        </w:rPr>
        <w:t>（2）</w:t>
      </w:r>
      <w:r>
        <w:rPr>
          <w:rFonts w:hint="eastAsia" w:asciiTheme="majorEastAsia" w:hAnsiTheme="majorEastAsia" w:eastAsiaTheme="majorEastAsia"/>
          <w:sz w:val="24"/>
          <w:u w:val="single"/>
        </w:rPr>
        <w:t>投标人须知前附表</w:t>
      </w:r>
      <w:r>
        <w:rPr>
          <w:rFonts w:hint="eastAsia" w:asciiTheme="majorEastAsia" w:hAnsiTheme="majorEastAsia" w:eastAsiaTheme="majorEastAsia"/>
          <w:sz w:val="24"/>
        </w:rPr>
        <w:t>中规定的其他不予退还投标保证金的情形。</w:t>
      </w:r>
    </w:p>
    <w:bookmarkEnd w:id="40"/>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4.</w:t>
      </w:r>
      <w:r>
        <w:rPr>
          <w:rFonts w:hint="eastAsia" w:asciiTheme="minorEastAsia" w:hAnsiTheme="minorEastAsia" w:eastAsiaTheme="minorEastAsia"/>
          <w:b/>
          <w:sz w:val="24"/>
        </w:rPr>
        <w:t>投标有效期</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14.1投标有效期为从投标截止之日算起的日历天数，投标有效期详见</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sz w:val="24"/>
        </w:rPr>
        <w:t>投标无效</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14.3</w:t>
      </w:r>
      <w:r>
        <w:rPr>
          <w:rFonts w:hint="eastAsia" w:asciiTheme="minorEastAsia" w:hAnsiTheme="minorEastAsia" w:eastAsiaTheme="minorEastAsia"/>
          <w:sz w:val="24"/>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5.</w:t>
      </w:r>
      <w:r>
        <w:rPr>
          <w:rFonts w:hint="eastAsia" w:asciiTheme="minorEastAsia" w:hAnsiTheme="minorEastAsia" w:eastAsiaTheme="minorEastAsia"/>
          <w:b/>
          <w:sz w:val="24"/>
        </w:rPr>
        <w:t>投标文件的制作</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15.1本项目要求提供加密电子投标文件，投标文件的制作应满足以下规定：</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在第六章“投标文件格式”中要求盖投标人电子签章处，投标人均应加盖投标人电子签章。联合体投标的，除联合体协议及联合体各成员单位提供的本单位证明材料外，投标文件由联合体牵头人按上述规定加盖联合体牵头人单位电子签章。</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（2）投标文件制作完成后，投标人应对投标文件进行文件加密，形成加密的投标文件。</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15.2因投标人自身原因而导致投标文件无法导入电子交易系统电子开标、评标系统，该投标视为无效投标，投标人自行承担由此导致的全部责任。（该投标文件是指解密后的投标文件）。</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15.3开标现场提交的其他材料要求详见</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6.</w:t>
      </w:r>
      <w:r>
        <w:rPr>
          <w:rFonts w:hint="eastAsia" w:asciiTheme="minorEastAsia" w:hAnsiTheme="minorEastAsia" w:eastAsiaTheme="minorEastAsia"/>
          <w:b/>
          <w:sz w:val="24"/>
        </w:rPr>
        <w:t>投标截止</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16.1投标人应在</w:t>
      </w:r>
      <w:r>
        <w:rPr>
          <w:rFonts w:ascii="宋体" w:hAnsi="宋体" w:eastAsia="宋体"/>
          <w:sz w:val="24"/>
          <w:u w:val="single"/>
        </w:rPr>
        <w:t>投标人须知前附表</w:t>
      </w:r>
      <w:r>
        <w:rPr>
          <w:rFonts w:asciiTheme="minorEastAsia" w:hAnsiTheme="minorEastAsia" w:eastAsiaTheme="minorEastAsia"/>
          <w:sz w:val="24"/>
        </w:rPr>
        <w:t>中规定的</w:t>
      </w:r>
      <w:r>
        <w:rPr>
          <w:rFonts w:hint="eastAsia" w:asciiTheme="minorEastAsia" w:hAnsiTheme="minorEastAsia" w:eastAsiaTheme="minorEastAsia"/>
          <w:sz w:val="24"/>
        </w:rPr>
        <w:t>投标</w:t>
      </w:r>
      <w:r>
        <w:rPr>
          <w:rFonts w:asciiTheme="minorEastAsia" w:hAnsiTheme="minorEastAsia" w:eastAsiaTheme="minorEastAsia"/>
          <w:sz w:val="24"/>
        </w:rPr>
        <w:t>截止时间前，</w:t>
      </w:r>
      <w:r>
        <w:rPr>
          <w:rFonts w:hint="eastAsia" w:asciiTheme="minorEastAsia" w:hAnsiTheme="minorEastAsia" w:eastAsiaTheme="minorEastAsia"/>
          <w:sz w:val="24"/>
        </w:rPr>
        <w:t>在网上提交加密电子投标文件。</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6</w:t>
      </w:r>
      <w:r>
        <w:rPr>
          <w:rFonts w:hint="eastAsia" w:asciiTheme="minorEastAsia" w:hAnsiTheme="minorEastAsia" w:eastAsiaTheme="minorEastAsia"/>
          <w:sz w:val="24"/>
        </w:rPr>
        <w:t>.2</w:t>
      </w:r>
      <w:r>
        <w:rPr>
          <w:rFonts w:asciiTheme="minorEastAsia" w:hAnsiTheme="minorEastAsia" w:eastAsiaTheme="minorEastAsia"/>
          <w:sz w:val="24"/>
        </w:rPr>
        <w:t>投标</w:t>
      </w:r>
      <w:r>
        <w:rPr>
          <w:rFonts w:hint="eastAsia" w:asciiTheme="minorEastAsia" w:hAnsiTheme="minorEastAsia" w:eastAsiaTheme="minorEastAsia"/>
          <w:sz w:val="24"/>
        </w:rPr>
        <w:t>人</w:t>
      </w:r>
      <w:r>
        <w:rPr>
          <w:rFonts w:asciiTheme="minorEastAsia" w:hAnsiTheme="minorEastAsia" w:eastAsiaTheme="minorEastAsia"/>
          <w:sz w:val="24"/>
        </w:rPr>
        <w:t>在</w:t>
      </w:r>
      <w:r>
        <w:rPr>
          <w:rFonts w:ascii="宋体" w:hAnsi="宋体" w:eastAsia="宋体"/>
          <w:sz w:val="24"/>
        </w:rPr>
        <w:t>招标文件</w:t>
      </w:r>
      <w:r>
        <w:rPr>
          <w:rFonts w:asciiTheme="minorEastAsia" w:hAnsiTheme="minorEastAsia" w:eastAsiaTheme="minorEastAsia"/>
          <w:sz w:val="24"/>
        </w:rPr>
        <w:t>规定的投标截止时间前上传了网上加密电子投标文件，但未在规定时间内进行解密的，</w:t>
      </w:r>
      <w:r>
        <w:rPr>
          <w:rFonts w:asciiTheme="minorEastAsia" w:hAnsiTheme="minorEastAsia" w:eastAsiaTheme="minorEastAsia"/>
          <w:b/>
          <w:sz w:val="24"/>
        </w:rPr>
        <w:t>投标无效</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16.3采购人和采购代理机构有权按本</w:t>
      </w:r>
      <w:r>
        <w:rPr>
          <w:rFonts w:hint="eastAsia" w:asciiTheme="minorEastAsia" w:hAnsiTheme="minorEastAsia" w:eastAsiaTheme="minorEastAsia"/>
          <w:sz w:val="24"/>
        </w:rPr>
        <w:t>招标文件</w:t>
      </w:r>
      <w:r>
        <w:rPr>
          <w:rFonts w:asciiTheme="minorEastAsia" w:hAnsiTheme="minorEastAsia" w:eastAsiaTheme="minorEastAsia"/>
          <w:sz w:val="24"/>
        </w:rPr>
        <w:t>的规定，延迟投标截止时间。在此情况下，采购人、采购代理机构和投标人受投标截止时间制约的所有权利和义务均应延长至新的截止时间。</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7.</w:t>
      </w:r>
      <w:r>
        <w:rPr>
          <w:rFonts w:hint="eastAsia" w:asciiTheme="minorEastAsia" w:hAnsiTheme="minorEastAsia" w:eastAsiaTheme="minorEastAsia"/>
          <w:b/>
          <w:sz w:val="24"/>
        </w:rPr>
        <w:t>投标文件的递交、修改与撤回</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17</w:t>
      </w:r>
      <w:r>
        <w:rPr>
          <w:rFonts w:hint="eastAsia" w:asciiTheme="minorEastAsia" w:hAnsiTheme="minorEastAsia" w:eastAsiaTheme="minorEastAsia"/>
          <w:sz w:val="24"/>
        </w:rPr>
        <w:t>.1投标人应当在第一章“投标邀请”规定的投标截止时间前</w:t>
      </w:r>
      <w:r>
        <w:rPr>
          <w:rFonts w:asciiTheme="minorEastAsia" w:hAnsiTheme="minorEastAsia" w:eastAsiaTheme="minorEastAsia"/>
          <w:sz w:val="24"/>
        </w:rPr>
        <w:t>，将加密的投标文件</w:t>
      </w:r>
      <w:r>
        <w:rPr>
          <w:rFonts w:hint="eastAsia" w:asciiTheme="minorEastAsia" w:hAnsiTheme="minorEastAsia" w:eastAsiaTheme="minorEastAsia"/>
          <w:sz w:val="24"/>
        </w:rPr>
        <w:t>在电子交易系统</w:t>
      </w:r>
      <w:r>
        <w:rPr>
          <w:rFonts w:asciiTheme="minorEastAsia" w:hAnsiTheme="minorEastAsia" w:eastAsiaTheme="minorEastAsia"/>
          <w:sz w:val="24"/>
        </w:rPr>
        <w:t>上传。</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17</w:t>
      </w:r>
      <w:r>
        <w:rPr>
          <w:rFonts w:hint="eastAsia" w:asciiTheme="minorEastAsia" w:hAnsiTheme="minorEastAsia" w:eastAsiaTheme="minorEastAsia"/>
          <w:sz w:val="24"/>
        </w:rPr>
        <w:t>.2投标人应当在投标截止时间前完成投标文件的传输递交，并可以补充、修改或者撤回投标文件。投标截止时间前未完成投标文件传输的，视为撤回投标文件。未按规定加密或投标截止时间后送达的投标文件，电子交易系统应当拒收。</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17</w:t>
      </w:r>
      <w:r>
        <w:rPr>
          <w:rFonts w:hint="eastAsia" w:asciiTheme="minorEastAsia" w:hAnsiTheme="minorEastAsia" w:eastAsiaTheme="minorEastAsia"/>
          <w:sz w:val="24"/>
        </w:rPr>
        <w:t>.</w:t>
      </w:r>
      <w:r>
        <w:rPr>
          <w:rFonts w:asciiTheme="minorEastAsia" w:hAnsiTheme="minorEastAsia" w:eastAsiaTheme="minorEastAsia"/>
          <w:sz w:val="24"/>
        </w:rPr>
        <w:t>3</w:t>
      </w:r>
      <w:r>
        <w:rPr>
          <w:rFonts w:hint="eastAsia" w:asciiTheme="minorEastAsia" w:hAnsiTheme="minorEastAsia" w:eastAsiaTheme="minorEastAsia"/>
          <w:sz w:val="24"/>
        </w:rPr>
        <w:t>投标人在</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规定的解密时间（以电子交易系统解密倒计时为准）内完成电子投标文件的解密工作。</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8.</w:t>
      </w:r>
      <w:r>
        <w:rPr>
          <w:rFonts w:hint="eastAsia" w:asciiTheme="minorEastAsia" w:hAnsiTheme="minorEastAsia" w:eastAsiaTheme="minorEastAsia"/>
          <w:b/>
          <w:sz w:val="24"/>
        </w:rPr>
        <w:t>开标</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18.1采购人和</w:t>
      </w:r>
      <w:r>
        <w:rPr>
          <w:rFonts w:asciiTheme="minorEastAsia" w:hAnsiTheme="minorEastAsia" w:eastAsiaTheme="minorEastAsia"/>
          <w:sz w:val="24"/>
        </w:rPr>
        <w:t>采购代理机构</w:t>
      </w:r>
      <w:r>
        <w:rPr>
          <w:rFonts w:hint="eastAsia" w:asciiTheme="minorEastAsia" w:hAnsiTheme="minorEastAsia" w:eastAsiaTheme="minorEastAsia"/>
          <w:sz w:val="24"/>
        </w:rPr>
        <w:t>将按</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中规定的开标时间和地点组织公开开标。</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w:t>
      </w:r>
      <w:r>
        <w:rPr>
          <w:rFonts w:asciiTheme="minorEastAsia" w:hAnsiTheme="minorEastAsia" w:eastAsiaTheme="minorEastAsia"/>
          <w:sz w:val="24"/>
        </w:rPr>
        <w:t>.2开标时，各投标</w:t>
      </w:r>
      <w:r>
        <w:rPr>
          <w:rFonts w:hint="eastAsia" w:asciiTheme="minorEastAsia" w:hAnsiTheme="minorEastAsia" w:eastAsiaTheme="minorEastAsia"/>
          <w:sz w:val="24"/>
        </w:rPr>
        <w:t>人</w:t>
      </w:r>
      <w:r>
        <w:rPr>
          <w:rFonts w:asciiTheme="minorEastAsia" w:hAnsiTheme="minorEastAsia" w:eastAsiaTheme="minorEastAsia"/>
          <w:sz w:val="24"/>
        </w:rPr>
        <w:t>应在规定时间前（</w:t>
      </w:r>
      <w:r>
        <w:rPr>
          <w:rFonts w:hint="eastAsia" w:asciiTheme="minorEastAsia" w:hAnsiTheme="minorEastAsia" w:eastAsiaTheme="minorEastAsia"/>
          <w:sz w:val="24"/>
        </w:rPr>
        <w:t>以电子交易系统解密倒计时为准</w:t>
      </w:r>
      <w:r>
        <w:rPr>
          <w:rFonts w:asciiTheme="minorEastAsia" w:hAnsiTheme="minorEastAsia" w:eastAsiaTheme="minorEastAsia"/>
          <w:sz w:val="24"/>
        </w:rPr>
        <w:t>）对本单位的投标文件</w:t>
      </w:r>
      <w:r>
        <w:rPr>
          <w:rFonts w:hint="eastAsia" w:asciiTheme="minorEastAsia" w:hAnsiTheme="minorEastAsia" w:eastAsiaTheme="minorEastAsia"/>
          <w:sz w:val="24"/>
        </w:rPr>
        <w:t>进行</w:t>
      </w:r>
      <w:r>
        <w:rPr>
          <w:rFonts w:asciiTheme="minorEastAsia" w:hAnsiTheme="minorEastAsia" w:eastAsiaTheme="minorEastAsia"/>
          <w:sz w:val="24"/>
        </w:rPr>
        <w:t>解密。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开标时，采购代理机构将通过网上开标系统公布</w:t>
      </w:r>
      <w:r>
        <w:rPr>
          <w:rFonts w:hint="eastAsia" w:asciiTheme="minorEastAsia" w:hAnsiTheme="minorEastAsia" w:eastAsiaTheme="minorEastAsia"/>
          <w:sz w:val="24"/>
        </w:rPr>
        <w:t>开标结果，公布内容包括投标人名称、投标价格及招标文件规定的内容。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18.4采购人或采购代理机构将对开标过程进行记录，由参加开标的各投标人代表和相关工作人员签字确认，并存档备查。</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投标人未派代表参加开标的，视同投标人认可开标结果。</w:t>
      </w:r>
    </w:p>
    <w:p>
      <w:pPr>
        <w:spacing w:line="360" w:lineRule="auto"/>
        <w:ind w:firstLine="435"/>
        <w:rPr>
          <w:rFonts w:asciiTheme="minorEastAsia" w:hAnsiTheme="minorEastAsia" w:eastAsiaTheme="minorEastAsia"/>
          <w:sz w:val="28"/>
        </w:rPr>
      </w:pPr>
      <w:r>
        <w:rPr>
          <w:rFonts w:hint="eastAsia" w:asciiTheme="minorEastAsia" w:hAnsiTheme="minorEastAsia" w:eastAsiaTheme="minorEastAsia"/>
          <w:sz w:val="24"/>
        </w:rPr>
        <w:t>18.5投标人代表对开标过程和开标记录有疑义，以及认为采购人、采购代理机构相关工作人员有需要回避的情形的，应当场提出询问或者回避申请。</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9.</w:t>
      </w:r>
      <w:r>
        <w:rPr>
          <w:rFonts w:hint="eastAsia" w:asciiTheme="minorEastAsia" w:hAnsiTheme="minorEastAsia" w:eastAsiaTheme="minorEastAsia"/>
          <w:b/>
          <w:sz w:val="24"/>
        </w:rPr>
        <w:t>资格审查及组建评标委员会</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19.1采购人或采购代理机构依据法律法规和招标文件中规定的内</w:t>
      </w:r>
      <w:r>
        <w:rPr>
          <w:rFonts w:asciiTheme="minorEastAsia" w:hAnsiTheme="minorEastAsia" w:eastAsiaTheme="minorEastAsia"/>
          <w:sz w:val="24"/>
        </w:rPr>
        <w:t>容</w:t>
      </w:r>
      <w:r>
        <w:rPr>
          <w:rFonts w:hint="eastAsia" w:asciiTheme="minorEastAsia" w:hAnsiTheme="minorEastAsia" w:eastAsiaTheme="minorEastAsia"/>
          <w:sz w:val="24"/>
        </w:rPr>
        <w:t>，对投标人资格进行审查，未</w:t>
      </w:r>
      <w:r>
        <w:rPr>
          <w:rFonts w:asciiTheme="minorEastAsia" w:hAnsiTheme="minorEastAsia" w:eastAsiaTheme="minorEastAsia"/>
          <w:sz w:val="24"/>
        </w:rPr>
        <w:t>通过资格审查的投标人</w:t>
      </w:r>
      <w:r>
        <w:rPr>
          <w:rFonts w:hint="eastAsia" w:asciiTheme="minorEastAsia" w:hAnsiTheme="minorEastAsia" w:eastAsiaTheme="minorEastAsia"/>
          <w:sz w:val="24"/>
        </w:rPr>
        <w:t>不</w:t>
      </w:r>
      <w:r>
        <w:rPr>
          <w:rFonts w:asciiTheme="minorEastAsia" w:hAnsiTheme="minorEastAsia" w:eastAsiaTheme="minorEastAsia"/>
          <w:sz w:val="24"/>
        </w:rPr>
        <w:t>进入评标</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19.2</w:t>
      </w:r>
      <w:r>
        <w:rPr>
          <w:rFonts w:hint="eastAsia" w:asciiTheme="minorEastAsia" w:hAnsiTheme="minorEastAsia" w:eastAsiaTheme="minorEastAsia"/>
          <w:sz w:val="24"/>
        </w:rPr>
        <w:t>采购人</w:t>
      </w:r>
      <w:r>
        <w:rPr>
          <w:rFonts w:asciiTheme="minorEastAsia" w:hAnsiTheme="minorEastAsia" w:eastAsiaTheme="minorEastAsia"/>
          <w:sz w:val="24"/>
        </w:rPr>
        <w:t>或</w:t>
      </w:r>
      <w:r>
        <w:rPr>
          <w:rFonts w:ascii="宋体" w:hAnsi="宋体" w:eastAsia="宋体"/>
          <w:sz w:val="24"/>
        </w:rPr>
        <w:t>采购</w:t>
      </w:r>
      <w:r>
        <w:rPr>
          <w:rFonts w:asciiTheme="minorEastAsia" w:hAnsiTheme="minorEastAsia" w:eastAsiaTheme="minorEastAsia"/>
          <w:sz w:val="24"/>
        </w:rPr>
        <w:t>代理机构</w:t>
      </w:r>
      <w:r>
        <w:rPr>
          <w:rFonts w:hint="eastAsia" w:asciiTheme="minorEastAsia" w:hAnsiTheme="minorEastAsia" w:eastAsiaTheme="minorEastAsia"/>
          <w:sz w:val="24"/>
        </w:rPr>
        <w:t>将在投标截止时间后至</w:t>
      </w:r>
      <w:bookmarkStart w:id="41" w:name="_Hlk11535240"/>
      <w:r>
        <w:rPr>
          <w:rFonts w:hint="eastAsia" w:asciiTheme="minorEastAsia" w:hAnsiTheme="minorEastAsia" w:eastAsiaTheme="minorEastAsia"/>
          <w:sz w:val="24"/>
        </w:rPr>
        <w:t>评审结束</w:t>
      </w:r>
      <w:bookmarkEnd w:id="41"/>
      <w:r>
        <w:rPr>
          <w:rFonts w:hint="eastAsia" w:asciiTheme="minorEastAsia" w:hAnsiTheme="minorEastAsia" w:eastAsiaTheme="minorEastAsia"/>
          <w:sz w:val="24"/>
        </w:rPr>
        <w:t>前查询投标人的信用记录。投标人存在不良信用记录的，其投标将被认定为</w:t>
      </w:r>
      <w:r>
        <w:rPr>
          <w:rFonts w:hint="eastAsia" w:asciiTheme="minorEastAsia" w:hAnsiTheme="minorEastAsia" w:eastAsiaTheme="minorEastAsia"/>
          <w:b/>
          <w:sz w:val="24"/>
        </w:rPr>
        <w:t>投标无效</w:t>
      </w:r>
      <w:r>
        <w:rPr>
          <w:rFonts w:hint="eastAsia" w:asciiTheme="minorEastAsia" w:hAnsiTheme="minorEastAsia" w:eastAsiaTheme="minorEastAsia"/>
          <w:sz w:val="24"/>
        </w:rPr>
        <w:t>。</w:t>
      </w:r>
    </w:p>
    <w:p>
      <w:pPr>
        <w:spacing w:line="360" w:lineRule="auto"/>
        <w:ind w:firstLine="435"/>
        <w:rPr>
          <w:rFonts w:ascii="宋体" w:hAnsi="宋体" w:eastAsia="宋体"/>
          <w:sz w:val="24"/>
          <w:szCs w:val="18"/>
        </w:rPr>
      </w:pPr>
      <w:r>
        <w:rPr>
          <w:rFonts w:asciiTheme="minorEastAsia" w:hAnsiTheme="minorEastAsia" w:eastAsiaTheme="minorEastAsia"/>
          <w:sz w:val="24"/>
        </w:rPr>
        <w:t>19.2</w:t>
      </w:r>
      <w:r>
        <w:rPr>
          <w:rFonts w:hint="eastAsia" w:asciiTheme="minorEastAsia" w:hAnsiTheme="minorEastAsia" w:eastAsiaTheme="minorEastAsia"/>
          <w:sz w:val="24"/>
        </w:rPr>
        <w:t>.1不良信用记录是指：</w:t>
      </w:r>
      <w:r>
        <w:rPr>
          <w:rFonts w:hint="eastAsia" w:ascii="宋体" w:hAnsi="宋体" w:eastAsia="宋体"/>
          <w:sz w:val="24"/>
          <w:szCs w:val="18"/>
        </w:rPr>
        <w:t>（1）供应商被人民法院列入失信被执行人；（2）供应商或其法定代表人或拟派项目经理（项目负责人）被人民检察院列入行贿犯罪档案；（3）供应商被工商行政管理部门列入企业经营异常名录；（4）供应商被税务部门列入重大税收违法案件当事人名单；（5）供应商被政府采购监管部门列入政府采购严重违法失信行为记录名单</w:t>
      </w:r>
      <w:r>
        <w:rPr>
          <w:rFonts w:hint="eastAsia" w:asciiTheme="minorEastAsia" w:hAnsiTheme="minorEastAsia" w:eastAsiaTheme="minorEastAsia"/>
          <w:sz w:val="24"/>
        </w:rPr>
        <w:t>，以及存在《中华人民共和国政府采购法实施条例》第十九条规定的行政处罚记录</w:t>
      </w:r>
      <w:r>
        <w:rPr>
          <w:rFonts w:hint="eastAsia" w:ascii="宋体" w:hAnsi="宋体" w:eastAsia="宋体"/>
          <w:sz w:val="24"/>
          <w:szCs w:val="18"/>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以联合体形式参加投标的，</w:t>
      </w:r>
      <w:r>
        <w:rPr>
          <w:rFonts w:hint="eastAsia" w:ascii="宋体" w:hAnsi="宋体" w:eastAsia="宋体"/>
          <w:sz w:val="24"/>
        </w:rPr>
        <w:t>联合体</w:t>
      </w:r>
      <w:r>
        <w:rPr>
          <w:rFonts w:hint="eastAsia" w:asciiTheme="minorEastAsia" w:hAnsiTheme="minorEastAsia" w:eastAsiaTheme="minorEastAsia"/>
          <w:sz w:val="24"/>
        </w:rPr>
        <w:t>任何成员存在以上不良信用记录的，联合体投标将被认定为</w:t>
      </w:r>
      <w:r>
        <w:rPr>
          <w:rFonts w:hint="eastAsia" w:asciiTheme="minorEastAsia" w:hAnsiTheme="minorEastAsia" w:eastAsiaTheme="minorEastAsia"/>
          <w:b/>
          <w:sz w:val="24"/>
        </w:rPr>
        <w:t>投标无效</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bookmarkStart w:id="42" w:name="_Hlk24663244"/>
      <w:r>
        <w:rPr>
          <w:rFonts w:asciiTheme="minorEastAsia" w:hAnsiTheme="minorEastAsia" w:eastAsiaTheme="minorEastAsia"/>
          <w:sz w:val="24"/>
        </w:rPr>
        <w:t>19.2</w:t>
      </w:r>
      <w:r>
        <w:rPr>
          <w:rFonts w:hint="eastAsia" w:asciiTheme="minorEastAsia" w:hAnsiTheme="minorEastAsia" w:eastAsiaTheme="minorEastAsia"/>
          <w:sz w:val="24"/>
        </w:rPr>
        <w:t>.2信用信息查询渠道：中国政府采购网（www.ccgp.gov.cn）、“信用中国”网站（www.creditchina.gov.cn）、国家企业信用信息公示系统（</w:t>
      </w:r>
      <w:r>
        <w:rPr>
          <w:rFonts w:asciiTheme="minorEastAsia" w:hAnsiTheme="minorEastAsia" w:eastAsiaTheme="minorEastAsia"/>
          <w:sz w:val="24"/>
        </w:rPr>
        <w:t>www.gsxt.gov.cn</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b/>
          <w:sz w:val="24"/>
        </w:rPr>
        <w:t>注：</w:t>
      </w:r>
      <w:r>
        <w:rPr>
          <w:rFonts w:hint="eastAsia" w:asciiTheme="minorEastAsia" w:hAnsiTheme="minorEastAsia" w:eastAsiaTheme="minorEastAsia"/>
          <w:sz w:val="24"/>
        </w:rPr>
        <w:t>企业经营异常名录以国家企业信用信息公示系统查询结果为准。</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9.2.3</w:t>
      </w:r>
      <w:r>
        <w:rPr>
          <w:rFonts w:hint="eastAsia" w:asciiTheme="minorEastAsia" w:hAnsiTheme="minorEastAsia" w:eastAsiaTheme="minorEastAsia"/>
          <w:sz w:val="24"/>
        </w:rPr>
        <w:t>信用信息</w:t>
      </w:r>
      <w:r>
        <w:rPr>
          <w:rFonts w:hint="eastAsia" w:ascii="宋体" w:hAnsi="宋体" w:eastAsia="宋体"/>
          <w:sz w:val="24"/>
        </w:rPr>
        <w:t>记录方式</w:t>
      </w:r>
      <w:r>
        <w:rPr>
          <w:rFonts w:hint="eastAsia" w:asciiTheme="minorEastAsia" w:hAnsiTheme="minorEastAsia" w:eastAsiaTheme="minorEastAsia"/>
          <w:sz w:val="24"/>
        </w:rPr>
        <w:t>：采购人</w:t>
      </w:r>
      <w:r>
        <w:rPr>
          <w:rFonts w:asciiTheme="minorEastAsia" w:hAnsiTheme="minorEastAsia" w:eastAsiaTheme="minorEastAsia"/>
          <w:sz w:val="24"/>
        </w:rPr>
        <w:t>或采购代理机构</w:t>
      </w:r>
      <w:r>
        <w:rPr>
          <w:rFonts w:hint="eastAsia" w:asciiTheme="minorEastAsia" w:hAnsiTheme="minorEastAsia" w:eastAsiaTheme="minorEastAsia"/>
          <w:sz w:val="24"/>
        </w:rPr>
        <w:t>工作人员将查询网页打印、签字并存档备查。</w:t>
      </w:r>
      <w:r>
        <w:rPr>
          <w:rFonts w:hint="eastAsia" w:ascii="宋体" w:hAnsi="宋体" w:eastAsia="宋体"/>
          <w:sz w:val="24"/>
        </w:rPr>
        <w:t>投标人</w:t>
      </w:r>
      <w:r>
        <w:rPr>
          <w:rFonts w:hint="eastAsia" w:asciiTheme="minorEastAsia" w:hAnsiTheme="minorEastAsia" w:eastAsiaTheme="minorEastAsia"/>
          <w:sz w:val="24"/>
        </w:rPr>
        <w:t>不良信用记录以采购人</w:t>
      </w:r>
      <w:r>
        <w:rPr>
          <w:rFonts w:asciiTheme="minorEastAsia" w:hAnsiTheme="minorEastAsia" w:eastAsiaTheme="minorEastAsia"/>
          <w:sz w:val="24"/>
        </w:rPr>
        <w:t>或采购代理机构</w:t>
      </w:r>
      <w:r>
        <w:rPr>
          <w:rFonts w:hint="eastAsia" w:asciiTheme="minorEastAsia" w:hAnsiTheme="minorEastAsia" w:eastAsiaTheme="minorEastAsia"/>
          <w:sz w:val="24"/>
        </w:rPr>
        <w:t>查询结果为准。</w:t>
      </w:r>
    </w:p>
    <w:p>
      <w:pPr>
        <w:spacing w:line="360" w:lineRule="auto"/>
        <w:ind w:firstLine="435"/>
        <w:rPr>
          <w:rFonts w:asciiTheme="minorEastAsia" w:hAnsiTheme="minorEastAsia" w:eastAsiaTheme="minorEastAsia"/>
          <w:sz w:val="24"/>
        </w:rPr>
      </w:pPr>
      <w:bookmarkStart w:id="43" w:name="_Hlk24663338"/>
      <w:r>
        <w:rPr>
          <w:rFonts w:hint="eastAsia" w:asciiTheme="minorEastAsia" w:hAnsiTheme="minorEastAsia" w:eastAsiaTheme="minorEastAsia"/>
          <w:sz w:val="24"/>
        </w:rPr>
        <w:t>在本</w:t>
      </w:r>
      <w:r>
        <w:rPr>
          <w:rFonts w:asciiTheme="minorEastAsia" w:hAnsiTheme="minorEastAsia" w:eastAsiaTheme="minorEastAsia"/>
          <w:sz w:val="24"/>
        </w:rPr>
        <w:t>招标文件规定</w:t>
      </w:r>
      <w:r>
        <w:rPr>
          <w:rFonts w:hint="eastAsia" w:asciiTheme="minorEastAsia" w:hAnsiTheme="minorEastAsia" w:eastAsiaTheme="minorEastAsia"/>
          <w:sz w:val="24"/>
        </w:rPr>
        <w:t>的查询时间之外，网站信息发生的任何变更均不作为资格审查依据。</w:t>
      </w:r>
    </w:p>
    <w:bookmarkEnd w:id="43"/>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投标人自行提供的与网站信息不一致的其他证明材料亦不作为资格审查依据。</w:t>
      </w:r>
    </w:p>
    <w:bookmarkEnd w:id="42"/>
    <w:p>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sz w:val="24"/>
        </w:rPr>
        <w:t>19.3按照</w:t>
      </w:r>
      <w:r>
        <w:rPr>
          <w:rFonts w:hint="eastAsia" w:ascii="宋体" w:hAnsi="宋体" w:eastAsia="宋体"/>
          <w:sz w:val="24"/>
        </w:rPr>
        <w:t>《</w:t>
      </w:r>
      <w:r>
        <w:rPr>
          <w:rFonts w:ascii="宋体" w:hAnsi="宋体" w:eastAsia="宋体"/>
          <w:sz w:val="24"/>
        </w:rPr>
        <w:t>中华人民共和国政府采购法》</w:t>
      </w:r>
      <w:r>
        <w:rPr>
          <w:rFonts w:hint="eastAsia" w:asciiTheme="minorEastAsia" w:hAnsiTheme="minorEastAsia" w:eastAsiaTheme="minorEastAsia"/>
          <w:sz w:val="24"/>
        </w:rPr>
        <w:t>、</w:t>
      </w:r>
      <w:r>
        <w:rPr>
          <w:rFonts w:asciiTheme="minorEastAsia" w:hAnsiTheme="minorEastAsia" w:eastAsiaTheme="minorEastAsia"/>
          <w:sz w:val="24"/>
        </w:rPr>
        <w:t>《中华人民共和国政府采购</w:t>
      </w:r>
      <w:r>
        <w:rPr>
          <w:rFonts w:hint="eastAsia" w:asciiTheme="minorEastAsia" w:hAnsiTheme="minorEastAsia" w:eastAsiaTheme="minorEastAsia"/>
          <w:sz w:val="24"/>
        </w:rPr>
        <w:t>法</w:t>
      </w:r>
      <w:r>
        <w:rPr>
          <w:rFonts w:asciiTheme="minorEastAsia" w:hAnsiTheme="minorEastAsia" w:eastAsiaTheme="minorEastAsia"/>
          <w:sz w:val="24"/>
        </w:rPr>
        <w:t>实施条例》</w:t>
      </w:r>
      <w:r>
        <w:rPr>
          <w:rFonts w:hint="eastAsia" w:asciiTheme="minorEastAsia" w:hAnsiTheme="minorEastAsia" w:eastAsiaTheme="minorEastAsia"/>
          <w:sz w:val="24"/>
        </w:rPr>
        <w:t>及本项目本级</w:t>
      </w:r>
      <w:r>
        <w:rPr>
          <w:rFonts w:asciiTheme="minorEastAsia" w:hAnsiTheme="minorEastAsia" w:eastAsiaTheme="minorEastAsia"/>
          <w:sz w:val="24"/>
        </w:rPr>
        <w:t>和上级财政部门</w:t>
      </w:r>
      <w:r>
        <w:rPr>
          <w:rFonts w:hint="eastAsia" w:asciiTheme="minorEastAsia" w:hAnsiTheme="minorEastAsia" w:eastAsiaTheme="minorEastAsia"/>
          <w:sz w:val="24"/>
        </w:rPr>
        <w:t>、政府采购监督管理部门的有关规定依法组建的</w:t>
      </w:r>
      <w:r>
        <w:rPr>
          <w:rFonts w:asciiTheme="minorEastAsia" w:hAnsiTheme="minorEastAsia" w:eastAsiaTheme="minorEastAsia"/>
          <w:sz w:val="24"/>
        </w:rPr>
        <w:t>评标委员会</w:t>
      </w:r>
      <w:r>
        <w:rPr>
          <w:rFonts w:hint="eastAsia" w:asciiTheme="minorEastAsia" w:hAnsiTheme="minorEastAsia" w:eastAsiaTheme="minorEastAsia"/>
          <w:sz w:val="24"/>
        </w:rPr>
        <w:t>，负责本项目评标工作。</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0.</w:t>
      </w:r>
      <w:r>
        <w:rPr>
          <w:rFonts w:hint="eastAsia" w:asciiTheme="minorEastAsia" w:hAnsiTheme="minorEastAsia" w:eastAsiaTheme="minorEastAsia"/>
          <w:b/>
          <w:sz w:val="24"/>
        </w:rPr>
        <w:t>投标文件符合性审查与澄清</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20.1符合性审查是指依据招标文件的规定，从投标文件的有效性和完整性对招标文件的响应程度</w:t>
      </w:r>
      <w:r>
        <w:rPr>
          <w:rFonts w:ascii="宋体" w:hAnsi="宋体" w:eastAsia="宋体"/>
          <w:sz w:val="24"/>
        </w:rPr>
        <w:t>进行</w:t>
      </w:r>
      <w:r>
        <w:rPr>
          <w:rFonts w:asciiTheme="minorEastAsia" w:hAnsiTheme="minorEastAsia" w:eastAsiaTheme="minorEastAsia"/>
          <w:sz w:val="24"/>
        </w:rPr>
        <w:t>审查，以确定是否对招标文件的实质性要求做出响应。</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20.2如一个分包内只有一种产品，不同投标人所投产品为同一品牌的，按如下方式处理：</w:t>
      </w:r>
    </w:p>
    <w:p>
      <w:pPr>
        <w:spacing w:line="360" w:lineRule="auto"/>
        <w:ind w:firstLine="435"/>
        <w:rPr>
          <w:rFonts w:ascii="宋体" w:hAnsi="宋体" w:eastAsia="宋体"/>
          <w:sz w:val="24"/>
        </w:rPr>
      </w:pPr>
      <w:r>
        <w:rPr>
          <w:rFonts w:ascii="宋体" w:hAnsi="宋体" w:eastAsia="宋体"/>
          <w:sz w:val="24"/>
        </w:rPr>
        <w:t>20.2.1如本项目使用最低评标价法，提供相同品牌产品的不同投标人以其中通过资格审查、符合性审查且报价最低的参加评标；报价相同的，由采购人或者采购人委托评标委员会按照招标文件中评标</w:t>
      </w:r>
      <w:r>
        <w:rPr>
          <w:rFonts w:hint="eastAsia" w:ascii="宋体" w:hAnsi="宋体" w:eastAsia="宋体"/>
          <w:sz w:val="24"/>
        </w:rPr>
        <w:t>方</w:t>
      </w:r>
      <w:r>
        <w:rPr>
          <w:rFonts w:ascii="宋体" w:hAnsi="宋体" w:eastAsia="宋体"/>
          <w:sz w:val="24"/>
        </w:rPr>
        <w:t>法</w:t>
      </w:r>
      <w:r>
        <w:rPr>
          <w:rFonts w:hint="eastAsia" w:ascii="宋体" w:hAnsi="宋体" w:eastAsia="宋体"/>
          <w:sz w:val="24"/>
        </w:rPr>
        <w:t>和标准</w:t>
      </w:r>
      <w:r>
        <w:rPr>
          <w:rFonts w:ascii="宋体" w:hAnsi="宋体" w:eastAsia="宋体"/>
          <w:sz w:val="24"/>
        </w:rPr>
        <w:t>规定的方式确定一个参加评标的投标人；未规定的采取随机抽取方式确定，其他投标将被认定为</w:t>
      </w:r>
      <w:r>
        <w:rPr>
          <w:rFonts w:ascii="宋体" w:hAnsi="宋体" w:eastAsia="宋体"/>
          <w:b/>
          <w:sz w:val="24"/>
        </w:rPr>
        <w:t>投标无效</w:t>
      </w:r>
      <w:r>
        <w:rPr>
          <w:rFonts w:ascii="宋体" w:hAnsi="宋体" w:eastAsia="宋体"/>
          <w:sz w:val="24"/>
        </w:rPr>
        <w:t>。</w:t>
      </w:r>
    </w:p>
    <w:p>
      <w:pPr>
        <w:spacing w:line="360" w:lineRule="auto"/>
        <w:ind w:firstLine="435"/>
        <w:rPr>
          <w:rFonts w:ascii="宋体" w:hAnsi="宋体" w:eastAsia="宋体"/>
          <w:sz w:val="24"/>
        </w:rPr>
      </w:pPr>
      <w:r>
        <w:rPr>
          <w:rFonts w:ascii="宋体" w:hAnsi="宋体" w:eastAsia="宋体"/>
          <w:sz w:val="24"/>
        </w:rPr>
        <w:t>20.2.2如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sz w:val="24"/>
        </w:rPr>
        <w:t>方</w:t>
      </w:r>
      <w:r>
        <w:rPr>
          <w:rFonts w:ascii="宋体" w:hAnsi="宋体" w:eastAsia="宋体"/>
          <w:sz w:val="24"/>
        </w:rPr>
        <w:t>法</w:t>
      </w:r>
      <w:r>
        <w:rPr>
          <w:rFonts w:hint="eastAsia" w:ascii="宋体" w:hAnsi="宋体" w:eastAsia="宋体"/>
          <w:sz w:val="24"/>
        </w:rPr>
        <w:t>和标准</w:t>
      </w:r>
      <w:r>
        <w:rPr>
          <w:rFonts w:ascii="宋体" w:hAnsi="宋体" w:eastAsia="宋体"/>
          <w:sz w:val="24"/>
        </w:rPr>
        <w:t>规定的方式确定一个投标人获得中标人推荐资格；未规定的采取随机抽取方式确定，其他同品牌投标人不作为中标候选人。</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20.3如一个分包内包含多种产品的，采购人或采购代理机构将在</w:t>
      </w:r>
      <w:r>
        <w:rPr>
          <w:rFonts w:asciiTheme="minorEastAsia" w:hAnsiTheme="minorEastAsia" w:eastAsiaTheme="minorEastAsia"/>
          <w:sz w:val="24"/>
          <w:u w:val="single"/>
        </w:rPr>
        <w:t>投标人须知前附表</w:t>
      </w:r>
      <w:r>
        <w:rPr>
          <w:rFonts w:asciiTheme="minorEastAsia" w:hAnsiTheme="minorEastAsia" w:eastAsiaTheme="minorEastAsia"/>
          <w:sz w:val="24"/>
        </w:rPr>
        <w:t>中载明核心产品，多家投标人提供的核心产品品牌相同的，按第20.2</w:t>
      </w:r>
      <w:r>
        <w:rPr>
          <w:rFonts w:hint="eastAsia" w:asciiTheme="minorEastAsia" w:hAnsiTheme="minorEastAsia" w:eastAsiaTheme="minorEastAsia"/>
          <w:sz w:val="24"/>
        </w:rPr>
        <w:t>款</w:t>
      </w:r>
      <w:r>
        <w:rPr>
          <w:rFonts w:asciiTheme="minorEastAsia" w:hAnsiTheme="minorEastAsia" w:eastAsiaTheme="minorEastAsia"/>
          <w:sz w:val="24"/>
        </w:rPr>
        <w:t>规定处理。</w:t>
      </w:r>
    </w:p>
    <w:p>
      <w:pPr>
        <w:spacing w:line="360" w:lineRule="auto"/>
        <w:ind w:firstLine="435"/>
        <w:rPr>
          <w:rFonts w:ascii="宋体" w:hAnsi="宋体" w:eastAsia="宋体"/>
          <w:sz w:val="24"/>
        </w:rPr>
      </w:pPr>
      <w:r>
        <w:rPr>
          <w:rFonts w:ascii="宋体" w:hAnsi="宋体" w:eastAsia="宋体"/>
          <w:sz w:val="24"/>
        </w:rPr>
        <w:t>20.4</w:t>
      </w:r>
      <w:r>
        <w:rPr>
          <w:rFonts w:hint="eastAsia" w:ascii="宋体" w:hAnsi="宋体" w:eastAsia="宋体"/>
          <w:sz w:val="24"/>
        </w:rPr>
        <w:t>投标文件的澄清</w:t>
      </w:r>
    </w:p>
    <w:p>
      <w:pPr>
        <w:spacing w:line="360" w:lineRule="auto"/>
        <w:ind w:firstLine="435"/>
        <w:rPr>
          <w:rFonts w:ascii="宋体" w:hAnsi="宋体" w:eastAsia="宋体"/>
          <w:sz w:val="24"/>
        </w:rPr>
      </w:pPr>
      <w:r>
        <w:rPr>
          <w:rFonts w:ascii="宋体" w:hAnsi="宋体" w:eastAsia="宋体"/>
          <w:sz w:val="24"/>
        </w:rPr>
        <w:t>20.4.1为有助于投标</w:t>
      </w:r>
      <w:r>
        <w:rPr>
          <w:rFonts w:hint="eastAsia" w:ascii="宋体" w:hAnsi="宋体" w:eastAsia="宋体"/>
          <w:sz w:val="24"/>
        </w:rPr>
        <w:t>文件</w:t>
      </w:r>
      <w:r>
        <w:rPr>
          <w:rFonts w:ascii="宋体" w:hAnsi="宋体" w:eastAsia="宋体"/>
          <w:sz w:val="24"/>
        </w:rPr>
        <w:t>的审查、评价和比较，在评标期间，评标委员会将以书面</w:t>
      </w:r>
      <w:r>
        <w:rPr>
          <w:rFonts w:hint="eastAsia" w:ascii="宋体" w:hAnsi="宋体" w:eastAsia="宋体"/>
          <w:sz w:val="24"/>
        </w:rPr>
        <w:t>方式（询标）</w:t>
      </w:r>
      <w:r>
        <w:rPr>
          <w:rFonts w:ascii="宋体" w:hAnsi="宋体" w:eastAsia="宋体"/>
          <w:sz w:val="24"/>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sz w:val="24"/>
        </w:rPr>
        <w:t>审</w:t>
      </w:r>
      <w:r>
        <w:rPr>
          <w:rFonts w:ascii="宋体" w:hAnsi="宋体" w:eastAsia="宋体"/>
          <w:sz w:val="24"/>
        </w:rPr>
        <w:t>查投标人的报价，有可能影响履约的情况作必要的澄清、说明或补正。投标人的澄清、说明或补正应在评标委员会规定的时间内以书面</w:t>
      </w:r>
      <w:r>
        <w:rPr>
          <w:rFonts w:hint="eastAsia" w:ascii="宋体" w:hAnsi="宋体" w:eastAsia="宋体"/>
          <w:sz w:val="24"/>
        </w:rPr>
        <w:t>方式</w:t>
      </w:r>
      <w:r>
        <w:rPr>
          <w:rFonts w:ascii="宋体" w:hAnsi="宋体" w:eastAsia="宋体"/>
          <w:sz w:val="24"/>
        </w:rPr>
        <w:t>进行，并不得超出投标文件范围或者改变投标文件的实质性内容。</w:t>
      </w:r>
    </w:p>
    <w:p>
      <w:pPr>
        <w:spacing w:line="360" w:lineRule="auto"/>
        <w:ind w:firstLine="435"/>
        <w:rPr>
          <w:rFonts w:ascii="宋体" w:hAnsi="宋体" w:eastAsia="宋体"/>
          <w:sz w:val="24"/>
        </w:rPr>
      </w:pPr>
      <w:r>
        <w:rPr>
          <w:rFonts w:hint="eastAsia" w:ascii="宋体" w:hAnsi="宋体" w:eastAsia="宋体"/>
          <w:sz w:val="24"/>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0.4.2</w:t>
      </w:r>
      <w:r>
        <w:rPr>
          <w:rFonts w:hint="eastAsia" w:asciiTheme="minorEastAsia" w:hAnsiTheme="minorEastAsia" w:eastAsiaTheme="minorEastAsia"/>
          <w:sz w:val="24"/>
        </w:rPr>
        <w:t>投标人的澄清、说明或补正将作为投标文件的一部分。</w:t>
      </w:r>
    </w:p>
    <w:p>
      <w:pPr>
        <w:spacing w:line="360" w:lineRule="auto"/>
        <w:ind w:firstLine="435"/>
        <w:rPr>
          <w:rFonts w:ascii="宋体" w:hAnsi="宋体" w:eastAsia="宋体"/>
          <w:sz w:val="24"/>
        </w:rPr>
      </w:pPr>
      <w:r>
        <w:rPr>
          <w:rFonts w:ascii="宋体" w:hAnsi="宋体" w:eastAsia="宋体"/>
          <w:sz w:val="24"/>
        </w:rPr>
        <w:t>20.4.3评标委员会对投标人提交的澄清、说明或补正有疑问的，可以要求投标人进一步澄清、说明或补正，直至满足评标委员会的要求。</w:t>
      </w:r>
    </w:p>
    <w:p>
      <w:pPr>
        <w:spacing w:line="360" w:lineRule="auto"/>
        <w:ind w:firstLine="435"/>
        <w:rPr>
          <w:rFonts w:ascii="宋体" w:hAnsi="宋体" w:eastAsia="宋体"/>
          <w:sz w:val="24"/>
        </w:rPr>
      </w:pPr>
      <w:r>
        <w:rPr>
          <w:rFonts w:ascii="宋体" w:hAnsi="宋体" w:eastAsia="宋体"/>
          <w:sz w:val="24"/>
        </w:rPr>
        <w:t>20.5投标文件报价出现前后不一致的，按照下列规定修正：</w:t>
      </w:r>
    </w:p>
    <w:p>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1</w:t>
      </w:r>
      <w:r>
        <w:rPr>
          <w:rFonts w:ascii="宋体" w:hAnsi="宋体" w:eastAsia="宋体"/>
          <w:sz w:val="24"/>
        </w:rPr>
        <w:t>）投标文件中开标一览表内容与投标文件中相应内容不一致的，以开标一览表为准；</w:t>
      </w:r>
    </w:p>
    <w:p>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2</w:t>
      </w:r>
      <w:r>
        <w:rPr>
          <w:rFonts w:ascii="宋体" w:hAnsi="宋体" w:eastAsia="宋体"/>
          <w:sz w:val="24"/>
        </w:rPr>
        <w:t>）大写金额和小写金额不一致的，以大写金额为准；</w:t>
      </w:r>
    </w:p>
    <w:p>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3</w:t>
      </w:r>
      <w:r>
        <w:rPr>
          <w:rFonts w:ascii="宋体" w:hAnsi="宋体" w:eastAsia="宋体"/>
          <w:sz w:val="24"/>
        </w:rPr>
        <w:t>）单价金额小数点或者百分比有明显错位的，以开标一览表的总价为准，并修改单价；</w:t>
      </w:r>
    </w:p>
    <w:p>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4</w:t>
      </w:r>
      <w:r>
        <w:rPr>
          <w:rFonts w:ascii="宋体" w:hAnsi="宋体" w:eastAsia="宋体"/>
          <w:sz w:val="24"/>
        </w:rPr>
        <w:t>）总价金额与按单价汇总金额不一致的，以单价金额计算结果为准。</w:t>
      </w:r>
    </w:p>
    <w:p>
      <w:pPr>
        <w:spacing w:line="360" w:lineRule="auto"/>
        <w:ind w:firstLine="435"/>
        <w:rPr>
          <w:rFonts w:ascii="宋体" w:hAnsi="宋体" w:eastAsia="宋体"/>
          <w:sz w:val="24"/>
        </w:rPr>
      </w:pPr>
      <w:r>
        <w:rPr>
          <w:rFonts w:ascii="宋体" w:hAnsi="宋体" w:eastAsia="宋体"/>
          <w:sz w:val="24"/>
        </w:rPr>
        <w:t>同时出现两种以上不一致的，按照前款规定的顺序修正。修正后的报价按照第20.4条的规定经投标人确认后产生约束力，投标人不确认的，其投标将被认定为</w:t>
      </w:r>
      <w:r>
        <w:rPr>
          <w:rFonts w:ascii="宋体" w:hAnsi="宋体" w:eastAsia="宋体"/>
          <w:b/>
          <w:sz w:val="24"/>
        </w:rPr>
        <w:t>投标无效</w:t>
      </w:r>
      <w:r>
        <w:rPr>
          <w:rFonts w:ascii="宋体" w:hAnsi="宋体" w:eastAsia="宋体"/>
          <w:sz w:val="24"/>
        </w:rPr>
        <w:t>。</w:t>
      </w:r>
    </w:p>
    <w:p>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sz w:val="24"/>
        </w:rPr>
        <w:t>对不同文字文本投标文件的解释发生异议的，以中文文本为准。</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1.</w:t>
      </w:r>
      <w:r>
        <w:rPr>
          <w:rFonts w:hint="eastAsia" w:asciiTheme="minorEastAsia" w:hAnsiTheme="minorEastAsia" w:eastAsiaTheme="minorEastAsia"/>
          <w:b/>
          <w:sz w:val="24"/>
        </w:rPr>
        <w:t>投标无效</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21.1根据本</w:t>
      </w:r>
      <w:r>
        <w:rPr>
          <w:rFonts w:hint="eastAsia" w:asciiTheme="minorEastAsia" w:hAnsiTheme="minorEastAsia" w:eastAsiaTheme="minorEastAsia"/>
          <w:sz w:val="24"/>
        </w:rPr>
        <w:t>招标文件</w:t>
      </w:r>
      <w:r>
        <w:rPr>
          <w:rFonts w:asciiTheme="minorEastAsia" w:hAnsiTheme="minorEastAsia" w:eastAsiaTheme="minorEastAsia"/>
          <w:sz w:val="24"/>
        </w:rPr>
        <w:t>的规定，评标委员会要审查每份投标文件是否实质上响应了招标文件的要求。投标人不得通过修正或撤销不符合要求的偏离，从而使其投标成为实质上响应的投标。</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评标委员会决定投标的响应性只根据招标文件要求和投标文件内容。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无论何种原因，即使投标人投标时携带了证书材料的原件，但投标文件中未提供与之内容完全一致的扫描件的，评标委员会视同其未提供。</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21.2如发现下列情况之一的，其投标将被认定为</w:t>
      </w:r>
      <w:r>
        <w:rPr>
          <w:rFonts w:asciiTheme="minorEastAsia" w:hAnsiTheme="minorEastAsia" w:eastAsiaTheme="minorEastAsia"/>
          <w:b/>
          <w:sz w:val="24"/>
        </w:rPr>
        <w:t>投标无效</w:t>
      </w:r>
      <w:r>
        <w:rPr>
          <w:rFonts w:asciiTheme="minorEastAsia" w:hAnsiTheme="minorEastAsia" w:eastAsiaTheme="minorEastAsia"/>
          <w:sz w:val="24"/>
        </w:rPr>
        <w:t>：</w:t>
      </w:r>
    </w:p>
    <w:p>
      <w:pPr>
        <w:spacing w:line="360" w:lineRule="auto"/>
        <w:ind w:firstLine="435"/>
        <w:rPr>
          <w:rFonts w:ascii="宋体" w:hAnsi="宋体" w:eastAsia="宋体"/>
          <w:sz w:val="24"/>
        </w:rPr>
      </w:pPr>
      <w:r>
        <w:rPr>
          <w:rFonts w:hint="eastAsia" w:asciiTheme="minorEastAsia" w:hAnsiTheme="minorEastAsia" w:eastAsiaTheme="minorEastAsia"/>
          <w:sz w:val="24"/>
        </w:rPr>
        <w:t>（</w:t>
      </w:r>
      <w:r>
        <w:rPr>
          <w:rFonts w:ascii="宋体" w:hAnsi="宋体" w:eastAsia="宋体"/>
          <w:sz w:val="24"/>
        </w:rPr>
        <w:t>1）未按招标文件</w:t>
      </w:r>
      <w:r>
        <w:rPr>
          <w:rFonts w:hint="eastAsia" w:ascii="宋体" w:hAnsi="宋体" w:eastAsia="宋体"/>
          <w:sz w:val="24"/>
        </w:rPr>
        <w:t>的</w:t>
      </w:r>
      <w:r>
        <w:rPr>
          <w:rFonts w:ascii="宋体" w:hAnsi="宋体" w:eastAsia="宋体"/>
          <w:sz w:val="24"/>
        </w:rPr>
        <w:t>规定提交投标保证金的；</w:t>
      </w:r>
    </w:p>
    <w:p>
      <w:pPr>
        <w:spacing w:line="360" w:lineRule="auto"/>
        <w:ind w:firstLine="435"/>
        <w:rPr>
          <w:rFonts w:ascii="宋体" w:hAnsi="宋体" w:eastAsia="宋体"/>
          <w:sz w:val="24"/>
        </w:rPr>
      </w:pPr>
      <w:r>
        <w:rPr>
          <w:rFonts w:hint="eastAsia" w:ascii="宋体" w:hAnsi="宋体" w:eastAsia="宋体"/>
          <w:sz w:val="24"/>
        </w:rPr>
        <w:t>（</w:t>
      </w:r>
      <w:r>
        <w:rPr>
          <w:rFonts w:ascii="宋体" w:hAnsi="宋体" w:eastAsia="宋体"/>
          <w:sz w:val="24"/>
        </w:rPr>
        <w:t>2）</w:t>
      </w:r>
      <w:r>
        <w:rPr>
          <w:rFonts w:hint="eastAsia" w:ascii="宋体" w:hAnsi="宋体" w:eastAsia="宋体"/>
          <w:sz w:val="24"/>
        </w:rPr>
        <w:t>投标文件</w:t>
      </w:r>
      <w:r>
        <w:rPr>
          <w:rFonts w:ascii="宋体" w:hAnsi="宋体" w:eastAsia="宋体"/>
          <w:sz w:val="24"/>
        </w:rPr>
        <w:t>未按照招标文件规定要求签署、盖章的；</w:t>
      </w:r>
    </w:p>
    <w:p>
      <w:pPr>
        <w:spacing w:line="360" w:lineRule="auto"/>
        <w:ind w:firstLine="435"/>
        <w:rPr>
          <w:rFonts w:ascii="宋体" w:hAnsi="宋体" w:eastAsia="宋体"/>
          <w:sz w:val="24"/>
        </w:rPr>
      </w:pPr>
      <w:r>
        <w:rPr>
          <w:rFonts w:hint="eastAsia" w:ascii="宋体" w:hAnsi="宋体" w:eastAsia="宋体"/>
          <w:sz w:val="24"/>
        </w:rPr>
        <w:t>（</w:t>
      </w:r>
      <w:r>
        <w:rPr>
          <w:rFonts w:ascii="宋体" w:hAnsi="宋体" w:eastAsia="宋体"/>
          <w:sz w:val="24"/>
        </w:rPr>
        <w:t>3）</w:t>
      </w:r>
      <w:r>
        <w:rPr>
          <w:rFonts w:hint="eastAsia" w:ascii="宋体" w:hAnsi="宋体" w:eastAsia="宋体"/>
          <w:sz w:val="24"/>
        </w:rPr>
        <w:t>不具备招标文件中规定的资格要求的</w:t>
      </w:r>
      <w:r>
        <w:rPr>
          <w:rFonts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（4）</w:t>
      </w:r>
      <w:r>
        <w:rPr>
          <w:rFonts w:ascii="宋体" w:hAnsi="宋体" w:eastAsia="宋体"/>
          <w:sz w:val="24"/>
        </w:rPr>
        <w:t>报价超过招标文件中规定的预算金额或者最高限价的；</w:t>
      </w:r>
    </w:p>
    <w:p>
      <w:pPr>
        <w:spacing w:line="360" w:lineRule="auto"/>
        <w:ind w:firstLine="435"/>
        <w:rPr>
          <w:rFonts w:ascii="宋体" w:hAnsi="宋体" w:eastAsia="宋体"/>
          <w:sz w:val="24"/>
        </w:rPr>
      </w:pPr>
      <w:r>
        <w:rPr>
          <w:rFonts w:hint="eastAsia" w:ascii="宋体" w:hAnsi="宋体" w:eastAsia="宋体"/>
          <w:sz w:val="24"/>
        </w:rPr>
        <w:t>（5）</w:t>
      </w:r>
      <w:r>
        <w:rPr>
          <w:rFonts w:ascii="宋体" w:hAnsi="宋体" w:eastAsia="宋体"/>
          <w:sz w:val="24"/>
        </w:rPr>
        <w:t>投标文件含有采购人不能接受的附加条件的</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（6）</w:t>
      </w:r>
      <w:r>
        <w:rPr>
          <w:rFonts w:ascii="宋体" w:hAnsi="宋体" w:eastAsia="宋体"/>
          <w:sz w:val="24"/>
        </w:rPr>
        <w:t>法律、法规和招标文件规定的其他无效情形。</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2.</w:t>
      </w:r>
      <w:r>
        <w:rPr>
          <w:rFonts w:hint="eastAsia" w:asciiTheme="minorEastAsia" w:hAnsiTheme="minorEastAsia" w:eastAsiaTheme="minorEastAsia"/>
          <w:b/>
          <w:sz w:val="24"/>
        </w:rPr>
        <w:t>比较与评价</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22</w:t>
      </w:r>
      <w:r>
        <w:rPr>
          <w:rFonts w:hint="eastAsia" w:asciiTheme="minorEastAsia" w:hAnsiTheme="minorEastAsia" w:eastAsiaTheme="minorEastAsia"/>
          <w:sz w:val="24"/>
        </w:rPr>
        <w:t>.1经符合性审查合格的投标文件，评标委员会将根据招标文件确定的评标方法和标准，对其投标文件作进一步的比较与评价。</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22</w:t>
      </w:r>
      <w:r>
        <w:rPr>
          <w:rFonts w:hint="eastAsia" w:asciiTheme="minorEastAsia" w:hAnsiTheme="minorEastAsia" w:eastAsiaTheme="minorEastAsia"/>
          <w:sz w:val="24"/>
        </w:rPr>
        <w:t>.2评标严格按照</w:t>
      </w:r>
      <w:r>
        <w:rPr>
          <w:rFonts w:hint="eastAsia" w:ascii="宋体" w:hAnsi="宋体" w:eastAsia="宋体"/>
          <w:sz w:val="24"/>
        </w:rPr>
        <w:t>招标文件</w:t>
      </w:r>
      <w:r>
        <w:rPr>
          <w:rFonts w:hint="eastAsia" w:asciiTheme="minorEastAsia" w:hAnsiTheme="minorEastAsia" w:eastAsiaTheme="minorEastAsia"/>
          <w:sz w:val="24"/>
        </w:rPr>
        <w:t>的要求和条件进行。根据实际情况，在</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中规定采用下列一种评标方法，详细评标方法和标准见招标文件第四章：</w:t>
      </w:r>
    </w:p>
    <w:p>
      <w:pPr>
        <w:spacing w:line="360" w:lineRule="auto"/>
        <w:ind w:firstLine="435"/>
        <w:rPr>
          <w:rFonts w:ascii="宋体" w:hAnsi="宋体" w:eastAsia="宋体"/>
          <w:sz w:val="24"/>
        </w:rPr>
      </w:pPr>
      <w:r>
        <w:rPr>
          <w:rFonts w:hint="eastAsia" w:asciiTheme="minorEastAsia" w:hAnsiTheme="minorEastAsia" w:eastAsiaTheme="minorEastAsia"/>
          <w:sz w:val="24"/>
        </w:rPr>
        <w:t>（</w:t>
      </w:r>
      <w:r>
        <w:rPr>
          <w:rFonts w:hint="eastAsia" w:ascii="宋体" w:hAnsi="宋体" w:eastAsia="宋体"/>
          <w:sz w:val="24"/>
        </w:rPr>
        <w:t>1）最低评标价法，是指</w:t>
      </w:r>
      <w:r>
        <w:rPr>
          <w:rFonts w:ascii="宋体" w:hAnsi="宋体" w:eastAsia="宋体"/>
          <w:sz w:val="24"/>
        </w:rPr>
        <w:t>投标文件满足招标文件全部实质性要求</w:t>
      </w:r>
      <w:r>
        <w:rPr>
          <w:rFonts w:hint="eastAsia" w:ascii="宋体" w:hAnsi="宋体" w:eastAsia="宋体"/>
          <w:sz w:val="24"/>
        </w:rPr>
        <w:t>，</w:t>
      </w:r>
      <w:r>
        <w:rPr>
          <w:rFonts w:ascii="宋体" w:hAnsi="宋体" w:eastAsia="宋体"/>
          <w:sz w:val="24"/>
        </w:rPr>
        <w:t>且投标报价最低的</w:t>
      </w:r>
      <w:r>
        <w:rPr>
          <w:rFonts w:hint="eastAsia" w:ascii="宋体" w:hAnsi="宋体" w:eastAsia="宋体"/>
          <w:sz w:val="24"/>
        </w:rPr>
        <w:t>投标人</w:t>
      </w:r>
      <w:r>
        <w:rPr>
          <w:rFonts w:ascii="宋体" w:hAnsi="宋体" w:eastAsia="宋体"/>
          <w:sz w:val="24"/>
        </w:rPr>
        <w:t>为中标</w:t>
      </w:r>
      <w:r>
        <w:rPr>
          <w:rFonts w:hint="eastAsia" w:ascii="宋体" w:hAnsi="宋体" w:eastAsia="宋体"/>
          <w:sz w:val="24"/>
        </w:rPr>
        <w:t>候选</w:t>
      </w:r>
      <w:r>
        <w:rPr>
          <w:rFonts w:ascii="宋体" w:hAnsi="宋体" w:eastAsia="宋体"/>
          <w:sz w:val="24"/>
        </w:rPr>
        <w:t>人的评标方法</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（2）综合评分法，是</w:t>
      </w:r>
      <w:r>
        <w:rPr>
          <w:rFonts w:ascii="宋体" w:hAnsi="宋体" w:eastAsia="宋体"/>
          <w:sz w:val="24"/>
        </w:rPr>
        <w:t>指投标文件满足招标</w:t>
      </w:r>
      <w:r>
        <w:rPr>
          <w:rFonts w:hint="eastAsia" w:ascii="宋体" w:hAnsi="宋体" w:eastAsia="宋体"/>
          <w:sz w:val="24"/>
        </w:rPr>
        <w:t>文件</w:t>
      </w:r>
      <w:r>
        <w:rPr>
          <w:rFonts w:ascii="宋体" w:hAnsi="宋体" w:eastAsia="宋体"/>
          <w:sz w:val="24"/>
        </w:rPr>
        <w:t>全部实质性要求</w:t>
      </w:r>
      <w:r>
        <w:rPr>
          <w:rFonts w:hint="eastAsia" w:ascii="宋体" w:hAnsi="宋体" w:eastAsia="宋体"/>
          <w:sz w:val="24"/>
        </w:rPr>
        <w:t>，</w:t>
      </w:r>
      <w:r>
        <w:rPr>
          <w:rFonts w:ascii="宋体" w:hAnsi="宋体" w:eastAsia="宋体"/>
          <w:sz w:val="24"/>
        </w:rPr>
        <w:t>且按照评审因素的</w:t>
      </w:r>
      <w:r>
        <w:rPr>
          <w:rFonts w:hint="eastAsia" w:ascii="宋体" w:hAnsi="宋体" w:eastAsia="宋体"/>
          <w:sz w:val="24"/>
        </w:rPr>
        <w:t>量化</w:t>
      </w:r>
      <w:r>
        <w:rPr>
          <w:rFonts w:ascii="宋体" w:hAnsi="宋体" w:eastAsia="宋体"/>
          <w:sz w:val="24"/>
        </w:rPr>
        <w:t>指标评审得分最高的</w:t>
      </w:r>
      <w:r>
        <w:rPr>
          <w:rFonts w:hint="eastAsia" w:ascii="宋体" w:hAnsi="宋体" w:eastAsia="宋体"/>
          <w:sz w:val="24"/>
        </w:rPr>
        <w:t>投标人</w:t>
      </w:r>
      <w:r>
        <w:rPr>
          <w:rFonts w:ascii="宋体" w:hAnsi="宋体" w:eastAsia="宋体"/>
          <w:sz w:val="24"/>
        </w:rPr>
        <w:t>为中标候选人的评标方法。</w:t>
      </w:r>
    </w:p>
    <w:p>
      <w:pPr>
        <w:spacing w:line="360" w:lineRule="auto"/>
        <w:ind w:firstLine="435"/>
        <w:rPr>
          <w:rFonts w:asciiTheme="majorEastAsia" w:hAnsiTheme="majorEastAsia" w:eastAsiaTheme="majorEastAsia"/>
          <w:sz w:val="24"/>
        </w:rPr>
      </w:pPr>
      <w:bookmarkStart w:id="44" w:name="_Hlk60581117"/>
      <w:r>
        <w:rPr>
          <w:rFonts w:ascii="宋体" w:hAnsi="宋体" w:eastAsia="宋体"/>
          <w:sz w:val="24"/>
        </w:rPr>
        <w:t>22</w:t>
      </w:r>
      <w:r>
        <w:rPr>
          <w:rFonts w:hint="eastAsia" w:ascii="宋体" w:hAnsi="宋体" w:eastAsia="宋体"/>
          <w:sz w:val="24"/>
        </w:rPr>
        <w:t>.3</w:t>
      </w:r>
      <w:r>
        <w:rPr>
          <w:rFonts w:hint="eastAsia" w:asciiTheme="majorEastAsia" w:hAnsiTheme="majorEastAsia" w:eastAsiaTheme="majorEastAsia"/>
          <w:sz w:val="24"/>
        </w:rPr>
        <w:t>根据《政府采购促进中小企业发展管理办法》（财库〔</w:t>
      </w:r>
      <w:r>
        <w:rPr>
          <w:rFonts w:asciiTheme="majorEastAsia" w:hAnsiTheme="majorEastAsia" w:eastAsiaTheme="majorEastAsia"/>
          <w:sz w:val="24"/>
        </w:rPr>
        <w:t>2020〕46号</w:t>
      </w:r>
      <w:r>
        <w:rPr>
          <w:rFonts w:hint="eastAsia" w:asciiTheme="majorEastAsia" w:hAnsiTheme="majorEastAsia" w:eastAsiaTheme="majorEastAsia"/>
          <w:sz w:val="24"/>
        </w:rPr>
        <w:t>）、《</w:t>
      </w:r>
      <w:r>
        <w:rPr>
          <w:rFonts w:asciiTheme="majorEastAsia" w:hAnsiTheme="majorEastAsia" w:eastAsiaTheme="majorEastAsia"/>
          <w:sz w:val="24"/>
        </w:rPr>
        <w:t>财政部 司法部关于政府采购支持监狱企业发展有关问题的通知</w:t>
      </w:r>
      <w:r>
        <w:rPr>
          <w:rFonts w:hint="eastAsia" w:asciiTheme="majorEastAsia" w:hAnsiTheme="majorEastAsia" w:eastAsiaTheme="majorEastAsia"/>
          <w:sz w:val="24"/>
        </w:rPr>
        <w:t>》（财库〔2014〕68号）和《三部门联合发布关于促进残疾人就业政府采购政策的通知》（财库〔2017〕141号）的规定，对满足价格扣除条件且在投标文件中提交了</w:t>
      </w:r>
      <w:r>
        <w:rPr>
          <w:rFonts w:asciiTheme="majorEastAsia" w:hAnsiTheme="majorEastAsia" w:eastAsiaTheme="majorEastAsia"/>
          <w:sz w:val="24"/>
        </w:rPr>
        <w:t>《中小企业声明函》</w:t>
      </w:r>
      <w:r>
        <w:rPr>
          <w:rFonts w:hint="eastAsia" w:asciiTheme="majorEastAsia" w:hAnsiTheme="majorEastAsia" w:eastAsiaTheme="majorEastAsia"/>
          <w:sz w:val="24"/>
        </w:rPr>
        <w:t>、</w:t>
      </w:r>
      <w:r>
        <w:rPr>
          <w:rFonts w:asciiTheme="majorEastAsia" w:hAnsiTheme="majorEastAsia" w:eastAsiaTheme="majorEastAsia"/>
          <w:sz w:val="24"/>
        </w:rPr>
        <w:t>《残疾人福利性单位声明函》</w:t>
      </w:r>
      <w:r>
        <w:rPr>
          <w:rFonts w:hint="eastAsia" w:asciiTheme="majorEastAsia" w:hAnsiTheme="majorEastAsia" w:eastAsiaTheme="majorEastAsia"/>
          <w:sz w:val="24"/>
        </w:rPr>
        <w:t>或省级以上监狱管理局、戒毒管理局（含新疆生产建设兵团）出具的属于监狱企业的证明文件的投标人，其投标报价按照</w:t>
      </w:r>
      <w:r>
        <w:rPr>
          <w:rFonts w:hint="eastAsia" w:asciiTheme="majorEastAsia" w:hAnsiTheme="majorEastAsia" w:eastAsiaTheme="majorEastAsia"/>
          <w:sz w:val="24"/>
          <w:u w:val="single"/>
        </w:rPr>
        <w:t>投标人须知前附表</w:t>
      </w:r>
      <w:r>
        <w:rPr>
          <w:rFonts w:hint="eastAsia" w:asciiTheme="majorEastAsia" w:hAnsiTheme="majorEastAsia" w:eastAsiaTheme="majorEastAsia"/>
          <w:sz w:val="24"/>
        </w:rPr>
        <w:t>中规定的标准扣除后的价格参与评审。</w:t>
      </w:r>
      <w:r>
        <w:rPr>
          <w:rFonts w:hint="eastAsia" w:asciiTheme="majorEastAsia" w:hAnsiTheme="majorEastAsia" w:eastAsiaTheme="majorEastAsia"/>
          <w:b/>
          <w:bCs/>
          <w:sz w:val="24"/>
        </w:rPr>
        <w:t>对于同时属于小微企业、监狱企业或残疾人福利性单位的，不重复进行投标报价扣除。</w:t>
      </w:r>
    </w:p>
    <w:p>
      <w:pPr>
        <w:spacing w:line="360" w:lineRule="auto"/>
        <w:ind w:firstLine="435"/>
        <w:rPr>
          <w:rFonts w:ascii="宋体" w:hAnsi="宋体" w:eastAsia="宋体"/>
          <w:sz w:val="24"/>
        </w:rPr>
      </w:pPr>
      <w:r>
        <w:rPr>
          <w:rFonts w:hint="eastAsia" w:asciiTheme="majorEastAsia" w:hAnsiTheme="majorEastAsia" w:eastAsiaTheme="majorEastAsia"/>
          <w:sz w:val="24"/>
        </w:rPr>
        <w:t>接受大中型企业与小微企业组成联合体或者允许大中型企</w:t>
      </w:r>
      <w:r>
        <w:rPr>
          <w:rFonts w:hint="eastAsia" w:ascii="宋体" w:hAnsi="宋体" w:eastAsia="宋体"/>
          <w:sz w:val="24"/>
        </w:rPr>
        <w:t>业向一家或者多家小微企业分包的，对于联合协议或者分包意向协议约定小微企业的合同份额占到合同总金额</w:t>
      </w:r>
      <w:r>
        <w:rPr>
          <w:rFonts w:ascii="宋体" w:hAnsi="宋体" w:eastAsia="宋体"/>
          <w:sz w:val="24"/>
        </w:rPr>
        <w:t>30%以上的，可给予联合体或者大中型企业的</w:t>
      </w:r>
      <w:r>
        <w:rPr>
          <w:rFonts w:hint="eastAsia" w:ascii="宋体" w:hAnsi="宋体" w:eastAsia="宋体"/>
          <w:sz w:val="24"/>
        </w:rPr>
        <w:t>投标报价按照</w:t>
      </w:r>
      <w:r>
        <w:rPr>
          <w:rFonts w:hint="eastAsia" w:ascii="宋体" w:hAnsi="宋体" w:eastAsia="宋体"/>
          <w:sz w:val="24"/>
          <w:u w:val="single"/>
        </w:rPr>
        <w:t>投标人须知前附表</w:t>
      </w:r>
      <w:r>
        <w:rPr>
          <w:rFonts w:hint="eastAsia" w:ascii="宋体" w:hAnsi="宋体" w:eastAsia="宋体"/>
          <w:sz w:val="24"/>
        </w:rPr>
        <w:t>中规定的标准扣除后的价格参与评审</w:t>
      </w:r>
      <w:r>
        <w:rPr>
          <w:rFonts w:ascii="宋体" w:hAnsi="宋体" w:eastAsia="宋体"/>
          <w:sz w:val="24"/>
        </w:rPr>
        <w:t>。</w:t>
      </w:r>
      <w:r>
        <w:rPr>
          <w:rFonts w:hint="eastAsia" w:ascii="宋体" w:hAnsi="宋体" w:eastAsia="宋体"/>
          <w:sz w:val="24"/>
        </w:rPr>
        <w:t>组成联合体或者接受分包的小微企业与联合体内其他企业、分包企业之间存在直接控股、管理关系的，不享受价格扣除优惠政策。</w:t>
      </w:r>
    </w:p>
    <w:p>
      <w:pPr>
        <w:spacing w:line="360" w:lineRule="auto"/>
        <w:ind w:firstLine="435"/>
        <w:rPr>
          <w:rFonts w:ascii="宋体" w:hAnsi="宋体" w:eastAsia="宋体"/>
          <w:sz w:val="24"/>
        </w:rPr>
      </w:pPr>
      <w:r>
        <w:rPr>
          <w:rFonts w:hint="eastAsia" w:ascii="宋体" w:hAnsi="宋体" w:eastAsia="宋体"/>
          <w:sz w:val="24"/>
        </w:rPr>
        <w:t>以联合体形式参加政府采购活动，联合体各方均为中小企业的，联合体视同中小企业。其中，联合体各方均为小微企业的，联合体视同小微企业。</w:t>
      </w:r>
    </w:p>
    <w:bookmarkEnd w:id="44"/>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3.</w:t>
      </w:r>
      <w:r>
        <w:rPr>
          <w:rFonts w:hint="eastAsia" w:asciiTheme="minorEastAsia" w:hAnsiTheme="minorEastAsia" w:eastAsiaTheme="minorEastAsia"/>
          <w:b/>
          <w:sz w:val="24"/>
        </w:rPr>
        <w:t>废标</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出现下列情形之一，将导致项目废标：</w:t>
      </w:r>
    </w:p>
    <w:p>
      <w:pPr>
        <w:spacing w:line="360" w:lineRule="auto"/>
        <w:ind w:firstLine="435"/>
        <w:rPr>
          <w:rFonts w:ascii="宋体" w:hAnsi="宋体" w:eastAsia="宋体"/>
          <w:sz w:val="24"/>
        </w:rPr>
      </w:pPr>
      <w:r>
        <w:rPr>
          <w:rFonts w:hint="eastAsia" w:asciiTheme="minorEastAsia" w:hAnsiTheme="minorEastAsia" w:eastAsiaTheme="minorEastAsia"/>
          <w:sz w:val="24"/>
        </w:rPr>
        <w:t>（</w:t>
      </w:r>
      <w:r>
        <w:rPr>
          <w:rFonts w:hint="eastAsia" w:ascii="宋体" w:hAnsi="宋体" w:eastAsia="宋体"/>
          <w:sz w:val="24"/>
        </w:rPr>
        <w:t>1）符合专业条件的供应商或者对招标文件做实质性响应的供应商不足规定数量的；</w:t>
      </w:r>
    </w:p>
    <w:p>
      <w:pPr>
        <w:spacing w:line="360" w:lineRule="auto"/>
        <w:ind w:firstLine="435"/>
        <w:rPr>
          <w:rFonts w:ascii="宋体" w:hAnsi="宋体" w:eastAsia="宋体"/>
          <w:sz w:val="24"/>
        </w:rPr>
      </w:pPr>
      <w:r>
        <w:rPr>
          <w:rFonts w:hint="eastAsia" w:ascii="宋体" w:hAnsi="宋体" w:eastAsia="宋体"/>
          <w:sz w:val="24"/>
        </w:rPr>
        <w:t>（2）出现影响采购公正的违法、违规行为的；</w:t>
      </w:r>
    </w:p>
    <w:p>
      <w:pPr>
        <w:spacing w:line="360" w:lineRule="auto"/>
        <w:ind w:firstLine="435"/>
        <w:rPr>
          <w:rFonts w:ascii="宋体" w:hAnsi="宋体" w:eastAsia="宋体"/>
          <w:sz w:val="24"/>
        </w:rPr>
      </w:pPr>
      <w:r>
        <w:rPr>
          <w:rFonts w:hint="eastAsia" w:ascii="宋体" w:hAnsi="宋体" w:eastAsia="宋体"/>
          <w:sz w:val="24"/>
        </w:rPr>
        <w:t>（3）投标人的报价均超过了采购预算，采购人不能支付的；</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（4）因重大变故，采购任务取消的。</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4.</w:t>
      </w:r>
      <w:r>
        <w:rPr>
          <w:rFonts w:hint="eastAsia" w:asciiTheme="minorEastAsia" w:hAnsiTheme="minorEastAsia" w:eastAsiaTheme="minorEastAsia"/>
          <w:b/>
          <w:sz w:val="24"/>
        </w:rPr>
        <w:t>保密要求</w:t>
      </w:r>
    </w:p>
    <w:p>
      <w:pPr>
        <w:spacing w:line="360" w:lineRule="auto"/>
        <w:ind w:firstLine="435"/>
        <w:rPr>
          <w:rFonts w:ascii="宋体" w:hAnsi="宋体" w:eastAsia="宋体"/>
          <w:sz w:val="24"/>
        </w:rPr>
      </w:pPr>
      <w:r>
        <w:rPr>
          <w:rFonts w:ascii="宋体" w:hAnsi="宋体" w:eastAsia="宋体"/>
          <w:sz w:val="24"/>
        </w:rPr>
        <w:t>24</w:t>
      </w:r>
      <w:r>
        <w:rPr>
          <w:rFonts w:hint="eastAsia" w:ascii="宋体" w:hAnsi="宋体" w:eastAsia="宋体"/>
          <w:sz w:val="24"/>
        </w:rPr>
        <w:t>.1评标将在严格保密的情况下进行。</w:t>
      </w:r>
    </w:p>
    <w:p>
      <w:pPr>
        <w:spacing w:line="360" w:lineRule="auto"/>
        <w:ind w:firstLine="435"/>
        <w:rPr>
          <w:rFonts w:ascii="宋体" w:hAnsi="宋体" w:eastAsia="宋体"/>
          <w:sz w:val="24"/>
        </w:rPr>
      </w:pPr>
      <w:r>
        <w:rPr>
          <w:rFonts w:ascii="宋体" w:hAnsi="宋体" w:eastAsia="宋体"/>
          <w:sz w:val="24"/>
        </w:rPr>
        <w:t>24</w:t>
      </w:r>
      <w:r>
        <w:rPr>
          <w:rFonts w:hint="eastAsia" w:ascii="宋体" w:hAnsi="宋体" w:eastAsia="宋体"/>
          <w:sz w:val="24"/>
        </w:rPr>
        <w:t>.2有关人员</w:t>
      </w:r>
      <w:r>
        <w:rPr>
          <w:rFonts w:ascii="宋体" w:hAnsi="宋体" w:eastAsia="宋体"/>
          <w:sz w:val="24"/>
        </w:rPr>
        <w:t>应当</w:t>
      </w:r>
      <w:r>
        <w:rPr>
          <w:rFonts w:hint="eastAsia" w:ascii="宋体" w:hAnsi="宋体" w:eastAsia="宋体"/>
          <w:sz w:val="24"/>
        </w:rPr>
        <w:t>遵</w:t>
      </w:r>
      <w:r>
        <w:rPr>
          <w:rFonts w:ascii="宋体" w:hAnsi="宋体" w:eastAsia="宋体"/>
          <w:sz w:val="24"/>
        </w:rPr>
        <w:t>守评</w:t>
      </w:r>
      <w:r>
        <w:rPr>
          <w:rFonts w:hint="eastAsia" w:ascii="宋体" w:hAnsi="宋体" w:eastAsia="宋体"/>
          <w:sz w:val="24"/>
        </w:rPr>
        <w:t>标</w:t>
      </w:r>
      <w:r>
        <w:rPr>
          <w:rFonts w:ascii="宋体" w:hAnsi="宋体" w:eastAsia="宋体"/>
          <w:sz w:val="24"/>
        </w:rPr>
        <w:t>工作纪律，不得</w:t>
      </w:r>
      <w:r>
        <w:rPr>
          <w:rFonts w:hint="eastAsia" w:ascii="宋体" w:hAnsi="宋体" w:eastAsia="宋体"/>
          <w:sz w:val="24"/>
        </w:rPr>
        <w:t>泄露</w:t>
      </w:r>
      <w:r>
        <w:rPr>
          <w:rFonts w:ascii="宋体" w:hAnsi="宋体" w:eastAsia="宋体"/>
          <w:sz w:val="24"/>
        </w:rPr>
        <w:t>评</w:t>
      </w:r>
      <w:r>
        <w:rPr>
          <w:rFonts w:hint="eastAsia" w:ascii="宋体" w:hAnsi="宋体" w:eastAsia="宋体"/>
          <w:sz w:val="24"/>
        </w:rPr>
        <w:t>标文件</w:t>
      </w:r>
      <w:r>
        <w:rPr>
          <w:rFonts w:ascii="宋体" w:hAnsi="宋体" w:eastAsia="宋体"/>
          <w:sz w:val="24"/>
        </w:rPr>
        <w:t>、评</w:t>
      </w:r>
      <w:r>
        <w:rPr>
          <w:rFonts w:hint="eastAsia" w:ascii="宋体" w:hAnsi="宋体" w:eastAsia="宋体"/>
          <w:sz w:val="24"/>
        </w:rPr>
        <w:t>标</w:t>
      </w:r>
      <w:r>
        <w:rPr>
          <w:rFonts w:ascii="宋体" w:hAnsi="宋体" w:eastAsia="宋体"/>
          <w:sz w:val="24"/>
        </w:rPr>
        <w:t>情况和评</w:t>
      </w:r>
      <w:r>
        <w:rPr>
          <w:rFonts w:hint="eastAsia" w:ascii="宋体" w:hAnsi="宋体" w:eastAsia="宋体"/>
          <w:sz w:val="24"/>
        </w:rPr>
        <w:t>标</w:t>
      </w:r>
      <w:r>
        <w:rPr>
          <w:rFonts w:ascii="宋体" w:hAnsi="宋体" w:eastAsia="宋体"/>
          <w:sz w:val="24"/>
        </w:rPr>
        <w:t>中获悉的</w:t>
      </w:r>
      <w:r>
        <w:rPr>
          <w:rFonts w:hint="eastAsia" w:ascii="宋体" w:hAnsi="宋体" w:eastAsia="宋体"/>
          <w:sz w:val="24"/>
        </w:rPr>
        <w:t>国家秘密、</w:t>
      </w:r>
      <w:r>
        <w:rPr>
          <w:rFonts w:ascii="宋体" w:hAnsi="宋体" w:eastAsia="宋体"/>
          <w:sz w:val="24"/>
        </w:rPr>
        <w:t>商业秘密。</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5.</w:t>
      </w:r>
      <w:r>
        <w:rPr>
          <w:rFonts w:hint="eastAsia" w:asciiTheme="minorEastAsia" w:hAnsiTheme="minorEastAsia" w:eastAsiaTheme="minorEastAsia"/>
          <w:b/>
          <w:sz w:val="24"/>
        </w:rPr>
        <w:t>中标候选人的确定原则及标准</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25.1评</w:t>
      </w:r>
      <w:r>
        <w:rPr>
          <w:rFonts w:hint="eastAsia" w:asciiTheme="minorEastAsia" w:hAnsiTheme="minorEastAsia" w:eastAsiaTheme="minorEastAsia"/>
          <w:sz w:val="24"/>
        </w:rPr>
        <w:t>标</w:t>
      </w:r>
      <w:r>
        <w:rPr>
          <w:rFonts w:asciiTheme="minorEastAsia" w:hAnsiTheme="minorEastAsia" w:eastAsiaTheme="minorEastAsia"/>
          <w:sz w:val="24"/>
        </w:rPr>
        <w:t>委员会依据本项目招标文件所约定的评标方法，对实质上响应招标文件的投标人按下列方法进行排序</w:t>
      </w:r>
      <w:r>
        <w:rPr>
          <w:rFonts w:hint="eastAsia" w:asciiTheme="minorEastAsia" w:hAnsiTheme="minorEastAsia" w:eastAsiaTheme="minorEastAsia"/>
          <w:sz w:val="24"/>
        </w:rPr>
        <w:t>，确定中标候选人</w:t>
      </w:r>
      <w:r>
        <w:rPr>
          <w:rFonts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sz w:val="24"/>
        </w:rPr>
        <w:t>出现两家或两家以上相同者，则所投产品为节能产品、环境标志产品、不发达地区或少数民族地区产品者优先；若报价相同且所投产品同为节能产品、环境标志产品、不发达地区或少数民族地区产品的，则采取评标委员会抽签方式确定中标候选顺序。</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sz w:val="24"/>
        </w:rPr>
        <w:t>，则所投产品为节能产品、环境标志产品、不发达地区或少数民族地区产品者优先；若</w:t>
      </w:r>
      <w:r>
        <w:rPr>
          <w:rFonts w:asciiTheme="minorEastAsia" w:hAnsiTheme="minorEastAsia" w:eastAsiaTheme="minorEastAsia"/>
          <w:sz w:val="24"/>
        </w:rPr>
        <w:t>得分与投标报价均相同</w:t>
      </w:r>
      <w:r>
        <w:rPr>
          <w:rFonts w:hint="eastAsia" w:asciiTheme="minorEastAsia" w:hAnsiTheme="minorEastAsia" w:eastAsiaTheme="minorEastAsia"/>
          <w:sz w:val="24"/>
        </w:rPr>
        <w:t>且所投产品同为节能产品、环境标志产品、不发达地区或少数民族地区产品的，则采取评标委员会抽签方式确定中标候选顺序。</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6.</w:t>
      </w:r>
      <w:r>
        <w:rPr>
          <w:rFonts w:hint="eastAsia" w:asciiTheme="minorEastAsia" w:hAnsiTheme="minorEastAsia" w:eastAsiaTheme="minorEastAsia"/>
          <w:b/>
          <w:sz w:val="24"/>
        </w:rPr>
        <w:t>确定中标候选人和中标人</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26.1评标委员会将根据评标标准，按</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asciiTheme="minorEastAsia" w:hAnsiTheme="minorEastAsia" w:eastAsiaTheme="minorEastAsia"/>
          <w:sz w:val="24"/>
        </w:rPr>
        <w:t>中规定数量推荐中标候选人。</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6</w:t>
      </w:r>
      <w:r>
        <w:rPr>
          <w:rFonts w:hint="eastAsia" w:asciiTheme="minorEastAsia" w:hAnsiTheme="minorEastAsia" w:eastAsiaTheme="minorEastAsia"/>
          <w:sz w:val="24"/>
        </w:rPr>
        <w:t>.2按</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hint="eastAsia" w:asciiTheme="minorEastAsia" w:hAnsiTheme="minorEastAsia" w:eastAsiaTheme="minorEastAsia"/>
          <w:sz w:val="24"/>
        </w:rPr>
        <w:t>中规定，</w:t>
      </w:r>
      <w:r>
        <w:rPr>
          <w:rFonts w:asciiTheme="minorEastAsia" w:hAnsiTheme="minorEastAsia" w:eastAsiaTheme="minorEastAsia"/>
          <w:sz w:val="24"/>
        </w:rPr>
        <w:t>由评标委员会或采购人确定中标人。</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6.3</w:t>
      </w:r>
      <w:r>
        <w:rPr>
          <w:rFonts w:hint="eastAsia" w:asciiTheme="minorEastAsia" w:hAnsiTheme="minorEastAsia" w:eastAsiaTheme="minorEastAsia"/>
          <w:sz w:val="24"/>
        </w:rPr>
        <w:t>因重大变故采购任务取消时，采购人有权拒绝任何投标人中标，且对受影响的投标人不承担任何责任。</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7.</w:t>
      </w:r>
      <w:r>
        <w:rPr>
          <w:rFonts w:hint="eastAsia" w:asciiTheme="minorEastAsia" w:hAnsiTheme="minorEastAsia" w:eastAsiaTheme="minorEastAsia"/>
          <w:b/>
          <w:sz w:val="24"/>
        </w:rPr>
        <w:t>编写评标报告</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8.</w:t>
      </w:r>
      <w:r>
        <w:rPr>
          <w:rFonts w:hint="eastAsia" w:asciiTheme="minorEastAsia" w:hAnsiTheme="minorEastAsia" w:eastAsiaTheme="minorEastAsia"/>
          <w:b/>
          <w:sz w:val="24"/>
        </w:rPr>
        <w:t>中标结果公告</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8.1</w:t>
      </w:r>
      <w:r>
        <w:rPr>
          <w:rFonts w:hint="eastAsia" w:asciiTheme="minorEastAsia" w:hAnsiTheme="minorEastAsia" w:eastAsiaTheme="minorEastAsia"/>
          <w:sz w:val="24"/>
        </w:rPr>
        <w:t>除</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asciiTheme="minorEastAsia" w:hAnsiTheme="minorEastAsia" w:eastAsiaTheme="minorEastAsia"/>
          <w:sz w:val="24"/>
        </w:rPr>
        <w:t>规定由评标委员会直接确定中标</w:t>
      </w:r>
      <w:r>
        <w:rPr>
          <w:rFonts w:hint="eastAsia" w:asciiTheme="minorEastAsia" w:hAnsiTheme="minorEastAsia" w:eastAsiaTheme="minorEastAsia"/>
          <w:sz w:val="24"/>
        </w:rPr>
        <w:t>人外，</w:t>
      </w:r>
      <w:r>
        <w:rPr>
          <w:rFonts w:asciiTheme="minorEastAsia" w:hAnsiTheme="minorEastAsia" w:eastAsiaTheme="minorEastAsia"/>
          <w:sz w:val="24"/>
        </w:rPr>
        <w:t>在评标结束后2个工作日内</w:t>
      </w:r>
      <w:r>
        <w:rPr>
          <w:rFonts w:hint="eastAsia" w:asciiTheme="minorEastAsia" w:hAnsiTheme="minorEastAsia" w:eastAsiaTheme="minorEastAsia"/>
          <w:sz w:val="24"/>
        </w:rPr>
        <w:t>，</w:t>
      </w:r>
      <w:r>
        <w:rPr>
          <w:rFonts w:asciiTheme="minorEastAsia" w:hAnsiTheme="minorEastAsia" w:eastAsiaTheme="minorEastAsia"/>
          <w:sz w:val="24"/>
        </w:rPr>
        <w:t>采购代理机构将评标报告送采购人。采购人应当自收到评标报告之日起</w:t>
      </w:r>
      <w:r>
        <w:rPr>
          <w:rFonts w:hint="eastAsia" w:asciiTheme="minorEastAsia" w:hAnsiTheme="minorEastAsia" w:eastAsiaTheme="minorEastAsia"/>
          <w:sz w:val="24"/>
        </w:rPr>
        <w:t>5</w:t>
      </w:r>
      <w:r>
        <w:rPr>
          <w:rFonts w:asciiTheme="minorEastAsia" w:hAnsiTheme="minorEastAsia" w:eastAsiaTheme="minorEastAsia"/>
          <w:sz w:val="24"/>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8.2自中标人确定之日起2个工作日内，采购代理机构</w:t>
      </w:r>
      <w:r>
        <w:rPr>
          <w:rFonts w:hint="eastAsia" w:asciiTheme="minorEastAsia" w:hAnsiTheme="minorEastAsia" w:eastAsiaTheme="minorEastAsia"/>
          <w:sz w:val="24"/>
        </w:rPr>
        <w:t>将公告发布媒介</w:t>
      </w:r>
      <w:r>
        <w:rPr>
          <w:rFonts w:asciiTheme="minorEastAsia" w:hAnsiTheme="minorEastAsia" w:eastAsiaTheme="minorEastAsia"/>
          <w:sz w:val="24"/>
        </w:rPr>
        <w:t>发布中标</w:t>
      </w:r>
      <w:r>
        <w:rPr>
          <w:rFonts w:hint="eastAsia" w:asciiTheme="minorEastAsia" w:hAnsiTheme="minorEastAsia" w:eastAsiaTheme="minorEastAsia"/>
          <w:sz w:val="24"/>
        </w:rPr>
        <w:t>结果</w:t>
      </w:r>
      <w:r>
        <w:rPr>
          <w:rFonts w:asciiTheme="minorEastAsia" w:hAnsiTheme="minorEastAsia" w:eastAsiaTheme="minorEastAsia"/>
          <w:sz w:val="24"/>
        </w:rPr>
        <w:t>公告。</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28.3</w:t>
      </w:r>
      <w:r>
        <w:rPr>
          <w:rFonts w:asciiTheme="minorEastAsia" w:hAnsiTheme="minorEastAsia" w:eastAsiaTheme="minorEastAsia"/>
          <w:sz w:val="24"/>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sz w:val="24"/>
          <w:u w:val="single"/>
        </w:rPr>
        <w:t>投标人须知前附表</w:t>
      </w:r>
      <w:r>
        <w:rPr>
          <w:rFonts w:asciiTheme="minorEastAsia" w:hAnsiTheme="minorEastAsia" w:eastAsiaTheme="minorEastAsia"/>
          <w:sz w:val="24"/>
        </w:rPr>
        <w:t>中约定进行公告的内容。中标公告期限为1个工作日。</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29</w:t>
      </w:r>
      <w:r>
        <w:rPr>
          <w:rFonts w:asciiTheme="minorEastAsia" w:hAnsiTheme="minorEastAsia" w:eastAsiaTheme="minorEastAsia"/>
          <w:b/>
          <w:sz w:val="24"/>
        </w:rPr>
        <w:t>.</w:t>
      </w:r>
      <w:r>
        <w:rPr>
          <w:rFonts w:hint="eastAsia" w:asciiTheme="minorEastAsia" w:hAnsiTheme="minorEastAsia" w:eastAsiaTheme="minorEastAsia"/>
          <w:b/>
          <w:sz w:val="24"/>
        </w:rPr>
        <w:t>中标通知书</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9</w:t>
      </w:r>
      <w:r>
        <w:rPr>
          <w:rFonts w:asciiTheme="minorEastAsia" w:hAnsiTheme="minorEastAsia" w:eastAsiaTheme="minorEastAsia"/>
          <w:sz w:val="24"/>
        </w:rPr>
        <w:t>.1采购代理机构</w:t>
      </w:r>
      <w:r>
        <w:rPr>
          <w:rFonts w:ascii="宋体" w:hAnsi="宋体" w:eastAsia="宋体"/>
          <w:sz w:val="24"/>
        </w:rPr>
        <w:t>发布</w:t>
      </w:r>
      <w:r>
        <w:rPr>
          <w:rFonts w:asciiTheme="minorEastAsia" w:hAnsiTheme="minorEastAsia" w:eastAsiaTheme="minorEastAsia"/>
          <w:sz w:val="24"/>
        </w:rPr>
        <w:t>中标结果公告</w:t>
      </w:r>
      <w:r>
        <w:rPr>
          <w:rFonts w:hint="eastAsia" w:asciiTheme="minorEastAsia" w:hAnsiTheme="minorEastAsia" w:eastAsiaTheme="minorEastAsia"/>
          <w:iCs/>
          <w:sz w:val="24"/>
        </w:rPr>
        <w:t>的</w:t>
      </w:r>
      <w:r>
        <w:rPr>
          <w:rFonts w:asciiTheme="minorEastAsia" w:hAnsiTheme="minorEastAsia" w:eastAsiaTheme="minorEastAsia"/>
          <w:sz w:val="24"/>
        </w:rPr>
        <w:t>同时以</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规定的</w:t>
      </w:r>
      <w:r>
        <w:rPr>
          <w:rFonts w:asciiTheme="minorEastAsia" w:hAnsiTheme="minorEastAsia" w:eastAsiaTheme="minorEastAsia"/>
          <w:sz w:val="24"/>
        </w:rPr>
        <w:t>形式向中标人发出中标通知书。</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9</w:t>
      </w:r>
      <w:r>
        <w:rPr>
          <w:rFonts w:asciiTheme="minorEastAsia" w:hAnsiTheme="minorEastAsia" w:eastAsiaTheme="minorEastAsia"/>
          <w:sz w:val="24"/>
        </w:rPr>
        <w:t>.2中标通知书对采购人和中标</w:t>
      </w:r>
      <w:r>
        <w:rPr>
          <w:rFonts w:hint="eastAsia" w:asciiTheme="minorEastAsia" w:hAnsiTheme="minorEastAsia" w:eastAsiaTheme="minorEastAsia"/>
          <w:sz w:val="24"/>
        </w:rPr>
        <w:t>人</w:t>
      </w:r>
      <w:r>
        <w:rPr>
          <w:rFonts w:asciiTheme="minorEastAsia" w:hAnsiTheme="minorEastAsia" w:eastAsiaTheme="minorEastAsia"/>
          <w:sz w:val="24"/>
        </w:rPr>
        <w:t>具有同等法律效力。中标通知书发出以后，采购人改变中标结果或者中标</w:t>
      </w:r>
      <w:r>
        <w:rPr>
          <w:rFonts w:hint="eastAsia" w:asciiTheme="minorEastAsia" w:hAnsiTheme="minorEastAsia" w:eastAsiaTheme="minorEastAsia"/>
          <w:sz w:val="24"/>
        </w:rPr>
        <w:t>人</w:t>
      </w:r>
      <w:r>
        <w:rPr>
          <w:rFonts w:asciiTheme="minorEastAsia" w:hAnsiTheme="minorEastAsia" w:eastAsiaTheme="minorEastAsia"/>
          <w:sz w:val="24"/>
        </w:rPr>
        <w:t>放弃中标，应当承担相应的法律责任。</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9</w:t>
      </w:r>
      <w:r>
        <w:rPr>
          <w:rFonts w:asciiTheme="minorEastAsia" w:hAnsiTheme="minorEastAsia" w:eastAsiaTheme="minorEastAsia"/>
          <w:sz w:val="24"/>
        </w:rPr>
        <w:t>.3中标通知书是</w:t>
      </w:r>
      <w:r>
        <w:rPr>
          <w:rFonts w:ascii="宋体" w:hAnsi="宋体" w:eastAsia="宋体"/>
          <w:sz w:val="24"/>
        </w:rPr>
        <w:t>合同</w:t>
      </w:r>
      <w:r>
        <w:rPr>
          <w:rFonts w:asciiTheme="minorEastAsia" w:hAnsiTheme="minorEastAsia" w:eastAsiaTheme="minorEastAsia"/>
          <w:sz w:val="24"/>
        </w:rPr>
        <w:t>的组成部分。</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30</w:t>
      </w:r>
      <w:r>
        <w:rPr>
          <w:rFonts w:asciiTheme="minorEastAsia" w:hAnsiTheme="minorEastAsia" w:eastAsiaTheme="minorEastAsia"/>
          <w:b/>
          <w:sz w:val="24"/>
        </w:rPr>
        <w:t>.</w:t>
      </w:r>
      <w:r>
        <w:rPr>
          <w:rFonts w:hint="eastAsia" w:asciiTheme="minorEastAsia" w:hAnsiTheme="minorEastAsia" w:eastAsiaTheme="minorEastAsia"/>
          <w:b/>
          <w:sz w:val="24"/>
        </w:rPr>
        <w:t>告知招标结果</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30</w:t>
      </w:r>
      <w:r>
        <w:rPr>
          <w:rFonts w:asciiTheme="minorEastAsia" w:hAnsiTheme="minorEastAsia" w:eastAsiaTheme="minorEastAsia"/>
          <w:sz w:val="24"/>
        </w:rPr>
        <w:t>.1</w:t>
      </w:r>
      <w:r>
        <w:rPr>
          <w:rFonts w:hint="eastAsia" w:asciiTheme="minorEastAsia" w:hAnsiTheme="minorEastAsia" w:eastAsiaTheme="minorEastAsia"/>
          <w:sz w:val="24"/>
        </w:rPr>
        <w:t>在公告</w:t>
      </w:r>
      <w:r>
        <w:rPr>
          <w:rFonts w:asciiTheme="minorEastAsia" w:hAnsiTheme="minorEastAsia" w:eastAsiaTheme="minorEastAsia"/>
          <w:sz w:val="24"/>
        </w:rPr>
        <w:t>中标结果的同时，采购代理机构同时以</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规定的</w:t>
      </w:r>
      <w:r>
        <w:rPr>
          <w:rFonts w:asciiTheme="minorEastAsia" w:hAnsiTheme="minorEastAsia" w:eastAsiaTheme="minorEastAsia"/>
          <w:sz w:val="24"/>
        </w:rPr>
        <w:t>形式</w:t>
      </w:r>
      <w:r>
        <w:rPr>
          <w:rFonts w:hint="eastAsia" w:asciiTheme="minorEastAsia" w:hAnsiTheme="minorEastAsia" w:eastAsiaTheme="minorEastAsia"/>
          <w:sz w:val="24"/>
        </w:rPr>
        <w:t>告知未通过资格审查的投标人未通过的原因；采用综合评分法评审的，还将告知未中标人本人的评审得分和排序。</w:t>
      </w:r>
    </w:p>
    <w:p>
      <w:pPr>
        <w:spacing w:line="360" w:lineRule="auto"/>
        <w:ind w:firstLine="437"/>
        <w:outlineLvl w:val="3"/>
        <w:rPr>
          <w:rFonts w:asciiTheme="minorEastAsia" w:hAnsiTheme="minorEastAsia" w:eastAsiaTheme="minorEastAsia"/>
          <w:b/>
          <w:sz w:val="24"/>
        </w:rPr>
      </w:pPr>
      <w:r>
        <w:rPr>
          <w:rFonts w:asciiTheme="minorEastAsia" w:hAnsiTheme="minorEastAsia" w:eastAsiaTheme="minorEastAsia"/>
          <w:b/>
          <w:sz w:val="24"/>
        </w:rPr>
        <w:t>3</w:t>
      </w:r>
      <w:r>
        <w:rPr>
          <w:rFonts w:hint="eastAsia" w:asciiTheme="minorEastAsia" w:hAnsiTheme="minorEastAsia" w:eastAsiaTheme="minorEastAsia"/>
          <w:b/>
          <w:sz w:val="24"/>
        </w:rPr>
        <w:t>1</w:t>
      </w:r>
      <w:r>
        <w:rPr>
          <w:rFonts w:asciiTheme="minorEastAsia" w:hAnsiTheme="minorEastAsia" w:eastAsiaTheme="minorEastAsia"/>
          <w:b/>
          <w:sz w:val="24"/>
        </w:rPr>
        <w:t>.</w:t>
      </w:r>
      <w:r>
        <w:rPr>
          <w:rFonts w:hint="eastAsia" w:asciiTheme="minorEastAsia" w:hAnsiTheme="minorEastAsia" w:eastAsiaTheme="minorEastAsia"/>
          <w:b/>
          <w:sz w:val="24"/>
        </w:rPr>
        <w:t>履约保证金</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1.1中标人应按照</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规定缴纳履约保证金。</w:t>
      </w:r>
    </w:p>
    <w:p>
      <w:pPr>
        <w:spacing w:line="360" w:lineRule="auto"/>
        <w:ind w:firstLine="435"/>
        <w:rPr>
          <w:rFonts w:asciiTheme="minorEastAsia" w:hAnsiTheme="minorEastAsia" w:eastAsiaTheme="minorEastAsia"/>
          <w:b/>
          <w:sz w:val="24"/>
        </w:rPr>
      </w:pPr>
      <w:r>
        <w:rPr>
          <w:rFonts w:asciiTheme="minorEastAsia" w:hAnsiTheme="minorEastAsia" w:eastAsiaTheme="minorEastAsia"/>
          <w:sz w:val="24"/>
        </w:rPr>
        <w:t>3</w:t>
      </w:r>
      <w:r>
        <w:rPr>
          <w:rFonts w:hint="eastAsia" w:asciiTheme="minorEastAsia" w:hAnsiTheme="minorEastAsia" w:eastAsiaTheme="minorEastAsia"/>
          <w:sz w:val="24"/>
        </w:rPr>
        <w:t>1.</w:t>
      </w:r>
      <w:r>
        <w:rPr>
          <w:rFonts w:asciiTheme="minorEastAsia" w:hAnsiTheme="minorEastAsia" w:eastAsiaTheme="minorEastAsia"/>
          <w:sz w:val="24"/>
        </w:rPr>
        <w:t>2</w:t>
      </w:r>
      <w:r>
        <w:rPr>
          <w:rFonts w:hint="eastAsia" w:ascii="宋体" w:hAnsi="宋体" w:eastAsia="宋体"/>
          <w:sz w:val="24"/>
        </w:rPr>
        <w:t>如果</w:t>
      </w:r>
      <w:r>
        <w:rPr>
          <w:rFonts w:hint="eastAsia" w:asciiTheme="minorEastAsia" w:hAnsiTheme="minorEastAsia" w:eastAsiaTheme="minorEastAsia"/>
          <w:sz w:val="24"/>
        </w:rPr>
        <w:t>中标人没有按照上述履约保证金的规定执行，将视为放弃中标资格。在此情况下，采购人可</w:t>
      </w:r>
      <w:r>
        <w:rPr>
          <w:rFonts w:asciiTheme="minorEastAsia" w:hAnsiTheme="minorEastAsia" w:eastAsiaTheme="minorEastAsia"/>
          <w:sz w:val="24"/>
        </w:rPr>
        <w:t>确定下一</w:t>
      </w:r>
      <w:r>
        <w:rPr>
          <w:rFonts w:hint="eastAsia" w:ascii="宋体" w:hAnsi="宋体" w:eastAsia="宋体"/>
          <w:sz w:val="24"/>
        </w:rPr>
        <w:t>中标</w:t>
      </w:r>
      <w:r>
        <w:rPr>
          <w:rFonts w:hint="eastAsia" w:asciiTheme="minorEastAsia" w:hAnsiTheme="minorEastAsia" w:eastAsiaTheme="minorEastAsia"/>
          <w:sz w:val="24"/>
        </w:rPr>
        <w:t>候选</w:t>
      </w:r>
      <w:r>
        <w:rPr>
          <w:rFonts w:asciiTheme="minorEastAsia" w:hAnsiTheme="minorEastAsia" w:eastAsiaTheme="minorEastAsia"/>
          <w:sz w:val="24"/>
        </w:rPr>
        <w:t>人为中标</w:t>
      </w:r>
      <w:r>
        <w:rPr>
          <w:rFonts w:hint="eastAsia" w:asciiTheme="minorEastAsia" w:hAnsiTheme="minorEastAsia" w:eastAsiaTheme="minorEastAsia"/>
          <w:sz w:val="24"/>
        </w:rPr>
        <w:t>人</w:t>
      </w:r>
      <w:r>
        <w:rPr>
          <w:rFonts w:asciiTheme="minorEastAsia" w:hAnsiTheme="minorEastAsia" w:eastAsiaTheme="minorEastAsia"/>
          <w:sz w:val="24"/>
        </w:rPr>
        <w:t>，也可以重新开展采购活动。</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32</w:t>
      </w:r>
      <w:r>
        <w:rPr>
          <w:rFonts w:asciiTheme="minorEastAsia" w:hAnsiTheme="minorEastAsia" w:eastAsiaTheme="minorEastAsia"/>
          <w:b/>
          <w:sz w:val="24"/>
        </w:rPr>
        <w:t>.</w:t>
      </w:r>
      <w:r>
        <w:rPr>
          <w:rFonts w:hint="eastAsia" w:asciiTheme="minorEastAsia" w:hAnsiTheme="minorEastAsia" w:eastAsiaTheme="minorEastAsia"/>
          <w:b/>
          <w:sz w:val="24"/>
        </w:rPr>
        <w:t>签订合同</w:t>
      </w:r>
    </w:p>
    <w:p>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2.1采购人与中标人应当自发出中标通知书之日起30日内签订合同。</w:t>
      </w:r>
    </w:p>
    <w:p>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2.2招标文件、中标人的投标文件及其澄清文件等，均为签订合同的依据。</w:t>
      </w:r>
    </w:p>
    <w:p>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2.3中</w:t>
      </w:r>
      <w:r>
        <w:rPr>
          <w:rFonts w:ascii="宋体" w:hAnsi="宋体" w:eastAsia="宋体"/>
          <w:sz w:val="24"/>
        </w:rPr>
        <w:t>标</w:t>
      </w:r>
      <w:r>
        <w:rPr>
          <w:rFonts w:hint="eastAsia" w:ascii="宋体" w:hAnsi="宋体" w:eastAsia="宋体"/>
          <w:sz w:val="24"/>
        </w:rPr>
        <w:t>人</w:t>
      </w:r>
      <w:r>
        <w:rPr>
          <w:rFonts w:ascii="宋体" w:hAnsi="宋体" w:eastAsia="宋体"/>
          <w:sz w:val="24"/>
        </w:rPr>
        <w:t>拒绝与采购人签订合同的，采购人可以按照评审报告推荐的中标候选人</w:t>
      </w:r>
      <w:r>
        <w:rPr>
          <w:rFonts w:hint="eastAsia" w:ascii="宋体" w:hAnsi="宋体" w:eastAsia="宋体"/>
          <w:sz w:val="24"/>
        </w:rPr>
        <w:t>名单</w:t>
      </w:r>
      <w:r>
        <w:rPr>
          <w:rFonts w:ascii="宋体" w:hAnsi="宋体" w:eastAsia="宋体"/>
          <w:sz w:val="24"/>
        </w:rPr>
        <w:t>排序</w:t>
      </w:r>
      <w:r>
        <w:rPr>
          <w:rFonts w:hint="eastAsia" w:ascii="宋体" w:hAnsi="宋体" w:eastAsia="宋体"/>
          <w:sz w:val="24"/>
        </w:rPr>
        <w:t>，</w:t>
      </w:r>
      <w:r>
        <w:rPr>
          <w:rFonts w:ascii="宋体" w:hAnsi="宋体" w:eastAsia="宋体"/>
          <w:sz w:val="24"/>
        </w:rPr>
        <w:t>确定下一</w:t>
      </w:r>
      <w:r>
        <w:rPr>
          <w:rFonts w:hint="eastAsia" w:ascii="宋体" w:hAnsi="宋体" w:eastAsia="宋体"/>
          <w:sz w:val="24"/>
        </w:rPr>
        <w:t>中标候选</w:t>
      </w:r>
      <w:r>
        <w:rPr>
          <w:rFonts w:ascii="宋体" w:hAnsi="宋体" w:eastAsia="宋体"/>
          <w:sz w:val="24"/>
        </w:rPr>
        <w:t>人为中标</w:t>
      </w:r>
      <w:r>
        <w:rPr>
          <w:rFonts w:hint="eastAsia" w:ascii="宋体" w:hAnsi="宋体" w:eastAsia="宋体"/>
          <w:sz w:val="24"/>
        </w:rPr>
        <w:t>人</w:t>
      </w:r>
      <w:r>
        <w:rPr>
          <w:rFonts w:ascii="宋体" w:hAnsi="宋体" w:eastAsia="宋体"/>
          <w:sz w:val="24"/>
        </w:rPr>
        <w:t>，也可以重新开展政府采购活动。</w:t>
      </w:r>
    </w:p>
    <w:p>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2.4当出现法规规定的中标无效或中标结果无效情形时，采购人可依法与排名下一位的中标候选人另行签订合同，或依法重新开展采购活动。</w:t>
      </w:r>
    </w:p>
    <w:p>
      <w:pPr>
        <w:spacing w:line="360" w:lineRule="auto"/>
        <w:ind w:firstLine="435"/>
        <w:rPr>
          <w:rFonts w:ascii="宋体" w:hAnsi="宋体" w:eastAsia="宋体"/>
          <w:sz w:val="24"/>
        </w:rPr>
      </w:pPr>
      <w:r>
        <w:rPr>
          <w:rFonts w:hint="eastAsia" w:ascii="宋体" w:hAnsi="宋体" w:eastAsia="宋体"/>
          <w:sz w:val="24"/>
        </w:rPr>
        <w:t>32.5依据《政府采购促进中小企业发展管理办法》（财库〔</w:t>
      </w:r>
      <w:r>
        <w:rPr>
          <w:rFonts w:ascii="宋体" w:hAnsi="宋体" w:eastAsia="宋体"/>
          <w:sz w:val="24"/>
        </w:rPr>
        <w:t>2020〕46号</w:t>
      </w:r>
      <w:r>
        <w:rPr>
          <w:rFonts w:hint="eastAsia" w:ascii="宋体" w:hAnsi="宋体" w:eastAsia="宋体"/>
          <w:sz w:val="24"/>
        </w:rPr>
        <w:t>）规定享受扶持政策获得政府采购合同的，小微企业不得将合同分包给大中型企业，中型企业不得将合同分包给大型企业。</w:t>
      </w:r>
    </w:p>
    <w:p>
      <w:pPr>
        <w:spacing w:line="360" w:lineRule="auto"/>
        <w:ind w:firstLine="437"/>
        <w:outlineLvl w:val="3"/>
        <w:rPr>
          <w:rFonts w:asciiTheme="minorEastAsia" w:hAnsiTheme="minorEastAsia" w:eastAsiaTheme="minorEastAsia"/>
          <w:b/>
          <w:sz w:val="24"/>
        </w:rPr>
      </w:pPr>
      <w:r>
        <w:rPr>
          <w:rFonts w:asciiTheme="minorEastAsia" w:hAnsiTheme="minorEastAsia" w:eastAsiaTheme="minorEastAsia"/>
          <w:b/>
          <w:sz w:val="24"/>
        </w:rPr>
        <w:t>3</w:t>
      </w:r>
      <w:r>
        <w:rPr>
          <w:rFonts w:hint="eastAsia" w:asciiTheme="minorEastAsia" w:hAnsiTheme="minorEastAsia" w:eastAsiaTheme="minorEastAsia"/>
          <w:b/>
          <w:sz w:val="24"/>
        </w:rPr>
        <w:t>3</w:t>
      </w:r>
      <w:r>
        <w:rPr>
          <w:rFonts w:asciiTheme="minorEastAsia" w:hAnsiTheme="minorEastAsia" w:eastAsiaTheme="minorEastAsia"/>
          <w:b/>
          <w:sz w:val="24"/>
        </w:rPr>
        <w:t>.</w:t>
      </w:r>
      <w:r>
        <w:rPr>
          <w:rFonts w:hint="eastAsia" w:asciiTheme="minorEastAsia" w:hAnsiTheme="minorEastAsia" w:eastAsiaTheme="minorEastAsia"/>
          <w:b/>
          <w:sz w:val="24"/>
        </w:rPr>
        <w:t>中标服务费</w:t>
      </w:r>
    </w:p>
    <w:p>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3</w:t>
      </w:r>
      <w:r>
        <w:rPr>
          <w:rFonts w:ascii="宋体" w:hAnsi="宋体" w:eastAsia="宋体"/>
          <w:sz w:val="24"/>
        </w:rPr>
        <w:t>.1</w:t>
      </w:r>
      <w:r>
        <w:rPr>
          <w:rFonts w:hint="eastAsia" w:ascii="宋体" w:hAnsi="宋体" w:eastAsia="宋体"/>
          <w:sz w:val="24"/>
        </w:rPr>
        <w:t>本项目中标服务费的收取按</w:t>
      </w:r>
      <w:r>
        <w:rPr>
          <w:rFonts w:hint="eastAsia" w:asciiTheme="minorEastAsia" w:hAnsiTheme="minorEastAsia" w:eastAsiaTheme="minorEastAsia"/>
          <w:sz w:val="24"/>
          <w:u w:val="single"/>
        </w:rPr>
        <w:t>投标人须知前附表的</w:t>
      </w:r>
      <w:r>
        <w:rPr>
          <w:rFonts w:hint="eastAsia" w:ascii="宋体" w:hAnsi="宋体" w:eastAsia="宋体"/>
          <w:sz w:val="24"/>
        </w:rPr>
        <w:t>规定执行</w:t>
      </w:r>
      <w:r>
        <w:rPr>
          <w:rFonts w:hint="eastAsia" w:asciiTheme="minorEastAsia" w:hAnsiTheme="minorEastAsia" w:eastAsiaTheme="minorEastAsia"/>
          <w:sz w:val="24"/>
        </w:rPr>
        <w:t>。</w:t>
      </w:r>
    </w:p>
    <w:p>
      <w:pPr>
        <w:spacing w:line="360" w:lineRule="auto"/>
        <w:ind w:firstLine="437"/>
        <w:outlineLvl w:val="3"/>
        <w:rPr>
          <w:rFonts w:asciiTheme="minorEastAsia" w:hAnsiTheme="minorEastAsia" w:eastAsiaTheme="minorEastAsia"/>
          <w:b/>
          <w:sz w:val="24"/>
        </w:rPr>
      </w:pPr>
      <w:bookmarkStart w:id="45" w:name="_Toc518923100"/>
      <w:bookmarkStart w:id="46" w:name="_Toc2583661"/>
      <w:r>
        <w:rPr>
          <w:rFonts w:hint="eastAsia" w:asciiTheme="minorEastAsia" w:hAnsiTheme="minorEastAsia" w:eastAsiaTheme="minorEastAsia"/>
          <w:b/>
          <w:sz w:val="24"/>
        </w:rPr>
        <w:t>34</w:t>
      </w:r>
      <w:r>
        <w:rPr>
          <w:rFonts w:asciiTheme="minorEastAsia" w:hAnsiTheme="minorEastAsia" w:eastAsiaTheme="minorEastAsia"/>
          <w:b/>
          <w:sz w:val="24"/>
        </w:rPr>
        <w:t>.</w:t>
      </w:r>
      <w:r>
        <w:rPr>
          <w:rFonts w:hint="eastAsia" w:asciiTheme="minorEastAsia" w:hAnsiTheme="minorEastAsia" w:eastAsiaTheme="minorEastAsia"/>
          <w:b/>
          <w:sz w:val="24"/>
        </w:rPr>
        <w:t>廉洁自律</w:t>
      </w:r>
      <w:r>
        <w:rPr>
          <w:rFonts w:asciiTheme="minorEastAsia" w:hAnsiTheme="minorEastAsia" w:eastAsiaTheme="minorEastAsia"/>
          <w:b/>
          <w:sz w:val="24"/>
        </w:rPr>
        <w:t>规定</w:t>
      </w:r>
      <w:bookmarkEnd w:id="45"/>
      <w:bookmarkEnd w:id="46"/>
    </w:p>
    <w:p>
      <w:pPr>
        <w:spacing w:line="360" w:lineRule="auto"/>
        <w:ind w:firstLine="435"/>
        <w:rPr>
          <w:rFonts w:ascii="宋体" w:hAnsi="宋体" w:eastAsia="宋体"/>
          <w:sz w:val="24"/>
        </w:rPr>
      </w:pPr>
      <w:r>
        <w:rPr>
          <w:rFonts w:hint="eastAsia" w:ascii="宋体" w:hAnsi="宋体" w:eastAsia="宋体"/>
          <w:sz w:val="24"/>
        </w:rPr>
        <w:t>34.1采购代理机构</w:t>
      </w:r>
      <w:r>
        <w:rPr>
          <w:rFonts w:ascii="宋体" w:hAnsi="宋体" w:eastAsia="宋体"/>
          <w:sz w:val="24"/>
        </w:rPr>
        <w:t>工作人员</w:t>
      </w:r>
      <w:r>
        <w:rPr>
          <w:rFonts w:hint="eastAsia" w:ascii="宋体" w:hAnsi="宋体" w:eastAsia="宋体"/>
          <w:sz w:val="24"/>
        </w:rPr>
        <w:t>不得以不正当手段获取政府采购代理业务，不得与采购人、供应商恶意串通。</w:t>
      </w:r>
    </w:p>
    <w:p>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4</w:t>
      </w:r>
      <w:r>
        <w:rPr>
          <w:rFonts w:ascii="宋体" w:hAnsi="宋体" w:eastAsia="宋体"/>
          <w:sz w:val="24"/>
        </w:rPr>
        <w:t>.2</w:t>
      </w:r>
      <w:r>
        <w:rPr>
          <w:rFonts w:hint="eastAsia" w:ascii="宋体" w:hAnsi="宋体" w:eastAsia="宋体"/>
          <w:sz w:val="24"/>
        </w:rPr>
        <w:t>采购代理机构工作人员不得接受采购人或者供应商组织的宴请、旅游、娱乐，不得收受礼品、现金、有价证券等，不得向采购人或者供应商报销应当由个人承担的费用。</w:t>
      </w:r>
    </w:p>
    <w:p>
      <w:pPr>
        <w:spacing w:line="360" w:lineRule="auto"/>
        <w:ind w:firstLine="437"/>
        <w:outlineLvl w:val="3"/>
        <w:rPr>
          <w:rFonts w:asciiTheme="minorEastAsia" w:hAnsiTheme="minorEastAsia" w:eastAsiaTheme="minorEastAsia"/>
          <w:b/>
          <w:sz w:val="24"/>
        </w:rPr>
      </w:pPr>
      <w:bookmarkStart w:id="47" w:name="_Toc2583662"/>
      <w:bookmarkStart w:id="48" w:name="_Toc518923101"/>
      <w:r>
        <w:rPr>
          <w:rFonts w:hint="eastAsia" w:asciiTheme="minorEastAsia" w:hAnsiTheme="minorEastAsia" w:eastAsiaTheme="minorEastAsia"/>
          <w:b/>
          <w:sz w:val="24"/>
        </w:rPr>
        <w:t>35.人员回避</w:t>
      </w:r>
      <w:bookmarkEnd w:id="47"/>
      <w:bookmarkEnd w:id="48"/>
    </w:p>
    <w:p>
      <w:pPr>
        <w:spacing w:line="360" w:lineRule="auto"/>
        <w:ind w:firstLine="435"/>
        <w:rPr>
          <w:rFonts w:ascii="仿宋_GB2312" w:hAnsi="宋体" w:eastAsia="仿宋_GB2312"/>
          <w:sz w:val="24"/>
        </w:rPr>
      </w:pPr>
      <w:r>
        <w:rPr>
          <w:rFonts w:hint="eastAsia" w:ascii="宋体" w:hAnsi="宋体" w:eastAsia="宋体"/>
          <w:sz w:val="24"/>
        </w:rPr>
        <w:t>投标人</w:t>
      </w:r>
      <w:r>
        <w:rPr>
          <w:rFonts w:ascii="宋体" w:hAnsi="宋体" w:eastAsia="宋体"/>
          <w:sz w:val="24"/>
        </w:rPr>
        <w:t>认为采购人员</w:t>
      </w:r>
      <w:r>
        <w:rPr>
          <w:rFonts w:hint="eastAsia" w:ascii="宋体" w:hAnsi="宋体" w:eastAsia="宋体"/>
          <w:sz w:val="24"/>
        </w:rPr>
        <w:t>及其</w:t>
      </w:r>
      <w:r>
        <w:rPr>
          <w:rFonts w:ascii="宋体" w:hAnsi="宋体" w:eastAsia="宋体"/>
          <w:sz w:val="24"/>
        </w:rPr>
        <w:t>相关人员有</w:t>
      </w:r>
      <w:r>
        <w:rPr>
          <w:rFonts w:hint="eastAsia" w:ascii="宋体" w:hAnsi="宋体" w:eastAsia="宋体"/>
          <w:sz w:val="24"/>
        </w:rPr>
        <w:t>法律</w:t>
      </w:r>
      <w:r>
        <w:rPr>
          <w:rFonts w:ascii="宋体" w:hAnsi="宋体" w:eastAsia="宋体"/>
          <w:sz w:val="24"/>
        </w:rPr>
        <w:t>法规所列与其他供应商</w:t>
      </w:r>
      <w:r>
        <w:rPr>
          <w:rFonts w:hint="eastAsia" w:ascii="宋体" w:hAnsi="宋体" w:eastAsia="宋体"/>
          <w:sz w:val="24"/>
        </w:rPr>
        <w:t>有</w:t>
      </w:r>
      <w:r>
        <w:rPr>
          <w:rFonts w:ascii="宋体" w:hAnsi="宋体" w:eastAsia="宋体"/>
          <w:sz w:val="24"/>
        </w:rPr>
        <w:t>利害关系的，可以向</w:t>
      </w:r>
      <w:r>
        <w:rPr>
          <w:rFonts w:hint="eastAsia" w:ascii="宋体" w:hAnsi="宋体" w:eastAsia="宋体"/>
          <w:sz w:val="24"/>
        </w:rPr>
        <w:t>采购人或</w:t>
      </w:r>
      <w:r>
        <w:rPr>
          <w:rFonts w:ascii="宋体" w:hAnsi="宋体" w:eastAsia="宋体"/>
          <w:sz w:val="24"/>
        </w:rPr>
        <w:t>采购代理机构书面提出回避申请，并说明理由。</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36</w:t>
      </w:r>
      <w:r>
        <w:rPr>
          <w:rFonts w:asciiTheme="minorEastAsia" w:hAnsiTheme="minorEastAsia" w:eastAsiaTheme="minorEastAsia"/>
          <w:b/>
          <w:sz w:val="24"/>
        </w:rPr>
        <w:t>.</w:t>
      </w:r>
      <w:r>
        <w:rPr>
          <w:rFonts w:hint="eastAsia" w:asciiTheme="minorEastAsia" w:hAnsiTheme="minorEastAsia" w:eastAsiaTheme="minorEastAsia"/>
          <w:b/>
          <w:sz w:val="24"/>
        </w:rPr>
        <w:t>质疑的提出与接收</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36.1投标人认为招标文件、招标过程和中标结果使自己的权益受到损害的，可以根据</w:t>
      </w:r>
      <w:r>
        <w:rPr>
          <w:rFonts w:asciiTheme="minorEastAsia" w:hAnsiTheme="minorEastAsia" w:eastAsiaTheme="minorEastAsia"/>
          <w:sz w:val="24"/>
        </w:rPr>
        <w:t>《</w:t>
      </w:r>
      <w:r>
        <w:rPr>
          <w:rFonts w:hint="eastAsia" w:asciiTheme="minorEastAsia" w:hAnsiTheme="minorEastAsia" w:eastAsiaTheme="minorEastAsia"/>
          <w:sz w:val="24"/>
        </w:rPr>
        <w:t>中华人民共和国政府</w:t>
      </w:r>
      <w:r>
        <w:rPr>
          <w:rFonts w:asciiTheme="minorEastAsia" w:hAnsiTheme="minorEastAsia" w:eastAsiaTheme="minorEastAsia"/>
          <w:sz w:val="24"/>
        </w:rPr>
        <w:t>采购法》</w:t>
      </w:r>
      <w:r>
        <w:rPr>
          <w:rFonts w:hint="eastAsia" w:asciiTheme="minorEastAsia" w:hAnsiTheme="minorEastAsia" w:eastAsiaTheme="minorEastAsia"/>
          <w:sz w:val="24"/>
        </w:rPr>
        <w:t>、</w:t>
      </w:r>
      <w:r>
        <w:rPr>
          <w:rFonts w:asciiTheme="minorEastAsia" w:hAnsiTheme="minorEastAsia" w:eastAsiaTheme="minorEastAsia"/>
          <w:sz w:val="24"/>
        </w:rPr>
        <w:t>《</w:t>
      </w:r>
      <w:r>
        <w:rPr>
          <w:rFonts w:hint="eastAsia" w:asciiTheme="minorEastAsia" w:hAnsiTheme="minorEastAsia" w:eastAsiaTheme="minorEastAsia"/>
          <w:sz w:val="24"/>
        </w:rPr>
        <w:t>中华人民共和国政府</w:t>
      </w:r>
      <w:r>
        <w:rPr>
          <w:rFonts w:asciiTheme="minorEastAsia" w:hAnsiTheme="minorEastAsia" w:eastAsiaTheme="minorEastAsia"/>
          <w:sz w:val="24"/>
        </w:rPr>
        <w:t>采购法实施条例》</w:t>
      </w:r>
      <w:r>
        <w:rPr>
          <w:rFonts w:hint="eastAsia" w:asciiTheme="minorEastAsia" w:hAnsiTheme="minorEastAsia" w:eastAsiaTheme="minorEastAsia"/>
          <w:sz w:val="24"/>
        </w:rPr>
        <w:t>和</w:t>
      </w:r>
      <w:r>
        <w:rPr>
          <w:rFonts w:asciiTheme="minorEastAsia" w:hAnsiTheme="minorEastAsia" w:eastAsiaTheme="minorEastAsia"/>
          <w:sz w:val="24"/>
        </w:rPr>
        <w:t>《</w:t>
      </w:r>
      <w:r>
        <w:rPr>
          <w:rFonts w:hint="eastAsia" w:asciiTheme="minorEastAsia" w:hAnsiTheme="minorEastAsia" w:eastAsiaTheme="minorEastAsia"/>
          <w:sz w:val="24"/>
        </w:rPr>
        <w:t>政府</w:t>
      </w:r>
      <w:r>
        <w:rPr>
          <w:rFonts w:asciiTheme="minorEastAsia" w:hAnsiTheme="minorEastAsia" w:eastAsiaTheme="minorEastAsia"/>
          <w:sz w:val="24"/>
        </w:rPr>
        <w:t>采购质疑和投诉办法》</w:t>
      </w:r>
      <w:r>
        <w:rPr>
          <w:rFonts w:hint="eastAsia" w:asciiTheme="minorEastAsia" w:hAnsiTheme="minorEastAsia" w:eastAsiaTheme="minorEastAsia"/>
          <w:sz w:val="24"/>
        </w:rPr>
        <w:t>的</w:t>
      </w:r>
      <w:r>
        <w:rPr>
          <w:rFonts w:asciiTheme="minorEastAsia" w:hAnsiTheme="minorEastAsia" w:eastAsiaTheme="minorEastAsia"/>
          <w:sz w:val="24"/>
        </w:rPr>
        <w:t>有关规定，</w:t>
      </w:r>
      <w:r>
        <w:rPr>
          <w:rFonts w:hint="eastAsia" w:asciiTheme="minorEastAsia" w:hAnsiTheme="minorEastAsia" w:eastAsiaTheme="minorEastAsia"/>
          <w:sz w:val="24"/>
        </w:rPr>
        <w:t>依法向采购人或其委托的采购代理机构提出质疑。</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6</w:t>
      </w:r>
      <w:r>
        <w:rPr>
          <w:rFonts w:asciiTheme="minorEastAsia" w:hAnsiTheme="minorEastAsia" w:eastAsiaTheme="minorEastAsia"/>
          <w:sz w:val="24"/>
        </w:rPr>
        <w:t>.2</w:t>
      </w:r>
      <w:r>
        <w:rPr>
          <w:rFonts w:hint="eastAsia" w:asciiTheme="minorEastAsia" w:hAnsiTheme="minorEastAsia" w:eastAsiaTheme="minorEastAsia"/>
          <w:sz w:val="24"/>
        </w:rPr>
        <w:t>质疑供应商</w:t>
      </w:r>
      <w:r>
        <w:rPr>
          <w:rFonts w:asciiTheme="minorEastAsia" w:hAnsiTheme="minorEastAsia" w:eastAsiaTheme="minorEastAsia"/>
          <w:sz w:val="24"/>
        </w:rPr>
        <w:t>应按照财政部制定的</w:t>
      </w:r>
      <w:r>
        <w:rPr>
          <w:rFonts w:hint="eastAsia" w:asciiTheme="minorEastAsia" w:hAnsiTheme="minorEastAsia" w:eastAsiaTheme="minorEastAsia"/>
          <w:sz w:val="24"/>
        </w:rPr>
        <w:t>《政府采购供应商质疑函范本》格式（详见招标文件第七章）和</w:t>
      </w:r>
      <w:r>
        <w:rPr>
          <w:rFonts w:asciiTheme="minorEastAsia" w:hAnsiTheme="minorEastAsia" w:eastAsiaTheme="minorEastAsia"/>
          <w:sz w:val="24"/>
        </w:rPr>
        <w:t>《</w:t>
      </w:r>
      <w:r>
        <w:rPr>
          <w:rFonts w:hint="eastAsia" w:asciiTheme="minorEastAsia" w:hAnsiTheme="minorEastAsia" w:eastAsiaTheme="minorEastAsia"/>
          <w:sz w:val="24"/>
        </w:rPr>
        <w:t>政府</w:t>
      </w:r>
      <w:r>
        <w:rPr>
          <w:rFonts w:asciiTheme="minorEastAsia" w:hAnsiTheme="minorEastAsia" w:eastAsiaTheme="minorEastAsia"/>
          <w:sz w:val="24"/>
        </w:rPr>
        <w:t>采购质疑和投诉办法》的要求</w:t>
      </w:r>
      <w:r>
        <w:rPr>
          <w:rFonts w:hint="eastAsia" w:asciiTheme="minorEastAsia" w:hAnsiTheme="minorEastAsia" w:eastAsiaTheme="minorEastAsia"/>
          <w:sz w:val="24"/>
        </w:rPr>
        <w:t>，</w:t>
      </w:r>
      <w:r>
        <w:rPr>
          <w:rFonts w:asciiTheme="minorEastAsia" w:hAnsiTheme="minorEastAsia" w:eastAsiaTheme="minorEastAsia"/>
          <w:sz w:val="24"/>
        </w:rPr>
        <w:t>在法定质疑期内</w:t>
      </w:r>
      <w:r>
        <w:rPr>
          <w:rFonts w:hint="eastAsia" w:asciiTheme="minorEastAsia" w:hAnsiTheme="minorEastAsia" w:eastAsiaTheme="minorEastAsia"/>
          <w:sz w:val="24"/>
        </w:rPr>
        <w:t>以书面形式</w:t>
      </w:r>
      <w:r>
        <w:rPr>
          <w:rFonts w:asciiTheme="minorEastAsia" w:hAnsiTheme="minorEastAsia" w:eastAsiaTheme="minorEastAsia"/>
          <w:sz w:val="24"/>
        </w:rPr>
        <w:t>提出质疑</w:t>
      </w:r>
      <w:r>
        <w:rPr>
          <w:rFonts w:hint="eastAsia" w:asciiTheme="minorEastAsia" w:hAnsiTheme="minorEastAsia" w:eastAsiaTheme="minorEastAsia"/>
          <w:sz w:val="24"/>
        </w:rPr>
        <w:t>，超出法定质疑期提交的质疑将被拒绝。针对同一采购程序环节的质疑应一次性提出。</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36.3采购代理机构质疑函接收部门、联系电话和通讯地址，见</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w:t>
      </w:r>
    </w:p>
    <w:p>
      <w:pPr>
        <w:spacing w:line="360" w:lineRule="auto"/>
        <w:ind w:firstLine="437"/>
        <w:outlineLvl w:val="3"/>
        <w:rPr>
          <w:rFonts w:asciiTheme="minorEastAsia" w:hAnsiTheme="minorEastAsia" w:eastAsiaTheme="minorEastAsia"/>
          <w:b/>
          <w:sz w:val="24"/>
        </w:rPr>
      </w:pPr>
      <w:r>
        <w:rPr>
          <w:rFonts w:hint="eastAsia" w:asciiTheme="minorEastAsia" w:hAnsiTheme="minorEastAsia" w:eastAsiaTheme="minorEastAsia"/>
          <w:b/>
          <w:sz w:val="24"/>
        </w:rPr>
        <w:t>37</w:t>
      </w:r>
      <w:r>
        <w:rPr>
          <w:rFonts w:asciiTheme="minorEastAsia" w:hAnsiTheme="minorEastAsia" w:eastAsiaTheme="minorEastAsia"/>
          <w:b/>
          <w:sz w:val="24"/>
        </w:rPr>
        <w:t>.</w:t>
      </w:r>
      <w:r>
        <w:rPr>
          <w:rFonts w:hint="eastAsia" w:asciiTheme="minorEastAsia" w:hAnsiTheme="minorEastAsia" w:eastAsiaTheme="minorEastAsia"/>
          <w:b/>
          <w:sz w:val="24"/>
        </w:rPr>
        <w:t>需要补充的其他内容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需要补充的其他内容，见</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w:t>
      </w:r>
    </w:p>
    <w:p>
      <w:pPr>
        <w:widowControl/>
        <w:jc w:val="left"/>
        <w:rPr>
          <w:rFonts w:asciiTheme="minorEastAsia" w:hAnsiTheme="minorEastAsia" w:eastAsiaTheme="minorEastAsia"/>
          <w:b/>
          <w:sz w:val="28"/>
        </w:rPr>
      </w:pPr>
      <w:r>
        <w:rPr>
          <w:rFonts w:asciiTheme="minorEastAsia" w:hAnsiTheme="minorEastAsia" w:eastAsiaTheme="minorEastAsia"/>
          <w:sz w:val="24"/>
        </w:rPr>
        <w:br w:type="page"/>
      </w:r>
    </w:p>
    <w:p>
      <w:pPr>
        <w:spacing w:line="360" w:lineRule="auto"/>
        <w:jc w:val="center"/>
        <w:outlineLvl w:val="1"/>
        <w:rPr>
          <w:rFonts w:asciiTheme="minorEastAsia" w:hAnsiTheme="minorEastAsia" w:eastAsiaTheme="minorEastAsia"/>
          <w:b/>
          <w:sz w:val="28"/>
        </w:rPr>
      </w:pPr>
      <w:bookmarkStart w:id="49" w:name="_Toc60582625"/>
      <w:r>
        <w:rPr>
          <w:rFonts w:hint="eastAsia" w:asciiTheme="minorEastAsia" w:hAnsiTheme="minorEastAsia" w:eastAsiaTheme="minorEastAsia"/>
          <w:b/>
          <w:sz w:val="28"/>
        </w:rPr>
        <w:t>第三章  采购需求</w:t>
      </w:r>
      <w:bookmarkEnd w:id="49"/>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前注：</w:t>
      </w:r>
    </w:p>
    <w:p>
      <w:pPr>
        <w:spacing w:line="360" w:lineRule="auto"/>
        <w:ind w:firstLine="435"/>
        <w:rPr>
          <w:rFonts w:ascii="宋体" w:hAnsi="宋体" w:eastAsia="宋体"/>
          <w:sz w:val="24"/>
          <w:szCs w:val="18"/>
        </w:rPr>
      </w:pPr>
      <w:r>
        <w:rPr>
          <w:rFonts w:hint="eastAsia" w:asciiTheme="minorEastAsia" w:hAnsiTheme="minorEastAsia" w:eastAsiaTheme="minorEastAsia"/>
          <w:sz w:val="24"/>
        </w:rPr>
        <w:t>1.</w:t>
      </w:r>
      <w:r>
        <w:rPr>
          <w:rFonts w:ascii="宋体" w:hAnsi="宋体" w:eastAsia="宋体"/>
          <w:sz w:val="24"/>
          <w:szCs w:val="18"/>
        </w:rPr>
        <w:t>根据《关于规范政府采购进口产品有关工作的通知》及政府采购管理部门的相关规定，下列采购需求中</w:t>
      </w:r>
      <w:r>
        <w:rPr>
          <w:rFonts w:hint="eastAsia" w:ascii="宋体" w:hAnsi="宋体" w:eastAsia="宋体"/>
          <w:sz w:val="24"/>
          <w:szCs w:val="18"/>
        </w:rPr>
        <w:t>标注进口产品的货物均</w:t>
      </w:r>
      <w:r>
        <w:rPr>
          <w:rFonts w:ascii="宋体" w:hAnsi="宋体" w:eastAsia="宋体"/>
          <w:sz w:val="24"/>
          <w:szCs w:val="18"/>
        </w:rPr>
        <w:t>已履行相关论证手续，经核准采购进口</w:t>
      </w:r>
      <w:r>
        <w:rPr>
          <w:rFonts w:hint="eastAsia" w:ascii="宋体" w:hAnsi="宋体" w:eastAsia="宋体"/>
          <w:sz w:val="24"/>
          <w:szCs w:val="18"/>
        </w:rPr>
        <w:t>产品</w:t>
      </w:r>
      <w:r>
        <w:rPr>
          <w:rFonts w:ascii="宋体" w:hAnsi="宋体" w:eastAsia="宋体"/>
          <w:sz w:val="24"/>
          <w:szCs w:val="18"/>
        </w:rPr>
        <w:t>，但不限制满足招标文件要求的国内产品参与竞争</w:t>
      </w:r>
      <w:r>
        <w:rPr>
          <w:rFonts w:hint="eastAsia" w:ascii="宋体" w:hAnsi="宋体" w:eastAsia="宋体"/>
          <w:sz w:val="24"/>
          <w:szCs w:val="18"/>
        </w:rPr>
        <w:t>。未标注进口产品的货物均</w:t>
      </w:r>
      <w:r>
        <w:rPr>
          <w:rFonts w:ascii="宋体" w:hAnsi="宋体" w:eastAsia="宋体"/>
          <w:sz w:val="24"/>
          <w:szCs w:val="18"/>
        </w:rPr>
        <w:t>为拒绝采购进口产品</w:t>
      </w:r>
      <w:r>
        <w:rPr>
          <w:rFonts w:hint="eastAsia" w:ascii="宋体" w:hAnsi="宋体" w:eastAsia="宋体"/>
          <w:sz w:val="24"/>
          <w:szCs w:val="18"/>
        </w:rPr>
        <w:t>。</w:t>
      </w:r>
    </w:p>
    <w:p>
      <w:pPr>
        <w:spacing w:line="360" w:lineRule="auto"/>
        <w:ind w:firstLine="435"/>
        <w:rPr>
          <w:rFonts w:ascii="宋体" w:hAnsi="宋体" w:eastAsia="宋体"/>
          <w:sz w:val="24"/>
          <w:szCs w:val="18"/>
        </w:rPr>
      </w:pPr>
      <w:r>
        <w:rPr>
          <w:rFonts w:hint="eastAsia" w:ascii="宋体" w:hAnsi="宋体" w:eastAsia="宋体"/>
          <w:sz w:val="24"/>
          <w:szCs w:val="18"/>
        </w:rPr>
        <w:t>2.下列采购需求中：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pPr>
        <w:spacing w:line="360" w:lineRule="auto"/>
        <w:ind w:firstLine="435"/>
        <w:rPr>
          <w:rFonts w:ascii="宋体" w:hAnsi="宋体" w:eastAsia="宋体"/>
          <w:sz w:val="24"/>
          <w:szCs w:val="18"/>
        </w:rPr>
      </w:pPr>
      <w:r>
        <w:rPr>
          <w:rFonts w:hint="eastAsia" w:ascii="宋体" w:hAnsi="宋体" w:eastAsia="宋体"/>
          <w:sz w:val="24"/>
          <w:szCs w:val="18"/>
        </w:rPr>
        <w:t>3.</w:t>
      </w:r>
      <w:r>
        <w:rPr>
          <w:rFonts w:ascii="宋体" w:hAnsi="宋体" w:eastAsia="宋体"/>
          <w:sz w:val="24"/>
          <w:szCs w:val="18"/>
        </w:rPr>
        <w:t>下列采购需求中：标注▲的产品</w:t>
      </w:r>
      <w:r>
        <w:rPr>
          <w:rFonts w:hint="eastAsia" w:ascii="宋体" w:hAnsi="宋体" w:eastAsia="宋体"/>
          <w:sz w:val="24"/>
          <w:szCs w:val="18"/>
        </w:rPr>
        <w:t>（核心产品）</w:t>
      </w:r>
      <w:r>
        <w:rPr>
          <w:rFonts w:ascii="宋体" w:hAnsi="宋体" w:eastAsia="宋体"/>
          <w:sz w:val="24"/>
          <w:szCs w:val="18"/>
        </w:rPr>
        <w:t>，投标</w:t>
      </w:r>
      <w:r>
        <w:rPr>
          <w:rFonts w:hint="eastAsia" w:ascii="宋体" w:hAnsi="宋体" w:eastAsia="宋体"/>
          <w:sz w:val="24"/>
          <w:szCs w:val="18"/>
        </w:rPr>
        <w:t>人</w:t>
      </w:r>
      <w:r>
        <w:rPr>
          <w:rFonts w:ascii="宋体" w:hAnsi="宋体" w:eastAsia="宋体"/>
          <w:sz w:val="24"/>
          <w:szCs w:val="18"/>
        </w:rPr>
        <w:t>在投标文件《主要</w:t>
      </w:r>
      <w:r>
        <w:rPr>
          <w:rFonts w:hint="eastAsia" w:ascii="宋体" w:hAnsi="宋体" w:eastAsia="宋体"/>
          <w:sz w:val="24"/>
          <w:szCs w:val="18"/>
        </w:rPr>
        <w:t>中标</w:t>
      </w:r>
      <w:r>
        <w:rPr>
          <w:rFonts w:ascii="宋体" w:hAnsi="宋体" w:eastAsia="宋体"/>
          <w:sz w:val="24"/>
          <w:szCs w:val="18"/>
        </w:rPr>
        <w:t>标的承诺函》中填写名称、</w:t>
      </w:r>
      <w:r>
        <w:rPr>
          <w:rFonts w:hint="eastAsia" w:ascii="宋体" w:hAnsi="宋体" w:eastAsia="宋体"/>
          <w:sz w:val="24"/>
          <w:szCs w:val="18"/>
        </w:rPr>
        <w:t>品牌、</w:t>
      </w:r>
      <w:r>
        <w:rPr>
          <w:rFonts w:ascii="宋体" w:hAnsi="宋体" w:eastAsia="宋体"/>
          <w:sz w:val="24"/>
          <w:szCs w:val="18"/>
        </w:rPr>
        <w:t>规格、型号、数量、单价等信息</w:t>
      </w:r>
      <w:r>
        <w:rPr>
          <w:rFonts w:hint="eastAsia" w:ascii="宋体" w:hAnsi="宋体" w:eastAsia="宋体"/>
          <w:sz w:val="24"/>
          <w:szCs w:val="18"/>
        </w:rPr>
        <w:t>。</w:t>
      </w:r>
    </w:p>
    <w:p>
      <w:pPr>
        <w:spacing w:line="360" w:lineRule="auto"/>
        <w:ind w:firstLine="437"/>
        <w:rPr>
          <w:rFonts w:ascii="宋体" w:hAnsi="宋体" w:eastAsia="宋体"/>
          <w:b/>
          <w:sz w:val="24"/>
          <w:szCs w:val="18"/>
        </w:rPr>
      </w:pPr>
      <w:r>
        <w:rPr>
          <w:rFonts w:hint="eastAsia" w:ascii="宋体" w:hAnsi="宋体" w:eastAsia="宋体"/>
          <w:b/>
          <w:sz w:val="24"/>
          <w:szCs w:val="18"/>
        </w:rPr>
        <w:t>一、采购需求前附表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032"/>
        <w:gridCol w:w="5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4"/>
              <w:pBdr>
                <w:bottom w:val="none" w:color="auto" w:sz="0" w:space="0"/>
              </w:pBdr>
              <w:tabs>
                <w:tab w:val="clear" w:pos="4153"/>
                <w:tab w:val="clear" w:pos="8306"/>
              </w:tabs>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2032" w:type="dxa"/>
            <w:vAlign w:val="center"/>
          </w:tcPr>
          <w:p>
            <w:pPr>
              <w:pStyle w:val="33"/>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5483" w:type="dxa"/>
            <w:vAlign w:val="center"/>
          </w:tcPr>
          <w:p>
            <w:pPr>
              <w:pStyle w:val="33"/>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4"/>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2032" w:type="dxa"/>
            <w:vAlign w:val="center"/>
          </w:tcPr>
          <w:p>
            <w:pPr>
              <w:pStyle w:val="33"/>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5483" w:type="dxa"/>
            <w:vAlign w:val="center"/>
          </w:tcPr>
          <w:p>
            <w:pPr>
              <w:pStyle w:val="33"/>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cs="宋体"/>
                <w:b w:val="0"/>
                <w:bCs w:val="0"/>
                <w:spacing w:val="-5"/>
                <w:sz w:val="24"/>
                <w:szCs w:val="24"/>
              </w:rPr>
              <w:t>合同签订生效并具备实施条件后支付40%预付款（提供相应金额的预付款担保），验收合格后支付剩余合同款。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4"/>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2032" w:type="dxa"/>
            <w:vAlign w:val="center"/>
          </w:tcPr>
          <w:p>
            <w:pPr>
              <w:pStyle w:val="33"/>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供货及安装地点</w:t>
            </w:r>
          </w:p>
        </w:tc>
        <w:tc>
          <w:tcPr>
            <w:tcW w:w="5483"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招标人指定地点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4"/>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2032" w:type="dxa"/>
            <w:vAlign w:val="center"/>
          </w:tcPr>
          <w:p>
            <w:pPr>
              <w:pStyle w:val="34"/>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供货及安装期限</w:t>
            </w:r>
          </w:p>
        </w:tc>
        <w:tc>
          <w:tcPr>
            <w:tcW w:w="5483"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bCs w:val="0"/>
                <w:kern w:val="2"/>
                <w:sz w:val="24"/>
                <w:szCs w:val="18"/>
              </w:rPr>
              <w:t>合同签订后45个工作日内完成全部供货及安装调试。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pPr>
              <w:pStyle w:val="34"/>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4</w:t>
            </w:r>
          </w:p>
        </w:tc>
        <w:tc>
          <w:tcPr>
            <w:tcW w:w="2032" w:type="dxa"/>
            <w:vAlign w:val="center"/>
          </w:tcPr>
          <w:p>
            <w:pPr>
              <w:pStyle w:val="34"/>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免费质保期</w:t>
            </w:r>
          </w:p>
        </w:tc>
        <w:tc>
          <w:tcPr>
            <w:tcW w:w="5483" w:type="dxa"/>
            <w:vAlign w:val="center"/>
          </w:tcPr>
          <w:p>
            <w:pPr>
              <w:pStyle w:val="33"/>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验收合格日起不少于3年，投标人在此基础上自报。</w:t>
            </w:r>
          </w:p>
        </w:tc>
      </w:tr>
    </w:tbl>
    <w:p>
      <w:pPr>
        <w:spacing w:line="360" w:lineRule="auto"/>
        <w:ind w:firstLine="437"/>
        <w:rPr>
          <w:rFonts w:ascii="宋体" w:hAnsi="宋体" w:eastAsia="宋体"/>
          <w:b/>
          <w:bCs/>
          <w:sz w:val="24"/>
          <w:szCs w:val="18"/>
        </w:rPr>
      </w:pPr>
    </w:p>
    <w:p>
      <w:pPr>
        <w:spacing w:line="360" w:lineRule="auto"/>
        <w:ind w:firstLine="437"/>
        <w:rPr>
          <w:rFonts w:ascii="宋体" w:hAnsi="宋体" w:eastAsia="宋体"/>
          <w:b/>
          <w:bCs/>
          <w:sz w:val="24"/>
          <w:szCs w:val="18"/>
        </w:rPr>
      </w:pPr>
      <w:r>
        <w:rPr>
          <w:rFonts w:hint="eastAsia" w:ascii="宋体" w:hAnsi="宋体" w:eastAsia="宋体"/>
          <w:b/>
          <w:bCs/>
          <w:sz w:val="24"/>
          <w:szCs w:val="18"/>
        </w:rPr>
        <w:t>二、货物需求</w:t>
      </w:r>
    </w:p>
    <w:p>
      <w:pPr>
        <w:pStyle w:val="33"/>
        <w:widowControl w:val="0"/>
        <w:spacing w:before="0" w:beforeAutospacing="0" w:after="0" w:afterAutospacing="0" w:line="360" w:lineRule="auto"/>
        <w:rPr>
          <w:rFonts w:ascii="宋体" w:hAnsi="宋体" w:eastAsia="宋体"/>
          <w:b w:val="0"/>
          <w:sz w:val="24"/>
        </w:rPr>
        <w:sectPr>
          <w:footerReference r:id="rId5" w:type="default"/>
          <w:pgSz w:w="11906" w:h="16838"/>
          <w:pgMar w:top="1440" w:right="1800" w:bottom="1440" w:left="1800" w:header="851" w:footer="992" w:gutter="0"/>
          <w:pgNumType w:start="1"/>
          <w:cols w:space="425" w:num="1"/>
          <w:docGrid w:type="lines" w:linePitch="312" w:charSpace="0"/>
        </w:sectPr>
      </w:pPr>
    </w:p>
    <w:tbl>
      <w:tblPr>
        <w:tblStyle w:val="24"/>
        <w:tblW w:w="9402" w:type="dxa"/>
        <w:jc w:val="center"/>
        <w:tblLayout w:type="fixed"/>
        <w:tblCellMar>
          <w:top w:w="0" w:type="dxa"/>
          <w:left w:w="108" w:type="dxa"/>
          <w:bottom w:w="0" w:type="dxa"/>
          <w:right w:w="108" w:type="dxa"/>
        </w:tblCellMar>
      </w:tblPr>
      <w:tblGrid>
        <w:gridCol w:w="721"/>
        <w:gridCol w:w="1100"/>
        <w:gridCol w:w="5551"/>
        <w:gridCol w:w="1215"/>
        <w:gridCol w:w="815"/>
      </w:tblGrid>
      <w:tr>
        <w:tblPrEx>
          <w:tblCellMar>
            <w:top w:w="0" w:type="dxa"/>
            <w:left w:w="108" w:type="dxa"/>
            <w:bottom w:w="0" w:type="dxa"/>
            <w:right w:w="108" w:type="dxa"/>
          </w:tblCellMar>
        </w:tblPrEx>
        <w:trPr>
          <w:trHeight w:val="847" w:hRule="atLeast"/>
          <w:jc w:val="center"/>
        </w:trPr>
        <w:tc>
          <w:tcPr>
            <w:tcW w:w="9402" w:type="dxa"/>
            <w:gridSpan w:val="5"/>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产教融合实训基地建设项目（第一、二包）（第一包）</w:t>
            </w: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序号</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货物名称</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技术参数及要求</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数量</w:t>
            </w:r>
          </w:p>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（单位）</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备注</w:t>
            </w: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航空密封施工实训平台</w:t>
            </w:r>
          </w:p>
        </w:tc>
        <w:tc>
          <w:tcPr>
            <w:tcW w:w="5551" w:type="dxa"/>
            <w:tcBorders>
              <w:top w:val="single" w:color="000000" w:sz="4" w:space="0"/>
              <w:left w:val="single" w:color="000000" w:sz="4" w:space="0"/>
              <w:bottom w:val="single" w:color="000000" w:sz="4" w:space="0"/>
              <w:right w:val="single" w:color="000000" w:sz="4" w:space="0"/>
            </w:tcBorders>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一、实训平台基本功能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1.航空密封施工实训平台具备模拟飞机密封结构的教学内容，学生在实际操作中可掌握航空密封的基本原理和技能；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2.具备多种类型的密封件，如密封胶、O形圈等，供学生选择和安装；</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3.具备不同形状和尺寸的密封缝隙，如填角密封、填缝密封、圆形、方形天线密封等，供学生练习不同的密封技巧；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4.具备模拟不同的密封场景，如机翼盖板区域、机身天线区域、燃油箱内部区域等，让学生了解不同部位的密封要求和方法；</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5.实训平台技术均应涵盖CCAR-66R3航空密封施工的内容及要求，适用于航空器维修基本技能、民用航空器航线维修、航空机务基本技能知识要领。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二、实训平台技术要求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1.航空密封施工实训平台框架需选用国标优质板材经弯折、焊接等工艺成型；主要部件应包括：实训功能板支撑箱体、一体化收纳抽屉柜、可移动安装底座等；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2.平台主体需整体结构可靠、方便学员操作、金属材料及表面需喷塑处理；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3.平台设计需提供功能相同的四工位训练工位，具备两套方便拆卸和组装的实训功能板支撑箱体；</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4.平台尺寸需符合学校规划场所的面积要求，以及符合培训要求，2200*800*1500mm（误差允许范围为50mm）；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5.平台具有可快速安装4个实训工位，实训工位安装边框材料为1.5mm厚金属板材；每工位操作面积不低于500*400±50mm；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平台内含两套支撑箱体为独立结构，每套支撑箱体设计至少三面内衬盖板，所有结构连接部件均需设置于盖板内部隐藏设计；每套支撑箱体需设置两套可调节操作角度的功能板安装框架，能实现操作面板角度在90º-135º范围内调节，以适应不同实际操作训练场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7.每个训练工位至少应包含航空两处填角密封、两处填缝密封、两处注射密封实训设计，航空ATC天线密封、航空方形天线密封、两处轴承润滑与密封；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三、配套资源及实训内容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1.平台满足填角密封、两处填缝密封、两处注射密封实训设计，航空ATC天线密封、航空方形天线密封的拆装训练内容；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2.平台满足至少应包含典型航空结构对接密封设计、航空螺栓头密封集群、航空铆钉头密封集群、航空轴用密封圈拆装施工设计、航空孔用密封圈施工内容；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四、实训平台配套文件资料</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1.提供航空密封施工实训平台与实训操作面的实物图或3D效果图，并提供实训平台主要部件、配置航材、零件明细清单表等信息；</w:t>
            </w:r>
            <w:r>
              <w:rPr>
                <w:rFonts w:hint="eastAsia" w:ascii="宋体" w:hAnsi="宋体" w:eastAsia="宋体" w:cs="宋体"/>
                <w:sz w:val="24"/>
                <w:szCs w:val="24"/>
              </w:rPr>
              <w:t>（投标文件中需提供上述文件）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2.提供至少5份工卡，涵盖航空填角密封施工、航空对接密封施工、航空注射密封施工、航空封严件施工、轴承润滑施工等典型航空密封施工技能知识点的训练工卡，工卡内容需与主要部件一一对应。</w:t>
            </w:r>
            <w:r>
              <w:rPr>
                <w:rFonts w:hint="eastAsia" w:ascii="宋体" w:hAnsi="宋体" w:eastAsia="宋体" w:cs="宋体"/>
                <w:sz w:val="24"/>
                <w:szCs w:val="24"/>
              </w:rPr>
              <w:t>（投标文件中需提供上述文件，工卡内容清晰，推荐为PDF或JPG格式）</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胶枪</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1.用于结构胶、玻璃胶等胶体的注射；</w:t>
            </w:r>
            <w:r>
              <w:rPr>
                <w:rFonts w:hint="eastAsia" w:ascii="宋体" w:hAnsi="宋体" w:eastAsia="宋体" w:cs="宋体"/>
                <w:b w:val="0"/>
                <w:sz w:val="24"/>
                <w:szCs w:val="24"/>
              </w:rPr>
              <w:br w:type="textWrapping"/>
            </w:r>
            <w:r>
              <w:rPr>
                <w:rFonts w:hint="eastAsia" w:ascii="宋体" w:hAnsi="宋体" w:eastAsia="宋体" w:cs="宋体"/>
                <w:b w:val="0"/>
                <w:sz w:val="24"/>
                <w:szCs w:val="24"/>
              </w:rPr>
              <w:t>2.铝合金手柄；高强度钢板枪体；</w:t>
            </w:r>
            <w:r>
              <w:rPr>
                <w:rFonts w:hint="eastAsia" w:ascii="宋体" w:hAnsi="宋体" w:eastAsia="宋体" w:cs="宋体"/>
                <w:b w:val="0"/>
                <w:sz w:val="24"/>
                <w:szCs w:val="24"/>
              </w:rPr>
              <w:br w:type="textWrapping"/>
            </w:r>
            <w:r>
              <w:rPr>
                <w:rFonts w:hint="eastAsia" w:ascii="宋体" w:hAnsi="宋体" w:eastAsia="宋体" w:cs="宋体"/>
                <w:b w:val="0"/>
                <w:sz w:val="24"/>
                <w:szCs w:val="24"/>
              </w:rPr>
              <w:t>3.打胶均匀；可挤压高粘度胶；</w:t>
            </w:r>
            <w:r>
              <w:rPr>
                <w:rFonts w:hint="eastAsia" w:ascii="宋体" w:hAnsi="宋体" w:eastAsia="宋体" w:cs="宋体"/>
                <w:b w:val="0"/>
                <w:sz w:val="24"/>
                <w:szCs w:val="24"/>
              </w:rPr>
              <w:br w:type="textWrapping"/>
            </w:r>
            <w:r>
              <w:rPr>
                <w:rFonts w:hint="eastAsia" w:ascii="宋体" w:hAnsi="宋体" w:eastAsia="宋体" w:cs="宋体"/>
                <w:b w:val="0"/>
                <w:sz w:val="24"/>
                <w:szCs w:val="24"/>
              </w:rPr>
              <w:t>4.360°旋转枪体,适合在狭小空间使用；</w:t>
            </w:r>
            <w:r>
              <w:rPr>
                <w:rFonts w:hint="eastAsia" w:ascii="宋体" w:hAnsi="宋体" w:eastAsia="宋体" w:cs="宋体"/>
                <w:b w:val="0"/>
                <w:sz w:val="24"/>
                <w:szCs w:val="24"/>
              </w:rPr>
              <w:br w:type="textWrapping"/>
            </w:r>
            <w:r>
              <w:rPr>
                <w:rFonts w:hint="eastAsia" w:ascii="宋体" w:hAnsi="宋体" w:eastAsia="宋体" w:cs="宋体"/>
                <w:b w:val="0"/>
                <w:sz w:val="24"/>
                <w:szCs w:val="24"/>
              </w:rPr>
              <w:t>5.规格9寸；</w:t>
            </w:r>
            <w:r>
              <w:rPr>
                <w:rFonts w:hint="eastAsia" w:ascii="宋体" w:hAnsi="宋体" w:eastAsia="宋体" w:cs="宋体"/>
                <w:b w:val="0"/>
                <w:sz w:val="24"/>
                <w:szCs w:val="24"/>
              </w:rPr>
              <w:br w:type="textWrapping"/>
            </w:r>
            <w:r>
              <w:rPr>
                <w:rFonts w:hint="eastAsia" w:ascii="宋体" w:hAnsi="宋体" w:eastAsia="宋体" w:cs="宋体"/>
                <w:b w:val="0"/>
                <w:sz w:val="24"/>
                <w:szCs w:val="24"/>
              </w:rPr>
              <w:t>6.净重约0.7Kg。</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24把</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电子秤</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1.最大秤量：不低于7000g；</w:t>
            </w:r>
            <w:r>
              <w:rPr>
                <w:rFonts w:hint="eastAsia" w:ascii="宋体" w:hAnsi="宋体" w:eastAsia="宋体" w:cs="宋体"/>
                <w:b w:val="0"/>
                <w:sz w:val="24"/>
                <w:szCs w:val="24"/>
              </w:rPr>
              <w:br w:type="textWrapping"/>
            </w:r>
            <w:r>
              <w:rPr>
                <w:rFonts w:hint="eastAsia" w:ascii="宋体" w:hAnsi="宋体" w:eastAsia="宋体" w:cs="宋体"/>
                <w:b w:val="0"/>
                <w:sz w:val="24"/>
                <w:szCs w:val="24"/>
              </w:rPr>
              <w:t>2.输入电压：5V DC；</w:t>
            </w:r>
            <w:r>
              <w:rPr>
                <w:rFonts w:hint="eastAsia" w:ascii="宋体" w:hAnsi="宋体" w:eastAsia="宋体" w:cs="宋体"/>
                <w:b w:val="0"/>
                <w:sz w:val="24"/>
                <w:szCs w:val="24"/>
              </w:rPr>
              <w:br w:type="textWrapping"/>
            </w:r>
            <w:r>
              <w:rPr>
                <w:rFonts w:hint="eastAsia" w:ascii="宋体" w:hAnsi="宋体" w:eastAsia="宋体" w:cs="宋体"/>
                <w:b w:val="0"/>
                <w:sz w:val="24"/>
                <w:szCs w:val="24"/>
              </w:rPr>
              <w:t>3.显示精度：全量程显示： 0.1g (0-7100g) ，可选显示0.05g (0-999.95g)；</w:t>
            </w:r>
            <w:r>
              <w:rPr>
                <w:rFonts w:hint="eastAsia" w:ascii="宋体" w:hAnsi="宋体" w:eastAsia="宋体" w:cs="宋体"/>
                <w:b w:val="0"/>
                <w:sz w:val="24"/>
                <w:szCs w:val="24"/>
              </w:rPr>
              <w:br w:type="textWrapping"/>
            </w:r>
            <w:r>
              <w:rPr>
                <w:rFonts w:hint="eastAsia" w:ascii="宋体" w:hAnsi="宋体" w:eastAsia="宋体" w:cs="宋体"/>
                <w:b w:val="0"/>
                <w:sz w:val="24"/>
                <w:szCs w:val="24"/>
              </w:rPr>
              <w:t>4.显示稳定时间：约1秒，LCD液晶显示，带背光；</w:t>
            </w:r>
            <w:r>
              <w:rPr>
                <w:rFonts w:hint="eastAsia" w:ascii="宋体" w:hAnsi="宋体" w:eastAsia="宋体" w:cs="宋体"/>
                <w:b w:val="0"/>
                <w:sz w:val="24"/>
                <w:szCs w:val="24"/>
              </w:rPr>
              <w:br w:type="textWrapping"/>
            </w:r>
            <w:r>
              <w:rPr>
                <w:rFonts w:hint="eastAsia" w:ascii="宋体" w:hAnsi="宋体" w:eastAsia="宋体" w:cs="宋体"/>
                <w:b w:val="0"/>
                <w:sz w:val="24"/>
                <w:szCs w:val="24"/>
              </w:rPr>
              <w:t>5.电源适配器： 交流电源适配器。</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钢板尺（公英制）</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1.长度：0-12英寸，公制尺寸300mm；</w:t>
            </w:r>
            <w:r>
              <w:rPr>
                <w:rFonts w:hint="eastAsia" w:ascii="宋体" w:hAnsi="宋体" w:eastAsia="宋体" w:cs="宋体"/>
                <w:b w:val="0"/>
                <w:sz w:val="24"/>
                <w:szCs w:val="24"/>
              </w:rPr>
              <w:br w:type="textWrapping"/>
            </w:r>
            <w:r>
              <w:rPr>
                <w:rFonts w:hint="eastAsia" w:ascii="宋体" w:hAnsi="宋体" w:eastAsia="宋体" w:cs="宋体"/>
                <w:b w:val="0"/>
                <w:sz w:val="24"/>
                <w:szCs w:val="24"/>
              </w:rPr>
              <w:t>2.刻度读数精度：1/64英寸或以下；</w:t>
            </w:r>
            <w:r>
              <w:rPr>
                <w:rFonts w:hint="eastAsia" w:ascii="宋体" w:hAnsi="宋体" w:eastAsia="宋体" w:cs="宋体"/>
                <w:b w:val="0"/>
                <w:sz w:val="24"/>
                <w:szCs w:val="24"/>
              </w:rPr>
              <w:br w:type="textWrapping"/>
            </w:r>
            <w:r>
              <w:rPr>
                <w:rFonts w:hint="eastAsia" w:ascii="宋体" w:hAnsi="宋体" w:eastAsia="宋体" w:cs="宋体"/>
                <w:b w:val="0"/>
                <w:sz w:val="24"/>
                <w:szCs w:val="24"/>
              </w:rPr>
              <w:t>3.表面银色亚光处理；</w:t>
            </w:r>
            <w:r>
              <w:rPr>
                <w:rFonts w:hint="eastAsia" w:ascii="宋体" w:hAnsi="宋体" w:eastAsia="宋体" w:cs="宋体"/>
                <w:b w:val="0"/>
                <w:sz w:val="24"/>
                <w:szCs w:val="24"/>
              </w:rPr>
              <w:br w:type="textWrapping"/>
            </w:r>
            <w:r>
              <w:rPr>
                <w:rFonts w:hint="eastAsia" w:ascii="宋体" w:hAnsi="宋体" w:eastAsia="宋体" w:cs="宋体"/>
                <w:b w:val="0"/>
                <w:sz w:val="24"/>
                <w:szCs w:val="24"/>
              </w:rPr>
              <w:t>4.采用不锈钢材料制造。</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24把</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塑料托盘</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1.用于日常工具耗材的存放转移；</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2.塑料托盘尺寸约360*240*60mm；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3.加厚塑料方盘工具收纳配件盒；</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72个</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货架</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1.货架材质及承重以工业级重型货架为参考依据；</w:t>
            </w:r>
            <w:r>
              <w:rPr>
                <w:rFonts w:hint="eastAsia" w:ascii="宋体" w:hAnsi="宋体" w:eastAsia="宋体" w:cs="宋体"/>
                <w:b w:val="0"/>
                <w:sz w:val="24"/>
                <w:szCs w:val="24"/>
              </w:rPr>
              <w:br w:type="textWrapping"/>
            </w:r>
            <w:r>
              <w:rPr>
                <w:rFonts w:hint="eastAsia" w:ascii="宋体" w:hAnsi="宋体" w:eastAsia="宋体" w:cs="宋体"/>
                <w:b w:val="0"/>
                <w:sz w:val="24"/>
                <w:szCs w:val="24"/>
              </w:rPr>
              <w:t>2.立柱尺寸：80mm,横梁尺寸：180mm（双货位承重不少于300Kg）；</w:t>
            </w:r>
            <w:r>
              <w:rPr>
                <w:rFonts w:hint="eastAsia" w:ascii="宋体" w:hAnsi="宋体" w:eastAsia="宋体" w:cs="宋体"/>
                <w:b w:val="0"/>
                <w:sz w:val="24"/>
                <w:szCs w:val="24"/>
              </w:rPr>
              <w:br w:type="textWrapping"/>
            </w:r>
            <w:r>
              <w:rPr>
                <w:rFonts w:hint="eastAsia" w:ascii="宋体" w:hAnsi="宋体" w:eastAsia="宋体" w:cs="宋体"/>
                <w:b w:val="0"/>
                <w:sz w:val="24"/>
                <w:szCs w:val="24"/>
              </w:rPr>
              <w:t>3.货架尺寸约：L2000×W450×H2000mm, 四层横梁；</w:t>
            </w:r>
            <w:r>
              <w:rPr>
                <w:rFonts w:hint="eastAsia" w:ascii="宋体" w:hAnsi="宋体" w:eastAsia="宋体" w:cs="宋体"/>
                <w:b w:val="0"/>
                <w:sz w:val="24"/>
                <w:szCs w:val="24"/>
              </w:rPr>
              <w:br w:type="textWrapping"/>
            </w:r>
            <w:r>
              <w:rPr>
                <w:rFonts w:hint="eastAsia" w:ascii="宋体" w:hAnsi="宋体" w:eastAsia="宋体" w:cs="宋体"/>
                <w:b w:val="0"/>
                <w:sz w:val="24"/>
                <w:szCs w:val="24"/>
              </w:rPr>
              <w:t>4.2-3层货位，货位参考尺寸约：L1200×W400×H550（mm）。</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35套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7</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工具柜</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1.环保静电粉末，冷轧钢板基材，内置网孔板设计；</w:t>
            </w:r>
            <w:r>
              <w:rPr>
                <w:rFonts w:hint="eastAsia" w:ascii="宋体" w:hAnsi="宋体" w:eastAsia="宋体" w:cs="宋体"/>
                <w:b w:val="0"/>
                <w:sz w:val="24"/>
                <w:szCs w:val="24"/>
              </w:rPr>
              <w:br w:type="textWrapping"/>
            </w:r>
            <w:r>
              <w:rPr>
                <w:rFonts w:hint="eastAsia" w:ascii="宋体" w:hAnsi="宋体" w:eastAsia="宋体" w:cs="宋体"/>
                <w:b w:val="0"/>
                <w:sz w:val="24"/>
                <w:szCs w:val="24"/>
              </w:rPr>
              <w:t>2.深*宽*高（mm）：≥1800×1000×500 ；</w:t>
            </w:r>
            <w:r>
              <w:rPr>
                <w:rFonts w:hint="eastAsia" w:ascii="宋体" w:hAnsi="宋体" w:eastAsia="宋体" w:cs="宋体"/>
                <w:b w:val="0"/>
                <w:sz w:val="24"/>
                <w:szCs w:val="24"/>
              </w:rPr>
              <w:br w:type="textWrapping"/>
            </w:r>
            <w:r>
              <w:rPr>
                <w:rFonts w:hint="eastAsia" w:ascii="宋体" w:hAnsi="宋体" w:eastAsia="宋体" w:cs="宋体"/>
                <w:b w:val="0"/>
                <w:sz w:val="24"/>
                <w:szCs w:val="24"/>
              </w:rPr>
              <w:t>3.柜体厚度：≥1.0mm，含上下锁芯设计；</w:t>
            </w:r>
            <w:r>
              <w:rPr>
                <w:rFonts w:hint="eastAsia" w:ascii="宋体" w:hAnsi="宋体" w:eastAsia="宋体" w:cs="宋体"/>
                <w:b w:val="0"/>
                <w:sz w:val="24"/>
                <w:szCs w:val="24"/>
              </w:rPr>
              <w:br w:type="textWrapping"/>
            </w:r>
            <w:r>
              <w:rPr>
                <w:rFonts w:hint="eastAsia" w:ascii="宋体" w:hAnsi="宋体" w:eastAsia="宋体" w:cs="宋体"/>
                <w:b w:val="0"/>
                <w:sz w:val="24"/>
                <w:szCs w:val="24"/>
              </w:rPr>
              <w:t>4.层数：上下柜，中间带2个抽屉；</w:t>
            </w:r>
            <w:r>
              <w:rPr>
                <w:rFonts w:hint="eastAsia" w:ascii="宋体" w:hAnsi="宋体" w:eastAsia="宋体" w:cs="宋体"/>
                <w:b w:val="0"/>
                <w:sz w:val="24"/>
                <w:szCs w:val="24"/>
              </w:rPr>
              <w:br w:type="textWrapping"/>
            </w:r>
            <w:r>
              <w:rPr>
                <w:rFonts w:hint="eastAsia" w:ascii="宋体" w:hAnsi="宋体" w:eastAsia="宋体" w:cs="宋体"/>
                <w:b w:val="0"/>
                <w:sz w:val="24"/>
                <w:szCs w:val="24"/>
              </w:rPr>
              <w:t>5.零件盒挂板设计，满足不低于20个零件盒同时存放；</w:t>
            </w:r>
            <w:r>
              <w:rPr>
                <w:rFonts w:hint="eastAsia" w:ascii="宋体" w:hAnsi="宋体" w:eastAsia="宋体" w:cs="宋体"/>
                <w:b w:val="0"/>
                <w:sz w:val="24"/>
                <w:szCs w:val="24"/>
              </w:rPr>
              <w:br w:type="textWrapping"/>
            </w:r>
            <w:r>
              <w:rPr>
                <w:rFonts w:hint="eastAsia" w:ascii="宋体" w:hAnsi="宋体" w:eastAsia="宋体" w:cs="宋体"/>
                <w:b w:val="0"/>
                <w:sz w:val="24"/>
                <w:szCs w:val="24"/>
              </w:rPr>
              <w:t>6.承重：约300Kg。</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10台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8</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密封防腐训练耗材</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1.丁晴手套200付；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2.纸胶带200卷；</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3.密封胶50支；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4.防护镜40付；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5.口罩300只；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6.毛刷100支；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7.橡胶手套50双；</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8.棉纱手套200双；</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9.压舌板1000个；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10.刮胶板200个。</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1批</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9</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多媒体教学装置</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一、显示硬件部分：</w:t>
            </w:r>
            <w:r>
              <w:rPr>
                <w:rFonts w:hint="eastAsia" w:ascii="宋体" w:hAnsi="宋体" w:eastAsia="宋体" w:cs="宋体"/>
                <w:b w:val="0"/>
                <w:sz w:val="24"/>
                <w:szCs w:val="24"/>
              </w:rPr>
              <w:br w:type="textWrapping"/>
            </w:r>
            <w:r>
              <w:rPr>
                <w:rFonts w:hint="eastAsia" w:ascii="宋体" w:hAnsi="宋体" w:eastAsia="宋体" w:cs="宋体"/>
                <w:b w:val="0"/>
                <w:sz w:val="24"/>
                <w:szCs w:val="24"/>
              </w:rPr>
              <w:t>1.液晶屏：尺寸≥75英寸，显示比例(16：9)，可视角度≥178°；</w:t>
            </w:r>
            <w:r>
              <w:rPr>
                <w:rFonts w:hint="eastAsia" w:ascii="宋体" w:hAnsi="宋体" w:eastAsia="宋体" w:cs="宋体"/>
                <w:b w:val="0"/>
                <w:sz w:val="24"/>
                <w:szCs w:val="24"/>
              </w:rPr>
              <w:br w:type="textWrapping"/>
            </w:r>
            <w:r>
              <w:rPr>
                <w:rFonts w:hint="eastAsia" w:ascii="宋体" w:hAnsi="宋体" w:eastAsia="宋体" w:cs="宋体"/>
                <w:b w:val="0"/>
                <w:sz w:val="24"/>
                <w:szCs w:val="24"/>
              </w:rPr>
              <w:t>2.分辨率：≥3840*2160；亮度≥800cd/m²；对比度≥6000:1；</w:t>
            </w:r>
            <w:r>
              <w:rPr>
                <w:rFonts w:hint="eastAsia" w:ascii="宋体" w:hAnsi="宋体" w:eastAsia="宋体" w:cs="宋体"/>
                <w:b w:val="0"/>
                <w:sz w:val="24"/>
                <w:szCs w:val="24"/>
              </w:rPr>
              <w:br w:type="textWrapping"/>
            </w:r>
            <w:r>
              <w:rPr>
                <w:rFonts w:hint="eastAsia" w:ascii="宋体" w:hAnsi="宋体" w:eastAsia="宋体" w:cs="宋体"/>
                <w:b w:val="0"/>
                <w:sz w:val="24"/>
                <w:szCs w:val="24"/>
              </w:rPr>
              <w:t>3.接口：不少于USB3.0*2,HDMI*2,Touch usb*1；</w:t>
            </w:r>
            <w:r>
              <w:rPr>
                <w:rFonts w:hint="eastAsia" w:ascii="宋体" w:hAnsi="宋体" w:eastAsia="宋体" w:cs="宋体"/>
                <w:b w:val="0"/>
                <w:sz w:val="24"/>
                <w:szCs w:val="24"/>
              </w:rPr>
              <w:br w:type="textWrapping"/>
            </w:r>
            <w:r>
              <w:rPr>
                <w:rFonts w:hint="eastAsia" w:ascii="宋体" w:hAnsi="宋体" w:eastAsia="宋体" w:cs="宋体"/>
                <w:b w:val="0"/>
                <w:sz w:val="24"/>
                <w:szCs w:val="24"/>
              </w:rPr>
              <w:t>4.框整屏尺寸: 约1660x85x960mm；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二、无线投屏器</w:t>
            </w:r>
            <w:r>
              <w:rPr>
                <w:rFonts w:hint="eastAsia" w:ascii="宋体" w:hAnsi="宋体" w:eastAsia="宋体" w:cs="宋体"/>
                <w:b w:val="0"/>
                <w:sz w:val="24"/>
                <w:szCs w:val="24"/>
              </w:rPr>
              <w:br w:type="textWrapping"/>
            </w:r>
            <w:r>
              <w:rPr>
                <w:rFonts w:hint="eastAsia" w:ascii="宋体" w:hAnsi="宋体" w:eastAsia="宋体" w:cs="宋体"/>
                <w:b w:val="0"/>
                <w:sz w:val="24"/>
                <w:szCs w:val="24"/>
              </w:rPr>
              <w:t>1.支持手机投屏、电脑投屏、兼容投影机投屏功能；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2.发射端采用HDMI，接收段采用HDMI；</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3.材质:ABS+PC</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4.分辨率:4K/30Hz、1080P/60Hz、720P/60Hz；</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5.支持5G传输；</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6.尺寸：直径约60mm；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三、无线白板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1.压感：8192级；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2.坐标分辨率&gt;5080LPI；</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3.笔最大读取高度10mm；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4.感应方式：电磁感应；</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5.读取速率：&gt;220点/秒；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6.数据接口：USB、无线；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7.定位精度：±0.1mm；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8.系统要求：Win 7/8/8.1/10/11,MAC10.15及以上、部分Android(OTG)横竖屏切换；</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9.电缆长度：1200mm；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10.工作温度;10℃~40℃;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11.电源要求:5V 100mA;</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12.功能快捷键:开关、对码、清屏、旋屏、重启;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13.需最长续航能力：15小时；</w:t>
            </w:r>
            <w:r>
              <w:rPr>
                <w:rFonts w:hint="eastAsia" w:ascii="宋体" w:hAnsi="宋体" w:eastAsia="宋体" w:cs="宋体"/>
                <w:b w:val="0"/>
                <w:sz w:val="24"/>
                <w:szCs w:val="24"/>
              </w:rPr>
              <w:br w:type="textWrapping"/>
            </w:r>
            <w:r>
              <w:rPr>
                <w:rFonts w:hint="eastAsia" w:ascii="宋体" w:hAnsi="宋体" w:eastAsia="宋体" w:cs="宋体"/>
                <w:b w:val="0"/>
                <w:sz w:val="24"/>
                <w:szCs w:val="24"/>
              </w:rPr>
              <w:t>四、移动支架：</w:t>
            </w:r>
            <w:r>
              <w:rPr>
                <w:rFonts w:hint="eastAsia" w:ascii="宋体" w:hAnsi="宋体" w:eastAsia="宋体" w:cs="宋体"/>
                <w:b w:val="0"/>
                <w:sz w:val="24"/>
                <w:szCs w:val="24"/>
              </w:rPr>
              <w:br w:type="textWrapping"/>
            </w:r>
            <w:r>
              <w:rPr>
                <w:rFonts w:hint="eastAsia" w:ascii="宋体" w:hAnsi="宋体" w:eastAsia="宋体" w:cs="宋体"/>
                <w:b w:val="0"/>
                <w:sz w:val="24"/>
                <w:szCs w:val="24"/>
              </w:rPr>
              <w:t>1.产品颜色：黑色/灰色；</w:t>
            </w:r>
            <w:r>
              <w:rPr>
                <w:rFonts w:hint="eastAsia" w:ascii="宋体" w:hAnsi="宋体" w:eastAsia="宋体" w:cs="宋体"/>
                <w:b w:val="0"/>
                <w:sz w:val="24"/>
                <w:szCs w:val="24"/>
              </w:rPr>
              <w:br w:type="textWrapping"/>
            </w:r>
            <w:r>
              <w:rPr>
                <w:rFonts w:hint="eastAsia" w:ascii="宋体" w:hAnsi="宋体" w:eastAsia="宋体" w:cs="宋体"/>
                <w:b w:val="0"/>
                <w:sz w:val="24"/>
                <w:szCs w:val="24"/>
              </w:rPr>
              <w:t>2.材质：金属；</w:t>
            </w:r>
            <w:r>
              <w:rPr>
                <w:rFonts w:hint="eastAsia" w:ascii="宋体" w:hAnsi="宋体" w:eastAsia="宋体" w:cs="宋体"/>
                <w:b w:val="0"/>
                <w:sz w:val="24"/>
                <w:szCs w:val="24"/>
              </w:rPr>
              <w:br w:type="textWrapping"/>
            </w:r>
            <w:r>
              <w:rPr>
                <w:rFonts w:hint="eastAsia" w:ascii="宋体" w:hAnsi="宋体" w:eastAsia="宋体" w:cs="宋体"/>
                <w:b w:val="0"/>
                <w:sz w:val="24"/>
                <w:szCs w:val="24"/>
              </w:rPr>
              <w:t>3.适用最大孔距：950*600mm±2%；</w:t>
            </w:r>
            <w:r>
              <w:rPr>
                <w:rFonts w:hint="eastAsia" w:ascii="宋体" w:hAnsi="宋体" w:eastAsia="宋体" w:cs="宋体"/>
                <w:b w:val="0"/>
                <w:sz w:val="24"/>
                <w:szCs w:val="24"/>
              </w:rPr>
              <w:br w:type="textWrapping"/>
            </w:r>
            <w:r>
              <w:rPr>
                <w:rFonts w:hint="eastAsia" w:ascii="宋体" w:hAnsi="宋体" w:eastAsia="宋体" w:cs="宋体"/>
                <w:b w:val="0"/>
                <w:sz w:val="24"/>
                <w:szCs w:val="24"/>
              </w:rPr>
              <w:t>4.尺寸：63-86寸；</w:t>
            </w:r>
            <w:r>
              <w:rPr>
                <w:rFonts w:hint="eastAsia" w:ascii="宋体" w:hAnsi="宋体" w:eastAsia="宋体" w:cs="宋体"/>
                <w:b w:val="0"/>
                <w:sz w:val="24"/>
                <w:szCs w:val="24"/>
              </w:rPr>
              <w:br w:type="textWrapping"/>
            </w:r>
            <w:r>
              <w:rPr>
                <w:rFonts w:hint="eastAsia" w:ascii="宋体" w:hAnsi="宋体" w:eastAsia="宋体" w:cs="宋体"/>
                <w:b w:val="0"/>
                <w:sz w:val="24"/>
                <w:szCs w:val="24"/>
              </w:rPr>
              <w:t>5.最大承重：≥150Kg；</w:t>
            </w:r>
            <w:r>
              <w:rPr>
                <w:rFonts w:hint="eastAsia" w:ascii="宋体" w:hAnsi="宋体" w:eastAsia="宋体" w:cs="宋体"/>
                <w:b w:val="0"/>
                <w:sz w:val="24"/>
                <w:szCs w:val="24"/>
              </w:rPr>
              <w:br w:type="textWrapping"/>
            </w:r>
            <w:r>
              <w:rPr>
                <w:rFonts w:hint="eastAsia" w:ascii="宋体" w:hAnsi="宋体" w:eastAsia="宋体" w:cs="宋体"/>
                <w:b w:val="0"/>
                <w:sz w:val="24"/>
                <w:szCs w:val="24"/>
              </w:rPr>
              <w:t>6.产品自重：≤37Kg。</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10</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无线展台</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1.可固定在三脚架上，可放置在讲台、课桌上；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2.摄像头臂上下可在0-90°任意位置弯折悬停、前后可180°旋转、主机和支架可分离机构设计，能俯拍作业，水平拍摄，手持拍摄；</w:t>
            </w:r>
            <w:r>
              <w:rPr>
                <w:rFonts w:hint="eastAsia" w:ascii="宋体" w:hAnsi="宋体" w:eastAsia="宋体" w:cs="宋体"/>
                <w:sz w:val="24"/>
                <w:szCs w:val="24"/>
                <w:lang w:bidi="ar"/>
              </w:rPr>
              <w:t>（投标文件中需提供第三方有权检测机构出具的带有 CMA 或 CNAS 标识的检测报告扫描件）</w:t>
            </w:r>
            <w:r>
              <w:rPr>
                <w:rFonts w:hint="eastAsia" w:ascii="宋体" w:hAnsi="宋体" w:eastAsia="宋体" w:cs="宋体"/>
                <w:b w:val="0"/>
                <w:sz w:val="24"/>
                <w:szCs w:val="24"/>
              </w:rPr>
              <w:t xml:space="preserve">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3.俯拍情况下，拍摄角度可覆盖A3画幅；</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4.主机具备显示屏幕，可实时预览拍摄的范围和画面；</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5.支持5G wifi无线传输；</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6.支持最多四台无线展台画面实时显示，可对比显示画面；</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7.支持拍摄1300万像素照片，支持3840*2160@20Hz超高清实时视频流传输；</w:t>
            </w:r>
            <w:r>
              <w:rPr>
                <w:rFonts w:hint="eastAsia" w:ascii="宋体" w:hAnsi="宋体" w:eastAsia="宋体" w:cs="宋体"/>
                <w:sz w:val="24"/>
                <w:szCs w:val="24"/>
                <w:lang w:bidi="ar"/>
              </w:rPr>
              <w:t>（投标文件中需提供第三方有权检测机构出具的带有 CMA 或 CNAS 标识的检测报告扫描件）</w:t>
            </w:r>
            <w:r>
              <w:rPr>
                <w:rFonts w:hint="eastAsia" w:ascii="宋体" w:hAnsi="宋体" w:eastAsia="宋体" w:cs="宋体"/>
                <w:b w:val="0"/>
                <w:sz w:val="24"/>
                <w:szCs w:val="24"/>
              </w:rPr>
              <w:t xml:space="preserve">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8.采用PDAF相位对焦技术，自动对焦速度低于300ms，减少对焦过程时间，提高教学效率；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9.支持通过双击大屏画面任意位置，即时改变对焦位置，可对立体物体的局部进行精确对焦；</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10.采用type C充电接口，充电额定电压5VDC，充电额定电流2A，自带的可充电电池，充满电可是产品工作至少4小时；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11.支持二维码扫描快速加入网络、绑定无线网络；</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展台机身上有四个按键，实现开关机、模式切换、画面旋转、启动功能，可实现一键启动展台画面、画面旋转、拍照、录像等功能；展台软件支持扫一扫、移动、批注、橡皮、撤销、拍照、延时拍照、英文批注、画面调节（旋转、缩放、亮度、情景模式、画面锁定）及对比教学功能；</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11</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定制化教学讲台</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1.讲台桌面：桌面采用E1级环保高密度板，高密度板厚度不低于18mm，高密度板经过防虫、防腐的化学处理，强度高、钢性好、不变形、比重合理；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2.高密度板外表面采用中纤板喷粉技术处理，无需封边，桌面板所有棱边需采用弧形设计；</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3.讲台表面需包括用户侧的边缘采用弧形倒角设计，防止撞伤；</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4.讲台桌面需安装长度为300mm的铝拉丝档条，防止物品滑落；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5.讲台桌面需配置有笔槽；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6.讲台桌面尺寸长宽为：690*500±3mm。</w:t>
            </w:r>
            <w:r>
              <w:rPr>
                <w:rFonts w:hint="eastAsia" w:ascii="宋体" w:hAnsi="宋体" w:eastAsia="宋体" w:cs="宋体"/>
                <w:b w:val="0"/>
                <w:sz w:val="24"/>
                <w:szCs w:val="24"/>
              </w:rPr>
              <w:br w:type="textWrapping"/>
            </w:r>
            <w:r>
              <w:rPr>
                <w:rFonts w:hint="eastAsia" w:ascii="宋体" w:hAnsi="宋体" w:eastAsia="宋体" w:cs="宋体"/>
                <w:b w:val="0"/>
                <w:sz w:val="24"/>
                <w:szCs w:val="24"/>
              </w:rPr>
              <w:t>7.气动升降杆：气动升降杆需采用优质铝合金作为升降杆柱体，表面采用高温静电喷涂；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8.讲台桌面气动升降范围为750-1100mm；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9.气杆采用一键无极升降，升降按键采用弧形设计，符合人体工学；</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10.气动升降杆最大承重需达到15Kg；</w:t>
            </w:r>
            <w:r>
              <w:rPr>
                <w:rFonts w:hint="eastAsia" w:ascii="宋体" w:hAnsi="宋体" w:eastAsia="宋体" w:cs="宋体"/>
                <w:b w:val="0"/>
                <w:sz w:val="24"/>
                <w:szCs w:val="24"/>
              </w:rPr>
              <w:br w:type="textWrapping"/>
            </w:r>
            <w:r>
              <w:rPr>
                <w:rFonts w:hint="eastAsia" w:ascii="宋体" w:hAnsi="宋体" w:eastAsia="宋体" w:cs="宋体"/>
                <w:b w:val="0"/>
                <w:sz w:val="24"/>
                <w:szCs w:val="24"/>
              </w:rPr>
              <w:t>11.底盘：采用开放型设计的支架底盘，符合人体工学，底盘采采用优质铝合金，表面采用高温静电喷涂，安装4个两寸万向PU滑轮，2轮可锁定，方便移动；</w:t>
            </w:r>
            <w:r>
              <w:rPr>
                <w:rFonts w:hint="eastAsia" w:ascii="宋体" w:hAnsi="宋体" w:eastAsia="宋体" w:cs="宋体"/>
                <w:b w:val="0"/>
                <w:sz w:val="24"/>
                <w:szCs w:val="24"/>
              </w:rPr>
              <w:br w:type="textWrapping"/>
            </w:r>
            <w:r>
              <w:rPr>
                <w:rFonts w:hint="eastAsia" w:ascii="宋体" w:hAnsi="宋体" w:eastAsia="宋体" w:cs="宋体"/>
                <w:b w:val="0"/>
                <w:sz w:val="24"/>
                <w:szCs w:val="24"/>
              </w:rPr>
              <w:t>12.LOGO装饰板：讲台桌面下方安装厚度5mm的亚克力LOGO装饰板，尺寸400*245mm，采用4颗装饰螺丝安装，可以印刷尺寸≤20CM的校徽；</w:t>
            </w:r>
            <w:r>
              <w:rPr>
                <w:rFonts w:hint="eastAsia" w:ascii="宋体" w:hAnsi="宋体" w:eastAsia="宋体" w:cs="宋体"/>
                <w:b w:val="0"/>
                <w:sz w:val="24"/>
                <w:szCs w:val="24"/>
              </w:rPr>
              <w:br w:type="textWrapping"/>
            </w:r>
            <w:r>
              <w:rPr>
                <w:rFonts w:hint="eastAsia" w:ascii="宋体" w:hAnsi="宋体" w:eastAsia="宋体" w:cs="宋体"/>
                <w:b w:val="0"/>
                <w:sz w:val="24"/>
                <w:szCs w:val="24"/>
              </w:rPr>
              <w:t>13.功能：讲台桌面可10度倾斜；</w:t>
            </w:r>
            <w:r>
              <w:rPr>
                <w:rFonts w:hint="eastAsia" w:ascii="宋体" w:hAnsi="宋体" w:eastAsia="宋体" w:cs="宋体"/>
                <w:b w:val="0"/>
                <w:sz w:val="24"/>
                <w:szCs w:val="24"/>
              </w:rPr>
              <w:br w:type="textWrapping"/>
            </w:r>
            <w:r>
              <w:rPr>
                <w:rFonts w:hint="eastAsia" w:ascii="宋体" w:hAnsi="宋体" w:eastAsia="宋体" w:cs="宋体"/>
                <w:b w:val="0"/>
                <w:sz w:val="24"/>
                <w:szCs w:val="24"/>
              </w:rPr>
              <w:t xml:space="preserve">14.产品整体尺寸（ L*W*H单位mm）:最低尺寸：690*530*750±3mm，最高尺寸690*530*1100±3mm；                                                                                                                                                                      </w:t>
            </w:r>
            <w:r>
              <w:rPr>
                <w:rFonts w:hint="eastAsia" w:ascii="宋体" w:hAnsi="宋体" w:eastAsia="宋体" w:cs="宋体"/>
                <w:b w:val="0"/>
                <w:sz w:val="24"/>
                <w:szCs w:val="24"/>
              </w:rPr>
              <w:br w:type="textWrapping"/>
            </w:r>
            <w:r>
              <w:rPr>
                <w:rFonts w:hint="eastAsia" w:ascii="宋体" w:hAnsi="宋体" w:eastAsia="宋体" w:cs="宋体"/>
                <w:kern w:val="2"/>
                <w:sz w:val="24"/>
                <w:szCs w:val="24"/>
              </w:rPr>
              <w:t>★</w:t>
            </w:r>
            <w:r>
              <w:rPr>
                <w:rFonts w:hint="eastAsia" w:ascii="宋体" w:hAnsi="宋体" w:eastAsia="宋体" w:cs="宋体"/>
                <w:b w:val="0"/>
                <w:sz w:val="24"/>
                <w:szCs w:val="24"/>
              </w:rPr>
              <w:t>15.配件需满足GB 18584-2001甲醛释放量、可溶性重金属含量、挥发性有机化合物（VOC）含量、（铅/镉/汞/六价铬/苯含量等）标准；</w:t>
            </w:r>
            <w:r>
              <w:rPr>
                <w:rFonts w:hint="eastAsia" w:ascii="宋体" w:hAnsi="宋体" w:eastAsia="宋体" w:cs="宋体"/>
                <w:sz w:val="24"/>
                <w:szCs w:val="24"/>
                <w:lang w:bidi="ar"/>
              </w:rPr>
              <w:t>（投标文件中需提供第三方有权检测机构出具的带有 CMA 或 CNAS 标识的检测报告扫描件）</w:t>
            </w:r>
            <w:r>
              <w:rPr>
                <w:rFonts w:hint="eastAsia" w:ascii="宋体" w:hAnsi="宋体" w:eastAsia="宋体" w:cs="宋体"/>
                <w:b w:val="0"/>
                <w:sz w:val="24"/>
                <w:szCs w:val="24"/>
              </w:rPr>
              <w:t xml:space="preserve">                                                                                                                                                                                                          16.产品主要尺寸及偏差、产品形状和位置公差、产品外观性能要求、产品表面涂饰层/覆面材料理化性能、力学性能6种部分的检查，全部符合GB/T3325-2017《金属家具通用技术条件》的检验依据的要求；</w:t>
            </w:r>
            <w:r>
              <w:rPr>
                <w:rFonts w:hint="eastAsia" w:ascii="宋体" w:hAnsi="宋体" w:eastAsia="宋体" w:cs="宋体"/>
                <w:b w:val="0"/>
                <w:sz w:val="24"/>
                <w:szCs w:val="24"/>
              </w:rPr>
              <w:br w:type="textWrapping"/>
            </w:r>
            <w:r>
              <w:rPr>
                <w:rFonts w:hint="eastAsia" w:ascii="宋体" w:hAnsi="宋体" w:eastAsia="宋体" w:cs="宋体"/>
                <w:b w:val="0"/>
                <w:sz w:val="24"/>
                <w:szCs w:val="24"/>
              </w:rPr>
              <w:t>17.办公椅：尺寸≥960*560*500mm；座椅表面为皮质，可转动。</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12</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航空管路施工实训平台</w:t>
            </w:r>
          </w:p>
        </w:tc>
        <w:tc>
          <w:tcPr>
            <w:tcW w:w="5551" w:type="dxa"/>
            <w:tcBorders>
              <w:top w:val="single" w:color="000000" w:sz="4" w:space="0"/>
              <w:left w:val="single" w:color="000000" w:sz="4" w:space="0"/>
              <w:bottom w:val="single" w:color="000000" w:sz="4" w:space="0"/>
              <w:right w:val="single" w:color="000000" w:sz="4" w:space="0"/>
            </w:tcBorders>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一、实训平台基本功能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1.航空管路施工实训平台具备模拟飞机管路系统的教学内容，学生在实际操作中可掌握管路的安装、拆卸、检测和维修等技能：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2.根据不同的课程要求可具备不同的管路元件，如管路接头螺帽、管路三通接头、管路对通接头等，实现多种管路零件的组合和变换；</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3.学生可通过识别管路标识，便学生分析和评估管路载运介质，以便采取相应的保护措施；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4.通过管路的安装、拆卸、检测和维修，可满足训练学生的动手能力及安全规范操作意识学习；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5.实训平台技术均应涵盖CCAR-66R3硬/软管路标准施工的内容及要求，适用于航空器维修基本技能、民用航空器航线维修、航空机务基本技能知识要领；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二、实训平台技术参数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1.航空管路施工实训平台框架需选用国标优质板材经弯折、焊接等工艺成型；主要部件应包括：实训功能板支撑箱体、一体化收纳抽屉柜、可移动安装底座等；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2.平台主体需整体结构可靠、方便学员操作、金属材料及表面需喷塑处理；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3.平台设计需提供功能相同的四工位训练工位，具备两套方便拆卸和组装的实训功能板支撑箱体；</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4.平台尺寸需符合学校规划场所的面积要求，以及符合培训要求，2200*800*1500mm（误差允许范围为50mm）；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5.平台具有可快速安装4个实训工位，实训工位安装边框材料需为1.5mm厚金属板材；每工位操作面积不低于500*400±50mm；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平台内含两套支撑箱体为独立结构，每套支撑箱体设计至少三面内衬盖板，所有结构连接部件均需设置于盖板内部隐藏设计；每套支撑箱体需设置两套可调节操作角度的功能板安装框架，需能实现操作面板角度在90º-135º范围内调节，以适应不同实际操作训练场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7.每个训练工位至少应包含直径为1/4英寸、3/8英寸、5/8英寸三种尺寸规格的航空硬管管路和典型航空软管管路；1/4 英寸不低于50cm、3/8 英寸不低于 80cm、5/8 英寸管路不低于 20cm；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9.每个训练工位至少应包含对通接头、三通接头和接头与结构之间的三种典型航空管路保险；</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10.每个训练工位至少应包含U型管卡、水槽型管卡、穿墙管路固定装置；</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11.每个训练工位至少包含管路材料具有不锈钢、铝合金和橡胶三种典型材料航空管路；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12.每个训练工位至少包含多段折弯管路立体构型、模拟管路分配系统部件、模拟管路操作系统部件；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三、配套资源及实训内容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1.平台满足直径为1/4英寸、3/8英寸、5/8三种尺寸规格的航空硬管管路和典型航空软管管路的拆装训练内容；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2.平台涵盖卡箍型管路接头、螺纹型管路接头和压接型管路接头三种典型航空硬管类型的实物内容；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3.平台满足对通接头、三通接头和接头与结构之间的三种典型航空管路保险训练内容；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4.平台满足不锈钢、铝合金和橡胶三种典型航空管路材料训练内容；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5.平台满足U型管卡、水槽型管卡、穿墙管路固定装置等训练内容；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6.平台满足多段折弯管路立体构型、模拟管路分配系统部件、模拟管路操作系统部件等管路拆装训练要求；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7.平台实训知识点需涵盖当前民航主流机型；波音737系列、空客320、商飞ARJ/C919系列对管路施工的技术要求；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（1）波音737系列飞机管路标准施工技术要求，至少包含：</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无扩口管路拆卸、无扩口管路安装、卡箍型管接头；</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（2）空客320系列飞机管路施工技术要求，至少包含；无扩口管路拆卸、无扩口管路安装；</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（3）中国商飞ARJ/C919系列飞机管路施工技术要求，至少包含：U型卡箍的选用、U型卡箍的安装、水槽型卡箍的安装、模拟压接转角硬管拆装要求等。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四、实训平台配套文件资料</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1.需提供航空管路施工实训平台与实训操作面的实物图或3D效果图，并提供实训平台配置航材/零件明细清单表等信息；</w:t>
            </w:r>
            <w:r>
              <w:rPr>
                <w:rFonts w:hint="eastAsia" w:ascii="宋体" w:hAnsi="宋体" w:eastAsia="宋体" w:cs="宋体"/>
                <w:sz w:val="24"/>
                <w:szCs w:val="24"/>
              </w:rPr>
              <w:t>（投标文件中需提供上述文件）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2.需提供至少5份培训工卡，需涵盖螺纹型航空管路拆装、卡箍型航空管路拆装、压接型航空管路施工、航空软管拆装、航空管路保险丝施工五种典型航空管路施工技能知识点的训练工卡，工卡内容需与训练管路一一对应。</w:t>
            </w:r>
            <w:r>
              <w:rPr>
                <w:rFonts w:hint="eastAsia" w:ascii="宋体" w:hAnsi="宋体" w:eastAsia="宋体" w:cs="宋体"/>
                <w:sz w:val="24"/>
                <w:szCs w:val="24"/>
              </w:rPr>
              <w:t>（投标文件中需提供上述文件，工卡内容清晰，推荐为PDF或JPG格式）</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13</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开口扳手套装</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1.采用英制精抛光双开扳手；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2.表面镀铬镍，抗氧化镀层，鉻钒钢锻造；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3.规格1-1/8"x1-1/4"、15/16"x1"、13/16"x7/8"、11/16"x3/4"、5/8"x11/16"、1/2"x9/16"各1把。</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14</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扳手头</w:t>
            </w:r>
            <w:r>
              <w:rPr>
                <w:rFonts w:hint="eastAsia" w:ascii="宋体" w:hAnsi="宋体" w:eastAsia="宋体" w:cs="宋体"/>
                <w:sz w:val="24"/>
                <w:szCs w:val="24"/>
                <w:lang w:bidi="ar"/>
              </w:rPr>
              <w:t>套装</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1.扳手头采用英制精抛光；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2.表面镀铬镍，抗氧化镀层；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3.规格：7/8寸、3/4寸、11/16寸、5/8寸、9/16寸、1/2寸、7/16寸、3/8寸各1个,连接方头规格3/8寸。</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15</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十字螺刀</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1.刀杆采用Nb-S2含铌合金钢制造，硬度达到HRC56-60；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2.刀杆表面镀哑光珍珠铬；</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3.刀头发黑处理，带磁性；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4.三角形断面设计的手柄；</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5.橡塑双材料手柄，表面凹凸花纹，防止旋转打滑，耐油和多种溶剂；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6.规格PH0*150mm。</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24把</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16</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接油盘</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不锈钢材质，尺寸约10*36*27cm。</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24个</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17</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护目镜</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1.180度全景视角；</w:t>
            </w:r>
            <w:r>
              <w:rPr>
                <w:rFonts w:hint="eastAsia" w:ascii="宋体" w:hAnsi="宋体" w:eastAsia="宋体" w:cs="宋体"/>
                <w:b w:val="0"/>
                <w:sz w:val="24"/>
                <w:szCs w:val="24"/>
              </w:rPr>
              <w:br w:type="textWrapping"/>
            </w:r>
            <w:r>
              <w:rPr>
                <w:rFonts w:hint="eastAsia" w:ascii="宋体" w:hAnsi="宋体" w:eastAsia="宋体" w:cs="宋体"/>
                <w:b w:val="0"/>
                <w:sz w:val="24"/>
                <w:szCs w:val="24"/>
              </w:rPr>
              <w:t>2.柔软镜内边,宽大可调节头带,柔软鼻垫,需密封性好；</w:t>
            </w:r>
            <w:r>
              <w:rPr>
                <w:rFonts w:hint="eastAsia" w:ascii="宋体" w:hAnsi="宋体" w:eastAsia="宋体" w:cs="宋体"/>
                <w:b w:val="0"/>
                <w:sz w:val="24"/>
                <w:szCs w:val="24"/>
              </w:rPr>
              <w:br w:type="textWrapping"/>
            </w:r>
            <w:r>
              <w:rPr>
                <w:rFonts w:hint="eastAsia" w:ascii="宋体" w:hAnsi="宋体" w:eastAsia="宋体" w:cs="宋体"/>
                <w:b w:val="0"/>
                <w:sz w:val="24"/>
                <w:szCs w:val="24"/>
              </w:rPr>
              <w:t>3.内可戴矫正眼镜,透气孔可排除温热空气。</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24个</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18</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斜口钳</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1.整体热处理，刃口高频淬火，硬度达到58-62HRC；</w:t>
            </w:r>
            <w:r>
              <w:rPr>
                <w:rFonts w:hint="eastAsia" w:ascii="宋体" w:hAnsi="宋体" w:eastAsia="宋体" w:cs="宋体"/>
                <w:b w:val="0"/>
                <w:sz w:val="24"/>
                <w:szCs w:val="24"/>
              </w:rPr>
              <w:br w:type="textWrapping"/>
            </w:r>
            <w:r>
              <w:rPr>
                <w:rFonts w:hint="eastAsia" w:ascii="宋体" w:hAnsi="宋体" w:eastAsia="宋体" w:cs="宋体"/>
                <w:b w:val="0"/>
                <w:sz w:val="24"/>
                <w:szCs w:val="24"/>
              </w:rPr>
              <w:t>2.剪切锋利，可剪切钢丝、铜丝、铁丝等常用金属，满足日常使用；</w:t>
            </w:r>
            <w:r>
              <w:rPr>
                <w:rFonts w:hint="eastAsia" w:ascii="宋体" w:hAnsi="宋体" w:eastAsia="宋体" w:cs="宋体"/>
                <w:b w:val="0"/>
                <w:sz w:val="24"/>
                <w:szCs w:val="24"/>
              </w:rPr>
              <w:br w:type="textWrapping"/>
            </w:r>
            <w:r>
              <w:rPr>
                <w:rFonts w:hint="eastAsia" w:ascii="宋体" w:hAnsi="宋体" w:eastAsia="宋体" w:cs="宋体"/>
                <w:b w:val="0"/>
                <w:sz w:val="24"/>
                <w:szCs w:val="24"/>
              </w:rPr>
              <w:t>3.手柄采用TPE材质，具有防油耐刮；</w:t>
            </w:r>
            <w:r>
              <w:rPr>
                <w:rFonts w:hint="eastAsia" w:ascii="宋体" w:hAnsi="宋体" w:eastAsia="宋体" w:cs="宋体"/>
                <w:b w:val="0"/>
                <w:sz w:val="24"/>
                <w:szCs w:val="24"/>
              </w:rPr>
              <w:br w:type="textWrapping"/>
            </w:r>
            <w:r>
              <w:rPr>
                <w:rFonts w:hint="eastAsia" w:ascii="宋体" w:hAnsi="宋体" w:eastAsia="宋体" w:cs="宋体"/>
                <w:b w:val="0"/>
                <w:sz w:val="24"/>
                <w:szCs w:val="24"/>
              </w:rPr>
              <w:t>4.长度6”。</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48把</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19</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尖嘴钳</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1.整体热处理，刃口高频淬火，硬度达到58-62HRC；</w:t>
            </w:r>
            <w:r>
              <w:rPr>
                <w:rFonts w:hint="eastAsia" w:ascii="宋体" w:hAnsi="宋体" w:eastAsia="宋体" w:cs="宋体"/>
                <w:b w:val="0"/>
                <w:sz w:val="24"/>
                <w:szCs w:val="24"/>
              </w:rPr>
              <w:br w:type="textWrapping"/>
            </w:r>
            <w:r>
              <w:rPr>
                <w:rFonts w:hint="eastAsia" w:ascii="宋体" w:hAnsi="宋体" w:eastAsia="宋体" w:cs="宋体"/>
                <w:b w:val="0"/>
                <w:sz w:val="24"/>
                <w:szCs w:val="24"/>
              </w:rPr>
              <w:t>2.剪切锋利，可剪切钢丝、铜丝、铁丝等常用金属，满足日常使用；</w:t>
            </w:r>
            <w:r>
              <w:rPr>
                <w:rFonts w:hint="eastAsia" w:ascii="宋体" w:hAnsi="宋体" w:eastAsia="宋体" w:cs="宋体"/>
                <w:b w:val="0"/>
                <w:sz w:val="24"/>
                <w:szCs w:val="24"/>
              </w:rPr>
              <w:br w:type="textWrapping"/>
            </w:r>
            <w:r>
              <w:rPr>
                <w:rFonts w:hint="eastAsia" w:ascii="宋体" w:hAnsi="宋体" w:eastAsia="宋体" w:cs="宋体"/>
                <w:b w:val="0"/>
                <w:sz w:val="24"/>
                <w:szCs w:val="24"/>
              </w:rPr>
              <w:t>3.手柄采用TPE材质，具有防油耐刮；</w:t>
            </w:r>
            <w:r>
              <w:rPr>
                <w:rFonts w:hint="eastAsia" w:ascii="宋体" w:hAnsi="宋体" w:eastAsia="宋体" w:cs="宋体"/>
                <w:b w:val="0"/>
                <w:sz w:val="24"/>
                <w:szCs w:val="24"/>
              </w:rPr>
              <w:br w:type="textWrapping"/>
            </w:r>
            <w:r>
              <w:rPr>
                <w:rFonts w:hint="eastAsia" w:ascii="宋体" w:hAnsi="宋体" w:eastAsia="宋体" w:cs="宋体"/>
                <w:b w:val="0"/>
                <w:sz w:val="24"/>
                <w:szCs w:val="24"/>
              </w:rPr>
              <w:t>4.长度6寸。</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48把</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20</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鸭嘴钳</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1.金属与PP材质相结合；</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2.钳口齿状棱纹设计，适合多种形状；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3.长度5.5寸。</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48把</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21</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扭力扳手-1</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1.精确度：顺时针误差小于±4%，逆时针误差小于±6% ；</w:t>
            </w:r>
            <w:r>
              <w:rPr>
                <w:rFonts w:hint="eastAsia" w:ascii="宋体" w:hAnsi="宋体" w:eastAsia="宋体" w:cs="宋体"/>
                <w:b w:val="0"/>
                <w:sz w:val="24"/>
                <w:szCs w:val="24"/>
              </w:rPr>
              <w:br w:type="textWrapping"/>
            </w:r>
            <w:r>
              <w:rPr>
                <w:rFonts w:hint="eastAsia" w:ascii="宋体" w:hAnsi="宋体" w:eastAsia="宋体" w:cs="宋体"/>
                <w:b w:val="0"/>
                <w:sz w:val="24"/>
                <w:szCs w:val="24"/>
              </w:rPr>
              <w:t>2.需采用超耐用棘轮头，高强度密封棘轮头；</w:t>
            </w:r>
            <w:r>
              <w:rPr>
                <w:rFonts w:hint="eastAsia" w:ascii="宋体" w:hAnsi="宋体" w:eastAsia="宋体" w:cs="宋体"/>
                <w:b w:val="0"/>
                <w:sz w:val="24"/>
                <w:szCs w:val="24"/>
              </w:rPr>
              <w:br w:type="textWrapping"/>
            </w:r>
            <w:r>
              <w:rPr>
                <w:rFonts w:hint="eastAsia" w:ascii="宋体" w:hAnsi="宋体" w:eastAsia="宋体" w:cs="宋体"/>
                <w:b w:val="0"/>
                <w:sz w:val="24"/>
                <w:szCs w:val="24"/>
              </w:rPr>
              <w:t>3.超小阻力凸轮：需具有凸轮设计通过减小内腔体积将阻力控制到最小；</w:t>
            </w:r>
            <w:r>
              <w:rPr>
                <w:rFonts w:hint="eastAsia" w:ascii="宋体" w:hAnsi="宋体" w:eastAsia="宋体" w:cs="宋体"/>
                <w:b w:val="0"/>
                <w:sz w:val="24"/>
                <w:szCs w:val="24"/>
              </w:rPr>
              <w:br w:type="textWrapping"/>
            </w:r>
            <w:r>
              <w:rPr>
                <w:rFonts w:hint="eastAsia" w:ascii="宋体" w:hAnsi="宋体" w:eastAsia="宋体" w:cs="宋体"/>
                <w:b w:val="0"/>
                <w:sz w:val="24"/>
                <w:szCs w:val="24"/>
              </w:rPr>
              <w:t>4.力矩范围 40–200 in-lb；</w:t>
            </w:r>
            <w:r>
              <w:rPr>
                <w:rFonts w:hint="eastAsia" w:ascii="宋体" w:hAnsi="宋体" w:eastAsia="宋体" w:cs="宋体"/>
                <w:b w:val="0"/>
                <w:sz w:val="24"/>
                <w:szCs w:val="24"/>
              </w:rPr>
              <w:br w:type="textWrapping"/>
            </w:r>
            <w:r>
              <w:rPr>
                <w:rFonts w:hint="eastAsia" w:ascii="宋体" w:hAnsi="宋体" w:eastAsia="宋体" w:cs="宋体"/>
                <w:b w:val="0"/>
                <w:sz w:val="24"/>
                <w:szCs w:val="24"/>
              </w:rPr>
              <w:t xml:space="preserve">5.长度11-1/16in；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6.齿轮齿 36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7.头部深度7/16in；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8.头部宽度7/8in；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9.摆动角度 10°；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10.驱动方1/4。</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8把</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22</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扭力扳手-2</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1.精确度：顺时针误差小于±4%，逆时针误差小于±6% ；</w:t>
            </w:r>
            <w:r>
              <w:rPr>
                <w:rFonts w:hint="eastAsia" w:ascii="宋体" w:hAnsi="宋体" w:eastAsia="宋体" w:cs="宋体"/>
                <w:b w:val="0"/>
                <w:sz w:val="24"/>
                <w:szCs w:val="24"/>
              </w:rPr>
              <w:br w:type="textWrapping"/>
            </w:r>
            <w:r>
              <w:rPr>
                <w:rFonts w:hint="eastAsia" w:ascii="宋体" w:hAnsi="宋体" w:eastAsia="宋体" w:cs="宋体"/>
                <w:b w:val="0"/>
                <w:sz w:val="24"/>
                <w:szCs w:val="24"/>
              </w:rPr>
              <w:t>2.需采用超耐用棘轮头，高强度密封棘轮头；</w:t>
            </w:r>
            <w:r>
              <w:rPr>
                <w:rFonts w:hint="eastAsia" w:ascii="宋体" w:hAnsi="宋体" w:eastAsia="宋体" w:cs="宋体"/>
                <w:b w:val="0"/>
                <w:sz w:val="24"/>
                <w:szCs w:val="24"/>
              </w:rPr>
              <w:br w:type="textWrapping"/>
            </w:r>
            <w:r>
              <w:rPr>
                <w:rFonts w:hint="eastAsia" w:ascii="宋体" w:hAnsi="宋体" w:eastAsia="宋体" w:cs="宋体"/>
                <w:b w:val="0"/>
                <w:sz w:val="24"/>
                <w:szCs w:val="24"/>
              </w:rPr>
              <w:t>3.超小阻力凸轮：需具有凸轮设计通过减小内腔体积将阻力控制到最小；</w:t>
            </w:r>
            <w:r>
              <w:rPr>
                <w:rFonts w:hint="eastAsia" w:ascii="宋体" w:hAnsi="宋体" w:eastAsia="宋体" w:cs="宋体"/>
                <w:b w:val="0"/>
                <w:sz w:val="24"/>
                <w:szCs w:val="24"/>
              </w:rPr>
              <w:br w:type="textWrapping"/>
            </w:r>
            <w:r>
              <w:rPr>
                <w:rFonts w:hint="eastAsia" w:ascii="宋体" w:hAnsi="宋体" w:eastAsia="宋体" w:cs="宋体"/>
                <w:b w:val="0"/>
                <w:sz w:val="24"/>
                <w:szCs w:val="24"/>
              </w:rPr>
              <w:t>4.力矩范围 10–50 in-lb；</w:t>
            </w:r>
            <w:r>
              <w:rPr>
                <w:rFonts w:hint="eastAsia" w:ascii="宋体" w:hAnsi="宋体" w:eastAsia="宋体" w:cs="宋体"/>
                <w:b w:val="0"/>
                <w:sz w:val="24"/>
                <w:szCs w:val="24"/>
              </w:rPr>
              <w:br w:type="textWrapping"/>
            </w:r>
            <w:r>
              <w:rPr>
                <w:rFonts w:hint="eastAsia" w:ascii="宋体" w:hAnsi="宋体" w:eastAsia="宋体" w:cs="宋体"/>
                <w:b w:val="0"/>
                <w:sz w:val="24"/>
                <w:szCs w:val="24"/>
              </w:rPr>
              <w:t xml:space="preserve">5.长度11-1/16in；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6.齿轮齿 36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7.头部深度7/16in；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8.头部宽度7/8in；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9.摆动角度 10°；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10.驱动方1/4。</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8把</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23</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硬/软管路施工耗材</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1.航材保险丝直径0.02in，6卷，每卷重量1LBS；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2.航材保险丝直径0.032in，6卷，每卷重量1LBS；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3.普通保险丝50卷，直径0.8mm，每卷重量1LBS；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4.丁晴手套200双；</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5.橡胶手套100双；</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6.堵头60个，堵头满足硬/软管路施工训练架管路要求；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7.棉纱手套200双。</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1批</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飞机传动系统实训平台</w:t>
            </w:r>
          </w:p>
        </w:tc>
        <w:tc>
          <w:tcPr>
            <w:tcW w:w="5551" w:type="dxa"/>
            <w:tcBorders>
              <w:top w:val="single" w:color="000000" w:sz="4" w:space="0"/>
              <w:left w:val="single" w:color="000000" w:sz="4" w:space="0"/>
              <w:bottom w:val="single" w:color="000000" w:sz="4" w:space="0"/>
              <w:right w:val="single" w:color="000000" w:sz="4" w:space="0"/>
            </w:tcBorders>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一、实训平台基本功能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1.飞机传动系统实训平台具备模拟飞机传动系统的教学内容，学员在实际操作中可掌握飞机传动系统的结构、原理、工作过程和故障诊断方法；</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2.具备模拟飞机副翼操作，展示飞机传动系统的动力传递和舵面偏角调节原理；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3.具备设置不同的工作模式，如中立模式、故障/维护模式，让学员在不同的情况下观察和分析飞机传动系统状态。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4通过飞机传动系统传动钢索和传动杆及传动各个组件的维护，可满足训练学生的动手能力及安全规范操作意识学习；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5.实训平台技术均应涵盖CCAR-66R3飞机传动系统实训的内容及要求，适用于航空器维修基本技能、民用航空器航线维修、航空机务基本技能知识要领；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二、实训平台技术参数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1.飞机传动系统实训平台整体结构可靠、方便学员操作、金属材料及表面经喷塑处理，能保证在训练过程中的稳固性能，底座装需有重型承载轮，方便设备移动；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2.平台主体框架需选用国标优质板材经弯折、焊接等工艺成型；功能框架需选用国标优质铝合金材料组装加工成型；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3.主体框架表面需喷涂/张贴包含飞机传动系统实训知识点的图案及文字说明资料；</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4.平台尺寸需符合学校规划场所的面积要求，以及符合培训要求，2000*1000*500mm（误差允许范围为50mm）；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实训平台需提供至少2套完整的独立传动系统回路；需提供至少4名学员同时训练的实训空间，每套至少需包括：标准航材钢索、标准航材件钢索松紧螺套、模拟飞机操纵翼面组件、驾驶盘、翼面驱动鼓轮、翼面控制扇形盘、翼面传动推拉杆、扭力摇臂、钢索换向滑轮、系统钢索张力补偿器、翼面角度偏转指示机构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6.需配置2套钢索规格为7×19 航空专用钢索直径不低于1/8 英寸；</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7.配置翼面传动推拉杆2套；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8.配置2套飞机操纵翼面组件，每套至少应包含翼面偏转支座、铝合金一体成型框架、翼面驱动机构、翼面蒙皮等；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三、配套资源及实训内容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1.实训平台训练项目应当涵盖CCAR-66R3中飞机传动部件的拆装与检查全部内容及要求；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2.需实现飞机钢索调校、推拉杆调整和翼面角度调整的功能；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3.翼面传动推拉杆需满足翼面零位调节、传动杆调节锁定保险施工、传动杆更换开口销保险施工、传动杆润滑检查等训练功能；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4.飞机操纵翼面组件可以完全模拟飞机传动系统校装训练、模拟飞机舵面偏转角度调整；</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5.平台知识点至少应涵盖主流民航飞机典型传动系统操纵原理图、民航飞机主操纵系统舵面示意图、航空钢索保险典型施工标准等；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四、实训平台配套文件资料</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1.需提供飞机传动系统实训平台与传动系统关键部件：模拟飞机操纵翼面组件、翼面驱动鼓轮、翼面控制扇形盘、系统钢索张力补偿器的实物图或3D效果图，并提供实训平台配置航材/零件明细清单表等信息；</w:t>
            </w:r>
            <w:r>
              <w:rPr>
                <w:rFonts w:hint="eastAsia" w:ascii="宋体" w:hAnsi="宋体" w:eastAsia="宋体" w:cs="宋体"/>
                <w:sz w:val="24"/>
                <w:szCs w:val="24"/>
              </w:rPr>
              <w:t>（投标文件中需提供上述文件）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2.需提供至少涵盖传动系统检查与校装、钢索保险施工、传动系统润滑施工等典型飞机传动系统施工技能知识点的训练工卡，工卡内容需与主要部件一一对应。</w:t>
            </w:r>
            <w:r>
              <w:rPr>
                <w:rFonts w:hint="eastAsia" w:ascii="宋体" w:hAnsi="宋体" w:eastAsia="宋体" w:cs="宋体"/>
                <w:sz w:val="24"/>
                <w:szCs w:val="24"/>
              </w:rPr>
              <w:t>（投标文件中需提供上述文件，工卡内容清晰，推荐为PDF或JPG格式）</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25</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松紧螺套调节工具</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1.轻型钢索调节工具；</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2.适用范围：0-1/2in；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3.材料采用不锈钢+40Cr 。</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12个</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26</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钢索张力计</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1.航空专用钢索张力计，适用的钢索直径：1/16”、3/32”、1/8”、5/32”、3/16”、7/32”、1/4”；</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2.工作温度范围：-65F(- 53℃)至160F(71℃)内；</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3.部件需含：正面有顶块、顶砧、钢索尺寸规、扳机、扳机锁、指针锁、表盘等机构；</w:t>
            </w:r>
            <w:r>
              <w:rPr>
                <w:rFonts w:hint="eastAsia" w:ascii="宋体" w:hAnsi="宋体" w:eastAsia="宋体" w:cs="宋体"/>
                <w:b w:val="0"/>
                <w:sz w:val="24"/>
                <w:szCs w:val="24"/>
              </w:rPr>
              <w:br w:type="textWrapping"/>
            </w:r>
            <w:r>
              <w:rPr>
                <w:rFonts w:hint="eastAsia" w:ascii="宋体" w:hAnsi="宋体" w:eastAsia="宋体" w:cs="宋体"/>
                <w:b w:val="0"/>
                <w:sz w:val="24"/>
                <w:szCs w:val="24"/>
              </w:rPr>
              <w:t>4.测量钢索直径1/16、3/32、1/8时测量范围：10-200磅；</w:t>
            </w:r>
            <w:r>
              <w:rPr>
                <w:rFonts w:hint="eastAsia" w:ascii="宋体" w:hAnsi="宋体" w:eastAsia="宋体" w:cs="宋体"/>
                <w:b w:val="0"/>
                <w:sz w:val="24"/>
                <w:szCs w:val="24"/>
              </w:rPr>
              <w:br w:type="textWrapping"/>
            </w:r>
            <w:r>
              <w:rPr>
                <w:rFonts w:hint="eastAsia" w:ascii="宋体" w:hAnsi="宋体" w:eastAsia="宋体" w:cs="宋体"/>
                <w:b w:val="0"/>
                <w:sz w:val="24"/>
                <w:szCs w:val="24"/>
              </w:rPr>
              <w:t>5.测量钢索直径5/32、3/16时测量范围：30-200磅；</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6.测量钢索直径7/32、1/4时测量范围：80-200磅。</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10套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27</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内六角扳手组套</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1.S2合金钢，亮铬电镀；</w:t>
            </w:r>
            <w:r>
              <w:rPr>
                <w:rFonts w:hint="eastAsia" w:ascii="宋体" w:hAnsi="宋体" w:eastAsia="宋体" w:cs="宋体"/>
                <w:b w:val="0"/>
                <w:sz w:val="24"/>
                <w:szCs w:val="24"/>
              </w:rPr>
              <w:br w:type="textWrapping"/>
            </w:r>
            <w:r>
              <w:rPr>
                <w:rFonts w:hint="eastAsia" w:ascii="宋体" w:hAnsi="宋体" w:eastAsia="宋体" w:cs="宋体"/>
                <w:b w:val="0"/>
                <w:sz w:val="24"/>
                <w:szCs w:val="24"/>
              </w:rPr>
              <w:t>2.皮带式卡扣；</w:t>
            </w:r>
            <w:r>
              <w:rPr>
                <w:rFonts w:hint="eastAsia" w:ascii="宋体" w:hAnsi="宋体" w:eastAsia="宋体" w:cs="宋体"/>
                <w:b w:val="0"/>
                <w:sz w:val="24"/>
                <w:szCs w:val="24"/>
              </w:rPr>
              <w:br w:type="textWrapping"/>
            </w:r>
            <w:r>
              <w:rPr>
                <w:rFonts w:hint="eastAsia" w:ascii="宋体" w:hAnsi="宋体" w:eastAsia="宋体" w:cs="宋体"/>
                <w:b w:val="0"/>
                <w:sz w:val="24"/>
                <w:szCs w:val="24"/>
              </w:rPr>
              <w:t>3.英制分数系列需求；1/16,5/64,3/32,1/8,5/32,3/16,1/4,5/16,3/8″，7字型黑色高强度套装。</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28</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梅开扳手组套</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包含1/4.5/16.3/8.7/16.1/2.9/16.5/8.11/16.3/4套装。</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29</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保险钳</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1.航空专用保险钳，可正反方向旋转；</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2.WTR1A材质:工具钢；</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3.具有波状钳口避免损坏电线；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4.具有圆形窄头部可进入狭窄工位；</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5.长度：英制6"。</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24把</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30</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橡胶榔头</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1.长度约：30cm；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2.重量约：450g；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3.手柄长度约25cm；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4.锤头高度约5cm。</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24个</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31</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放大镜</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1.通用型放大镜，适用于航空教学使用；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2.镜片材质: PMMA；</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3.镜片规格: 光学镜片镜片直径: 145mm(大镜)、25mm(小镜)；</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4.镜片倍率: 大镜片30倍、小镜片45倍。</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24个</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32</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穿心螺丝刀</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1.刀杆采用S2钢材，表面镀铬处理；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2.刀头发黑处理，带磁性；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lang w:val="zh-CN"/>
              </w:rPr>
              <w:t>3.</w:t>
            </w:r>
            <w:r>
              <w:rPr>
                <w:rFonts w:hint="eastAsia" w:ascii="宋体" w:hAnsi="宋体" w:eastAsia="宋体" w:cs="宋体"/>
                <w:b w:val="0"/>
                <w:sz w:val="24"/>
                <w:szCs w:val="24"/>
              </w:rPr>
              <w:t>手柄符合人体工程学设计；</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lang w:val="zh-CN"/>
              </w:rPr>
              <w:t>4.</w:t>
            </w:r>
            <w:r>
              <w:rPr>
                <w:rFonts w:hint="eastAsia" w:ascii="宋体" w:hAnsi="宋体" w:eastAsia="宋体" w:cs="宋体"/>
                <w:b w:val="0"/>
                <w:sz w:val="24"/>
                <w:szCs w:val="24"/>
              </w:rPr>
              <w:t>一字加力，长度不低于250mm。</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24把</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33</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扳手头</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1.英制精抛光，表面镀铬镍，抗氧化镀层；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2.规格：5/8寸,连接方头规格3/8寸。</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24个</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34</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温度计</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1.温度范围：-30℃-100℃；</w:t>
            </w:r>
            <w:r>
              <w:rPr>
                <w:rFonts w:hint="eastAsia" w:ascii="宋体" w:hAnsi="宋体" w:eastAsia="宋体" w:cs="宋体"/>
                <w:b w:val="0"/>
                <w:sz w:val="24"/>
                <w:szCs w:val="24"/>
              </w:rPr>
              <w:br w:type="textWrapping"/>
            </w:r>
            <w:r>
              <w:rPr>
                <w:rFonts w:hint="eastAsia" w:ascii="宋体" w:hAnsi="宋体" w:eastAsia="宋体" w:cs="宋体"/>
                <w:b w:val="0"/>
                <w:sz w:val="24"/>
                <w:szCs w:val="24"/>
              </w:rPr>
              <w:t>2.显示时间：不大于0.5秒；</w:t>
            </w:r>
            <w:r>
              <w:rPr>
                <w:rFonts w:hint="eastAsia" w:ascii="宋体" w:hAnsi="宋体" w:eastAsia="宋体" w:cs="宋体"/>
                <w:b w:val="0"/>
                <w:sz w:val="24"/>
                <w:szCs w:val="24"/>
              </w:rPr>
              <w:br w:type="textWrapping"/>
            </w:r>
            <w:r>
              <w:rPr>
                <w:rFonts w:hint="eastAsia" w:ascii="宋体" w:hAnsi="宋体" w:eastAsia="宋体" w:cs="宋体"/>
                <w:b w:val="0"/>
                <w:sz w:val="24"/>
                <w:szCs w:val="24"/>
              </w:rPr>
              <w:t>3.包含摄氏度、华氏度、湿度等显示。</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6个</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35</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软/硬传动校装耗材</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1.航材保险丝直径0.02in，10卷，每卷1LBS；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2.航材保险丝直径0.032in，10卷，每卷1LBS；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3.普通保险丝50卷，直径0.8mm，每卷1LBS；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4.别针保险10盒；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5.丁晴手套200双；</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6.橡胶手套100双。</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1批</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36</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钣铆工作台</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一、实训平台基本功能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1.钣铆工作台需满足按照民用航空和航空行业标准，对钣铆件进行组合铆装修理，需实现钣金的固定切割、折弯、钻孔等操作；</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2.平台能满足工具准备、操作的安全防护、钣金件展开计算、钣金件下料、折弯纹理布置、折弯操作、正面铆接操作、反面铆接操作、钣金制件组合与装配、铆接缺陷的分析的工序；</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3.钣铆工作台上配置台虎钳，实现对不同形状和尺寸的工件的夹持；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4.钣铆工作台上装有气源快卸接头，可以快速连接和断开气源管道，钣铆工具可实现稳定的气压和流量；</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5.需装有电源插座，电动拧动、电动切割工具、电动冲压工具、电动折弯工具可实现可靠电源；</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6.配置固定抽屉，需可存放各种钣铆工具和零件及耗材。</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二、实训平台技术要求</w:t>
            </w:r>
            <w:r>
              <w:rPr>
                <w:rFonts w:hint="eastAsia" w:ascii="宋体" w:hAnsi="宋体" w:eastAsia="宋体" w:cs="宋体"/>
                <w:b w:val="0"/>
                <w:sz w:val="24"/>
                <w:szCs w:val="24"/>
              </w:rPr>
              <w:br w:type="textWrapping"/>
            </w:r>
            <w:r>
              <w:rPr>
                <w:rFonts w:hint="eastAsia" w:ascii="宋体" w:hAnsi="宋体" w:eastAsia="宋体" w:cs="宋体"/>
                <w:b w:val="0"/>
                <w:sz w:val="24"/>
                <w:szCs w:val="24"/>
              </w:rPr>
              <w:t>1.实训台规格:工作台为正六边形，边长:1200mm(±3%)，整体高800mm(±3%)；</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2.实训台台面:台面总厚50mm(±3%)，高压复合密度板(符合国标E1级要求)边表面包不锈钢201覆面，包边包面，均载≥1500Kg；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3.实训台配置:每边配置6寸台虎钳台1个，共6个。台面下配置6个四抽工具柜(规格:长*宽*高≥560*600*750mm(±3%))，抽屉为重型单轨，单抽承重80Kg，全宽铝合金拉手；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4.桌架工艺需采用冷轧板制成，钢材均施以酸洗、磷化和喷塑处理；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5.台面上需配置六边形小电源台，台面整体高度≥200mm，每面带1个五孔插座和1个气源接口；</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6.颜色:柜体灰、面板蓝或灰色；</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三、配套资源及实训内容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1.需满足按飞机图纸制造零件、样板的制作、飞机外形的检验训练内容；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2.需满足梁和桁条的修理、隔框和翼肋的修理、蒙皮的修理、铆接修理、铆接与敛缝的等强度计算训练内容；</w:t>
            </w:r>
            <w:r>
              <w:rPr>
                <w:rFonts w:hint="eastAsia" w:ascii="宋体" w:hAnsi="宋体" w:eastAsia="宋体" w:cs="宋体"/>
                <w:b w:val="0"/>
                <w:sz w:val="24"/>
                <w:szCs w:val="24"/>
              </w:rPr>
              <w:br w:type="textWrapping"/>
            </w:r>
            <w:r>
              <w:rPr>
                <w:rFonts w:hint="eastAsia" w:ascii="宋体" w:hAnsi="宋体" w:eastAsia="宋体" w:cs="宋体"/>
                <w:b w:val="0"/>
                <w:sz w:val="24"/>
                <w:szCs w:val="24"/>
              </w:rPr>
              <w:t>3.需满足铆接修理后的检查、组合件装配、划分工艺组合件的检验训练内容；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4.需满足飞机骨架部件的修理、组合件的构造及装配工艺的检验训练内容；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5.需包含教学课件、实训工卡、相关飞机维修手册等，可实训项目数量不少于10个以上；</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8套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37</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钣铆专用工具套装</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1.铆枪1把，工作气压0.63MPA,冲击次数1500/分钟，重量1.1Kg，耗气量4.2L/S 工作能力直径5mm LY10航空铆钉，安装铆卡尺寸10.0*22，配空气流量阀1个，GB867半圆头直径2.5、3.0、3.5、4.0、5.0铆卡各1件，GB954沉头铆卡1个，平锥头铆卡1个，蜂窝弹簧和快换弹簧各1个，W15000（0.91Kg），W74103(0.59Kg)顶铁各1把；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2.工业级气钻1把，功率450W;转速4500rpm，重量1.0Kg，配JACOBS高精度钻夹头，钻夹头夹持范围0-1/4英寸，开关按钮允许缓慢启动；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3.直径2.5、3.0、3.5、4.0、5.0弹簧定位销数量各5个，定位销钳1 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4.直径2.5、3.0、3.5、4.0、5.0角度120度锪窝钻数量各1个，锪窝钻材质为M42含钴高速钢,配套锪窝限位器1个；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5.铆钉剪1把，剪切范围3/32-1/4英寸；</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6.钻头套装1套，内含2.6、3.1、3.6、4.1、5.0、5.1麻花钻数量各1支；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7.GB930-M5双耳托板螺母钻模1个，结构为1个钻套加1个定位销子正反换向使用，钻模手柄采用高弹性锰钢，钻孔时方便弯曲；</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8.外包装采用注塑工具箱，工具箱箱有效尺寸不小于440*290*120mm,重量不大于2.3Kg，工具箱正面带2块不锈钢标牌，标牌激光打标工具箱序列号及名称等信息；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9.所有工具需进行EVA开模存放于工具箱内部。</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48套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38</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钣铆常用工具套装</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1.气管及气枪 10m；</w:t>
            </w:r>
            <w:r>
              <w:rPr>
                <w:rFonts w:hint="eastAsia" w:ascii="宋体" w:hAnsi="宋体" w:eastAsia="宋体" w:cs="宋体"/>
                <w:b w:val="0"/>
                <w:sz w:val="24"/>
                <w:szCs w:val="24"/>
              </w:rPr>
              <w:br w:type="textWrapping"/>
            </w:r>
            <w:r>
              <w:rPr>
                <w:rFonts w:hint="eastAsia" w:ascii="宋体" w:hAnsi="宋体" w:eastAsia="宋体" w:cs="宋体"/>
                <w:b w:val="0"/>
                <w:sz w:val="24"/>
                <w:szCs w:val="24"/>
              </w:rPr>
              <w:t>2.铁剪刀 长：300mm；</w:t>
            </w:r>
            <w:r>
              <w:rPr>
                <w:rFonts w:hint="eastAsia" w:ascii="宋体" w:hAnsi="宋体" w:eastAsia="宋体" w:cs="宋体"/>
                <w:b w:val="0"/>
                <w:sz w:val="24"/>
                <w:szCs w:val="24"/>
              </w:rPr>
              <w:br w:type="textWrapping"/>
            </w:r>
            <w:r>
              <w:rPr>
                <w:rFonts w:hint="eastAsia" w:ascii="宋体" w:hAnsi="宋体" w:eastAsia="宋体" w:cs="宋体"/>
                <w:b w:val="0"/>
                <w:sz w:val="24"/>
                <w:szCs w:val="24"/>
              </w:rPr>
              <w:t>3.铁榔头 木柄长:295mm,锤头:97mm×20mm；</w:t>
            </w:r>
            <w:r>
              <w:rPr>
                <w:rFonts w:hint="eastAsia" w:ascii="宋体" w:hAnsi="宋体" w:eastAsia="宋体" w:cs="宋体"/>
                <w:b w:val="0"/>
                <w:sz w:val="24"/>
                <w:szCs w:val="24"/>
              </w:rPr>
              <w:br w:type="textWrapping"/>
            </w:r>
            <w:r>
              <w:rPr>
                <w:rFonts w:hint="eastAsia" w:ascii="宋体" w:hAnsi="宋体" w:eastAsia="宋体" w:cs="宋体"/>
                <w:b w:val="0"/>
                <w:sz w:val="24"/>
                <w:szCs w:val="24"/>
              </w:rPr>
              <w:t>4.胶皮榔头 长：260mm；</w:t>
            </w:r>
            <w:r>
              <w:rPr>
                <w:rFonts w:hint="eastAsia" w:ascii="宋体" w:hAnsi="宋体" w:eastAsia="宋体" w:cs="宋体"/>
                <w:b w:val="0"/>
                <w:sz w:val="24"/>
                <w:szCs w:val="24"/>
              </w:rPr>
              <w:br w:type="textWrapping"/>
            </w:r>
            <w:r>
              <w:rPr>
                <w:rFonts w:hint="eastAsia" w:ascii="宋体" w:hAnsi="宋体" w:eastAsia="宋体" w:cs="宋体"/>
                <w:b w:val="0"/>
                <w:sz w:val="24"/>
                <w:szCs w:val="24"/>
              </w:rPr>
              <w:t>5.木榔头 长：290mm,通用平头；</w:t>
            </w:r>
            <w:r>
              <w:rPr>
                <w:rFonts w:hint="eastAsia" w:ascii="宋体" w:hAnsi="宋体" w:eastAsia="宋体" w:cs="宋体"/>
                <w:b w:val="0"/>
                <w:sz w:val="24"/>
                <w:szCs w:val="24"/>
              </w:rPr>
              <w:br w:type="textWrapping"/>
            </w:r>
            <w:r>
              <w:rPr>
                <w:rFonts w:hint="eastAsia" w:ascii="宋体" w:hAnsi="宋体" w:eastAsia="宋体" w:cs="宋体"/>
                <w:b w:val="0"/>
                <w:sz w:val="24"/>
                <w:szCs w:val="24"/>
              </w:rPr>
              <w:t>6.平口钳 6寸通用；</w:t>
            </w:r>
            <w:r>
              <w:rPr>
                <w:rFonts w:hint="eastAsia" w:ascii="宋体" w:hAnsi="宋体" w:eastAsia="宋体" w:cs="宋体"/>
                <w:b w:val="0"/>
                <w:sz w:val="24"/>
                <w:szCs w:val="24"/>
              </w:rPr>
              <w:br w:type="textWrapping"/>
            </w:r>
            <w:r>
              <w:rPr>
                <w:rFonts w:hint="eastAsia" w:ascii="宋体" w:hAnsi="宋体" w:eastAsia="宋体" w:cs="宋体"/>
                <w:b w:val="0"/>
                <w:sz w:val="24"/>
                <w:szCs w:val="24"/>
              </w:rPr>
              <w:t>7.尖嘴钳 6寸通用；</w:t>
            </w:r>
            <w:r>
              <w:rPr>
                <w:rFonts w:hint="eastAsia" w:ascii="宋体" w:hAnsi="宋体" w:eastAsia="宋体" w:cs="宋体"/>
                <w:b w:val="0"/>
                <w:sz w:val="24"/>
                <w:szCs w:val="24"/>
              </w:rPr>
              <w:br w:type="textWrapping"/>
            </w:r>
            <w:r>
              <w:rPr>
                <w:rFonts w:hint="eastAsia" w:ascii="宋体" w:hAnsi="宋体" w:eastAsia="宋体" w:cs="宋体"/>
                <w:b w:val="0"/>
                <w:sz w:val="24"/>
                <w:szCs w:val="24"/>
              </w:rPr>
              <w:t>8.C型夹；</w:t>
            </w:r>
            <w:r>
              <w:rPr>
                <w:rFonts w:hint="eastAsia" w:ascii="宋体" w:hAnsi="宋体" w:eastAsia="宋体" w:cs="宋体"/>
                <w:b w:val="0"/>
                <w:sz w:val="24"/>
                <w:szCs w:val="24"/>
              </w:rPr>
              <w:br w:type="textWrapping"/>
            </w:r>
            <w:r>
              <w:rPr>
                <w:rFonts w:hint="eastAsia" w:ascii="宋体" w:hAnsi="宋体" w:eastAsia="宋体" w:cs="宋体"/>
                <w:b w:val="0"/>
                <w:sz w:val="24"/>
                <w:szCs w:val="24"/>
              </w:rPr>
              <w:t>9.钢锉刀 长：300mm 圆、平板；</w:t>
            </w:r>
            <w:r>
              <w:rPr>
                <w:rFonts w:hint="eastAsia" w:ascii="宋体" w:hAnsi="宋体" w:eastAsia="宋体" w:cs="宋体"/>
                <w:b w:val="0"/>
                <w:sz w:val="24"/>
                <w:szCs w:val="24"/>
              </w:rPr>
              <w:br w:type="textWrapping"/>
            </w:r>
            <w:r>
              <w:rPr>
                <w:rFonts w:hint="eastAsia" w:ascii="宋体" w:hAnsi="宋体" w:eastAsia="宋体" w:cs="宋体"/>
                <w:b w:val="0"/>
                <w:sz w:val="24"/>
                <w:szCs w:val="24"/>
              </w:rPr>
              <w:t>10.铝锉刀 长：300mm 半圆、平板；</w:t>
            </w:r>
            <w:r>
              <w:rPr>
                <w:rFonts w:hint="eastAsia" w:ascii="宋体" w:hAnsi="宋体" w:eastAsia="宋体" w:cs="宋体"/>
                <w:b w:val="0"/>
                <w:sz w:val="24"/>
                <w:szCs w:val="24"/>
              </w:rPr>
              <w:br w:type="textWrapping"/>
            </w:r>
            <w:r>
              <w:rPr>
                <w:rFonts w:hint="eastAsia" w:ascii="宋体" w:hAnsi="宋体" w:eastAsia="宋体" w:cs="宋体"/>
                <w:b w:val="0"/>
                <w:sz w:val="24"/>
                <w:szCs w:val="24"/>
              </w:rPr>
              <w:t>11.什锦锉 长：140mm；</w:t>
            </w:r>
            <w:r>
              <w:rPr>
                <w:rFonts w:hint="eastAsia" w:ascii="宋体" w:hAnsi="宋体" w:eastAsia="宋体" w:cs="宋体"/>
                <w:b w:val="0"/>
                <w:sz w:val="24"/>
                <w:szCs w:val="24"/>
              </w:rPr>
              <w:br w:type="textWrapping"/>
            </w:r>
            <w:r>
              <w:rPr>
                <w:rFonts w:hint="eastAsia" w:ascii="宋体" w:hAnsi="宋体" w:eastAsia="宋体" w:cs="宋体"/>
                <w:b w:val="0"/>
                <w:sz w:val="24"/>
                <w:szCs w:val="24"/>
              </w:rPr>
              <w:t>12.铣刀 柱形；</w:t>
            </w:r>
            <w:r>
              <w:rPr>
                <w:rFonts w:hint="eastAsia" w:ascii="宋体" w:hAnsi="宋体" w:eastAsia="宋体" w:cs="宋体"/>
                <w:b w:val="0"/>
                <w:sz w:val="24"/>
                <w:szCs w:val="24"/>
              </w:rPr>
              <w:br w:type="textWrapping"/>
            </w:r>
            <w:r>
              <w:rPr>
                <w:rFonts w:hint="eastAsia" w:ascii="宋体" w:hAnsi="宋体" w:eastAsia="宋体" w:cs="宋体"/>
                <w:b w:val="0"/>
                <w:sz w:val="24"/>
                <w:szCs w:val="24"/>
              </w:rPr>
              <w:t>13.去毛刺器  可旋转工具夹持；</w:t>
            </w:r>
            <w:r>
              <w:rPr>
                <w:rFonts w:hint="eastAsia" w:ascii="宋体" w:hAnsi="宋体" w:eastAsia="宋体" w:cs="宋体"/>
                <w:b w:val="0"/>
                <w:sz w:val="24"/>
                <w:szCs w:val="24"/>
              </w:rPr>
              <w:br w:type="textWrapping"/>
            </w:r>
            <w:r>
              <w:rPr>
                <w:rFonts w:hint="eastAsia" w:ascii="宋体" w:hAnsi="宋体" w:eastAsia="宋体" w:cs="宋体"/>
                <w:b w:val="0"/>
                <w:sz w:val="24"/>
                <w:szCs w:val="24"/>
              </w:rPr>
              <w:t>14.钢板尺  长：300mm\600mm；</w:t>
            </w:r>
            <w:r>
              <w:rPr>
                <w:rFonts w:hint="eastAsia" w:ascii="宋体" w:hAnsi="宋体" w:eastAsia="宋体" w:cs="宋体"/>
                <w:b w:val="0"/>
                <w:sz w:val="24"/>
                <w:szCs w:val="24"/>
              </w:rPr>
              <w:br w:type="textWrapping"/>
            </w:r>
            <w:r>
              <w:rPr>
                <w:rFonts w:hint="eastAsia" w:ascii="宋体" w:hAnsi="宋体" w:eastAsia="宋体" w:cs="宋体"/>
                <w:b w:val="0"/>
                <w:sz w:val="24"/>
                <w:szCs w:val="24"/>
              </w:rPr>
              <w:t>15.公制活动直角尺 300mm；</w:t>
            </w:r>
            <w:r>
              <w:rPr>
                <w:rFonts w:hint="eastAsia" w:ascii="宋体" w:hAnsi="宋体" w:eastAsia="宋体" w:cs="宋体"/>
                <w:b w:val="0"/>
                <w:sz w:val="24"/>
                <w:szCs w:val="24"/>
              </w:rPr>
              <w:br w:type="textWrapping"/>
            </w:r>
            <w:r>
              <w:rPr>
                <w:rFonts w:hint="eastAsia" w:ascii="宋体" w:hAnsi="宋体" w:eastAsia="宋体" w:cs="宋体"/>
                <w:b w:val="0"/>
                <w:sz w:val="24"/>
                <w:szCs w:val="24"/>
              </w:rPr>
              <w:t>16.钢卷尺 5m×19mm；</w:t>
            </w:r>
            <w:r>
              <w:rPr>
                <w:rFonts w:hint="eastAsia" w:ascii="宋体" w:hAnsi="宋体" w:eastAsia="宋体" w:cs="宋体"/>
                <w:b w:val="0"/>
                <w:sz w:val="24"/>
                <w:szCs w:val="24"/>
              </w:rPr>
              <w:br w:type="textWrapping"/>
            </w:r>
            <w:r>
              <w:rPr>
                <w:rFonts w:hint="eastAsia" w:ascii="宋体" w:hAnsi="宋体" w:eastAsia="宋体" w:cs="宋体"/>
                <w:b w:val="0"/>
                <w:sz w:val="24"/>
                <w:szCs w:val="24"/>
              </w:rPr>
              <w:t>17.锯弓 12寸，440mm；</w:t>
            </w:r>
            <w:r>
              <w:rPr>
                <w:rFonts w:hint="eastAsia" w:ascii="宋体" w:hAnsi="宋体" w:eastAsia="宋体" w:cs="宋体"/>
                <w:b w:val="0"/>
                <w:sz w:val="24"/>
                <w:szCs w:val="24"/>
              </w:rPr>
              <w:br w:type="textWrapping"/>
            </w:r>
            <w:r>
              <w:rPr>
                <w:rFonts w:hint="eastAsia" w:ascii="宋体" w:hAnsi="宋体" w:eastAsia="宋体" w:cs="宋体"/>
                <w:b w:val="0"/>
                <w:sz w:val="24"/>
                <w:szCs w:val="24"/>
              </w:rPr>
              <w:t>18.锯条 标准长度，18齿；</w:t>
            </w:r>
            <w:r>
              <w:rPr>
                <w:rFonts w:hint="eastAsia" w:ascii="宋体" w:hAnsi="宋体" w:eastAsia="宋体" w:cs="宋体"/>
                <w:b w:val="0"/>
                <w:sz w:val="24"/>
                <w:szCs w:val="24"/>
              </w:rPr>
              <w:br w:type="textWrapping"/>
            </w:r>
            <w:r>
              <w:rPr>
                <w:rFonts w:hint="eastAsia" w:ascii="宋体" w:hAnsi="宋体" w:eastAsia="宋体" w:cs="宋体"/>
                <w:b w:val="0"/>
                <w:sz w:val="24"/>
                <w:szCs w:val="24"/>
              </w:rPr>
              <w:t>19.划规 最大画圆直径200mm；</w:t>
            </w:r>
            <w:r>
              <w:rPr>
                <w:rFonts w:hint="eastAsia" w:ascii="宋体" w:hAnsi="宋体" w:eastAsia="宋体" w:cs="宋体"/>
                <w:b w:val="0"/>
                <w:sz w:val="24"/>
                <w:szCs w:val="24"/>
              </w:rPr>
              <w:br w:type="textWrapping"/>
            </w:r>
            <w:r>
              <w:rPr>
                <w:rFonts w:hint="eastAsia" w:ascii="宋体" w:hAnsi="宋体" w:eastAsia="宋体" w:cs="宋体"/>
                <w:b w:val="0"/>
                <w:sz w:val="24"/>
                <w:szCs w:val="24"/>
              </w:rPr>
              <w:t>20.圆规 作图；</w:t>
            </w:r>
            <w:r>
              <w:rPr>
                <w:rFonts w:hint="eastAsia" w:ascii="宋体" w:hAnsi="宋体" w:eastAsia="宋体" w:cs="宋体"/>
                <w:b w:val="0"/>
                <w:sz w:val="24"/>
                <w:szCs w:val="24"/>
              </w:rPr>
              <w:br w:type="textWrapping"/>
            </w:r>
            <w:r>
              <w:rPr>
                <w:rFonts w:hint="eastAsia" w:ascii="宋体" w:hAnsi="宋体" w:eastAsia="宋体" w:cs="宋体"/>
                <w:b w:val="0"/>
                <w:sz w:val="24"/>
                <w:szCs w:val="24"/>
              </w:rPr>
              <w:t>21.划针 单头，100mm×3mm；</w:t>
            </w:r>
            <w:r>
              <w:rPr>
                <w:rFonts w:hint="eastAsia" w:ascii="宋体" w:hAnsi="宋体" w:eastAsia="宋体" w:cs="宋体"/>
                <w:b w:val="0"/>
                <w:sz w:val="24"/>
                <w:szCs w:val="24"/>
              </w:rPr>
              <w:br w:type="textWrapping"/>
            </w:r>
            <w:r>
              <w:rPr>
                <w:rFonts w:hint="eastAsia" w:ascii="宋体" w:hAnsi="宋体" w:eastAsia="宋体" w:cs="宋体"/>
                <w:b w:val="0"/>
                <w:sz w:val="24"/>
                <w:szCs w:val="24"/>
              </w:rPr>
              <w:t>22.铅笔 2B；</w:t>
            </w:r>
            <w:r>
              <w:rPr>
                <w:rFonts w:hint="eastAsia" w:ascii="宋体" w:hAnsi="宋体" w:eastAsia="宋体" w:cs="宋体"/>
                <w:b w:val="0"/>
                <w:sz w:val="24"/>
                <w:szCs w:val="24"/>
              </w:rPr>
              <w:br w:type="textWrapping"/>
            </w:r>
            <w:r>
              <w:rPr>
                <w:rFonts w:hint="eastAsia" w:ascii="宋体" w:hAnsi="宋体" w:eastAsia="宋体" w:cs="宋体"/>
                <w:b w:val="0"/>
                <w:sz w:val="24"/>
                <w:szCs w:val="24"/>
              </w:rPr>
              <w:t>23.中心冲 杆尺寸：100mm×10mm，锥宽6mm；</w:t>
            </w:r>
            <w:r>
              <w:rPr>
                <w:rFonts w:hint="eastAsia" w:ascii="宋体" w:hAnsi="宋体" w:eastAsia="宋体" w:cs="宋体"/>
                <w:b w:val="0"/>
                <w:sz w:val="24"/>
                <w:szCs w:val="24"/>
              </w:rPr>
              <w:br w:type="textWrapping"/>
            </w:r>
            <w:r>
              <w:rPr>
                <w:rFonts w:hint="eastAsia" w:ascii="宋体" w:hAnsi="宋体" w:eastAsia="宋体" w:cs="宋体"/>
                <w:b w:val="0"/>
                <w:sz w:val="24"/>
                <w:szCs w:val="24"/>
              </w:rPr>
              <w:t>24.铆钉冲（圆锥冲） 杆尺寸：138mm×10mm，锥头宽2mm；</w:t>
            </w:r>
            <w:r>
              <w:rPr>
                <w:rFonts w:hint="eastAsia" w:ascii="宋体" w:hAnsi="宋体" w:eastAsia="宋体" w:cs="宋体"/>
                <w:b w:val="0"/>
                <w:sz w:val="24"/>
                <w:szCs w:val="24"/>
              </w:rPr>
              <w:br w:type="textWrapping"/>
            </w:r>
            <w:r>
              <w:rPr>
                <w:rFonts w:hint="eastAsia" w:ascii="宋体" w:hAnsi="宋体" w:eastAsia="宋体" w:cs="宋体"/>
                <w:b w:val="0"/>
                <w:sz w:val="24"/>
                <w:szCs w:val="24"/>
              </w:rPr>
              <w:t>25.手虎钳  钳牙宽:40mm；</w:t>
            </w:r>
            <w:r>
              <w:rPr>
                <w:rFonts w:hint="eastAsia" w:ascii="宋体" w:hAnsi="宋体" w:eastAsia="宋体" w:cs="宋体"/>
                <w:b w:val="0"/>
                <w:sz w:val="24"/>
                <w:szCs w:val="24"/>
              </w:rPr>
              <w:br w:type="textWrapping"/>
            </w:r>
            <w:r>
              <w:rPr>
                <w:rFonts w:hint="eastAsia" w:ascii="宋体" w:hAnsi="宋体" w:eastAsia="宋体" w:cs="宋体"/>
                <w:b w:val="0"/>
                <w:sz w:val="24"/>
                <w:szCs w:val="24"/>
              </w:rPr>
              <w:t>26.内六方扳手 国标公制九件套；</w:t>
            </w:r>
            <w:r>
              <w:rPr>
                <w:rFonts w:hint="eastAsia" w:ascii="宋体" w:hAnsi="宋体" w:eastAsia="宋体" w:cs="宋体"/>
                <w:b w:val="0"/>
                <w:sz w:val="24"/>
                <w:szCs w:val="24"/>
              </w:rPr>
              <w:br w:type="textWrapping"/>
            </w:r>
            <w:r>
              <w:rPr>
                <w:rFonts w:hint="eastAsia" w:ascii="宋体" w:hAnsi="宋体" w:eastAsia="宋体" w:cs="宋体"/>
                <w:b w:val="0"/>
                <w:sz w:val="24"/>
                <w:szCs w:val="24"/>
              </w:rPr>
              <w:t>27.一字解刀 长：185mm；</w:t>
            </w:r>
            <w:r>
              <w:rPr>
                <w:rFonts w:hint="eastAsia" w:ascii="宋体" w:hAnsi="宋体" w:eastAsia="宋体" w:cs="宋体"/>
                <w:b w:val="0"/>
                <w:sz w:val="24"/>
                <w:szCs w:val="24"/>
              </w:rPr>
              <w:br w:type="textWrapping"/>
            </w:r>
            <w:r>
              <w:rPr>
                <w:rFonts w:hint="eastAsia" w:ascii="宋体" w:hAnsi="宋体" w:eastAsia="宋体" w:cs="宋体"/>
                <w:b w:val="0"/>
                <w:sz w:val="24"/>
                <w:szCs w:val="24"/>
              </w:rPr>
              <w:t>28.十字解刀  长：185mm；</w:t>
            </w:r>
            <w:r>
              <w:rPr>
                <w:rFonts w:hint="eastAsia" w:ascii="宋体" w:hAnsi="宋体" w:eastAsia="宋体" w:cs="宋体"/>
                <w:b w:val="0"/>
                <w:sz w:val="24"/>
                <w:szCs w:val="24"/>
              </w:rPr>
              <w:br w:type="textWrapping"/>
            </w:r>
            <w:r>
              <w:rPr>
                <w:rFonts w:hint="eastAsia" w:ascii="宋体" w:hAnsi="宋体" w:eastAsia="宋体" w:cs="宋体"/>
                <w:b w:val="0"/>
                <w:sz w:val="24"/>
                <w:szCs w:val="24"/>
              </w:rPr>
              <w:t>29.工具箱 17寸手提三翻斗；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30.手动穿心夹 ∅3.0mm；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31.软钳口通用型。</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48套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39</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钣铆测量套装</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1.测量套装配置：200*200mm铸铁划线平台；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2.测量方箱200×200×200mm；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3.量角器通用型；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4.游标卡尺 0～150mm；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5.游标卡尺0～300mm；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6.万能游标角度尺 0～320°；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7.R规 R1～6.5mm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8.塞尺 0.02～1mm 。</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8套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40</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剪板机</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1.剪板机（脚踏式），脚踩式剪板机≥1300×700×960mm；</w:t>
            </w:r>
            <w:r>
              <w:rPr>
                <w:rFonts w:hint="eastAsia" w:ascii="宋体" w:hAnsi="宋体" w:eastAsia="宋体" w:cs="宋体"/>
                <w:b w:val="0"/>
                <w:sz w:val="24"/>
                <w:szCs w:val="24"/>
              </w:rPr>
              <w:br w:type="textWrapping"/>
            </w:r>
            <w:r>
              <w:rPr>
                <w:rFonts w:hint="eastAsia" w:ascii="宋体" w:hAnsi="宋体" w:eastAsia="宋体" w:cs="宋体"/>
                <w:b w:val="0"/>
                <w:sz w:val="24"/>
                <w:szCs w:val="24"/>
              </w:rPr>
              <w:t>2.剪板机无动力，采用脚踏形式作动，剪切动作轻松流畅；需设有压料和挡料装置，切口齐、边线直，无毛边，适用于金属薄板的剪切下料，可剪板厚：低碳钢板0.2-1mm；</w:t>
            </w:r>
            <w:r>
              <w:rPr>
                <w:rFonts w:hint="eastAsia" w:ascii="宋体" w:hAnsi="宋体" w:eastAsia="宋体" w:cs="宋体"/>
                <w:b w:val="0"/>
                <w:sz w:val="24"/>
                <w:szCs w:val="24"/>
              </w:rPr>
              <w:br w:type="textWrapping"/>
            </w:r>
            <w:r>
              <w:rPr>
                <w:rFonts w:hint="eastAsia" w:ascii="宋体" w:hAnsi="宋体" w:eastAsia="宋体" w:cs="宋体"/>
                <w:b w:val="0"/>
                <w:sz w:val="24"/>
                <w:szCs w:val="24"/>
              </w:rPr>
              <w:t>3.可剪板宽≥720~1000mm；剪切角：1°30’~2°；后挡料范围：≥170~300mm；工作台高度：≥815mm；外形尺寸：≥1300×700×960mm；</w:t>
            </w:r>
            <w:r>
              <w:rPr>
                <w:rFonts w:hint="eastAsia" w:ascii="宋体" w:hAnsi="宋体" w:eastAsia="宋体" w:cs="宋体"/>
                <w:b w:val="0"/>
                <w:sz w:val="24"/>
                <w:szCs w:val="24"/>
              </w:rPr>
              <w:br w:type="textWrapping"/>
            </w:r>
            <w:r>
              <w:rPr>
                <w:rFonts w:hint="eastAsia" w:ascii="宋体" w:hAnsi="宋体" w:eastAsia="宋体" w:cs="宋体"/>
                <w:b w:val="0"/>
                <w:sz w:val="24"/>
                <w:szCs w:val="24"/>
              </w:rPr>
              <w:t>4.刀口需经过淬硬处理，有较高的强度，且刀刃必须锋利；冲剪力大、下踩踏板落刀必须同步、受力均匀，进料平台和刀口之间必须安装安全挡板，剪切后的铝合金薄板边缘必须光滑无毛刺。</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41</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折弯机</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1.折边机，折边机外形尺寸：≥2180×800×1320mm；</w:t>
            </w:r>
            <w:r>
              <w:rPr>
                <w:rFonts w:hint="eastAsia" w:ascii="宋体" w:hAnsi="宋体" w:eastAsia="宋体" w:cs="宋体"/>
                <w:b w:val="0"/>
                <w:sz w:val="24"/>
                <w:szCs w:val="24"/>
              </w:rPr>
              <w:br w:type="textWrapping"/>
            </w:r>
            <w:r>
              <w:rPr>
                <w:rFonts w:hint="eastAsia" w:ascii="宋体" w:hAnsi="宋体" w:eastAsia="宋体" w:cs="宋体"/>
                <w:b w:val="0"/>
                <w:sz w:val="24"/>
                <w:szCs w:val="24"/>
              </w:rPr>
              <w:t>2.折弯机无动力，采用手动形式作动，手动控制折弯角度，需具有足够的强度和刚性，模具使用寿命长，工作稳定，适用于金属薄板的弯折成型；</w:t>
            </w:r>
            <w:r>
              <w:rPr>
                <w:rFonts w:hint="eastAsia" w:ascii="宋体" w:hAnsi="宋体" w:eastAsia="宋体" w:cs="宋体"/>
                <w:b w:val="0"/>
                <w:sz w:val="24"/>
                <w:szCs w:val="24"/>
              </w:rPr>
              <w:br w:type="textWrapping"/>
            </w:r>
            <w:r>
              <w:rPr>
                <w:rFonts w:hint="eastAsia" w:ascii="宋体" w:hAnsi="宋体" w:eastAsia="宋体" w:cs="宋体"/>
                <w:b w:val="0"/>
                <w:sz w:val="24"/>
                <w:szCs w:val="24"/>
              </w:rPr>
              <w:t>3.可折板厚：低碳钢板0.3-2mm；可折板宽600~1500mm；最小折弯角度：≥60°；弯曲半径：分段安装R2，R3两种上模各两处；弯折角度30°-170°；最大折弯宽度≥1000mm；</w:t>
            </w:r>
            <w:r>
              <w:rPr>
                <w:rFonts w:hint="eastAsia" w:ascii="宋体" w:hAnsi="宋体" w:eastAsia="宋体" w:cs="宋体"/>
                <w:b w:val="0"/>
                <w:sz w:val="24"/>
                <w:szCs w:val="24"/>
              </w:rPr>
              <w:br w:type="textWrapping"/>
            </w:r>
            <w:r>
              <w:rPr>
                <w:rFonts w:hint="eastAsia" w:ascii="宋体" w:hAnsi="宋体" w:eastAsia="宋体" w:cs="宋体"/>
                <w:b w:val="0"/>
                <w:sz w:val="24"/>
                <w:szCs w:val="24"/>
              </w:rPr>
              <w:t>4.也可适用于铝合金板材弯曲成型，挡板可拆卸适合不同宽度的铝合金板材的折边角度成型，挡板和折边必须与基座连接，且耐用可靠。</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42</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台钻</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一、台钻平台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1.规格：约1500长×750宽×800mm高；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2.台面：50毫米木板包覆8毫米厚钢板；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3.抽屉柜：桌面下有2-4组抽屉柜；</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4.桌架立柱：4立柱，2.0厚钢板折型，规格100×80×75mm；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5.桌架横梁及加强梁：1.5厚钢板折型规格100×40×1.5mm。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二、台钻</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1.电压/频率：380V/50H；</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2.最大钻孔直径：φ20mm；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3.立柱直径：60mm；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4.最大行程：80mm；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5.主轴端至工作台最大距离：260mm；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6.工作台倾斜角度：45°；</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7.主轴锥度：B16；</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8.主轴转速级数：4档；</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9.最快主轴转速：450/2440mm/min；</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43</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砂轮机</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1.相数/电压/频率：3P/380V/50HZ；</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2.额定转速：S30 M/S；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3.绝缘等级：E；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4.砂轮规格：≥250×25×32mm。</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44</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手动剪板机</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1.手动剪板机机体是钢板焊接而成,剪切范围：各种金属板料，各种钢丝网，各种铁丝，线材等；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2.剪切范围0.2-2.5mm各种金属板料，各种钢丝网，各种铁丝，线材等；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3.加工刀口材质：65锰，硬度55度；</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4.刀口长度：约250mm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5.整体尺寸不低于70*14*40mm。</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45</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永磁变频螺杆机</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一、基本功能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1.永磁变频螺杆机的基本功能是改变供电频率，调节负载，降低功耗；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2.变频器通过调节电动机的运转速度，以实现对负载的调整；</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3.永磁变频螺杆机在运行过程中，能够根据实际需求调整设备的运行参数；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二、技术要求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1.冷却方式:  风冷；</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2.排气量/排气压力: 6.2/0.8m³/Min/MPa；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3.排气温度:  环境温度+15℃以下；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4.润滑油容量:18L；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5.气体含油量:≤3～5ppm；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6.噪音:72±3dB(A)；</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7.传动方式  :直联传动；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8.安全阀设定压力:排气压力+0.1MPa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9.出气口尺寸：G1.5寸；</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10.电动机功率：37±5KW；</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11.电动机启动方式：变频启动；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12.电动机电压/频率：380V/3/50Hz；</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13.电动机绝缘等级：F级；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14.外型尺寸长:1580×1080×1380±50mm；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15.净重:640±10Kg；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三、空压机的远程控制系统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 控制系统要求：压缩机组配套电脑控制调节系统，机器完全自动控制和自动运行，智能控制器、配Profinet通讯协议功能；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2.压缩机控制系统主要功能：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（1）实时时钟，可以预先设定开机运行和停机时间主动制定维护计划，避免意外停机；</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（2）控制算法最大限度地减小能耗、提高可靠性；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（3）高分辨率彩色显示屏以中英文语言提供实用信息；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（4）内置运行状态趋势图生成功能可视化操作，及时反馈机组信息，优化机组运行性能；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（5）网页功能可使用任何现有的常用网页浏览器，远程访问关键数据并进行控制。</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46</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储气罐</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1.最高温度：150℃；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2.容器高度：2100mm；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3.容器内径DN：800mm；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4.进气口高H1:570mm；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5.进气口口径D1：1-1/2”；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6.进气口接口d1:Rp1 1/2”；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7.出气口高H2：1670mm；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8.出气口口径D2：1-1/2”；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9.出气口接口d2:Rp1 1/2”；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10.支座孔径d:24mm；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11.支座距离D:586mm；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12.安全阀接口：Rp1”；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13.排污口接口：R3/4”；</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14.储气罐的设计标需依照GB/T 19905-2016(石油天然气工业石油化工设备、支架和细部设计规范)进行；</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 质检：钢制储气罐制作与使用标准GB/T 19905-2016中规定了检验考核的标准，储气罐检验考核质量必须达到国家标准鉴定。</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47</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冷干机组套</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1.入口温度80℃；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2.周围温度45℃；</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3.空气压力10Kg/cm²；</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4.处理风量N/Min:6.8；</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5.压力露点：-25～5℃；</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6.冷媒：R22；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7.冷媒压缩机马达：1.5HP；</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8.电源：AC1φ220V 50/60HZ；</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9.空气出入管径内牙：1.5寸"；</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10.外型尺寸：1000×500×900±50mm；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11.重量：100±10Kg；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12.配置过滤器一套，含滤芯级别材质：Q级1个、P级1个、S级1个。</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48</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管路系统</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1.采用PVR材质、主管路需直径4号、支管路需直径2号，通过主管道的阀门控制，管路设计功能需具备不停产维修，配自动排水器；</w:t>
            </w:r>
            <w:r>
              <w:rPr>
                <w:rFonts w:hint="eastAsia" w:ascii="宋体" w:hAnsi="宋体" w:eastAsia="宋体" w:cs="宋体"/>
                <w:b w:val="0"/>
                <w:sz w:val="24"/>
                <w:szCs w:val="24"/>
              </w:rPr>
              <w:br w:type="textWrapping"/>
            </w:r>
            <w:r>
              <w:rPr>
                <w:rFonts w:hint="eastAsia" w:ascii="宋体" w:hAnsi="宋体" w:eastAsia="宋体" w:cs="宋体"/>
                <w:b w:val="0"/>
                <w:sz w:val="24"/>
                <w:szCs w:val="24"/>
              </w:rPr>
              <w:t>2.鹅颈接头连接设计：主管道与支路管道通过鹅颈接头连接，从而避免主管道的液态油和水进入终端供气工位，影响设备工具的使用寿命，维修、增减工位方便；</w:t>
            </w:r>
            <w:r>
              <w:rPr>
                <w:rFonts w:hint="eastAsia" w:ascii="宋体" w:hAnsi="宋体" w:eastAsia="宋体" w:cs="宋体"/>
                <w:b w:val="0"/>
                <w:sz w:val="24"/>
                <w:szCs w:val="24"/>
              </w:rPr>
              <w:br w:type="textWrapping"/>
            </w:r>
            <w:r>
              <w:rPr>
                <w:rFonts w:hint="eastAsia" w:ascii="宋体" w:hAnsi="宋体" w:eastAsia="宋体" w:cs="宋体"/>
                <w:kern w:val="2"/>
                <w:sz w:val="24"/>
                <w:szCs w:val="24"/>
              </w:rPr>
              <w:t>★</w:t>
            </w:r>
            <w:r>
              <w:rPr>
                <w:rFonts w:hint="eastAsia" w:ascii="宋体" w:hAnsi="宋体" w:eastAsia="宋体" w:cs="宋体"/>
                <w:b w:val="0"/>
                <w:sz w:val="24"/>
                <w:szCs w:val="24"/>
              </w:rPr>
              <w:t>3.管路终端需满足实训楼整体实训工位需求。</w:t>
            </w:r>
            <w:r>
              <w:rPr>
                <w:rFonts w:hint="eastAsia" w:ascii="宋体" w:hAnsi="宋体" w:eastAsia="宋体" w:cs="宋体"/>
                <w:sz w:val="24"/>
                <w:szCs w:val="24"/>
                <w:lang w:bidi="ar"/>
              </w:rPr>
              <w:t>（投标文件中需提供实训室布置图及各工位实训气路分布点位气源工作气压值）</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49</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钣铆工作耗材</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1.砂纸400目100张；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2.砂布800目100张；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3.毛刷1寸50个；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4.抹布通用50个；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5.肥皂通用24块；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6.记号笔通用50个；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7.橡皮膏2.5cm×4mm50个；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8.护目镜3M30个；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9.木板280×150×15mm50个；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10.线手套500双；</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11.铆钉 1000颗 HB6316.3.0×7；</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12.铆钉 1000颗 HB6316.3.0×6；</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13.铆钉 1000颗 HB6230.3.0×6；</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14.铆钉 1000颗 HB6298.3.0×6；</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15.铆钉 2000颗 HB6298.3.0×7；</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16.铝板2A12-T4，1.0mm，10张；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17耳塞 100对；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18.钻头3.1mm/2.6mm 各20个。</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1批</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50</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CBT系统学习终端</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一、学习终端  1台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1.立式机箱体积≥15.5L或以上；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2.主板芯片组：英特尔600系列主板芯片或以上；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3.CPU：≥i5-12500 主频3.0G 6C；</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4.内存：≥16GB DDR4-3200，两个内存插槽，最大支持64GB或以上；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5.硬盘：≥512G M.2 PCIe SSD固态硬盘；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6.声卡：高清音频声卡，主机内置扬声器；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7.网卡：千兆网卡；</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8、端口及插槽：≥8个USB接口,其中USB 3.2 Gen1接口≥4个，1个耳机/麦克风combo插孔， 1个RJ-45，1个Line-in插孔，1个Line-out插孔；</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9.显卡：集成显卡；</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10.电源：≥350W，辐射骚扰≤7dB;</w:t>
            </w:r>
            <w:r>
              <w:rPr>
                <w:rFonts w:hint="eastAsia" w:ascii="宋体" w:hAnsi="宋体" w:eastAsia="宋体" w:cs="宋体"/>
                <w:sz w:val="24"/>
                <w:szCs w:val="24"/>
              </w:rPr>
              <w:t>（投标文件中需提供第三方有权检测机构出具的带有 CMA 或 CNAS 标识的检测报告扫描件）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11.输入设备：USB接口抗菌键盘鼠标；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12.系统：出厂预装WIN11正版操作系统；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13.整机噪音测试小于11分贝；</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14.数据安全要求:具有USB 屏蔽技术，仅识别USB 键盘鼠标，无法识别USB 读取设备，原厂提供数据擦除软件，擦除后不可恢复；</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15.显示器：配同品牌21寸显示器；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16.整体具有放电抗扰符合A类性能；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17.与主机同品牌管理套件，出厂自带BIOS版还原卡，千兆网络传输速度最大可以达到7GB/分钟或以上、可以从底层控制U盘和光驱等设备的使用，在传输数据过程中，可以对传输数据进行加密，增强数据在传输过程中的安全性，可以在同一台机器上安装两个硬盘，支持选择其中的一块硬盘作为系统盘，并对其进行保护，其它硬盘作为数据盘使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18.USB数据接口输出电压范围: 4.75-5.25Vdc、电流范围500mA-1500mA，负载能量&lt;150mw、接触电流&lt;8VA；</w:t>
            </w:r>
            <w:r>
              <w:rPr>
                <w:rFonts w:hint="eastAsia" w:ascii="宋体" w:hAnsi="宋体" w:eastAsia="宋体" w:cs="宋体"/>
                <w:sz w:val="24"/>
                <w:szCs w:val="24"/>
              </w:rPr>
              <w:t>（投标文件中需提供第三方有权检测机构出具的带有 CMA或CNAS标识的检测报告扫描件）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19.整机需提供五年质保服务，承诺中标后提供原厂售后服务承诺函。（格式自拟）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二、CBT实训系统  1套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（一）A318/A319/A320/A321飞机维修CBT(电脑辅助教学)软件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1、关于A318/A319/A320/A321飞机维修CBT(电脑辅助教学)软件的功能要求，要求为通用平台：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至少包含A318/A319/A320/A321飞机维修两种构型发动机CFM56和V2500系列课程软件，每种构型课程分别包含主课程和差异课程，主课程界面需具有机型熟悉课程和机型原理课程功能；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2.ATA章节分类 - CBT软件需按照A318/A319/A320/A321飞机ATA章节分类进行课程分类介绍，每个系统的课程至少包括系统简介组成、系统工作原理、系统部件图、系统原理图等；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3.正常操作 - 软件需通过多媒体的形式,模拟飞机的各个系统在正常情况下的操作流程,让学习者熟悉系统的正常工作状态，需包含视频讲解、系统原理等；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4.结构维修系统需为详细介绍飞机结构的维修、检查方法,如翼面、机身、起落架等的维修内容；系统维修系统需提供每个系统的拆装、测试、故障排除、调整等维修过程,如油路、电路、空调的维修内容；</w:t>
            </w:r>
            <w:r>
              <w:rPr>
                <w:rFonts w:hint="eastAsia" w:ascii="宋体" w:hAnsi="宋体" w:eastAsia="宋体" w:cs="宋体"/>
                <w:sz w:val="24"/>
                <w:szCs w:val="24"/>
              </w:rPr>
              <w:t>（投标文件中需提供截图证明文件）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（1）需两种构型发动机CFM56和V2500系列课程的功能；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（2）至少5个系统的功能，包含空调系统、电源系统、指示系统、起落架系统、灯光系统等功能；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（3）至少提供两个教学资源视频；</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（4）需提供A318/A319/A320/A321飞机各章节题库、提供不少于5份题库，题库数量不少于100题；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（二）B737的机型CBT教学软件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1、ATA章节分类 - B737的机型CBT软件需按照B737飞机ATA章节分类进行课程分类介绍，每个系统的课程至少包括系统简介组成、系统工作原理、系统原理图等；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2.正常操作-软件需通过多媒体的形式,模拟飞机的各个系统在正常情况下的操作流程,让学习者熟悉系统的正常工作状态，需包含视频讲解、系统原理等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(三)A330发动机机型CBT软件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1、ATA章节分类 - B737的机型CBT软件需按照B737飞机ATA章节分类进行课程分类介绍，每个系统的课程至少包括系统简介组成、系统工作原理、系统原理图等；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2.正常操作-软件需通过多媒体的形式,模拟飞机的各个系统在正常情况下的操作流程,让学习者熟悉系统的正常工作状态，需包含视频讲解、系统原理等；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(四)V2500/CFM56-3发动机培训软件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ATA章节分类 - V2500/CFM56-3发动机培训软件需按照V2500/CFM56-3发动机培训软件ATA章节分类进行课程分类介绍，每个系统的课程至少包括发动机结构、零件目录、维护规范等等；</w:t>
            </w:r>
            <w:r>
              <w:rPr>
                <w:rFonts w:hint="eastAsia" w:ascii="宋体" w:hAnsi="宋体" w:eastAsia="宋体" w:cs="宋体"/>
                <w:sz w:val="24"/>
                <w:szCs w:val="24"/>
              </w:rPr>
              <w:t>（投标文件中需提供截图证明文件）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三、CCAR147机务培训考试实训端  1套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1.需满足学生登录，使用学号和密码进行登录答题功能；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2.需满足学生注册年级，学号，密码功能；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3.需满足学生任务中心，管理员每发布任务一次，每个学生答题一次权限功能；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4.需满足学生考试题支持文本、图片、数学公式、表格等，学生答题支持：文本输入功能；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5.需满足固定试卷可重复练习，学生可自行批改的试卷；</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6.需满足时段试卷可在时间限制内，可重复练习、自行批改的试卷功能；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7.需满足考试记录具有可查看答卷记录和试卷信息；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8.需满足错题本具有答错题目会自动进入错题本，显示题目基本信息；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9.需满足消息中心具有用于接收管理员发送的消息；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10.管理员具有登录可修改用户名、密码功能；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11.满足主页试卷总数、题目总数、用户活跃度等功能；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12.学生列表具有显示系统所有的学生，新增、修改、删除、禁用功能；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13.管理员列表具有显示系统所有的管理员，新增、修改、删除、禁用功能；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14.学科列表具有学科查询、修改、删除功能；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15.学科创编、创建学科功能；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16.管理员试卷列表具有试卷查询、修改、删除功能；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17.管理员试卷创编具有创建的试卷为时段试卷、固定试卷、任务试卷功能；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18.管理员题目列表具有题目查询、修改、删除功能；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19.管理员题目创建具有题目支持单选题、多选题、判断题、填空题、简答题，题干支持文本、图片、表格、数学公式功能；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20.管理员任务列表具有任务查询、修改、删除功能；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21.管理员消息列表具有显示已发送的消息，消息已读人数等信息功能；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22.管理员消息发送具有发送消息给多个用户；</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23.管理员用户日志具有显示所有用户日志功能；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24.管理员题库设置具有题库具备一键导入功能，可自动设置抽题方式、数量；考试系统需具有CCAR147培训M1\M2\M3\M5各模块题库不少于1000道；考试系统需提供A320/B737/B747飞机机型题库不少于200道；</w:t>
            </w:r>
            <w:r>
              <w:rPr>
                <w:rFonts w:hint="eastAsia" w:ascii="宋体" w:hAnsi="宋体" w:eastAsia="宋体" w:cs="宋体"/>
                <w:snapToGrid w:val="0"/>
                <w:sz w:val="24"/>
                <w:szCs w:val="24"/>
                <w:lang w:bidi="ar"/>
              </w:rPr>
              <w:t>（投标文件中需提供功能截图</w:t>
            </w:r>
            <w:r>
              <w:rPr>
                <w:rFonts w:hint="eastAsia" w:ascii="宋体" w:hAnsi="宋体" w:eastAsia="宋体" w:cs="宋体"/>
                <w:sz w:val="24"/>
                <w:szCs w:val="24"/>
              </w:rPr>
              <w:t>证明文件</w:t>
            </w:r>
            <w:r>
              <w:rPr>
                <w:rFonts w:hint="eastAsia" w:ascii="宋体" w:hAnsi="宋体" w:eastAsia="宋体" w:cs="宋体"/>
                <w:snapToGrid w:val="0"/>
                <w:sz w:val="24"/>
                <w:szCs w:val="24"/>
                <w:lang w:bidi="ar"/>
              </w:rPr>
              <w:t>）</w:t>
            </w:r>
            <w:r>
              <w:rPr>
                <w:rFonts w:hint="eastAsia" w:ascii="宋体" w:hAnsi="宋体" w:eastAsia="宋体" w:cs="宋体"/>
                <w:snapToGrid w:val="0"/>
                <w:sz w:val="24"/>
                <w:szCs w:val="24"/>
                <w:lang w:bidi="ar"/>
              </w:rPr>
              <w:br w:type="textWrapping"/>
            </w:r>
            <w:r>
              <w:rPr>
                <w:rFonts w:hint="eastAsia" w:ascii="宋体" w:hAnsi="宋体" w:eastAsia="宋体" w:cs="宋体"/>
                <w:sz w:val="24"/>
                <w:szCs w:val="24"/>
              </w:rPr>
              <w:t>投标人须承诺：签订合同前，提供“CBT系统学习终端”各性能演示，演示内容及技术性能与投标响应参数不符合或不演示，则视为虚假投标，投标人自行承担一切后果。（附承诺函加盖投标人公章，承诺函格式自拟）</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50套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51</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学生桌椅</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一、学生桌</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1.尺寸：长度≥0.9 米，宽度≥0.6 米，高度≥0.75 米；</w:t>
            </w:r>
            <w:r>
              <w:rPr>
                <w:rFonts w:hint="eastAsia" w:ascii="宋体" w:hAnsi="宋体" w:eastAsia="宋体" w:cs="宋体"/>
                <w:b w:val="0"/>
                <w:sz w:val="24"/>
                <w:szCs w:val="24"/>
              </w:rPr>
              <w:br w:type="textWrapping"/>
            </w:r>
            <w:r>
              <w:rPr>
                <w:rFonts w:hint="eastAsia" w:ascii="宋体" w:hAnsi="宋体" w:eastAsia="宋体" w:cs="宋体"/>
                <w:b w:val="0"/>
                <w:sz w:val="24"/>
                <w:szCs w:val="24"/>
              </w:rPr>
              <w:t>2.台面由倾斜面板与水平面板组成，倾斜面板需内嵌 21.5 英寸计算机显示器，水平面板宽度不小于200mm，倾斜角度复合人体工程学要求；</w:t>
            </w:r>
            <w:r>
              <w:rPr>
                <w:rFonts w:hint="eastAsia" w:ascii="宋体" w:hAnsi="宋体" w:eastAsia="宋体" w:cs="宋体"/>
                <w:b w:val="0"/>
                <w:sz w:val="24"/>
                <w:szCs w:val="24"/>
              </w:rPr>
              <w:br w:type="textWrapping"/>
            </w:r>
            <w:r>
              <w:rPr>
                <w:rFonts w:hint="eastAsia" w:ascii="宋体" w:hAnsi="宋体" w:eastAsia="宋体" w:cs="宋体"/>
                <w:b w:val="0"/>
                <w:sz w:val="24"/>
                <w:szCs w:val="24"/>
              </w:rPr>
              <w:t>3.台面：厚度≥25mm 的三聚氰胺板, 厚度≥1.5mmPVC 本色封边，中部钢化玻璃与显示器大小匹配；</w:t>
            </w:r>
            <w:r>
              <w:rPr>
                <w:rFonts w:hint="eastAsia" w:ascii="宋体" w:hAnsi="宋体" w:eastAsia="宋体" w:cs="宋体"/>
                <w:b w:val="0"/>
                <w:sz w:val="24"/>
                <w:szCs w:val="24"/>
              </w:rPr>
              <w:br w:type="textWrapping"/>
            </w:r>
            <w:r>
              <w:rPr>
                <w:rFonts w:hint="eastAsia" w:ascii="宋体" w:hAnsi="宋体" w:eastAsia="宋体" w:cs="宋体"/>
                <w:b w:val="0"/>
                <w:sz w:val="24"/>
                <w:szCs w:val="24"/>
              </w:rPr>
              <w:t>4.结构形式：每张台独立，下部带有塑料键盘托，带有穿线暗室；</w:t>
            </w:r>
            <w:r>
              <w:rPr>
                <w:rFonts w:hint="eastAsia" w:ascii="宋体" w:hAnsi="宋体" w:eastAsia="宋体" w:cs="宋体"/>
                <w:b w:val="0"/>
                <w:sz w:val="24"/>
                <w:szCs w:val="24"/>
              </w:rPr>
              <w:br w:type="textWrapping"/>
            </w:r>
            <w:r>
              <w:rPr>
                <w:rFonts w:hint="eastAsia" w:ascii="宋体" w:hAnsi="宋体" w:eastAsia="宋体" w:cs="宋体"/>
                <w:b w:val="0"/>
                <w:sz w:val="24"/>
                <w:szCs w:val="24"/>
              </w:rPr>
              <w:t>5.桌面上带耳机塑料挂钩，桌面三面均需配置高度≥0.3 米、厚度≥ 5mm 玻璃挡板；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二、方凳45*45mm，高度55mm，壁厚1.0mm。</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50套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52</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教师控制端</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1.立式机箱体积≥15.5L或以上；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2.主板芯片组：英特尔600系列主板芯片或以上；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3.CPU：≥i5-12500 主频3.0G 6C；</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4.内存：≥16GB DDR4-3200，两个内存插槽，最大支持64GB或以上；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5.硬盘：≥512G M.2 PCIe SSD固态硬盘；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6.声卡：高清音频声卡，主机内置扬声器；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7.网卡：千兆网卡；</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8、端口及插槽：≥8个USB接口,其中USB 3.2 Gen1接口≥4个，1个耳机/麦克风combo插孔，1个RJ-45，1个Line-in插孔，1个Line-out插孔；</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9.显卡：T400 4GB 独立显卡或以上；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10.电源：≥350W，辐射骚扰≤7dB;</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11.输入设备：USB接口抗菌键盘鼠标；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12.系统：出厂预装WIN11正版操作系统；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13.整机噪音测试小于11分贝；</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14.数据安全要求:具有USB 屏蔽技术，仅识别USB 键盘鼠标，无法识别USB 读取设备，原厂提供数据擦除软件，擦除后不可恢复；</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15.显示器：配同品牌21寸显示器；</w:t>
            </w:r>
          </w:p>
          <w:p>
            <w:pPr>
              <w:pStyle w:val="33"/>
              <w:spacing w:line="360" w:lineRule="auto"/>
              <w:jc w:val="left"/>
              <w:rPr>
                <w:rFonts w:ascii="宋体" w:hAnsi="宋体" w:eastAsia="宋体" w:cs="宋体"/>
                <w:b w:val="0"/>
                <w:sz w:val="24"/>
                <w:szCs w:val="24"/>
              </w:rPr>
            </w:pPr>
            <w:r>
              <w:rPr>
                <w:rFonts w:hint="eastAsia" w:ascii="宋体" w:hAnsi="宋体" w:eastAsia="宋体" w:cs="宋体"/>
                <w:b w:val="0"/>
                <w:sz w:val="24"/>
                <w:szCs w:val="24"/>
              </w:rPr>
              <w:t>■16.整体具有放电抗扰符合A类性能；整体需满足105万小时以上平均运行无故障；</w:t>
            </w:r>
            <w:r>
              <w:rPr>
                <w:rFonts w:hint="eastAsia" w:ascii="宋体" w:hAnsi="宋体" w:eastAsia="宋体" w:cs="宋体"/>
                <w:bCs w:val="0"/>
                <w:sz w:val="24"/>
                <w:szCs w:val="24"/>
              </w:rPr>
              <w:t>（投标文件中需提供第三方有权检测机构出具的带有 CMA 或 CNAS 标识的检测报告扫描件）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17.管理功能：与主机同品牌管理套件，出厂自带BIOS版还原卡，千兆网络传输速度最大可以达到7GB/分钟或以上、可以从底层控制U盘和光驱等设备的使用，在传输数据过程中，可以对传输数据进行加密，增强数据在传输过程中的安全性，可以在同一台机器上安装两个硬盘，支持选择其中的一块硬盘作为系统盘，并对其进行保护，其它硬盘作为数据盘使用；</w:t>
            </w:r>
            <w:r>
              <w:rPr>
                <w:rFonts w:hint="eastAsia" w:ascii="宋体" w:hAnsi="宋体" w:eastAsia="宋体" w:cs="宋体"/>
                <w:kern w:val="2"/>
                <w:sz w:val="24"/>
                <w:szCs w:val="24"/>
              </w:rPr>
              <w:t>（投标文件中提供需提供产品彩页或系统功能截图）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18.USB数据接口输出电压范围: 4.75-5.25Vdc、电流范围500mA-1500mA，负载能量&lt;150mw、接触电流&lt;8VA；</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19.远程命令：可以进行远程开机、关机、重启等操作；</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20.老师可根据需要，设定是否限制学生使用U盘，设定是否限制学生使用光盘；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21.整机需提供五年质保服务，并提供原厂售后服务承诺函。</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53</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交换机及机柜</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一、交换机  2台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1.48个千兆电口，4个万兆SFP+光口，CONSOLE口≥1个；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2.交换容量≥336Gbps，包转发能力≥108Mpps；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3.支持802.1p，支持SP、WRR算法队列，支持802.3ad端口聚合每组最大8个；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4.支持通过云端远程、手机小程序实现便捷运维，并自动生成运维周报及运维月报；</w:t>
            </w:r>
            <w:r>
              <w:rPr>
                <w:rFonts w:hint="eastAsia" w:ascii="宋体" w:hAnsi="宋体" w:eastAsia="宋体" w:cs="宋体"/>
                <w:sz w:val="24"/>
                <w:szCs w:val="24"/>
              </w:rPr>
              <w:t>（投标文件中需提供第三方有权检测机构出具的带有 CMA 或 CNAS 标识的检测报告扫描件）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5.支持IGMPv1/v2/v3、PIM-SM、PIM-DM，支持组播流量跨VLAN复制功能；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6.支持静态路由，rip/ospf动态路由，支持vrrp虚拟路由，支持802.1X/Radius认证；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7.支持自动生成全局可视化拓扑图，交换机运行状态可视化，链路流量及使用率可视化，端口信息可视化；</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8.支持IGMPv1/v2/v3、PIM-SM、PIM-DM、支持组播流量跨VLAN复制功能。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二、机柜  1台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1.机柜600*600*2000±5mm，主体颜色为黑色，标准规范：ANSI/EIA RS-310-D、IEC297-2、DIN41491,PART1、DIN41494,PART7、GB/T 19520.2-2007、兼容ETSI标准；</w:t>
            </w:r>
            <w:r>
              <w:rPr>
                <w:rFonts w:hint="eastAsia" w:ascii="宋体" w:hAnsi="宋体" w:eastAsia="宋体" w:cs="宋体"/>
                <w:b w:val="0"/>
                <w:sz w:val="24"/>
                <w:szCs w:val="24"/>
              </w:rPr>
              <w:br w:type="textWrapping"/>
            </w:r>
            <w:r>
              <w:rPr>
                <w:rFonts w:hint="eastAsia" w:ascii="宋体" w:hAnsi="宋体" w:eastAsia="宋体" w:cs="宋体"/>
                <w:b w:val="0"/>
                <w:sz w:val="24"/>
                <w:szCs w:val="24"/>
              </w:rPr>
              <w:t>2.需预留各种走线通道，根据需要可关闭和打开，框架特别设计走线孔；</w:t>
            </w:r>
            <w:r>
              <w:rPr>
                <w:rFonts w:hint="eastAsia" w:ascii="宋体" w:hAnsi="宋体" w:eastAsia="宋体" w:cs="宋体"/>
                <w:b w:val="0"/>
                <w:sz w:val="24"/>
                <w:szCs w:val="24"/>
              </w:rPr>
              <w:br w:type="textWrapping"/>
            </w:r>
            <w:r>
              <w:rPr>
                <w:rFonts w:hint="eastAsia" w:ascii="宋体" w:hAnsi="宋体" w:eastAsia="宋体" w:cs="宋体"/>
                <w:b w:val="0"/>
                <w:sz w:val="24"/>
                <w:szCs w:val="24"/>
              </w:rPr>
              <w:t>3.可拆卸的左右侧门和前后门，操作方便；</w:t>
            </w:r>
            <w:r>
              <w:rPr>
                <w:rFonts w:hint="eastAsia" w:ascii="宋体" w:hAnsi="宋体" w:eastAsia="宋体" w:cs="宋体"/>
                <w:b w:val="0"/>
                <w:sz w:val="24"/>
                <w:szCs w:val="24"/>
              </w:rPr>
              <w:br w:type="textWrapping"/>
            </w:r>
            <w:r>
              <w:rPr>
                <w:rFonts w:hint="eastAsia" w:ascii="宋体" w:hAnsi="宋体" w:eastAsia="宋体" w:cs="宋体"/>
                <w:b w:val="0"/>
                <w:sz w:val="24"/>
                <w:szCs w:val="24"/>
              </w:rPr>
              <w:t>4.高强度承重角规，深度方向可前后调整；</w:t>
            </w:r>
            <w:r>
              <w:rPr>
                <w:rFonts w:hint="eastAsia" w:ascii="宋体" w:hAnsi="宋体" w:eastAsia="宋体" w:cs="宋体"/>
                <w:b w:val="0"/>
                <w:sz w:val="24"/>
                <w:szCs w:val="24"/>
              </w:rPr>
              <w:br w:type="textWrapping"/>
            </w:r>
            <w:r>
              <w:rPr>
                <w:rFonts w:hint="eastAsia" w:ascii="宋体" w:hAnsi="宋体" w:eastAsia="宋体" w:cs="宋体"/>
                <w:b w:val="0"/>
                <w:sz w:val="24"/>
                <w:szCs w:val="24"/>
              </w:rPr>
              <w:t>5.风扇单元从顶部安装，使用过程中拆卸维护方便；</w:t>
            </w:r>
            <w:r>
              <w:rPr>
                <w:rFonts w:hint="eastAsia" w:ascii="宋体" w:hAnsi="宋体" w:eastAsia="宋体" w:cs="宋体"/>
                <w:b w:val="0"/>
                <w:sz w:val="24"/>
                <w:szCs w:val="24"/>
              </w:rPr>
              <w:br w:type="textWrapping"/>
            </w:r>
            <w:r>
              <w:rPr>
                <w:rFonts w:hint="eastAsia" w:ascii="宋体" w:hAnsi="宋体" w:eastAsia="宋体" w:cs="宋体"/>
                <w:b w:val="0"/>
                <w:sz w:val="24"/>
                <w:szCs w:val="24"/>
              </w:rPr>
              <w:t>6.机柜预留对地安装孔和接地柱，满足现场使用需求；</w:t>
            </w:r>
            <w:r>
              <w:rPr>
                <w:rFonts w:hint="eastAsia" w:ascii="宋体" w:hAnsi="宋体" w:eastAsia="宋体" w:cs="宋体"/>
                <w:b w:val="0"/>
                <w:sz w:val="24"/>
                <w:szCs w:val="24"/>
              </w:rPr>
              <w:br w:type="textWrapping"/>
            </w:r>
            <w:r>
              <w:rPr>
                <w:rFonts w:hint="eastAsia" w:ascii="宋体" w:hAnsi="宋体" w:eastAsia="宋体" w:cs="宋体"/>
                <w:b w:val="0"/>
                <w:sz w:val="24"/>
                <w:szCs w:val="24"/>
              </w:rPr>
              <w:t>7.原材料：优质冷轧钢板；</w:t>
            </w:r>
            <w:r>
              <w:rPr>
                <w:rFonts w:hint="eastAsia" w:ascii="宋体" w:hAnsi="宋体" w:eastAsia="宋体" w:cs="宋体"/>
                <w:b w:val="0"/>
                <w:sz w:val="24"/>
                <w:szCs w:val="24"/>
              </w:rPr>
              <w:br w:type="textWrapping"/>
            </w:r>
            <w:r>
              <w:rPr>
                <w:rFonts w:hint="eastAsia" w:ascii="宋体" w:hAnsi="宋体" w:eastAsia="宋体" w:cs="宋体"/>
                <w:b w:val="0"/>
                <w:sz w:val="24"/>
                <w:szCs w:val="24"/>
              </w:rPr>
              <w:t>8.机柜结构：拼装式机柜框架；</w:t>
            </w:r>
            <w:r>
              <w:rPr>
                <w:rFonts w:hint="eastAsia" w:ascii="宋体" w:hAnsi="宋体" w:eastAsia="宋体" w:cs="宋体"/>
                <w:b w:val="0"/>
                <w:sz w:val="24"/>
                <w:szCs w:val="24"/>
              </w:rPr>
              <w:br w:type="textWrapping"/>
            </w:r>
            <w:r>
              <w:rPr>
                <w:rFonts w:hint="eastAsia" w:ascii="宋体" w:hAnsi="宋体" w:eastAsia="宋体" w:cs="宋体"/>
                <w:b w:val="0"/>
                <w:sz w:val="24"/>
                <w:szCs w:val="24"/>
              </w:rPr>
              <w:t>9.前后门有玻璃和网孔任选，机柜前后门均带专业锁；</w:t>
            </w:r>
            <w:r>
              <w:rPr>
                <w:rFonts w:hint="eastAsia" w:ascii="宋体" w:hAnsi="宋体" w:eastAsia="宋体" w:cs="宋体"/>
                <w:b w:val="0"/>
                <w:sz w:val="24"/>
                <w:szCs w:val="24"/>
              </w:rPr>
              <w:br w:type="textWrapping"/>
            </w:r>
            <w:r>
              <w:rPr>
                <w:rFonts w:hint="eastAsia" w:ascii="宋体" w:hAnsi="宋体" w:eastAsia="宋体" w:cs="宋体"/>
                <w:b w:val="0"/>
                <w:sz w:val="24"/>
                <w:szCs w:val="24"/>
              </w:rPr>
              <w:t>10.机柜侧门：两块侧板可拆卸；</w:t>
            </w:r>
            <w:r>
              <w:rPr>
                <w:rFonts w:hint="eastAsia" w:ascii="宋体" w:hAnsi="宋体" w:eastAsia="宋体" w:cs="宋体"/>
                <w:b w:val="0"/>
                <w:sz w:val="24"/>
                <w:szCs w:val="24"/>
              </w:rPr>
              <w:br w:type="textWrapping"/>
            </w:r>
            <w:r>
              <w:rPr>
                <w:rFonts w:hint="eastAsia" w:ascii="宋体" w:hAnsi="宋体" w:eastAsia="宋体" w:cs="宋体"/>
                <w:b w:val="0"/>
                <w:sz w:val="24"/>
                <w:szCs w:val="24"/>
              </w:rPr>
              <w:t>11.负载：动态≤600Kg，静态≤800Kg</w:t>
            </w:r>
            <w:r>
              <w:rPr>
                <w:rFonts w:hint="eastAsia" w:ascii="宋体" w:hAnsi="宋体" w:eastAsia="宋体" w:cs="宋体"/>
                <w:b w:val="0"/>
                <w:sz w:val="24"/>
                <w:szCs w:val="24"/>
              </w:rPr>
              <w:br w:type="textWrapping"/>
            </w:r>
            <w:r>
              <w:rPr>
                <w:rFonts w:hint="eastAsia" w:ascii="宋体" w:hAnsi="宋体" w:eastAsia="宋体" w:cs="宋体"/>
                <w:b w:val="0"/>
                <w:sz w:val="24"/>
                <w:szCs w:val="24"/>
              </w:rPr>
              <w:t>12.其它处理：表面脱脂、磷化、静电喷塑处理；</w:t>
            </w:r>
            <w:r>
              <w:rPr>
                <w:rFonts w:hint="eastAsia" w:ascii="宋体" w:hAnsi="宋体" w:eastAsia="宋体" w:cs="宋体"/>
                <w:b w:val="0"/>
                <w:sz w:val="24"/>
                <w:szCs w:val="24"/>
              </w:rPr>
              <w:br w:type="textWrapping"/>
            </w:r>
            <w:r>
              <w:rPr>
                <w:rFonts w:hint="eastAsia" w:ascii="宋体" w:hAnsi="宋体" w:eastAsia="宋体" w:cs="宋体"/>
                <w:b w:val="0"/>
                <w:sz w:val="24"/>
                <w:szCs w:val="24"/>
              </w:rPr>
              <w:t>13.最大开启角度：大于180度；</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14.尺寸:600*1150*600±50mm；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15.防护等级：IP20，工作环境条件：温度：-40°C ~+60°C。</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54</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稳压电源</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1.额定功率≤20KV；</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2.输入电压范围：185-260V；</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3.输出电压：正常工作模式:198V~242V、电池逆变模式:198V~242V；</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4.波形失真：±5%；</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5.电源频率：50Hz±2Hz；</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6.过压保护：265V±5V；</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7.工作湿度：-20%-40%；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8.输出电压保护值：246±4V；</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9.响应时间＜0.1s；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10.稳压精度±1%；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11.过载保护：1.5倍功率（5-10s）。</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55</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投影教学套装</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一、标准投影教学设备  1台</w:t>
            </w:r>
            <w:r>
              <w:rPr>
                <w:rFonts w:hint="eastAsia" w:ascii="宋体" w:hAnsi="宋体" w:eastAsia="宋体" w:cs="宋体"/>
                <w:b w:val="0"/>
                <w:sz w:val="24"/>
                <w:szCs w:val="24"/>
              </w:rPr>
              <w:br w:type="textWrapping"/>
            </w:r>
            <w:r>
              <w:rPr>
                <w:rFonts w:hint="eastAsia" w:ascii="宋体" w:hAnsi="宋体" w:eastAsia="宋体" w:cs="宋体"/>
                <w:b w:val="0"/>
                <w:sz w:val="24"/>
                <w:szCs w:val="24"/>
              </w:rPr>
              <w:t>1.多晶硅有源矩阵式液晶显示板≥0.63英寸；</w:t>
            </w:r>
            <w:r>
              <w:rPr>
                <w:rFonts w:hint="eastAsia" w:ascii="宋体" w:hAnsi="宋体" w:eastAsia="宋体" w:cs="宋体"/>
                <w:b w:val="0"/>
                <w:sz w:val="24"/>
                <w:szCs w:val="24"/>
              </w:rPr>
              <w:br w:type="textWrapping"/>
            </w:r>
            <w:r>
              <w:rPr>
                <w:rFonts w:hint="eastAsia" w:ascii="宋体" w:hAnsi="宋体" w:eastAsia="宋体" w:cs="宋体"/>
                <w:kern w:val="2"/>
                <w:sz w:val="24"/>
                <w:szCs w:val="24"/>
              </w:rPr>
              <w:t>★</w:t>
            </w:r>
            <w:r>
              <w:rPr>
                <w:rFonts w:hint="eastAsia" w:ascii="宋体" w:hAnsi="宋体" w:eastAsia="宋体" w:cs="宋体"/>
                <w:b w:val="0"/>
                <w:sz w:val="24"/>
                <w:szCs w:val="24"/>
              </w:rPr>
              <w:t>2.亮度≥5500流明(ISO21118标准)，≥5800流明(中心亮度)；物理分辨率≥1024×768；</w:t>
            </w:r>
            <w:r>
              <w:rPr>
                <w:rFonts w:hint="eastAsia" w:ascii="宋体" w:hAnsi="宋体" w:eastAsia="宋体" w:cs="宋体"/>
                <w:sz w:val="24"/>
                <w:szCs w:val="24"/>
                <w:lang w:bidi="ar"/>
              </w:rPr>
              <w:t>（投标文件中需提供第三方有权检测机构出具的带有 CMA 或 CNAS 标识的检测报告扫描件）</w:t>
            </w:r>
            <w:r>
              <w:rPr>
                <w:rFonts w:hint="eastAsia" w:ascii="宋体" w:hAnsi="宋体" w:eastAsia="宋体" w:cs="宋体"/>
                <w:b w:val="0"/>
                <w:sz w:val="24"/>
                <w:szCs w:val="24"/>
              </w:rPr>
              <w:br w:type="textWrapping"/>
            </w:r>
            <w:r>
              <w:rPr>
                <w:rFonts w:hint="eastAsia" w:ascii="宋体" w:hAnsi="宋体" w:eastAsia="宋体" w:cs="宋体"/>
                <w:b w:val="0"/>
                <w:sz w:val="24"/>
                <w:szCs w:val="24"/>
              </w:rPr>
              <w:t>3.对比度：50000:1；</w:t>
            </w:r>
            <w:r>
              <w:rPr>
                <w:rFonts w:hint="eastAsia" w:ascii="宋体" w:hAnsi="宋体" w:eastAsia="宋体" w:cs="宋体"/>
                <w:b w:val="0"/>
                <w:sz w:val="24"/>
                <w:szCs w:val="24"/>
              </w:rPr>
              <w:br w:type="textWrapping"/>
            </w:r>
            <w:r>
              <w:rPr>
                <w:rFonts w:hint="eastAsia" w:ascii="宋体" w:hAnsi="宋体" w:eastAsia="宋体" w:cs="宋体"/>
                <w:b w:val="0"/>
                <w:sz w:val="24"/>
                <w:szCs w:val="24"/>
              </w:rPr>
              <w:t>4.输入及控制端口：HDMI×2、VGA、USB-A、USB-B、RJ45、RS232等；</w:t>
            </w:r>
            <w:r>
              <w:rPr>
                <w:rFonts w:hint="eastAsia" w:ascii="宋体" w:hAnsi="宋体" w:eastAsia="宋体" w:cs="宋体"/>
                <w:b w:val="0"/>
                <w:sz w:val="24"/>
                <w:szCs w:val="24"/>
              </w:rPr>
              <w:br w:type="textWrapping"/>
            </w:r>
            <w:r>
              <w:rPr>
                <w:rFonts w:hint="eastAsia" w:ascii="宋体" w:hAnsi="宋体" w:eastAsia="宋体" w:cs="宋体"/>
                <w:b w:val="0"/>
                <w:sz w:val="24"/>
                <w:szCs w:val="24"/>
              </w:rPr>
              <w:t>5.需支持镜头位移、变焦、聚焦；</w:t>
            </w:r>
            <w:r>
              <w:rPr>
                <w:rFonts w:hint="eastAsia" w:ascii="宋体" w:hAnsi="宋体" w:eastAsia="宋体" w:cs="宋体"/>
                <w:b w:val="0"/>
                <w:sz w:val="24"/>
                <w:szCs w:val="24"/>
              </w:rPr>
              <w:br w:type="textWrapping"/>
            </w:r>
            <w:r>
              <w:rPr>
                <w:rFonts w:hint="eastAsia" w:ascii="宋体" w:hAnsi="宋体" w:eastAsia="宋体" w:cs="宋体"/>
                <w:b w:val="0"/>
                <w:sz w:val="24"/>
                <w:szCs w:val="24"/>
              </w:rPr>
              <w:t>6.10W扬声器；</w:t>
            </w:r>
            <w:r>
              <w:rPr>
                <w:rFonts w:hint="eastAsia" w:ascii="宋体" w:hAnsi="宋体" w:eastAsia="宋体" w:cs="宋体"/>
                <w:b w:val="0"/>
                <w:sz w:val="24"/>
                <w:szCs w:val="24"/>
              </w:rPr>
              <w:br w:type="textWrapping"/>
            </w:r>
            <w:r>
              <w:rPr>
                <w:rFonts w:hint="eastAsia" w:ascii="宋体" w:hAnsi="宋体" w:eastAsia="宋体" w:cs="宋体"/>
                <w:b w:val="0"/>
                <w:sz w:val="24"/>
                <w:szCs w:val="24"/>
              </w:rPr>
              <w:t>7.标准工作模式下，噪音≤35dB；</w:t>
            </w:r>
            <w:r>
              <w:rPr>
                <w:rFonts w:hint="eastAsia" w:ascii="宋体" w:hAnsi="宋体" w:eastAsia="宋体" w:cs="宋体"/>
                <w:b w:val="0"/>
                <w:sz w:val="24"/>
                <w:szCs w:val="24"/>
              </w:rPr>
              <w:br w:type="textWrapping"/>
            </w:r>
            <w:r>
              <w:rPr>
                <w:rFonts w:hint="eastAsia" w:ascii="宋体" w:hAnsi="宋体" w:eastAsia="宋体" w:cs="宋体"/>
                <w:b w:val="0"/>
                <w:sz w:val="24"/>
                <w:szCs w:val="24"/>
              </w:rPr>
              <w:t>8.有多种影像模式可选：中国红、标准、护眼、配色板、DICOM、黑板绿等；</w:t>
            </w:r>
            <w:r>
              <w:rPr>
                <w:rFonts w:hint="eastAsia" w:ascii="宋体" w:hAnsi="宋体" w:eastAsia="宋体" w:cs="宋体"/>
                <w:b w:val="0"/>
                <w:sz w:val="24"/>
                <w:szCs w:val="24"/>
              </w:rPr>
              <w:br w:type="textWrapping"/>
            </w:r>
            <w:r>
              <w:rPr>
                <w:rFonts w:hint="eastAsia" w:ascii="宋体" w:hAnsi="宋体" w:eastAsia="宋体" w:cs="宋体"/>
                <w:b w:val="0"/>
                <w:sz w:val="24"/>
                <w:szCs w:val="24"/>
              </w:rPr>
              <w:t>9.根据画面色彩可单独调整机器的对比度、亮度、色温、色调、锐度；</w:t>
            </w:r>
            <w:r>
              <w:rPr>
                <w:rFonts w:hint="eastAsia" w:ascii="宋体" w:hAnsi="宋体" w:eastAsia="宋体" w:cs="宋体"/>
                <w:b w:val="0"/>
                <w:sz w:val="24"/>
                <w:szCs w:val="24"/>
              </w:rPr>
              <w:br w:type="textWrapping"/>
            </w:r>
            <w:r>
              <w:rPr>
                <w:rFonts w:hint="eastAsia" w:ascii="宋体" w:hAnsi="宋体" w:eastAsia="宋体" w:cs="宋体"/>
                <w:b w:val="0"/>
                <w:sz w:val="24"/>
                <w:szCs w:val="24"/>
              </w:rPr>
              <w:t>10.可读取U盘内图片和视频，并可进行多种功能设置；</w:t>
            </w:r>
            <w:r>
              <w:rPr>
                <w:rFonts w:hint="eastAsia" w:ascii="宋体" w:hAnsi="宋体" w:eastAsia="宋体" w:cs="宋体"/>
                <w:b w:val="0"/>
                <w:sz w:val="24"/>
                <w:szCs w:val="24"/>
              </w:rPr>
              <w:br w:type="textWrapping"/>
            </w:r>
            <w:r>
              <w:rPr>
                <w:rFonts w:hint="eastAsia" w:ascii="宋体" w:hAnsi="宋体" w:eastAsia="宋体" w:cs="宋体"/>
                <w:b w:val="0"/>
                <w:sz w:val="24"/>
                <w:szCs w:val="24"/>
              </w:rPr>
              <w:t>11.通过专有的无线投屏软件搭配WiFi dongle即可实现无线投屏，且支持四分屏，以及单个电脑同时投影至多台投影机同步显示；</w:t>
            </w:r>
            <w:r>
              <w:rPr>
                <w:rFonts w:hint="eastAsia" w:ascii="宋体" w:hAnsi="宋体" w:eastAsia="宋体" w:cs="宋体"/>
                <w:b w:val="0"/>
                <w:sz w:val="24"/>
                <w:szCs w:val="24"/>
              </w:rPr>
              <w:br w:type="textWrapping"/>
            </w:r>
            <w:r>
              <w:rPr>
                <w:rFonts w:hint="eastAsia" w:ascii="宋体" w:hAnsi="宋体" w:eastAsia="宋体" w:cs="宋体"/>
                <w:b w:val="0"/>
                <w:sz w:val="24"/>
                <w:szCs w:val="24"/>
              </w:rPr>
              <w:t>12.标配全中文遥控器，可以一键遮屏，可对输入信号源进行放大和缩小；</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二、120寸电动幕布  1台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1.宽*高：≥2.43*1.80米；</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2.有效散射角≥160度；</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3.亮度系数≥0.85－1.0之间</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4.比例适应：4:3.16:9；</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5.优质玻珠幕布，无毒.无味；配置轴型同步电机；</w:t>
            </w:r>
            <w:r>
              <w:rPr>
                <w:rFonts w:hint="eastAsia" w:ascii="宋体" w:hAnsi="宋体" w:eastAsia="宋体" w:cs="宋体"/>
                <w:b w:val="0"/>
                <w:sz w:val="24"/>
                <w:szCs w:val="24"/>
              </w:rPr>
              <w:br w:type="textWrapping"/>
            </w:r>
            <w:r>
              <w:rPr>
                <w:rFonts w:hint="eastAsia" w:ascii="宋体" w:hAnsi="宋体" w:eastAsia="宋体" w:cs="宋体"/>
                <w:b w:val="0"/>
                <w:sz w:val="24"/>
                <w:szCs w:val="24"/>
              </w:rPr>
              <w:t>三、安装及辅材1套</w:t>
            </w:r>
            <w:r>
              <w:rPr>
                <w:rFonts w:hint="eastAsia" w:ascii="宋体" w:hAnsi="宋体" w:eastAsia="宋体" w:cs="宋体"/>
                <w:b w:val="0"/>
                <w:sz w:val="24"/>
                <w:szCs w:val="24"/>
              </w:rPr>
              <w:br w:type="textWrapping"/>
            </w:r>
            <w:r>
              <w:rPr>
                <w:rFonts w:hint="eastAsia" w:ascii="宋体" w:hAnsi="宋体" w:eastAsia="宋体" w:cs="宋体"/>
                <w:b w:val="0"/>
                <w:sz w:val="24"/>
                <w:szCs w:val="24"/>
              </w:rPr>
              <w:t>1.投影仪支架，需根据现场场地需求配置支架及安装</w:t>
            </w:r>
            <w:r>
              <w:rPr>
                <w:rFonts w:hint="eastAsia" w:ascii="宋体" w:hAnsi="宋体" w:eastAsia="宋体" w:cs="宋体"/>
                <w:b w:val="0"/>
                <w:sz w:val="24"/>
                <w:szCs w:val="24"/>
              </w:rPr>
              <w:br w:type="textWrapping"/>
            </w:r>
            <w:r>
              <w:rPr>
                <w:rFonts w:hint="eastAsia" w:ascii="宋体" w:hAnsi="宋体" w:eastAsia="宋体" w:cs="宋体"/>
                <w:b w:val="0"/>
                <w:sz w:val="24"/>
                <w:szCs w:val="24"/>
              </w:rPr>
              <w:t>2.投影机延长线，需根据现场配置不低于25米HDMI延长线，线材需达到国标配置要求。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3.需根据现场进行安装调试的所有辅材。</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56</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多媒体讲台</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1.规格∶闭后尺寸≥1100*770*970mm，展开尺寸≥1550*1650*970；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2.材料桌面采用木黄色高密度纤维板，边缘来用单面封边工艺，采用冷压工艺三聚氰胺贴面，防划、防泼水；主体采用1.0-1.5mm冷轧钢板，钣金全部通过酸洗磷化喷涂后再进行高温烘烤，防锈；</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3.上层正面和底座为ABS工程塑料。防潮防锈防静电，双U型塑钢桌脸整体弧形设计；扶手采用ABS 工程塑料分层设计，色彩与桌面一致，扶手中空，可扩充IC读卡器并预留安装和接线位置，安全、防尘、防水；</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功能∶上层预留翻转显示器安装位，显示器翻转到最大尺寸，和挡边平齐无凸出，不影响视线。采用不锈钢可调阻尼转轴，翻转板可以在0-130°中任意停留，不会出现反扣。上层采用等长双抽屉设计，上方抽屉预留键盘，鼠标安装位，键盘抽屉下方为储物抽屉，无锁联动设计，可放置中控面板。显示器右侧预留2个USB2.0的扩展孔，USB线长2米*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5.上层右侧预留储物抽屉，可放置展台，采用三节加厚钢珠静音导轨，材料厚度为1.2mm，右侧立面预留IC卡读卡器安装挡板.内外读卡器支架，方便读卡器的安装和固定；</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6.上层使用一把锁控制所有门，预留电子锁和弹跳锁锁具安装位，使用和维护钥匙分开；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下层前门，单门设计，左侧光驱门封闭，后门采用内置塑料卡扣，外部无法打开，预留设备安装位，可放置中控主机、功放等，设备总空间≤12U。预留光驱门用合页固定，不打开柜门即可开关电脑和使用光驱，预留主机限位孔及限位卡槽；后门不开散热孔，左右两侧采用竖排国标散热孔。讲台下层拼装完毕没有螺丝外漏；</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8.拆装设计，下层卡扣式拼装方式，安装简单，底板预留防鼠网设计进线孔，底座四周预留过线孔，底面离地高度100mm，防锈；</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9.办公椅：尺寸≥960*560*510mm；座椅表面为皮质，可转动。</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57</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教学辅助套件</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一、课件拍摄装置</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1.镜头光圈≥F2.2；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2.续航时间≥81分钟；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3.视频最大码率≥120Mbps；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4.照片分辨率支持7200万像素(11968x5984)、1800万像素(5952x2976)；</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5.陀螺仪配置6轴陀螺仪；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6.视频分辨率支持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5888x2944@30fps 6144x3072@25/24fps 3840x1920@30/25/24fps 3040x1520@50fps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7.快门速度拍照: 拍照：1/8000 - 120s 录像：1/8000 - 帧率限制快门；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8.传送模式蓝牙BLE 5.0、Wi-Fi2.4GHz,5GHz802.11a/b/g/n/ac；</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9.视频模式：普通拍照、HDR 拍照、间隔拍照、星空模式、Burst 九连拍、PureShot 纯净摄影；</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10.电池容量≥1800mAh；</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12.充电方法Type-C USB；</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12.充电时间90min (5V/3A)。</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二、云台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1.尺寸：140*42*33±10mm；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2.可控转动范围：平移: -230° 至 +70°、俯仰: -100° 至 +50°、横滚: ±45°；</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3.平移范围为-250°至+90°，俯仰范围为-180°至+70°，横滚范围为±90°；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4.控制或改变机械或设备旋转的最大角度转速为120°/s；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5.影像传感器2.0 英寸 CMOS、有效像素: 6400 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6.ISO 范围：拍照100-6400（1600 万像素), 100-3200（6400 万像素）、录像：100-6400、慢动作：100-3200；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7.照片拍摄模式：单张照片 1600 万像素/6400 万像素、倒计时拍摄: 3s/5s/7s、全景照片：3x3/180°；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8.录影模式:延时摄影、轨迹延时、运动延时、慢动作、HDR 视频、普通视频；</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9.电池类型锂离子电池；容量875 mAh；能量6.738 Wh；标称电压7.7 V；充电限制电压8.8 V；</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10.重量：约 180±10g。</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58</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增材打印装置</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一、基本功能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 制造零件和原型：增材打印装置可以制造出各种材质的零部件和原型，用于检测、测试和生产；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2.教育教学：增材打印装置可以用于教育教学，例如制作模型、展示零部件等，可以帮助学生更好地理解知识；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3.修复物品：增材打印装置可以用于修复损坏的物品，例如部件、特殊材料等，减少教学浪费和节省成本；</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4.增材打印装置还能制作原型，帮助教师快速验证和测试自己的创意，以及生产零部件，满足特定教学应用的需求；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二、技术参数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1.成型技术：熔融沉积成型；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2.机身：外形尺寸约385*385 *680mm，净重约16.5kg，打印尺寸（长×宽×高）不低于256* 256 *256 mm，钢材框架，外壳为铝材和玻璃构成；</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3.工具头：全金属热端，硬化钢挤出机齿轮，硬化钢喷嘴，喷嘴最高温度不低于300 ℃，具有0.4 mm直径喷嘴，内置工具头切刀，线材直径不低于1.75mm；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4.热床：需自带低温打印面板，工程材料打印面板；热床最高温度不得低于 110℃@220V, 120℃@110V；</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5.速度：工具头最大移动速度不低于500 mm/s，工具头最大移动加速度不低于20 m/s²，热端最大流速不低于32 mm³/s（ABS材料）；采用XY轴的震动抑制算法和精准的流量控制，达到高速打印功能；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6.支持耗材类型：PLA, PETG, TPU, ABS, ASA, PVA, PET，PA，PC，碳/玻璃纤维增强线材；自制Support系列支撑隔离材料，使支撑可剥离；</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7.冷却系统：内置冷却风扇系统，通过闭环控制来确保打印模型、打印机箱和主板的散热；</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8.传感器：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a)工具头配有微激光雷达，实现微米级测量。可实现打印首层扫描、挤出流量校准、辅助热床自动调平等功能；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b)机箱内置1920 × 1080 分辨率摄像头，可用于实时远程观看打印视频、延时摄影、打印录像、炒面检测等功能；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c)开门检测传感器，智能开门检测；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d)挤出机断料检测传感器，能够检测到材料用尽并暂停打印，支持断料续打；</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e)温度传感器：机箱内部配有温度传感器，来展示当前箱内的温度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f)支持断电续打；</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9.具有不低于5英寸 1280 × 720 触摸屏，支持Wi-Fi和 Bambu-Bus通信（用于打印机和AMS通信），支持触摸屏、手机端APP、电脑端应用三种操作界面；可通过APP和电脑端应用远程操控打印机和观看打印机视频；</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HMS健康管理系统：负责收集和监控整个系统状态，包括：硬件连接、工作状态机械状态，以及打印过程中AI功能检测到的问题（例如炒面缺陷），一旦出现任何异常，会通过APP、软件以及打印机屏幕上发送消息提醒，每个HMS错误代码都有详细描述和对应的解决方案；</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rPr>
              <w:t>★</w:t>
            </w:r>
            <w:r>
              <w:rPr>
                <w:rFonts w:hint="eastAsia" w:ascii="宋体" w:hAnsi="宋体" w:eastAsia="宋体" w:cs="宋体"/>
                <w:b w:val="0"/>
                <w:sz w:val="24"/>
                <w:szCs w:val="24"/>
              </w:rPr>
              <w:t>11.自动供料系统参数：</w:t>
            </w:r>
            <w:r>
              <w:rPr>
                <w:rFonts w:hint="eastAsia" w:ascii="宋体" w:hAnsi="宋体" w:eastAsia="宋体" w:cs="宋体"/>
                <w:kern w:val="2"/>
                <w:sz w:val="24"/>
                <w:szCs w:val="24"/>
              </w:rPr>
              <w:t>（投标文件中提供需提供产品彩页或系统功能截图）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1）两级助力，确保能够顺利将耗材丝送入挤出机；</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2）配有湿度传感器和密封外壳，配合干燥剂使用可以保证耗材干燥，并显示AMS内部的湿度状态；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3）RFID技术：自动识别官方耗材的信息，同时可以估算官方耗材的余量；</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4）通过进料缓冲器智能调节送料速度，确保AMS送料和挤出机出料节奏保持同步；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5）4*4级联，最多支持4台AMS一起使用，可以实现16色打印；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6）内置里程轮，可以统计从AMS送出的耗材的长度；</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7）自动续料功能，可在AMS上放置几卷相同属性的材料，当一个槽用完后会自动切换到下一个槽的材料打印；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12.附属耗材10卷，红、黑、蓝、绿、白各2卷。</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59</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防静电工作台</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一、防静电工作台  1台</w:t>
            </w:r>
            <w:r>
              <w:rPr>
                <w:rFonts w:hint="eastAsia" w:ascii="宋体" w:hAnsi="宋体" w:eastAsia="宋体" w:cs="宋体"/>
                <w:b w:val="0"/>
                <w:sz w:val="24"/>
                <w:szCs w:val="24"/>
              </w:rPr>
              <w:br w:type="textWrapping"/>
            </w:r>
            <w:r>
              <w:rPr>
                <w:rFonts w:hint="eastAsia" w:ascii="宋体" w:hAnsi="宋体" w:eastAsia="宋体" w:cs="宋体"/>
                <w:b w:val="0"/>
                <w:sz w:val="24"/>
                <w:szCs w:val="24"/>
              </w:rPr>
              <w:t>1.防静电工作台需为整体防静电工作台，由框架支撑、防静电耐磨台面、防静电手腕带盒、挡板、防静电手腕带、电源线盒、抽屉和日光灯架、五孔插座、接地插座组成；工作台外形坚固，所有电气元件均需符合国家安全标准；</w:t>
            </w:r>
            <w:r>
              <w:rPr>
                <w:rFonts w:hint="eastAsia" w:ascii="宋体" w:hAnsi="宋体" w:eastAsia="宋体" w:cs="宋体"/>
                <w:b w:val="0"/>
                <w:sz w:val="24"/>
                <w:szCs w:val="24"/>
              </w:rPr>
              <w:br w:type="textWrapping"/>
            </w:r>
            <w:r>
              <w:rPr>
                <w:rFonts w:hint="eastAsia" w:ascii="宋体" w:hAnsi="宋体" w:eastAsia="宋体" w:cs="宋体"/>
                <w:b w:val="0"/>
                <w:sz w:val="24"/>
                <w:szCs w:val="24"/>
              </w:rPr>
              <w:t>2.需采用防静电工作台支撑, 防静电工作台尺寸1500*750*800+1000±5mm，后挡板2.0mm支撑，要求承载重量不低于500Kg；喷涂采用防静电喷塑，喷涂材料为防静电喷涂粉，颜色为灰色，喷涂厚度为50-80um。前后脚均配M12铝合金调整脚，桌脚前后端需配备铝合金保护块斜角处理, 有一定的弧度设计，防撞防碰；工作台与地面接触位置增加防静电软橡胶支撑垫，避免金属圆垫直接接触地面，容易损伤地面；</w:t>
            </w:r>
            <w:r>
              <w:rPr>
                <w:rFonts w:hint="eastAsia" w:ascii="宋体" w:hAnsi="宋体" w:eastAsia="宋体" w:cs="宋体"/>
                <w:b w:val="0"/>
                <w:sz w:val="24"/>
                <w:szCs w:val="24"/>
              </w:rPr>
              <w:br w:type="textWrapping"/>
            </w:r>
            <w:r>
              <w:rPr>
                <w:rFonts w:hint="eastAsia" w:ascii="宋体" w:hAnsi="宋体" w:eastAsia="宋体" w:cs="宋体"/>
                <w:b w:val="0"/>
                <w:sz w:val="24"/>
                <w:szCs w:val="24"/>
              </w:rPr>
              <w:t>3.工作台面厚度需≥25mm,采用高强度防静电面板，圆弧包边；</w:t>
            </w:r>
            <w:r>
              <w:rPr>
                <w:rFonts w:hint="eastAsia" w:ascii="宋体" w:hAnsi="宋体" w:eastAsia="宋体" w:cs="宋体"/>
                <w:b w:val="0"/>
                <w:sz w:val="24"/>
                <w:szCs w:val="24"/>
              </w:rPr>
              <w:br w:type="textWrapping"/>
            </w:r>
            <w:r>
              <w:rPr>
                <w:rFonts w:hint="eastAsia" w:ascii="宋体" w:hAnsi="宋体" w:eastAsia="宋体" w:cs="宋体"/>
                <w:b w:val="0"/>
                <w:sz w:val="24"/>
                <w:szCs w:val="24"/>
              </w:rPr>
              <w:t>4.防静电工作台需具有消除静电的功能；</w:t>
            </w:r>
            <w:r>
              <w:rPr>
                <w:rFonts w:hint="eastAsia" w:ascii="宋体" w:hAnsi="宋体" w:eastAsia="宋体" w:cs="宋体"/>
                <w:b w:val="0"/>
                <w:sz w:val="24"/>
                <w:szCs w:val="24"/>
              </w:rPr>
              <w:br w:type="textWrapping"/>
            </w:r>
            <w:r>
              <w:rPr>
                <w:rFonts w:hint="eastAsia" w:ascii="宋体" w:hAnsi="宋体" w:eastAsia="宋体" w:cs="宋体"/>
                <w:b w:val="0"/>
                <w:sz w:val="24"/>
                <w:szCs w:val="24"/>
              </w:rPr>
              <w:t>5.电源部分：五孔插座(10A/220V)9个，接地插座等；</w:t>
            </w:r>
            <w:r>
              <w:rPr>
                <w:rFonts w:hint="eastAsia" w:ascii="宋体" w:hAnsi="宋体" w:eastAsia="宋体" w:cs="宋体"/>
                <w:b w:val="0"/>
                <w:sz w:val="24"/>
                <w:szCs w:val="24"/>
              </w:rPr>
              <w:br w:type="textWrapping"/>
            </w:r>
            <w:r>
              <w:rPr>
                <w:rFonts w:hint="eastAsia" w:ascii="宋体" w:hAnsi="宋体" w:eastAsia="宋体" w:cs="宋体"/>
                <w:b w:val="0"/>
                <w:sz w:val="24"/>
                <w:szCs w:val="24"/>
              </w:rPr>
              <w:t>6.防静电手腕带+防静电手腕带盒  1套；</w:t>
            </w:r>
            <w:r>
              <w:rPr>
                <w:rFonts w:hint="eastAsia" w:ascii="宋体" w:hAnsi="宋体" w:eastAsia="宋体" w:cs="宋体"/>
                <w:b w:val="0"/>
                <w:sz w:val="24"/>
                <w:szCs w:val="24"/>
              </w:rPr>
              <w:br w:type="textWrapping"/>
            </w:r>
            <w:r>
              <w:rPr>
                <w:rFonts w:hint="eastAsia" w:ascii="宋体" w:hAnsi="宋体" w:eastAsia="宋体" w:cs="宋体"/>
                <w:b w:val="0"/>
                <w:sz w:val="24"/>
                <w:szCs w:val="24"/>
              </w:rPr>
              <w:t>二、防静电聚氨酯工作椅  2张</w:t>
            </w:r>
            <w:r>
              <w:rPr>
                <w:rFonts w:hint="eastAsia" w:ascii="宋体" w:hAnsi="宋体" w:eastAsia="宋体" w:cs="宋体"/>
                <w:b w:val="0"/>
                <w:sz w:val="24"/>
                <w:szCs w:val="24"/>
              </w:rPr>
              <w:br w:type="textWrapping"/>
            </w:r>
            <w:r>
              <w:rPr>
                <w:rFonts w:hint="eastAsia" w:ascii="宋体" w:hAnsi="宋体" w:eastAsia="宋体" w:cs="宋体"/>
                <w:b w:val="0"/>
                <w:sz w:val="24"/>
                <w:szCs w:val="24"/>
              </w:rPr>
              <w:t>1.人体工程学设计，高强度一体化支撑，钢制五星爪；</w:t>
            </w:r>
            <w:r>
              <w:rPr>
                <w:rFonts w:hint="eastAsia" w:ascii="宋体" w:hAnsi="宋体" w:eastAsia="宋体" w:cs="宋体"/>
                <w:b w:val="0"/>
                <w:sz w:val="24"/>
                <w:szCs w:val="24"/>
              </w:rPr>
              <w:br w:type="textWrapping"/>
            </w:r>
            <w:r>
              <w:rPr>
                <w:rFonts w:hint="eastAsia" w:ascii="宋体" w:hAnsi="宋体" w:eastAsia="宋体" w:cs="宋体"/>
                <w:b w:val="0"/>
                <w:sz w:val="24"/>
                <w:szCs w:val="24"/>
              </w:rPr>
              <w:t>2.坐垫材质：聚氨酯，颜色：黑色；</w:t>
            </w:r>
            <w:r>
              <w:rPr>
                <w:rFonts w:hint="eastAsia" w:ascii="宋体" w:hAnsi="宋体" w:eastAsia="宋体" w:cs="宋体"/>
                <w:b w:val="0"/>
                <w:sz w:val="24"/>
                <w:szCs w:val="24"/>
              </w:rPr>
              <w:br w:type="textWrapping"/>
            </w:r>
            <w:r>
              <w:rPr>
                <w:rFonts w:hint="eastAsia" w:ascii="宋体" w:hAnsi="宋体" w:eastAsia="宋体" w:cs="宋体"/>
                <w:b w:val="0"/>
                <w:sz w:val="24"/>
                <w:szCs w:val="24"/>
              </w:rPr>
              <w:t>3.高强度气动升降装置，高度升降范围：440-580mm；</w:t>
            </w:r>
            <w:r>
              <w:rPr>
                <w:rFonts w:hint="eastAsia" w:ascii="宋体" w:hAnsi="宋体" w:eastAsia="宋体" w:cs="宋体"/>
                <w:b w:val="0"/>
                <w:sz w:val="24"/>
                <w:szCs w:val="24"/>
              </w:rPr>
              <w:br w:type="textWrapping"/>
            </w:r>
            <w:r>
              <w:rPr>
                <w:rFonts w:hint="eastAsia" w:ascii="宋体" w:hAnsi="宋体" w:eastAsia="宋体" w:cs="宋体"/>
                <w:b w:val="0"/>
                <w:sz w:val="24"/>
                <w:szCs w:val="24"/>
              </w:rPr>
              <w:t>4.需承重150Kg。</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26台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60</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示波器</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1.200MHz带宽，2路模拟通道，实时采样率：1 GSa/s；</w:t>
            </w:r>
            <w:r>
              <w:rPr>
                <w:rFonts w:hint="eastAsia" w:ascii="宋体" w:hAnsi="宋体" w:eastAsia="宋体" w:cs="宋体"/>
                <w:b w:val="0"/>
                <w:sz w:val="24"/>
                <w:szCs w:val="24"/>
              </w:rPr>
              <w:br w:type="textWrapping"/>
            </w:r>
            <w:r>
              <w:rPr>
                <w:rFonts w:hint="eastAsia" w:ascii="宋体" w:hAnsi="宋体" w:eastAsia="宋体" w:cs="宋体"/>
                <w:b w:val="0"/>
                <w:sz w:val="24"/>
                <w:szCs w:val="24"/>
              </w:rPr>
              <w:t>2.存储深度每通道：24 Mpts，所有波形点可以用excel格式导出在电脑打开分析；</w:t>
            </w:r>
            <w:r>
              <w:rPr>
                <w:rFonts w:hint="eastAsia" w:ascii="宋体" w:hAnsi="宋体" w:eastAsia="宋体" w:cs="宋体"/>
                <w:b w:val="0"/>
                <w:sz w:val="24"/>
                <w:szCs w:val="24"/>
              </w:rPr>
              <w:br w:type="textWrapping"/>
            </w:r>
            <w:r>
              <w:rPr>
                <w:rFonts w:hint="eastAsia" w:ascii="宋体" w:hAnsi="宋体" w:eastAsia="宋体" w:cs="宋体"/>
                <w:b w:val="0"/>
                <w:sz w:val="24"/>
                <w:szCs w:val="24"/>
              </w:rPr>
              <w:t>3.实时采集波形捕获率：不小于30,000wfms/s，可以从后端触发接口测试出该刷新率；</w:t>
            </w:r>
            <w:r>
              <w:rPr>
                <w:rFonts w:hint="eastAsia" w:ascii="宋体" w:hAnsi="宋体" w:eastAsia="宋体" w:cs="宋体"/>
                <w:b w:val="0"/>
                <w:sz w:val="24"/>
                <w:szCs w:val="24"/>
              </w:rPr>
              <w:br w:type="textWrapping"/>
            </w:r>
            <w:r>
              <w:rPr>
                <w:rFonts w:hint="eastAsia" w:ascii="宋体" w:hAnsi="宋体" w:eastAsia="宋体" w:cs="宋体"/>
                <w:b w:val="0"/>
                <w:sz w:val="24"/>
                <w:szCs w:val="24"/>
              </w:rPr>
              <w:t>4.需支持硬件实时的波形录制、回放功能，最多录制可达60000帧，并且可以以其中一个波形为模板对所有波形做对比分析，分析结果以冷热色调显示出来；</w:t>
            </w:r>
            <w:r>
              <w:rPr>
                <w:rFonts w:hint="eastAsia" w:ascii="宋体" w:hAnsi="宋体" w:eastAsia="宋体" w:cs="宋体"/>
                <w:b w:val="0"/>
                <w:sz w:val="24"/>
                <w:szCs w:val="24"/>
              </w:rPr>
              <w:br w:type="textWrapping"/>
            </w:r>
            <w:r>
              <w:rPr>
                <w:rFonts w:hint="eastAsia" w:ascii="宋体" w:hAnsi="宋体" w:eastAsia="宋体" w:cs="宋体"/>
                <w:b w:val="0"/>
                <w:sz w:val="24"/>
                <w:szCs w:val="24"/>
              </w:rPr>
              <w:t>5.最大存储深度24 Mpts（单通道），12 Mpts（双通道）；</w:t>
            </w:r>
            <w:r>
              <w:rPr>
                <w:rFonts w:hint="eastAsia" w:ascii="宋体" w:hAnsi="宋体" w:eastAsia="宋体" w:cs="宋体"/>
                <w:b w:val="0"/>
                <w:sz w:val="24"/>
                <w:szCs w:val="24"/>
              </w:rPr>
              <w:br w:type="textWrapping"/>
            </w:r>
            <w:r>
              <w:rPr>
                <w:rFonts w:hint="eastAsia" w:ascii="宋体" w:hAnsi="宋体" w:eastAsia="宋体" w:cs="宋体"/>
                <w:b w:val="0"/>
                <w:sz w:val="24"/>
                <w:szCs w:val="24"/>
              </w:rPr>
              <w:t>6.最高波形捕获率：30,000 wfms/s；</w:t>
            </w:r>
            <w:r>
              <w:rPr>
                <w:rFonts w:hint="eastAsia" w:ascii="宋体" w:hAnsi="宋体" w:eastAsia="宋体" w:cs="宋体"/>
                <w:b w:val="0"/>
                <w:sz w:val="24"/>
                <w:szCs w:val="24"/>
              </w:rPr>
              <w:br w:type="textWrapping"/>
            </w:r>
            <w:r>
              <w:rPr>
                <w:rFonts w:hint="eastAsia" w:ascii="宋体" w:hAnsi="宋体" w:eastAsia="宋体" w:cs="宋体"/>
                <w:b w:val="0"/>
                <w:sz w:val="24"/>
                <w:szCs w:val="24"/>
              </w:rPr>
              <w:t>7.垂直档位：1 mV/div~10 V/div；</w:t>
            </w:r>
            <w:r>
              <w:rPr>
                <w:rFonts w:hint="eastAsia" w:ascii="宋体" w:hAnsi="宋体" w:eastAsia="宋体" w:cs="宋体"/>
                <w:b w:val="0"/>
                <w:sz w:val="24"/>
                <w:szCs w:val="24"/>
              </w:rPr>
              <w:br w:type="textWrapping"/>
            </w:r>
            <w:r>
              <w:rPr>
                <w:rFonts w:hint="eastAsia" w:ascii="宋体" w:hAnsi="宋体" w:eastAsia="宋体" w:cs="宋体"/>
                <w:b w:val="0"/>
                <w:sz w:val="24"/>
                <w:szCs w:val="24"/>
              </w:rPr>
              <w:t>8.接口支持：USB、LAN（LXI）、AUX；</w:t>
            </w:r>
            <w:r>
              <w:rPr>
                <w:rFonts w:hint="eastAsia" w:ascii="宋体" w:hAnsi="宋体" w:eastAsia="宋体" w:cs="宋体"/>
                <w:b w:val="0"/>
                <w:sz w:val="24"/>
                <w:szCs w:val="24"/>
              </w:rPr>
              <w:br w:type="textWrapping"/>
            </w:r>
            <w:r>
              <w:rPr>
                <w:rFonts w:hint="eastAsia" w:ascii="宋体" w:hAnsi="宋体" w:eastAsia="宋体" w:cs="宋体"/>
                <w:b w:val="0"/>
                <w:sz w:val="24"/>
                <w:szCs w:val="24"/>
              </w:rPr>
              <w:t>9.波形捕获率高达每秒 30,000个波形；</w:t>
            </w:r>
            <w:r>
              <w:rPr>
                <w:rFonts w:hint="eastAsia" w:ascii="宋体" w:hAnsi="宋体" w:eastAsia="宋体" w:cs="宋体"/>
                <w:b w:val="0"/>
                <w:sz w:val="24"/>
                <w:szCs w:val="24"/>
              </w:rPr>
              <w:br w:type="textWrapping"/>
            </w:r>
            <w:r>
              <w:rPr>
                <w:rFonts w:hint="eastAsia" w:ascii="宋体" w:hAnsi="宋体" w:eastAsia="宋体" w:cs="宋体"/>
                <w:b w:val="0"/>
                <w:sz w:val="24"/>
                <w:szCs w:val="24"/>
              </w:rPr>
              <w:t>10.深存储达24M采样点；</w:t>
            </w:r>
            <w:r>
              <w:rPr>
                <w:rFonts w:hint="eastAsia" w:ascii="宋体" w:hAnsi="宋体" w:eastAsia="宋体" w:cs="宋体"/>
                <w:b w:val="0"/>
                <w:sz w:val="24"/>
                <w:szCs w:val="24"/>
              </w:rPr>
              <w:br w:type="textWrapping"/>
            </w:r>
            <w:r>
              <w:rPr>
                <w:rFonts w:hint="eastAsia" w:ascii="宋体" w:hAnsi="宋体" w:eastAsia="宋体" w:cs="宋体"/>
                <w:b w:val="0"/>
                <w:sz w:val="24"/>
                <w:szCs w:val="24"/>
              </w:rPr>
              <w:t>11.串行总线触发和解码功能（支持RS232/ UART,I2C,SPI）；</w:t>
            </w:r>
            <w:r>
              <w:rPr>
                <w:rFonts w:hint="eastAsia" w:ascii="宋体" w:hAnsi="宋体" w:eastAsia="宋体" w:cs="宋体"/>
                <w:b w:val="0"/>
                <w:sz w:val="24"/>
                <w:szCs w:val="24"/>
              </w:rPr>
              <w:br w:type="textWrapping"/>
            </w:r>
            <w:r>
              <w:rPr>
                <w:rFonts w:hint="eastAsia" w:ascii="宋体" w:hAnsi="宋体" w:eastAsia="宋体" w:cs="宋体"/>
                <w:b w:val="0"/>
                <w:sz w:val="24"/>
                <w:szCs w:val="24"/>
              </w:rPr>
              <w:t xml:space="preserve">12.触发灵敏度1.0 div（5mV以下或噪声抑制打开）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0.3 div（5mV以上且噪声抑制关闭）；</w:t>
            </w:r>
            <w:r>
              <w:rPr>
                <w:rFonts w:hint="eastAsia" w:ascii="宋体" w:hAnsi="宋体" w:eastAsia="宋体" w:cs="宋体"/>
                <w:b w:val="0"/>
                <w:sz w:val="24"/>
                <w:szCs w:val="24"/>
              </w:rPr>
              <w:br w:type="textWrapping"/>
            </w:r>
            <w:r>
              <w:rPr>
                <w:rFonts w:hint="eastAsia" w:ascii="宋体" w:hAnsi="宋体" w:eastAsia="宋体" w:cs="宋体"/>
                <w:b w:val="0"/>
                <w:sz w:val="24"/>
                <w:szCs w:val="24"/>
              </w:rPr>
              <w:t>13.通道隔离度直流至最大带宽：&gt;40 dB；</w:t>
            </w:r>
            <w:r>
              <w:rPr>
                <w:rFonts w:hint="eastAsia" w:ascii="宋体" w:hAnsi="宋体" w:eastAsia="宋体" w:cs="宋体"/>
                <w:b w:val="0"/>
                <w:sz w:val="24"/>
                <w:szCs w:val="24"/>
              </w:rPr>
              <w:br w:type="textWrapping"/>
            </w:r>
            <w:r>
              <w:rPr>
                <w:rFonts w:hint="eastAsia" w:ascii="宋体" w:hAnsi="宋体" w:eastAsia="宋体" w:cs="宋体"/>
                <w:b w:val="0"/>
                <w:sz w:val="24"/>
                <w:szCs w:val="24"/>
              </w:rPr>
              <w:t>14.波形计算dB/dBm、Vrms；</w:t>
            </w:r>
            <w:r>
              <w:rPr>
                <w:rFonts w:hint="eastAsia" w:ascii="宋体" w:hAnsi="宋体" w:eastAsia="宋体" w:cs="宋体"/>
                <w:b w:val="0"/>
                <w:sz w:val="24"/>
                <w:szCs w:val="24"/>
              </w:rPr>
              <w:br w:type="textWrapping"/>
            </w:r>
            <w:r>
              <w:rPr>
                <w:rFonts w:hint="eastAsia" w:ascii="宋体" w:hAnsi="宋体" w:eastAsia="宋体" w:cs="宋体"/>
                <w:b w:val="0"/>
                <w:sz w:val="24"/>
                <w:szCs w:val="24"/>
              </w:rPr>
              <w:t>15.自动测量周期、频率、上升时间、下降时间、正脉宽、负脉宽、正占空比、负占空比、最大值时刻、最小值时刻、正斜率、负斜率、延迟12 、相位12 、幅度、高值、中值、低值、平均值、有效值、过冲、预冲、面积、周期面积、周期有效值、方差；</w:t>
            </w:r>
            <w:r>
              <w:rPr>
                <w:rFonts w:hint="eastAsia" w:ascii="宋体" w:hAnsi="宋体" w:eastAsia="宋体" w:cs="宋体"/>
                <w:b w:val="0"/>
                <w:sz w:val="24"/>
                <w:szCs w:val="24"/>
              </w:rPr>
              <w:br w:type="textWrapping"/>
            </w:r>
            <w:r>
              <w:rPr>
                <w:rFonts w:hint="eastAsia" w:ascii="宋体" w:hAnsi="宋体" w:eastAsia="宋体" w:cs="宋体"/>
                <w:b w:val="0"/>
                <w:sz w:val="24"/>
                <w:szCs w:val="24"/>
              </w:rPr>
              <w:t>16.尺寸：310*160*120±10mm；</w:t>
            </w:r>
            <w:r>
              <w:rPr>
                <w:rFonts w:hint="eastAsia" w:ascii="宋体" w:hAnsi="宋体" w:eastAsia="宋体" w:cs="宋体"/>
                <w:b w:val="0"/>
                <w:sz w:val="24"/>
                <w:szCs w:val="24"/>
              </w:rPr>
              <w:br w:type="textWrapping"/>
            </w:r>
            <w:r>
              <w:rPr>
                <w:rFonts w:hint="eastAsia" w:ascii="宋体" w:hAnsi="宋体" w:eastAsia="宋体" w:cs="宋体"/>
                <w:b w:val="0"/>
                <w:sz w:val="24"/>
                <w:szCs w:val="24"/>
              </w:rPr>
              <w:t>17.显示屏：7英寸高清WVGA（800×480）TFT宽屏，12x8div，多级波形灰度显示。</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20套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61</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信号发生器</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1.标配等性能双通道，频率50MHz；</w:t>
            </w:r>
            <w:r>
              <w:rPr>
                <w:rFonts w:hint="eastAsia" w:ascii="宋体" w:hAnsi="宋体" w:eastAsia="宋体" w:cs="宋体"/>
                <w:b w:val="0"/>
                <w:sz w:val="24"/>
                <w:szCs w:val="24"/>
              </w:rPr>
              <w:br w:type="textWrapping"/>
            </w:r>
            <w:r>
              <w:rPr>
                <w:rFonts w:hint="eastAsia" w:ascii="宋体" w:hAnsi="宋体" w:eastAsia="宋体" w:cs="宋体"/>
                <w:b w:val="0"/>
                <w:sz w:val="24"/>
                <w:szCs w:val="24"/>
              </w:rPr>
              <w:t>2.逐点生成任意波形，采样率1HZ精确可调；</w:t>
            </w:r>
            <w:r>
              <w:rPr>
                <w:rFonts w:hint="eastAsia" w:ascii="宋体" w:hAnsi="宋体" w:eastAsia="宋体" w:cs="宋体"/>
                <w:b w:val="0"/>
                <w:sz w:val="24"/>
                <w:szCs w:val="24"/>
              </w:rPr>
              <w:br w:type="textWrapping"/>
            </w:r>
            <w:r>
              <w:rPr>
                <w:rFonts w:hint="eastAsia" w:ascii="宋体" w:hAnsi="宋体" w:eastAsia="宋体" w:cs="宋体"/>
                <w:b w:val="0"/>
                <w:sz w:val="24"/>
                <w:szCs w:val="24"/>
              </w:rPr>
              <w:t>3.每通道任意波长度16Mpts；</w:t>
            </w:r>
            <w:r>
              <w:rPr>
                <w:rFonts w:hint="eastAsia" w:ascii="宋体" w:hAnsi="宋体" w:eastAsia="宋体" w:cs="宋体"/>
                <w:b w:val="0"/>
                <w:sz w:val="24"/>
                <w:szCs w:val="24"/>
              </w:rPr>
              <w:br w:type="textWrapping"/>
            </w:r>
            <w:r>
              <w:rPr>
                <w:rFonts w:hint="eastAsia" w:ascii="宋体" w:hAnsi="宋体" w:eastAsia="宋体" w:cs="宋体"/>
                <w:b w:val="0"/>
                <w:sz w:val="24"/>
                <w:szCs w:val="24"/>
              </w:rPr>
              <w:t>4.内置8次谐波发生器，可按奇次，偶次，顺序，自定义方式输出；</w:t>
            </w:r>
            <w:r>
              <w:rPr>
                <w:rFonts w:hint="eastAsia" w:ascii="宋体" w:hAnsi="宋体" w:eastAsia="宋体" w:cs="宋体"/>
                <w:b w:val="0"/>
                <w:sz w:val="24"/>
                <w:szCs w:val="24"/>
              </w:rPr>
              <w:br w:type="textWrapping"/>
            </w:r>
            <w:r>
              <w:rPr>
                <w:rFonts w:hint="eastAsia" w:ascii="宋体" w:hAnsi="宋体" w:eastAsia="宋体" w:cs="宋体"/>
                <w:b w:val="0"/>
                <w:sz w:val="24"/>
                <w:szCs w:val="24"/>
              </w:rPr>
              <w:t>5.扫频功能，支持线性/对数/步进方式，可设置起始/终止/返回时间和标记频率；</w:t>
            </w:r>
            <w:r>
              <w:rPr>
                <w:rFonts w:hint="eastAsia" w:ascii="宋体" w:hAnsi="宋体" w:eastAsia="宋体" w:cs="宋体"/>
                <w:b w:val="0"/>
                <w:sz w:val="24"/>
                <w:szCs w:val="24"/>
              </w:rPr>
              <w:br w:type="textWrapping"/>
            </w:r>
            <w:r>
              <w:rPr>
                <w:rFonts w:hint="eastAsia" w:ascii="宋体" w:hAnsi="宋体" w:eastAsia="宋体" w:cs="宋体"/>
                <w:b w:val="0"/>
                <w:sz w:val="24"/>
                <w:szCs w:val="24"/>
              </w:rPr>
              <w:t>6.内置7 Digits，240MHz带宽频率计，可测量频率、周期、占空比、正脉宽和负脉宽，统计结果以“数字”和“动态曲线”来显示；</w:t>
            </w:r>
            <w:r>
              <w:rPr>
                <w:rFonts w:hint="eastAsia" w:ascii="宋体" w:hAnsi="宋体" w:eastAsia="宋体" w:cs="宋体"/>
                <w:b w:val="0"/>
                <w:sz w:val="24"/>
                <w:szCs w:val="24"/>
              </w:rPr>
              <w:br w:type="textWrapping"/>
            </w:r>
            <w:r>
              <w:rPr>
                <w:rFonts w:hint="eastAsia" w:ascii="宋体" w:hAnsi="宋体" w:eastAsia="宋体" w:cs="宋体"/>
                <w:b w:val="0"/>
                <w:sz w:val="24"/>
                <w:szCs w:val="24"/>
              </w:rPr>
              <w:t>7.160种内建任意波形，包括RS232,PRBS,伪随机二进制序列等；</w:t>
            </w:r>
            <w:r>
              <w:rPr>
                <w:rFonts w:hint="eastAsia" w:ascii="宋体" w:hAnsi="宋体" w:eastAsia="宋体" w:cs="宋体"/>
                <w:b w:val="0"/>
                <w:sz w:val="24"/>
                <w:szCs w:val="24"/>
              </w:rPr>
              <w:br w:type="textWrapping"/>
            </w:r>
            <w:r>
              <w:rPr>
                <w:rFonts w:hint="eastAsia" w:ascii="宋体" w:hAnsi="宋体" w:eastAsia="宋体" w:cs="宋体"/>
                <w:b w:val="0"/>
                <w:sz w:val="24"/>
                <w:szCs w:val="24"/>
              </w:rPr>
              <w:t>8.实时采样率250MSa/s，垂直分辨率：16bits；</w:t>
            </w:r>
            <w:r>
              <w:rPr>
                <w:rFonts w:hint="eastAsia" w:ascii="宋体" w:hAnsi="宋体" w:eastAsia="宋体" w:cs="宋体"/>
                <w:b w:val="0"/>
                <w:sz w:val="24"/>
                <w:szCs w:val="24"/>
              </w:rPr>
              <w:br w:type="textWrapping"/>
            </w:r>
            <w:r>
              <w:rPr>
                <w:rFonts w:hint="eastAsia" w:ascii="宋体" w:hAnsi="宋体" w:eastAsia="宋体" w:cs="宋体"/>
                <w:b w:val="0"/>
                <w:sz w:val="24"/>
                <w:szCs w:val="24"/>
              </w:rPr>
              <w:t>9.输出特性(50欧)：1mVpp 至10Vpp；</w:t>
            </w:r>
            <w:r>
              <w:rPr>
                <w:rFonts w:hint="eastAsia" w:ascii="宋体" w:hAnsi="宋体" w:eastAsia="宋体" w:cs="宋体"/>
                <w:b w:val="0"/>
                <w:sz w:val="24"/>
                <w:szCs w:val="24"/>
              </w:rPr>
              <w:br w:type="textWrapping"/>
            </w:r>
            <w:r>
              <w:rPr>
                <w:rFonts w:hint="eastAsia" w:ascii="宋体" w:hAnsi="宋体" w:eastAsia="宋体" w:cs="宋体"/>
                <w:b w:val="0"/>
                <w:sz w:val="24"/>
                <w:szCs w:val="24"/>
              </w:rPr>
              <w:t>10.伪随机二级制序列波形支持到50Mbps；RS232波特率可选范围：9600，14400，19200，38400，57600，115200，128000；可以通过U盘读取图片方式定制开机界面；4.3英寸TFT 彩色电容触摸显示屏，多手势操作，支持滑动屏幕操作；</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11.调制功能：AM、FM、PM、ASK、FSK、PSK和PWM；</w:t>
            </w:r>
            <w:r>
              <w:rPr>
                <w:rFonts w:hint="eastAsia" w:ascii="宋体" w:hAnsi="宋体" w:eastAsia="宋体" w:cs="宋体"/>
                <w:b w:val="0"/>
                <w:sz w:val="24"/>
                <w:szCs w:val="24"/>
              </w:rPr>
              <w:br w:type="textWrapping"/>
            </w:r>
            <w:r>
              <w:rPr>
                <w:rFonts w:hint="eastAsia" w:ascii="宋体" w:hAnsi="宋体" w:eastAsia="宋体" w:cs="宋体"/>
                <w:b w:val="0"/>
                <w:sz w:val="24"/>
                <w:szCs w:val="24"/>
              </w:rPr>
              <w:t>12.配备波形叠加功能，可以在基本波形的基础上叠加指定波形后输出；</w:t>
            </w:r>
            <w:r>
              <w:rPr>
                <w:rFonts w:hint="eastAsia" w:ascii="宋体" w:hAnsi="宋体" w:eastAsia="宋体" w:cs="宋体"/>
                <w:b w:val="0"/>
                <w:sz w:val="24"/>
                <w:szCs w:val="24"/>
              </w:rPr>
              <w:br w:type="textWrapping"/>
            </w:r>
            <w:r>
              <w:rPr>
                <w:rFonts w:hint="eastAsia" w:ascii="宋体" w:hAnsi="宋体" w:eastAsia="宋体" w:cs="宋体"/>
                <w:b w:val="0"/>
                <w:sz w:val="24"/>
                <w:szCs w:val="24"/>
              </w:rPr>
              <w:t>13.配备通道耦合功能，支持频率/幅度/相位耦合；</w:t>
            </w:r>
            <w:r>
              <w:rPr>
                <w:rFonts w:hint="eastAsia" w:ascii="宋体" w:hAnsi="宋体" w:eastAsia="宋体" w:cs="宋体"/>
                <w:b w:val="0"/>
                <w:sz w:val="24"/>
                <w:szCs w:val="24"/>
              </w:rPr>
              <w:br w:type="textWrapping"/>
            </w:r>
            <w:r>
              <w:rPr>
                <w:rFonts w:hint="eastAsia" w:ascii="宋体" w:hAnsi="宋体" w:eastAsia="宋体" w:cs="宋体"/>
                <w:b w:val="0"/>
                <w:sz w:val="24"/>
                <w:szCs w:val="24"/>
              </w:rPr>
              <w:t>14.通道输出模式，支持常规和门控；</w:t>
            </w:r>
            <w:r>
              <w:rPr>
                <w:rFonts w:hint="eastAsia" w:ascii="宋体" w:hAnsi="宋体" w:eastAsia="宋体" w:cs="宋体"/>
                <w:b w:val="0"/>
                <w:sz w:val="24"/>
                <w:szCs w:val="24"/>
              </w:rPr>
              <w:br w:type="textWrapping"/>
            </w:r>
            <w:r>
              <w:rPr>
                <w:rFonts w:hint="eastAsia" w:ascii="宋体" w:hAnsi="宋体" w:eastAsia="宋体" w:cs="宋体"/>
                <w:b w:val="0"/>
                <w:sz w:val="24"/>
                <w:szCs w:val="24"/>
              </w:rPr>
              <w:t>15.支持接口：USB Host，USB Device(TMC)、USB-LAN(LXI)，USB-WIFI，与同品牌示波器无缝互联；</w:t>
            </w:r>
            <w:r>
              <w:rPr>
                <w:rFonts w:hint="eastAsia" w:ascii="宋体" w:hAnsi="宋体" w:eastAsia="宋体" w:cs="宋体"/>
                <w:b w:val="0"/>
                <w:sz w:val="24"/>
                <w:szCs w:val="24"/>
              </w:rPr>
              <w:br w:type="textWrapping"/>
            </w:r>
            <w:r>
              <w:rPr>
                <w:rFonts w:hint="eastAsia" w:ascii="宋体" w:hAnsi="宋体" w:eastAsia="宋体" w:cs="宋体"/>
                <w:b w:val="0"/>
                <w:sz w:val="24"/>
                <w:szCs w:val="24"/>
              </w:rPr>
              <w:t>16.具备过压过流保护功能，电流保护：大于240mA。</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20套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62</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直流稳压电源</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1.开关直流电源,需拥有四位电压、电流、功率数码屏显示，需测量范围广，需具备10mV/1mA高精度分辨率，同时需具备多种保护功能，可稳定可靠的运行；</w:t>
            </w:r>
            <w:r>
              <w:rPr>
                <w:rFonts w:hint="eastAsia" w:ascii="宋体" w:hAnsi="宋体" w:eastAsia="宋体" w:cs="宋体"/>
                <w:b w:val="0"/>
                <w:sz w:val="24"/>
                <w:szCs w:val="24"/>
              </w:rPr>
              <w:br w:type="textWrapping"/>
            </w:r>
            <w:r>
              <w:rPr>
                <w:rFonts w:hint="eastAsia" w:ascii="宋体" w:hAnsi="宋体" w:eastAsia="宋体" w:cs="宋体"/>
                <w:b w:val="0"/>
                <w:sz w:val="24"/>
                <w:szCs w:val="24"/>
              </w:rPr>
              <w:t>2.电源需支持电压电流功率同时显示，对测试结果进行实时监测；</w:t>
            </w:r>
            <w:r>
              <w:rPr>
                <w:rFonts w:hint="eastAsia" w:ascii="宋体" w:hAnsi="宋体" w:eastAsia="宋体" w:cs="宋体"/>
                <w:b w:val="0"/>
                <w:sz w:val="24"/>
                <w:szCs w:val="24"/>
              </w:rPr>
              <w:br w:type="textWrapping"/>
            </w:r>
            <w:r>
              <w:rPr>
                <w:rFonts w:hint="eastAsia" w:ascii="宋体" w:hAnsi="宋体" w:eastAsia="宋体" w:cs="宋体"/>
                <w:b w:val="0"/>
                <w:sz w:val="24"/>
                <w:szCs w:val="24"/>
              </w:rPr>
              <w:t>3.长按锁定面板，防止误操作；</w:t>
            </w:r>
            <w:r>
              <w:rPr>
                <w:rFonts w:hint="eastAsia" w:ascii="宋体" w:hAnsi="宋体" w:eastAsia="宋体" w:cs="宋体"/>
                <w:b w:val="0"/>
                <w:sz w:val="24"/>
                <w:szCs w:val="24"/>
              </w:rPr>
              <w:br w:type="textWrapping"/>
            </w:r>
            <w:r>
              <w:rPr>
                <w:rFonts w:hint="eastAsia" w:ascii="宋体" w:hAnsi="宋体" w:eastAsia="宋体" w:cs="宋体"/>
                <w:b w:val="0"/>
                <w:sz w:val="24"/>
                <w:szCs w:val="24"/>
              </w:rPr>
              <w:t>4.需具备三组或以上数据存储调用；</w:t>
            </w:r>
            <w:r>
              <w:rPr>
                <w:rFonts w:hint="eastAsia" w:ascii="宋体" w:hAnsi="宋体" w:eastAsia="宋体" w:cs="宋体"/>
                <w:b w:val="0"/>
                <w:sz w:val="24"/>
                <w:szCs w:val="24"/>
              </w:rPr>
              <w:br w:type="textWrapping"/>
            </w:r>
            <w:r>
              <w:rPr>
                <w:rFonts w:hint="eastAsia" w:ascii="宋体" w:hAnsi="宋体" w:eastAsia="宋体" w:cs="宋体"/>
                <w:b w:val="0"/>
                <w:sz w:val="24"/>
                <w:szCs w:val="24"/>
              </w:rPr>
              <w:t>5.实际输出值高于设定值时保护功能被触发，屏幕显示“-ER OCP-”等显示；</w:t>
            </w:r>
            <w:r>
              <w:rPr>
                <w:rFonts w:hint="eastAsia" w:ascii="宋体" w:hAnsi="宋体" w:eastAsia="宋体" w:cs="宋体"/>
                <w:b w:val="0"/>
                <w:sz w:val="24"/>
                <w:szCs w:val="24"/>
              </w:rPr>
              <w:br w:type="textWrapping"/>
            </w:r>
            <w:r>
              <w:rPr>
                <w:rFonts w:hint="eastAsia" w:ascii="宋体" w:hAnsi="宋体" w:eastAsia="宋体" w:cs="宋体"/>
                <w:b w:val="0"/>
                <w:sz w:val="24"/>
                <w:szCs w:val="24"/>
              </w:rPr>
              <w:t>6.实际输出值高于设定值时保护功能被触发，屏幕显示“-ER OVP-”等显示；</w:t>
            </w:r>
            <w:r>
              <w:rPr>
                <w:rFonts w:hint="eastAsia" w:ascii="宋体" w:hAnsi="宋体" w:eastAsia="宋体" w:cs="宋体"/>
                <w:b w:val="0"/>
                <w:sz w:val="24"/>
                <w:szCs w:val="24"/>
              </w:rPr>
              <w:br w:type="textWrapping"/>
            </w:r>
            <w:r>
              <w:rPr>
                <w:rFonts w:hint="eastAsia" w:ascii="宋体" w:hAnsi="宋体" w:eastAsia="宋体" w:cs="宋体"/>
                <w:b w:val="0"/>
                <w:sz w:val="24"/>
                <w:szCs w:val="24"/>
              </w:rPr>
              <w:t>7.输入电压220V；输出电压0-30V；</w:t>
            </w:r>
            <w:r>
              <w:rPr>
                <w:rFonts w:hint="eastAsia" w:ascii="宋体" w:hAnsi="宋体" w:eastAsia="宋体" w:cs="宋体"/>
                <w:b w:val="0"/>
                <w:sz w:val="24"/>
                <w:szCs w:val="24"/>
              </w:rPr>
              <w:br w:type="textWrapping"/>
            </w:r>
            <w:r>
              <w:rPr>
                <w:rFonts w:hint="eastAsia" w:ascii="宋体" w:hAnsi="宋体" w:eastAsia="宋体" w:cs="宋体"/>
                <w:b w:val="0"/>
                <w:sz w:val="24"/>
                <w:szCs w:val="24"/>
              </w:rPr>
              <w:t>8.输出电流0-5A。</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20套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63</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万用表</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1.直流电压量程：≥(DCV)400.0mV/4.000V/40.00V/400.0V/1000V；</w:t>
            </w:r>
            <w:r>
              <w:rPr>
                <w:rFonts w:hint="eastAsia" w:ascii="宋体" w:hAnsi="宋体" w:eastAsia="宋体" w:cs="宋体"/>
                <w:b w:val="0"/>
                <w:sz w:val="24"/>
                <w:szCs w:val="24"/>
              </w:rPr>
              <w:br w:type="textWrapping"/>
            </w:r>
            <w:r>
              <w:rPr>
                <w:rFonts w:hint="eastAsia" w:ascii="宋体" w:hAnsi="宋体" w:eastAsia="宋体" w:cs="宋体"/>
                <w:b w:val="0"/>
                <w:sz w:val="24"/>
                <w:szCs w:val="24"/>
              </w:rPr>
              <w:t>2.交流电压量程：≥(ACV)4.000V/40.00V400.0V/750V；</w:t>
            </w:r>
            <w:r>
              <w:rPr>
                <w:rFonts w:hint="eastAsia" w:ascii="宋体" w:hAnsi="宋体" w:eastAsia="宋体" w:cs="宋体"/>
                <w:b w:val="0"/>
                <w:sz w:val="24"/>
                <w:szCs w:val="24"/>
              </w:rPr>
              <w:br w:type="textWrapping"/>
            </w:r>
            <w:r>
              <w:rPr>
                <w:rFonts w:hint="eastAsia" w:ascii="宋体" w:hAnsi="宋体" w:eastAsia="宋体" w:cs="宋体"/>
                <w:b w:val="0"/>
                <w:sz w:val="24"/>
                <w:szCs w:val="24"/>
              </w:rPr>
              <w:t>3.交流电流量程：≥(DCA)40.00m/0.01mA/</w:t>
            </w:r>
            <w:r>
              <w:rPr>
                <w:rFonts w:hint="eastAsia" w:ascii="宋体" w:hAnsi="宋体" w:eastAsia="宋体" w:cs="宋体"/>
                <w:b w:val="0"/>
                <w:sz w:val="24"/>
                <w:szCs w:val="24"/>
              </w:rPr>
              <w:br w:type="textWrapping"/>
            </w:r>
            <w:r>
              <w:rPr>
                <w:rFonts w:hint="eastAsia" w:ascii="宋体" w:hAnsi="宋体" w:eastAsia="宋体" w:cs="宋体"/>
                <w:b w:val="0"/>
                <w:sz w:val="24"/>
                <w:szCs w:val="24"/>
              </w:rPr>
              <w:t>400.0mA/10.00A；</w:t>
            </w:r>
            <w:r>
              <w:rPr>
                <w:rFonts w:hint="eastAsia" w:ascii="宋体" w:hAnsi="宋体" w:eastAsia="宋体" w:cs="宋体"/>
                <w:b w:val="0"/>
                <w:sz w:val="24"/>
                <w:szCs w:val="24"/>
              </w:rPr>
              <w:br w:type="textWrapping"/>
            </w:r>
            <w:r>
              <w:rPr>
                <w:rFonts w:hint="eastAsia" w:ascii="宋体" w:hAnsi="宋体" w:eastAsia="宋体" w:cs="宋体"/>
                <w:b w:val="0"/>
                <w:sz w:val="24"/>
                <w:szCs w:val="24"/>
              </w:rPr>
              <w:t>4.直流电流量程：≥(DCA)40.00uA/400.0uA4.000mA</w:t>
            </w:r>
            <w:r>
              <w:rPr>
                <w:rFonts w:hint="eastAsia" w:ascii="宋体" w:hAnsi="宋体" w:eastAsia="宋体" w:cs="宋体"/>
                <w:b w:val="0"/>
                <w:sz w:val="24"/>
                <w:szCs w:val="24"/>
              </w:rPr>
              <w:br w:type="textWrapping"/>
            </w:r>
            <w:r>
              <w:rPr>
                <w:rFonts w:hint="eastAsia" w:ascii="宋体" w:hAnsi="宋体" w:eastAsia="宋体" w:cs="宋体"/>
                <w:b w:val="0"/>
                <w:sz w:val="24"/>
                <w:szCs w:val="24"/>
              </w:rPr>
              <w:t>/40.00mA/400.0mA/10.00A；</w:t>
            </w:r>
            <w:r>
              <w:rPr>
                <w:rFonts w:hint="eastAsia" w:ascii="宋体" w:hAnsi="宋体" w:eastAsia="宋体" w:cs="宋体"/>
                <w:b w:val="0"/>
                <w:sz w:val="24"/>
                <w:szCs w:val="24"/>
              </w:rPr>
              <w:br w:type="textWrapping"/>
            </w:r>
            <w:r>
              <w:rPr>
                <w:rFonts w:hint="eastAsia" w:ascii="宋体" w:hAnsi="宋体" w:eastAsia="宋体" w:cs="宋体"/>
                <w:b w:val="0"/>
                <w:sz w:val="24"/>
                <w:szCs w:val="24"/>
              </w:rPr>
              <w:t>5.电阻量程： (Ω) 400.0Ω/4.000kΩ；</w:t>
            </w:r>
            <w:r>
              <w:rPr>
                <w:rFonts w:hint="eastAsia" w:ascii="宋体" w:hAnsi="宋体" w:eastAsia="宋体" w:cs="宋体"/>
                <w:b w:val="0"/>
                <w:sz w:val="24"/>
                <w:szCs w:val="24"/>
              </w:rPr>
              <w:br w:type="textWrapping"/>
            </w:r>
            <w:r>
              <w:rPr>
                <w:rFonts w:hint="eastAsia" w:ascii="宋体" w:hAnsi="宋体" w:eastAsia="宋体" w:cs="宋体"/>
                <w:b w:val="0"/>
                <w:sz w:val="24"/>
                <w:szCs w:val="24"/>
              </w:rPr>
              <w:t>6.40.00k/400.0kΩ/4.000MΩ/200.0MΩ；</w:t>
            </w:r>
            <w:r>
              <w:rPr>
                <w:rFonts w:hint="eastAsia" w:ascii="宋体" w:hAnsi="宋体" w:eastAsia="宋体" w:cs="宋体"/>
                <w:b w:val="0"/>
                <w:sz w:val="24"/>
                <w:szCs w:val="24"/>
              </w:rPr>
              <w:br w:type="textWrapping"/>
            </w:r>
            <w:r>
              <w:rPr>
                <w:rFonts w:hint="eastAsia" w:ascii="宋体" w:hAnsi="宋体" w:eastAsia="宋体" w:cs="宋体"/>
                <w:b w:val="0"/>
                <w:sz w:val="24"/>
                <w:szCs w:val="24"/>
              </w:rPr>
              <w:t>7.电容量程： 4.000nF/40.00nF/400.0nF/4.000uF/</w:t>
            </w:r>
            <w:r>
              <w:rPr>
                <w:rFonts w:hint="eastAsia" w:ascii="宋体" w:hAnsi="宋体" w:eastAsia="宋体" w:cs="宋体"/>
                <w:b w:val="0"/>
                <w:sz w:val="24"/>
                <w:szCs w:val="24"/>
              </w:rPr>
              <w:br w:type="textWrapping"/>
            </w:r>
            <w:r>
              <w:rPr>
                <w:rFonts w:hint="eastAsia" w:ascii="宋体" w:hAnsi="宋体" w:eastAsia="宋体" w:cs="宋体"/>
                <w:b w:val="0"/>
                <w:sz w:val="24"/>
                <w:szCs w:val="24"/>
              </w:rPr>
              <w:t>40.00uF/400.0uF/4.000mF/10.00mF；</w:t>
            </w:r>
            <w:r>
              <w:rPr>
                <w:rFonts w:hint="eastAsia" w:ascii="宋体" w:hAnsi="宋体" w:eastAsia="宋体" w:cs="宋体"/>
                <w:b w:val="0"/>
                <w:sz w:val="24"/>
                <w:szCs w:val="24"/>
              </w:rPr>
              <w:br w:type="textWrapping"/>
            </w:r>
            <w:r>
              <w:rPr>
                <w:rFonts w:hint="eastAsia" w:ascii="宋体" w:hAnsi="宋体" w:eastAsia="宋体" w:cs="宋体"/>
                <w:b w:val="0"/>
                <w:sz w:val="24"/>
                <w:szCs w:val="24"/>
              </w:rPr>
              <w:t>8.显示位数：最大值3999；</w:t>
            </w:r>
            <w:r>
              <w:rPr>
                <w:rFonts w:hint="eastAsia" w:ascii="宋体" w:hAnsi="宋体" w:eastAsia="宋体" w:cs="宋体"/>
                <w:b w:val="0"/>
                <w:sz w:val="24"/>
                <w:szCs w:val="24"/>
              </w:rPr>
              <w:br w:type="textWrapping"/>
            </w:r>
            <w:r>
              <w:rPr>
                <w:rFonts w:hint="eastAsia" w:ascii="宋体" w:hAnsi="宋体" w:eastAsia="宋体" w:cs="宋体"/>
                <w:b w:val="0"/>
                <w:sz w:val="24"/>
                <w:szCs w:val="24"/>
              </w:rPr>
              <w:t xml:space="preserve">9.三极管（hFE）二极管测试； </w:t>
            </w:r>
            <w:r>
              <w:rPr>
                <w:rFonts w:hint="eastAsia" w:ascii="宋体" w:hAnsi="宋体" w:eastAsia="宋体" w:cs="宋体"/>
                <w:b w:val="0"/>
                <w:sz w:val="24"/>
                <w:szCs w:val="24"/>
              </w:rPr>
              <w:br w:type="textWrapping"/>
            </w:r>
            <w:r>
              <w:rPr>
                <w:rFonts w:hint="eastAsia" w:ascii="宋体" w:hAnsi="宋体" w:eastAsia="宋体" w:cs="宋体"/>
                <w:b w:val="0"/>
                <w:sz w:val="24"/>
                <w:szCs w:val="24"/>
              </w:rPr>
              <w:t>10.通断测试/超量程OL显示/背光/低电压显示；</w:t>
            </w:r>
            <w:r>
              <w:rPr>
                <w:rFonts w:hint="eastAsia" w:ascii="宋体" w:hAnsi="宋体" w:eastAsia="宋体" w:cs="宋体"/>
                <w:b w:val="0"/>
                <w:sz w:val="24"/>
                <w:szCs w:val="24"/>
              </w:rPr>
              <w:br w:type="textWrapping"/>
            </w:r>
            <w:r>
              <w:rPr>
                <w:rFonts w:hint="eastAsia" w:ascii="宋体" w:hAnsi="宋体" w:eastAsia="宋体" w:cs="宋体"/>
                <w:b w:val="0"/>
                <w:sz w:val="24"/>
                <w:szCs w:val="24"/>
              </w:rPr>
              <w:t>11.支持1米跌落；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12.安规等级 CAT II 1000V/CAT III 600V。</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30套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64</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电工电子实训平台</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一、实训平台基本功能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lang w:val="zh-TW"/>
              </w:rPr>
              <w:t>电工电子实训平台</w:t>
            </w:r>
            <w:r>
              <w:rPr>
                <w:rFonts w:hint="eastAsia" w:ascii="宋体" w:hAnsi="宋体" w:eastAsia="宋体" w:cs="宋体"/>
                <w:b w:val="0"/>
                <w:sz w:val="24"/>
                <w:szCs w:val="24"/>
              </w:rPr>
              <w:t>需采用</w:t>
            </w:r>
            <w:r>
              <w:rPr>
                <w:rFonts w:hint="eastAsia" w:ascii="宋体" w:hAnsi="宋体" w:eastAsia="宋体" w:cs="宋体"/>
                <w:b w:val="0"/>
                <w:sz w:val="24"/>
                <w:szCs w:val="24"/>
                <w:lang w:val="zh-TW"/>
              </w:rPr>
              <w:t>电子元器件模块、单级共射放大器、 负反馈放大器、差动放大器、 运算放大器、RC正弦波振荡电路、OTL功率放大电路、低频信号发生器、整流滤波与并联稳压电路、串联稳压电源、MOSFET放大电路、光电耦合线性放大电路、多级放大电路参数的测量、 集成运算放大器模块</w:t>
            </w:r>
            <w:r>
              <w:rPr>
                <w:rFonts w:hint="eastAsia" w:ascii="宋体" w:hAnsi="宋体" w:eastAsia="宋体" w:cs="宋体"/>
                <w:b w:val="0"/>
                <w:sz w:val="24"/>
                <w:szCs w:val="24"/>
              </w:rPr>
              <w:t>等</w:t>
            </w:r>
            <w:r>
              <w:rPr>
                <w:rFonts w:hint="eastAsia" w:ascii="宋体" w:hAnsi="宋体" w:eastAsia="宋体" w:cs="宋体"/>
                <w:b w:val="0"/>
                <w:sz w:val="24"/>
                <w:szCs w:val="24"/>
                <w:lang w:val="zh-TW"/>
              </w:rPr>
              <w:t>，满足对电工电子理实一体化教学训练需求</w:t>
            </w:r>
            <w:r>
              <w:rPr>
                <w:rFonts w:hint="eastAsia" w:ascii="宋体" w:hAnsi="宋体" w:eastAsia="宋体" w:cs="宋体"/>
                <w:b w:val="0"/>
                <w:sz w:val="24"/>
                <w:szCs w:val="24"/>
              </w:rPr>
              <w: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二、实训平台技术要求：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1.实验平台需采用全模具设计，需采用优质PVC及黑色工程塑料一次成型；留有虚拟示波器、虚拟信号源接口，电源接口，I/O接口等常用接口，平台能同时放下4种模块（平台尺寸：350*260*60±10mm）；</w:t>
            </w:r>
            <w:r>
              <w:rPr>
                <w:rFonts w:hint="eastAsia" w:ascii="宋体" w:hAnsi="宋体" w:eastAsia="宋体" w:cs="宋体"/>
                <w:kern w:val="2"/>
                <w:sz w:val="24"/>
                <w:szCs w:val="24"/>
              </w:rPr>
              <w:t>（投标文件中提供需提供产品彩页或系统功能截图）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2.实验箱配置实验所需的稳压电源（配置不少于±5V/1A，±12V/0.5A、均带灯指示及短路保护），默认上电自启，可由上位机控制启停；</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3.全部数字化设计，贴片工艺，具有通信接口，具有短路保护且自动恢复；</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4.提供8路电平检测模块，8路电平输出模块带灯指示；</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模块采用2mm厚印制线路板制成，正面印有元器件图形符号及相应的连线，反面为印刷线路，并焊好相关的元器件等；可采用优质镀锌柱子完成电路电源供应（尺寸：132*88*20±10mm），实验模块采用磁吸式，可方便更换；</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6.数字电路的模块：设置有单次脉冲和连续脉冲，数码管、555芯片插座及基本元件等电路，每个配置5个芯片插座（3个14脚，2个16脚），每个芯片插座根据实验需要来放不同的芯片；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7.模电部分：配有单级共射放大器、 负反馈放大器、差动放大器、 运算放大器、RC正弦波振荡电路、OTL功率放大电路、低频信号发生器、整流滤波与并联稳压电路、串联稳压电源、MOSFET放大电路、光电耦合线性放大电路、多级放大电路参数的测量、 集成运算放大器模块；</w:t>
            </w:r>
            <w:r>
              <w:rPr>
                <w:rFonts w:hint="eastAsia" w:ascii="宋体" w:hAnsi="宋体" w:eastAsia="宋体" w:cs="宋体"/>
                <w:sz w:val="24"/>
                <w:szCs w:val="24"/>
                <w:lang w:bidi="ar"/>
              </w:rPr>
              <w:t>（</w:t>
            </w:r>
            <w:r>
              <w:rPr>
                <w:rFonts w:hint="eastAsia" w:ascii="宋体" w:hAnsi="宋体" w:eastAsia="宋体" w:cs="宋体"/>
                <w:sz w:val="24"/>
                <w:szCs w:val="24"/>
              </w:rPr>
              <w:t>投标文件中需提供以上各项内容的实验模块实物图并提供实验操作截图</w:t>
            </w:r>
            <w:r>
              <w:rPr>
                <w:rFonts w:hint="eastAsia" w:ascii="宋体" w:hAnsi="宋体" w:eastAsia="宋体" w:cs="宋体"/>
                <w:sz w:val="24"/>
                <w:szCs w:val="24"/>
                <w:lang w:bidi="ar"/>
              </w:rPr>
              <w: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8.需提供实验指导书等教学资源配置，导线分不同颜色及规格；</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三、配套资源及实训内容</w:t>
            </w:r>
          </w:p>
          <w:p>
            <w:pPr>
              <w:pStyle w:val="33"/>
              <w:widowControl w:val="0"/>
              <w:spacing w:before="0" w:beforeAutospacing="0" w:after="0" w:afterAutospacing="0" w:line="360" w:lineRule="auto"/>
              <w:jc w:val="left"/>
              <w:rPr>
                <w:rFonts w:ascii="宋体" w:hAnsi="宋体" w:eastAsia="宋体" w:cs="宋体"/>
                <w:b w:val="0"/>
                <w:sz w:val="24"/>
                <w:szCs w:val="24"/>
                <w:lang w:val="zh-TW"/>
              </w:rPr>
            </w:pPr>
            <w:r>
              <w:rPr>
                <w:rFonts w:hint="eastAsia" w:ascii="宋体" w:hAnsi="宋体" w:eastAsia="宋体" w:cs="宋体"/>
                <w:b w:val="0"/>
                <w:sz w:val="24"/>
                <w:szCs w:val="24"/>
              </w:rPr>
              <w:t>1.</w:t>
            </w:r>
            <w:r>
              <w:rPr>
                <w:rFonts w:hint="eastAsia" w:ascii="宋体" w:hAnsi="宋体" w:eastAsia="宋体" w:cs="宋体"/>
                <w:b w:val="0"/>
                <w:sz w:val="24"/>
                <w:szCs w:val="24"/>
                <w:lang w:val="zh-TW"/>
              </w:rPr>
              <w:t>学生在</w:t>
            </w:r>
            <w:r>
              <w:rPr>
                <w:rFonts w:hint="eastAsia" w:ascii="宋体" w:hAnsi="宋体" w:eastAsia="宋体" w:cs="宋体"/>
                <w:b w:val="0"/>
                <w:sz w:val="24"/>
                <w:szCs w:val="24"/>
              </w:rPr>
              <w:t>系统</w:t>
            </w:r>
            <w:r>
              <w:rPr>
                <w:rFonts w:hint="eastAsia" w:ascii="宋体" w:hAnsi="宋体" w:eastAsia="宋体" w:cs="宋体"/>
                <w:b w:val="0"/>
                <w:sz w:val="24"/>
                <w:szCs w:val="24"/>
                <w:lang w:val="zh-TW"/>
              </w:rPr>
              <w:t>上需可随意设定信号源参数，示波器可根据设定的信号源频率及幅值显示对应的波形曲线，</w:t>
            </w:r>
            <w:r>
              <w:rPr>
                <w:rFonts w:hint="eastAsia" w:ascii="宋体" w:hAnsi="宋体" w:eastAsia="宋体" w:cs="宋体"/>
                <w:b w:val="0"/>
                <w:sz w:val="24"/>
                <w:szCs w:val="24"/>
              </w:rPr>
              <w:t>具备3种信号设定波形对比功能；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2.需具备仿真实验不少于以下实验内容（仿真电路需可自主搭建及直接连线）：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(1)数字电路：1）TTL集成逻辑门的逻辑功能与参数测试；2）实验二 SSI组合逻辑电路设计；3）实验三：译码器及其应用；4）实验四：触发器逻辑功能测试及转换；5）实验五：计数器及其应用；6）实验六：移位寄存器及其应用；7）实验七：555时基电路及其应用；8）数字钟；9）数据选择器及其应用；</w:t>
            </w:r>
          </w:p>
          <w:p>
            <w:pPr>
              <w:pStyle w:val="33"/>
              <w:widowControl w:val="0"/>
              <w:spacing w:before="0" w:beforeAutospacing="0" w:after="0" w:afterAutospacing="0" w:line="360" w:lineRule="auto"/>
              <w:jc w:val="left"/>
              <w:rPr>
                <w:rFonts w:ascii="宋体" w:hAnsi="宋体" w:eastAsia="宋体" w:cs="宋体"/>
                <w:b w:val="0"/>
                <w:sz w:val="24"/>
                <w:szCs w:val="24"/>
                <w:lang w:val="zh-TW"/>
              </w:rPr>
            </w:pPr>
            <w:r>
              <w:rPr>
                <w:rFonts w:hint="eastAsia" w:ascii="宋体" w:hAnsi="宋体" w:eastAsia="宋体" w:cs="宋体"/>
                <w:b w:val="0"/>
                <w:sz w:val="24"/>
                <w:szCs w:val="24"/>
              </w:rPr>
              <w:t>（2）模拟电路：1）基于集成运放的线性应用设计电路；2）直流稳压电源的调试与改进；3）双极型晶体管阻容耦合共射放大电路的研究；4）数模转换电路的设计与调试；5）有源滤波器的设计与调试；6）几种电流源电路的比较研究；7）用晶体管制作RC串并联网络振荡器；8）电压比较器的设计与调试；9）差分放大电路的研究；10）函数信号发生器的设计与调试。</w:t>
            </w:r>
            <w:r>
              <w:rPr>
                <w:rFonts w:hint="eastAsia" w:ascii="宋体" w:hAnsi="宋体" w:eastAsia="宋体" w:cs="宋体"/>
                <w:b w:val="0"/>
                <w:sz w:val="24"/>
                <w:szCs w:val="24"/>
                <w:lang w:val="zh-TW"/>
              </w:rPr>
              <w:t>；</w:t>
            </w:r>
          </w:p>
          <w:p>
            <w:pPr>
              <w:pStyle w:val="33"/>
              <w:widowControl w:val="0"/>
              <w:spacing w:before="0" w:beforeAutospacing="0" w:after="0" w:afterAutospacing="0" w:line="360" w:lineRule="auto"/>
              <w:jc w:val="left"/>
              <w:rPr>
                <w:rFonts w:ascii="宋体" w:hAnsi="宋体" w:eastAsia="宋体" w:cs="宋体"/>
                <w:b w:val="0"/>
                <w:sz w:val="24"/>
                <w:szCs w:val="24"/>
                <w:lang w:val="zh-TW"/>
              </w:rPr>
            </w:pPr>
            <w:r>
              <w:rPr>
                <w:rFonts w:hint="eastAsia" w:ascii="宋体" w:hAnsi="宋体" w:eastAsia="宋体" w:cs="宋体"/>
                <w:b w:val="0"/>
                <w:sz w:val="24"/>
                <w:szCs w:val="24"/>
              </w:rPr>
              <w:t>3.系统</w:t>
            </w:r>
            <w:r>
              <w:rPr>
                <w:rFonts w:hint="eastAsia" w:ascii="宋体" w:hAnsi="宋体" w:eastAsia="宋体" w:cs="宋体"/>
                <w:b w:val="0"/>
                <w:sz w:val="24"/>
                <w:szCs w:val="24"/>
                <w:lang w:val="zh-TW"/>
              </w:rPr>
              <w:t>需具备电路分析组件资源库、交流负载组件资源库、日光灯组件资源库，用户可随意调取资源库里的元器件，自行进行线路搭建及实验仿真，可达到任意接线的功能，资源库元器件需求。</w:t>
            </w:r>
          </w:p>
          <w:p>
            <w:pPr>
              <w:pStyle w:val="33"/>
              <w:widowControl w:val="0"/>
              <w:spacing w:before="0" w:beforeAutospacing="0" w:after="0" w:afterAutospacing="0" w:line="360" w:lineRule="auto"/>
              <w:jc w:val="left"/>
              <w:rPr>
                <w:rFonts w:ascii="宋体" w:hAnsi="宋体" w:eastAsia="宋体" w:cs="宋体"/>
                <w:b w:val="0"/>
                <w:sz w:val="24"/>
                <w:szCs w:val="24"/>
                <w:lang w:val="zh-TW"/>
              </w:rPr>
            </w:pPr>
            <w:r>
              <w:rPr>
                <w:rFonts w:hint="eastAsia" w:ascii="宋体" w:hAnsi="宋体" w:eastAsia="宋体" w:cs="宋体"/>
                <w:b w:val="0"/>
                <w:sz w:val="24"/>
                <w:szCs w:val="24"/>
              </w:rPr>
              <w:t>4.</w:t>
            </w:r>
            <w:r>
              <w:rPr>
                <w:rFonts w:hint="eastAsia" w:ascii="宋体" w:hAnsi="宋体" w:eastAsia="宋体" w:cs="宋体"/>
                <w:b w:val="0"/>
                <w:sz w:val="24"/>
                <w:szCs w:val="24"/>
                <w:lang w:val="zh-TW"/>
              </w:rPr>
              <w:t>实验说明：通过</w:t>
            </w:r>
            <w:r>
              <w:rPr>
                <w:rFonts w:hint="eastAsia" w:ascii="宋体" w:hAnsi="宋体" w:eastAsia="宋体" w:cs="宋体"/>
                <w:b w:val="0"/>
                <w:sz w:val="24"/>
                <w:szCs w:val="24"/>
              </w:rPr>
              <w:t>系统</w:t>
            </w:r>
            <w:r>
              <w:rPr>
                <w:rFonts w:hint="eastAsia" w:ascii="宋体" w:hAnsi="宋体" w:eastAsia="宋体" w:cs="宋体"/>
                <w:b w:val="0"/>
                <w:sz w:val="24"/>
                <w:szCs w:val="24"/>
                <w:lang w:val="zh-TW"/>
              </w:rPr>
              <w:t>介绍仿真实验的组成模块，操作方法，以及计分规则；</w:t>
            </w:r>
          </w:p>
          <w:p>
            <w:pPr>
              <w:pStyle w:val="33"/>
              <w:widowControl w:val="0"/>
              <w:spacing w:before="0" w:beforeAutospacing="0" w:after="0" w:afterAutospacing="0" w:line="360" w:lineRule="auto"/>
              <w:jc w:val="left"/>
              <w:rPr>
                <w:rFonts w:ascii="宋体" w:hAnsi="宋体" w:eastAsia="宋体" w:cs="宋体"/>
                <w:b w:val="0"/>
                <w:sz w:val="24"/>
                <w:szCs w:val="24"/>
                <w:lang w:val="zh-TW"/>
              </w:rPr>
            </w:pPr>
            <w:r>
              <w:rPr>
                <w:rFonts w:hint="eastAsia" w:ascii="宋体" w:hAnsi="宋体" w:eastAsia="宋体" w:cs="宋体"/>
                <w:b w:val="0"/>
                <w:sz w:val="24"/>
                <w:szCs w:val="24"/>
              </w:rPr>
              <w:t>5.</w:t>
            </w:r>
            <w:r>
              <w:rPr>
                <w:rFonts w:hint="eastAsia" w:ascii="宋体" w:hAnsi="宋体" w:eastAsia="宋体" w:cs="宋体"/>
                <w:b w:val="0"/>
                <w:sz w:val="24"/>
                <w:szCs w:val="24"/>
                <w:lang w:val="zh-TW"/>
              </w:rPr>
              <w:t>实验目的：通过简单的测试，</w:t>
            </w:r>
            <w:r>
              <w:rPr>
                <w:rFonts w:hint="eastAsia" w:ascii="宋体" w:hAnsi="宋体" w:eastAsia="宋体" w:cs="宋体"/>
                <w:b w:val="0"/>
                <w:sz w:val="24"/>
                <w:szCs w:val="24"/>
              </w:rPr>
              <w:t>实现</w:t>
            </w:r>
            <w:r>
              <w:rPr>
                <w:rFonts w:hint="eastAsia" w:ascii="宋体" w:hAnsi="宋体" w:eastAsia="宋体" w:cs="宋体"/>
                <w:b w:val="0"/>
                <w:sz w:val="24"/>
                <w:szCs w:val="24"/>
                <w:lang w:val="zh-TW"/>
              </w:rPr>
              <w:t>学生仿真实验的目的；</w:t>
            </w:r>
          </w:p>
          <w:p>
            <w:pPr>
              <w:pStyle w:val="33"/>
              <w:widowControl w:val="0"/>
              <w:spacing w:before="0" w:beforeAutospacing="0" w:after="0" w:afterAutospacing="0" w:line="360" w:lineRule="auto"/>
              <w:jc w:val="left"/>
              <w:rPr>
                <w:rFonts w:ascii="宋体" w:hAnsi="宋体" w:eastAsia="宋体" w:cs="宋体"/>
                <w:b w:val="0"/>
                <w:sz w:val="24"/>
                <w:szCs w:val="24"/>
                <w:lang w:val="zh-TW"/>
              </w:rPr>
            </w:pPr>
            <w:r>
              <w:rPr>
                <w:rFonts w:hint="eastAsia" w:ascii="宋体" w:hAnsi="宋体" w:eastAsia="宋体" w:cs="宋体"/>
                <w:b w:val="0"/>
                <w:sz w:val="24"/>
                <w:szCs w:val="24"/>
              </w:rPr>
              <w:t>6.</w:t>
            </w:r>
            <w:r>
              <w:rPr>
                <w:rFonts w:hint="eastAsia" w:ascii="宋体" w:hAnsi="宋体" w:eastAsia="宋体" w:cs="宋体"/>
                <w:b w:val="0"/>
                <w:sz w:val="24"/>
                <w:szCs w:val="24"/>
                <w:lang w:val="zh-TW"/>
              </w:rPr>
              <w:t>实验原理：根据对实验的了解，</w:t>
            </w:r>
            <w:r>
              <w:rPr>
                <w:rFonts w:hint="eastAsia" w:ascii="宋体" w:hAnsi="宋体" w:eastAsia="宋体" w:cs="宋体"/>
                <w:b w:val="0"/>
                <w:sz w:val="24"/>
                <w:szCs w:val="24"/>
              </w:rPr>
              <w:t>实现</w:t>
            </w:r>
            <w:r>
              <w:rPr>
                <w:rFonts w:hint="eastAsia" w:ascii="宋体" w:hAnsi="宋体" w:eastAsia="宋体" w:cs="宋体"/>
                <w:b w:val="0"/>
                <w:sz w:val="24"/>
                <w:szCs w:val="24"/>
                <w:lang w:val="zh-TW"/>
              </w:rPr>
              <w:t>学生选择出正确的实验原理图；</w:t>
            </w:r>
          </w:p>
          <w:p>
            <w:pPr>
              <w:pStyle w:val="33"/>
              <w:widowControl w:val="0"/>
              <w:spacing w:before="0" w:beforeAutospacing="0" w:after="0" w:afterAutospacing="0" w:line="360" w:lineRule="auto"/>
              <w:jc w:val="left"/>
              <w:rPr>
                <w:rFonts w:ascii="宋体" w:hAnsi="宋体" w:eastAsia="宋体" w:cs="宋体"/>
                <w:b w:val="0"/>
                <w:sz w:val="24"/>
                <w:szCs w:val="24"/>
                <w:lang w:val="zh-TW"/>
              </w:rPr>
            </w:pPr>
            <w:r>
              <w:rPr>
                <w:rFonts w:hint="eastAsia" w:ascii="宋体" w:hAnsi="宋体" w:eastAsia="宋体" w:cs="宋体"/>
                <w:b w:val="0"/>
                <w:sz w:val="24"/>
                <w:szCs w:val="24"/>
              </w:rPr>
              <w:t>7.</w:t>
            </w:r>
            <w:r>
              <w:rPr>
                <w:rFonts w:hint="eastAsia" w:ascii="宋体" w:hAnsi="宋体" w:eastAsia="宋体" w:cs="宋体"/>
                <w:b w:val="0"/>
                <w:sz w:val="24"/>
                <w:szCs w:val="24"/>
                <w:lang w:val="zh-TW"/>
              </w:rPr>
              <w:t>实验连线：需根据试验原理图练习线路连接，可对导线进行换色、删除、清空操作；</w:t>
            </w:r>
          </w:p>
          <w:p>
            <w:pPr>
              <w:pStyle w:val="33"/>
              <w:widowControl w:val="0"/>
              <w:spacing w:before="0" w:beforeAutospacing="0" w:after="0" w:afterAutospacing="0" w:line="360" w:lineRule="auto"/>
              <w:jc w:val="left"/>
              <w:rPr>
                <w:rFonts w:ascii="宋体" w:hAnsi="宋体" w:eastAsia="宋体" w:cs="宋体"/>
                <w:b w:val="0"/>
                <w:sz w:val="24"/>
                <w:szCs w:val="24"/>
                <w:lang w:val="zh-TW"/>
              </w:rPr>
            </w:pPr>
            <w:r>
              <w:rPr>
                <w:rFonts w:hint="eastAsia" w:ascii="宋体" w:hAnsi="宋体" w:eastAsia="宋体" w:cs="宋体"/>
                <w:b w:val="0"/>
                <w:sz w:val="24"/>
                <w:szCs w:val="24"/>
              </w:rPr>
              <w:t>8.</w:t>
            </w:r>
            <w:r>
              <w:rPr>
                <w:rFonts w:hint="eastAsia" w:ascii="宋体" w:hAnsi="宋体" w:eastAsia="宋体" w:cs="宋体"/>
                <w:b w:val="0"/>
                <w:sz w:val="24"/>
                <w:szCs w:val="24"/>
                <w:lang w:val="zh-TW"/>
              </w:rPr>
              <w:t>设备仿真：根据实验指导书来操作相应的按钮，显示数据和动作，达到</w:t>
            </w:r>
            <w:r>
              <w:rPr>
                <w:rFonts w:hint="eastAsia" w:ascii="宋体" w:hAnsi="宋体" w:eastAsia="宋体" w:cs="宋体"/>
                <w:b w:val="0"/>
                <w:sz w:val="24"/>
                <w:szCs w:val="24"/>
              </w:rPr>
              <w:t>系统</w:t>
            </w:r>
            <w:r>
              <w:rPr>
                <w:rFonts w:hint="eastAsia" w:ascii="宋体" w:hAnsi="宋体" w:eastAsia="宋体" w:cs="宋体"/>
                <w:b w:val="0"/>
                <w:sz w:val="24"/>
                <w:szCs w:val="24"/>
                <w:lang w:val="zh-TW"/>
              </w:rPr>
              <w:t>学习的目的；</w:t>
            </w:r>
          </w:p>
          <w:p>
            <w:pPr>
              <w:pStyle w:val="33"/>
              <w:widowControl w:val="0"/>
              <w:spacing w:before="0" w:beforeAutospacing="0" w:after="0" w:afterAutospacing="0" w:line="360" w:lineRule="auto"/>
              <w:jc w:val="left"/>
              <w:rPr>
                <w:rFonts w:ascii="宋体" w:hAnsi="宋体" w:eastAsia="宋体" w:cs="宋体"/>
                <w:b w:val="0"/>
                <w:sz w:val="24"/>
                <w:szCs w:val="24"/>
                <w:lang w:val="zh-TW"/>
              </w:rPr>
            </w:pPr>
            <w:r>
              <w:rPr>
                <w:rFonts w:hint="eastAsia" w:ascii="宋体" w:hAnsi="宋体" w:eastAsia="宋体" w:cs="宋体"/>
                <w:b w:val="0"/>
                <w:sz w:val="24"/>
                <w:szCs w:val="24"/>
              </w:rPr>
              <w:t>9.</w:t>
            </w:r>
            <w:r>
              <w:rPr>
                <w:rFonts w:hint="eastAsia" w:ascii="宋体" w:hAnsi="宋体" w:eastAsia="宋体" w:cs="宋体"/>
                <w:b w:val="0"/>
                <w:sz w:val="24"/>
                <w:szCs w:val="24"/>
                <w:lang w:val="zh-TW"/>
              </w:rPr>
              <w:t>实验报告：试验</w:t>
            </w:r>
            <w:r>
              <w:rPr>
                <w:rFonts w:hint="eastAsia" w:ascii="宋体" w:hAnsi="宋体" w:eastAsia="宋体" w:cs="宋体"/>
                <w:b w:val="0"/>
                <w:sz w:val="24"/>
                <w:szCs w:val="24"/>
              </w:rPr>
              <w:t>系统</w:t>
            </w:r>
            <w:r>
              <w:rPr>
                <w:rFonts w:hint="eastAsia" w:ascii="宋体" w:hAnsi="宋体" w:eastAsia="宋体" w:cs="宋体"/>
                <w:b w:val="0"/>
                <w:sz w:val="24"/>
                <w:szCs w:val="24"/>
                <w:lang w:val="zh-TW"/>
              </w:rPr>
              <w:t>中得到的试验数据填入对应的表格中，并生成试验记录；</w:t>
            </w:r>
          </w:p>
          <w:p>
            <w:pPr>
              <w:pStyle w:val="33"/>
              <w:widowControl w:val="0"/>
              <w:spacing w:before="0" w:beforeAutospacing="0" w:after="0" w:afterAutospacing="0" w:line="360" w:lineRule="auto"/>
              <w:jc w:val="left"/>
              <w:rPr>
                <w:rFonts w:ascii="宋体" w:hAnsi="宋体" w:eastAsia="宋体" w:cs="宋体"/>
                <w:b w:val="0"/>
                <w:sz w:val="24"/>
                <w:szCs w:val="24"/>
                <w:lang w:val="zh-TW"/>
              </w:rPr>
            </w:pPr>
            <w:r>
              <w:rPr>
                <w:rFonts w:hint="eastAsia" w:ascii="宋体" w:hAnsi="宋体" w:eastAsia="宋体" w:cs="宋体"/>
                <w:b w:val="0"/>
                <w:sz w:val="24"/>
                <w:szCs w:val="24"/>
              </w:rPr>
              <w:t>10.</w:t>
            </w:r>
            <w:r>
              <w:rPr>
                <w:rFonts w:hint="eastAsia" w:ascii="宋体" w:hAnsi="宋体" w:eastAsia="宋体" w:cs="宋体"/>
                <w:b w:val="0"/>
                <w:sz w:val="24"/>
                <w:szCs w:val="24"/>
                <w:lang w:val="zh-TW"/>
              </w:rPr>
              <w:t>实验成绩：试验全部完成之后可以查看各个模块试验得分。</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20套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65</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防爆柜</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一、基本功能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1.防火功能：防爆柜通体采用优质冷轧钢材质，耐高温，具备防火功能，可以有效防止柜内储存的物体受外部火灾的影响；</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2.防爆功能：防爆柜能够防止内部化学品受外部火源或爆炸的影响，从而保护储存物品的安全；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3.存储功能：防爆柜可以储存实验室危害物品。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二、技术参数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1.产品尺寸：1650*850*850±20mm；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2.重量：不低于140Kg；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3.容积：不低于220L;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4.双层钢板，耐火防爆，储存易燃易爆化学品，有效保障人身财产安全；技术性能满足GB3836.1-2010、GB3836.8-2014相关技术标准；</w:t>
            </w:r>
            <w:r>
              <w:rPr>
                <w:rFonts w:hint="eastAsia" w:ascii="宋体" w:hAnsi="宋体" w:eastAsia="宋体" w:cs="宋体"/>
                <w:sz w:val="24"/>
                <w:szCs w:val="24"/>
                <w:lang w:bidi="ar"/>
              </w:rPr>
              <w:t>（投标文件中需提供防爆测试报告、耐火测试报告、ROHS证书、CE认证,符合EN14470报告检测报告复印件）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5.将样品置于防尘箱中，接上抽气管道，抽气负压为2kPa，试验2h后，产品外壳内无积尘，达到6级防尘标准;</w:t>
            </w:r>
            <w:r>
              <w:rPr>
                <w:rFonts w:hint="eastAsia" w:ascii="宋体" w:hAnsi="宋体" w:eastAsia="宋体" w:cs="宋体"/>
                <w:sz w:val="24"/>
                <w:szCs w:val="24"/>
                <w:lang w:bidi="ar"/>
              </w:rPr>
              <w:t>（投标文件中提供第三方有权检测机构出具的带有CMA或CNAS标识的检测报告扫描件）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6.采用摆管淋雨装置进行试验，喷嘴(孔)距样品3m,试验3min，产品外壳内未进水，达到5级防水标准。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7.配置GA双锁；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8.柜体两侧可带有防火装置的通风口，分别位于柜身两侧；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9.防静电接地夹：一端接柜体（柜体右下侧接地螺栓）一端接地桩，有效释放静电防止静电可能会产生的危险。</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66</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焊台</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1.输入电压220V，输出电压：24V；</w:t>
            </w:r>
            <w:r>
              <w:rPr>
                <w:rFonts w:hint="eastAsia" w:ascii="宋体" w:hAnsi="宋体" w:eastAsia="宋体" w:cs="宋体"/>
                <w:b w:val="0"/>
                <w:sz w:val="24"/>
                <w:szCs w:val="24"/>
              </w:rPr>
              <w:br w:type="textWrapping"/>
            </w:r>
            <w:r>
              <w:rPr>
                <w:rFonts w:hint="eastAsia" w:ascii="宋体" w:hAnsi="宋体" w:eastAsia="宋体" w:cs="宋体"/>
                <w:b w:val="0"/>
                <w:sz w:val="24"/>
                <w:szCs w:val="24"/>
              </w:rPr>
              <w:t>2.功率消耗：60W；</w:t>
            </w:r>
            <w:r>
              <w:rPr>
                <w:rFonts w:hint="eastAsia" w:ascii="宋体" w:hAnsi="宋体" w:eastAsia="宋体" w:cs="宋体"/>
                <w:b w:val="0"/>
                <w:sz w:val="24"/>
                <w:szCs w:val="24"/>
              </w:rPr>
              <w:br w:type="textWrapping"/>
            </w:r>
            <w:r>
              <w:rPr>
                <w:rFonts w:hint="eastAsia" w:ascii="宋体" w:hAnsi="宋体" w:eastAsia="宋体" w:cs="宋体"/>
                <w:b w:val="0"/>
                <w:sz w:val="24"/>
                <w:szCs w:val="24"/>
              </w:rPr>
              <w:t>3.控温范围：200-480℃；</w:t>
            </w:r>
            <w:r>
              <w:rPr>
                <w:rFonts w:hint="eastAsia" w:ascii="宋体" w:hAnsi="宋体" w:eastAsia="宋体" w:cs="宋体"/>
                <w:b w:val="0"/>
                <w:sz w:val="24"/>
                <w:szCs w:val="24"/>
              </w:rPr>
              <w:br w:type="textWrapping"/>
            </w:r>
            <w:r>
              <w:rPr>
                <w:rFonts w:hint="eastAsia" w:ascii="宋体" w:hAnsi="宋体" w:eastAsia="宋体" w:cs="宋体"/>
                <w:b w:val="0"/>
                <w:sz w:val="24"/>
                <w:szCs w:val="24"/>
              </w:rPr>
              <w:t>4.设置方式：旋钮调节；</w:t>
            </w:r>
            <w:r>
              <w:rPr>
                <w:rFonts w:hint="eastAsia" w:ascii="宋体" w:hAnsi="宋体" w:eastAsia="宋体" w:cs="宋体"/>
                <w:b w:val="0"/>
                <w:sz w:val="24"/>
                <w:szCs w:val="24"/>
              </w:rPr>
              <w:br w:type="textWrapping"/>
            </w:r>
            <w:r>
              <w:rPr>
                <w:rFonts w:hint="eastAsia" w:ascii="宋体" w:hAnsi="宋体" w:eastAsia="宋体" w:cs="宋体"/>
                <w:b w:val="0"/>
                <w:sz w:val="24"/>
                <w:szCs w:val="24"/>
              </w:rPr>
              <w:t>5.手柄线材：1米柔软PVC线；</w:t>
            </w:r>
            <w:r>
              <w:rPr>
                <w:rFonts w:hint="eastAsia" w:ascii="宋体" w:hAnsi="宋体" w:eastAsia="宋体" w:cs="宋体"/>
                <w:b w:val="0"/>
                <w:sz w:val="24"/>
                <w:szCs w:val="24"/>
              </w:rPr>
              <w:br w:type="textWrapping"/>
            </w:r>
            <w:r>
              <w:rPr>
                <w:rFonts w:hint="eastAsia" w:ascii="宋体" w:hAnsi="宋体" w:eastAsia="宋体" w:cs="宋体"/>
                <w:b w:val="0"/>
                <w:sz w:val="24"/>
                <w:szCs w:val="24"/>
              </w:rPr>
              <w:t>6.配置刀头、马蹄头、尖头各1个；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7.结构尺寸：140mm×115mm×90mm；</w:t>
            </w:r>
            <w:r>
              <w:rPr>
                <w:rFonts w:hint="eastAsia" w:ascii="宋体" w:hAnsi="宋体" w:eastAsia="宋体" w:cs="宋体"/>
                <w:b w:val="0"/>
                <w:sz w:val="24"/>
                <w:szCs w:val="24"/>
              </w:rPr>
              <w:br w:type="textWrapping"/>
            </w:r>
            <w:r>
              <w:rPr>
                <w:rFonts w:hint="eastAsia" w:ascii="宋体" w:hAnsi="宋体" w:eastAsia="宋体" w:cs="宋体"/>
                <w:b w:val="0"/>
                <w:sz w:val="24"/>
                <w:szCs w:val="24"/>
              </w:rPr>
              <w:t>8.包装内容：主机，手柄，烙铁架，线材，海绵。</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30套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67</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便携式烙铁</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1.20W-100W加热功率可调；</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2.支持TYPE-C快速充电口供电，支持PD/QC快充协议；</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3.使用CNC铝合金机身；</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4.发热芯阻值2.1Ω，回温迅速；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5.急速升温时间需达2-5秒化锡；</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6.控温范围80~450°C，控温精准稳定度达2%范围内；</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7.配置刀头、马蹄头、尖头各1个；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8.整体重量45g以下。</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6把</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68</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热风枪</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1.输入电压：220V/50HZ；</w:t>
            </w:r>
            <w:r>
              <w:rPr>
                <w:rFonts w:hint="eastAsia" w:ascii="宋体" w:hAnsi="宋体" w:eastAsia="宋体" w:cs="宋体"/>
                <w:b w:val="0"/>
                <w:sz w:val="24"/>
                <w:szCs w:val="24"/>
              </w:rPr>
              <w:br w:type="textWrapping"/>
            </w:r>
            <w:r>
              <w:rPr>
                <w:rFonts w:hint="eastAsia" w:ascii="宋体" w:hAnsi="宋体" w:eastAsia="宋体" w:cs="宋体"/>
                <w:b w:val="0"/>
                <w:sz w:val="24"/>
                <w:szCs w:val="24"/>
              </w:rPr>
              <w:t>2.风枪功耗≤450W；</w:t>
            </w:r>
            <w:r>
              <w:rPr>
                <w:rFonts w:hint="eastAsia" w:ascii="宋体" w:hAnsi="宋体" w:eastAsia="宋体" w:cs="宋体"/>
                <w:b w:val="0"/>
                <w:sz w:val="24"/>
                <w:szCs w:val="24"/>
              </w:rPr>
              <w:br w:type="textWrapping"/>
            </w:r>
            <w:r>
              <w:rPr>
                <w:rFonts w:hint="eastAsia" w:ascii="宋体" w:hAnsi="宋体" w:eastAsia="宋体" w:cs="宋体"/>
                <w:b w:val="0"/>
                <w:sz w:val="24"/>
                <w:szCs w:val="24"/>
              </w:rPr>
              <w:t>3.风枪温度：100-500℃；</w:t>
            </w:r>
            <w:r>
              <w:rPr>
                <w:rFonts w:hint="eastAsia" w:ascii="宋体" w:hAnsi="宋体" w:eastAsia="宋体" w:cs="宋体"/>
                <w:b w:val="0"/>
                <w:sz w:val="24"/>
                <w:szCs w:val="24"/>
              </w:rPr>
              <w:br w:type="textWrapping"/>
            </w:r>
            <w:r>
              <w:rPr>
                <w:rFonts w:hint="eastAsia" w:ascii="宋体" w:hAnsi="宋体" w:eastAsia="宋体" w:cs="宋体"/>
                <w:b w:val="0"/>
                <w:sz w:val="24"/>
                <w:szCs w:val="24"/>
              </w:rPr>
              <w:t>4.气流类型：柔和无刷风机；</w:t>
            </w:r>
            <w:r>
              <w:rPr>
                <w:rFonts w:hint="eastAsia" w:ascii="宋体" w:hAnsi="宋体" w:eastAsia="宋体" w:cs="宋体"/>
                <w:b w:val="0"/>
                <w:sz w:val="24"/>
                <w:szCs w:val="24"/>
              </w:rPr>
              <w:br w:type="textWrapping"/>
            </w:r>
            <w:r>
              <w:rPr>
                <w:rFonts w:hint="eastAsia" w:ascii="宋体" w:hAnsi="宋体" w:eastAsia="宋体" w:cs="宋体"/>
                <w:b w:val="0"/>
                <w:sz w:val="24"/>
                <w:szCs w:val="24"/>
              </w:rPr>
              <w:t>5.气流量：≤120L/min；</w:t>
            </w:r>
            <w:r>
              <w:rPr>
                <w:rFonts w:hint="eastAsia" w:ascii="宋体" w:hAnsi="宋体" w:eastAsia="宋体" w:cs="宋体"/>
                <w:b w:val="0"/>
                <w:sz w:val="24"/>
                <w:szCs w:val="24"/>
              </w:rPr>
              <w:br w:type="textWrapping"/>
            </w:r>
            <w:r>
              <w:rPr>
                <w:rFonts w:hint="eastAsia" w:ascii="宋体" w:hAnsi="宋体" w:eastAsia="宋体" w:cs="宋体"/>
                <w:b w:val="0"/>
                <w:sz w:val="24"/>
                <w:szCs w:val="24"/>
              </w:rPr>
              <w:t>6.具备快速式发热芯。</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20套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69</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电工电子维修工具</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剥线钳1把、斜口钳1把、尖嘴钳1把、十字螺丝刀1把、一字螺丝刀1把、一字螺丝刀（小）1把、十字螺丝刀（小）1把、剪刀1把、吸锡器1把、镊子1把、毛刷1把。</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20套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70</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电子实训耗材</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1.无铅焊锡丝50卷、焊锡膏5支；2.松香60盒；3.0.5、0.75㎡电线三种颜色各10卷；4.焊台烙铁头40个；5.焊台发热部件40个；6.助焊膏5瓶；7.高温海绵50片；8.吸锡线10卷</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1批</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71</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航空维修技能综合实训平台</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一、实训平台基本功能：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航空维修技能综合实训平台要求整体设计符合教学、结构可靠、方便学员操作、舱体依据民航主流窄体机结构设计标准制造，外部蒙皮结构按照民航飞机典型涂装进行表面喷塑处理，实训功能需满足CCAR-147及CCAR-66R3相关技术要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实训平台参照真实飞机结构设计；框架材料选用国标优质管材和铝合金板材、型材等尺寸和厚度要求符合飞机一般结构要求，经弯折、焊接、铆接等工艺成型，整个实训平台结构框架设计比例和尺寸以及舱体圆形弧度需符合典型窄体机尺寸要求，隔框与隔框的间距、桁条与桁条间距、舷窗位置和开口比例以及安装连接方式均需满足飞机一般结构安装要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二、实训平台技术参数：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1.主要部件包括：模拟飞机客舱壁板结构、仿真舷窗隔框结构、窄体机标准客舱座椅、机身蒙皮和可移动安装底座等；尺寸需符合学校规划场所的面积和培训要求，整体约2400mm*3700mm*2460（误差允许范围为50mm）；可根据实训场地规划设计多组模式构建飞机模拟实训场地；</w:t>
            </w:r>
            <w:r>
              <w:rPr>
                <w:rFonts w:hint="eastAsia" w:ascii="宋体" w:hAnsi="宋体" w:eastAsia="宋体" w:cs="宋体"/>
                <w:sz w:val="24"/>
                <w:szCs w:val="24"/>
                <w:lang w:bidi="ar"/>
              </w:rPr>
              <w:t>（投标文件中需提供实物图或设计三维视图）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2.维修实训平台需设计还原：至少2套完整的客舱乘客阅读灯系统；可实现学员对飞机客舱乘客阅读灯系统测试、维修和主要零部件更换等实训练习；至少2套完整的客舱指示信号灯系统；可实现学员对飞机客舱指示信号灯系统测试、维修和主要零部件更换等实训练习；至少2套完整的客舱乘客应急氧气系统；可实现学员对飞机客舱乘客应急氧气系统测试、维修和主要零部件更换等实训练习；</w:t>
            </w:r>
            <w:r>
              <w:rPr>
                <w:rFonts w:hint="eastAsia" w:ascii="宋体" w:hAnsi="宋体" w:eastAsia="宋体" w:cs="宋体"/>
                <w:sz w:val="24"/>
                <w:szCs w:val="24"/>
                <w:lang w:bidi="ar"/>
              </w:rPr>
              <w:t>（投标文件中需提供以上功能证明文件或系统还原设计线路图，格式自拟）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维修实训平台需提供总长度不低于6米的航空导线束：导线束由航空标准导线组成，导线束的安装方式需要满足主流民航客机（波音/空客）线路施工手册导线束安装标准，可实现学员对飞机导线束施工中：导线束捆扎、导线束敷设与安装、导线束修理、滴水环构型安装等实训练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实训平台需设计至少可提供学员完成：电路参数测试、一般故障判断、航空电气零部件更换等实训功能的独立模拟控制电路；电路硬件至少但不限于包括：电源控制组件（CB）与接线盒组件（JB），模拟飞机真实线路系统设计典型航空标准线路施工航材部件；能提供学员针对典型航空标准线路施工零部件的认知、测试和更换实训练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5.维修实训平台需提供航空标准26500 系列前退式连接器和38999 系列后退式连接器；能提供学员针对主流民航客机典型航空标准线路施工连接器部件的认知、识别和修理更换实训练习。维修实训平台需提供航空标准焊接型连接器和焊接终端；能提供学员对于焊接型航空连接器和焊接型终端的标准线路施工知识点的认知和修理实训练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维修实训平台设计需提供至少4套完整的窄体机客舱座椅供学员实训，客舱座椅组件至少应当包含：坐垫、靠背、小桌板、安全带、座椅作动筒、座椅靠背调节机构等主要部件；航空座椅组件需满足主流民航客机标准经济舱桌椅标准，每套座椅组件至少是2座及以上座椅组件。配备标准客舱座椅安装导轨，能提供学员针对主流民航客机典型航空桌椅组件的部件认知、检查与调节、修理和更换等实训练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7.平台需设计还原民航主流窄体机客舱典型乘客服务和安全指示系统测试功能，主要部件包括：乘客阅读灯系统组件、客舱指示信号灯系统组件、客舱乘客应急氧气系统组件、安装吊挂组件、电源控制组件（CB）、接线盒组件（JB）、连接导线束等；以上主要功能零部件需选用标准航材件，系统功能完好；</w:t>
            </w:r>
            <w:r>
              <w:rPr>
                <w:rFonts w:hint="eastAsia" w:ascii="宋体" w:hAnsi="宋体" w:eastAsia="宋体" w:cs="宋体"/>
                <w:sz w:val="24"/>
                <w:szCs w:val="24"/>
                <w:lang w:bidi="ar"/>
              </w:rPr>
              <w:t>（投标文件中需提供实训平台配置航材/零件明细清单表等信息）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8.实训平台电源控制组件需包含平台电源参数监控显示功能、PSU组件通电测试控制逻辑功能等；能提供学员模拟真实飞机维修过程中：电源监控、系统失效、功能控制等模拟操作实训练习。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三、实训平台配套资源及实训内容：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1.平台可实现导线束的捆扎、分线、敷设与防护；导线束卡箍的安装与检查、导线束穿墙结构的安装与检查、导线束滴水环机构的安装与检查等；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2.平台可实现接线片施工及接地桩安装、拼接管导线修理、导线绝缘的去除；接线片和拼接头的夹接、防护与安装；D436（）/NAS1388-（） 系列拼接管施工；BACT12AC 系列接线片施工；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平台可提供两种典型连接器的插钉、插孔的夹接，插钉、插孔的退送、热缩工具的使用；热风枪的使用；电接触和接地的施工与测量，连接器的更换；以及航空小功率继电器与接线块的拆装、线路跳开关指示灯与开关组件的更换等实训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4.平台可实现标准线路施工中连接器的焊接施工实训、圆柱钉和U型钉的焊接施工实训；维修实训平台设计组装中电气部件和耗材均使用标准全新航材件或功能完好的拆机件，规格型号均在SWPM/ESPM手册中可查询；</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5.平台可实现整体座椅拆装实训、座椅部件修理/调节实训等内容；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6.平台可实现通电测试、系统各功能演示和测试功能、教员可根据实训内容预设每个系统典型故障现象、和实现整体拆装以及子部件拆装修理训练；</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7.平台接线盒组件与平台导线束可实现整体电气连接和航空电气相关技能实训练习功能。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8.提供至少5套可针对本实训平台开展的训练工卡，涵盖飞机连接器施工、导线修理施工、接线块与接地块施工等三种典型航空标准线路施工技能知识点的训练工卡以及航空座椅拆装、座椅作动筒拆装等实训工卡。</w:t>
            </w:r>
            <w:r>
              <w:rPr>
                <w:rFonts w:hint="eastAsia" w:ascii="宋体" w:hAnsi="宋体" w:eastAsia="宋体" w:cs="宋体"/>
                <w:sz w:val="24"/>
                <w:szCs w:val="24"/>
                <w:lang w:bidi="ar"/>
              </w:rPr>
              <w:t>（投标文件中需提供实训平台工卡，工卡内容清晰，推荐为PDF或JPG格式））</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72</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手册体系建设</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一、建设内容：需满足CCAR-66R3标准建设，包括</w:t>
            </w:r>
            <w:r>
              <w:rPr>
                <w:rFonts w:hint="eastAsia" w:ascii="宋体" w:hAnsi="宋体" w:eastAsia="宋体" w:cs="宋体"/>
                <w:b w:val="0"/>
                <w:sz w:val="24"/>
                <w:szCs w:val="24"/>
              </w:rPr>
              <w:br w:type="textWrapping"/>
            </w:r>
            <w:r>
              <w:rPr>
                <w:rFonts w:hint="eastAsia" w:ascii="宋体" w:hAnsi="宋体" w:eastAsia="宋体" w:cs="宋体"/>
                <w:b w:val="0"/>
                <w:sz w:val="24"/>
                <w:szCs w:val="24"/>
              </w:rPr>
              <w:t>《机构管理手册》、《工作程序手册》、《质量管理手册》、《培训实施规范》、《培训大纲》、《培训课件》、《实作培训工卡》、《实作评估工卡》、《实作评估规范》、《质量程序手册》；</w:t>
            </w:r>
            <w:r>
              <w:rPr>
                <w:rFonts w:hint="eastAsia" w:ascii="宋体" w:hAnsi="宋体" w:eastAsia="宋体" w:cs="宋体"/>
                <w:b w:val="0"/>
                <w:sz w:val="24"/>
                <w:szCs w:val="24"/>
              </w:rPr>
              <w:br w:type="textWrapping"/>
            </w:r>
            <w:r>
              <w:rPr>
                <w:rFonts w:hint="eastAsia" w:ascii="宋体" w:hAnsi="宋体" w:eastAsia="宋体" w:cs="宋体"/>
                <w:b w:val="0"/>
                <w:sz w:val="24"/>
                <w:szCs w:val="24"/>
              </w:rPr>
              <w:t>二、功能要求：</w:t>
            </w:r>
            <w:r>
              <w:rPr>
                <w:rFonts w:hint="eastAsia" w:ascii="宋体" w:hAnsi="宋体" w:eastAsia="宋体" w:cs="宋体"/>
                <w:b w:val="0"/>
                <w:sz w:val="24"/>
                <w:szCs w:val="24"/>
              </w:rPr>
              <w:br w:type="textWrapping"/>
            </w:r>
            <w:r>
              <w:rPr>
                <w:rFonts w:hint="eastAsia" w:ascii="宋体" w:hAnsi="宋体" w:eastAsia="宋体" w:cs="宋体"/>
                <w:b w:val="0"/>
                <w:sz w:val="24"/>
                <w:szCs w:val="24"/>
              </w:rPr>
              <w:t>1.各手册内容应符合最新版CCAR-147及CCAR-66R3版规章程序要求；</w:t>
            </w:r>
            <w:r>
              <w:rPr>
                <w:rFonts w:hint="eastAsia" w:ascii="宋体" w:hAnsi="宋体" w:eastAsia="宋体" w:cs="宋体"/>
                <w:b w:val="0"/>
                <w:sz w:val="24"/>
                <w:szCs w:val="24"/>
              </w:rPr>
              <w:br w:type="textWrapping"/>
            </w:r>
            <w:r>
              <w:rPr>
                <w:rFonts w:hint="eastAsia" w:ascii="宋体" w:hAnsi="宋体" w:eastAsia="宋体" w:cs="宋体"/>
                <w:b w:val="0"/>
                <w:sz w:val="24"/>
                <w:szCs w:val="24"/>
              </w:rPr>
              <w:t>2.《培训大纲》和《培训课件》的制定应结合设施条件，具备可操作性，内容应涵盖TA全部知识点，包括M1/M2/M3/M5/M7/M8等模块，符合《航空器维修基础知识和实作培训规范》规范要求；</w:t>
            </w:r>
            <w:r>
              <w:rPr>
                <w:rFonts w:hint="eastAsia" w:ascii="宋体" w:hAnsi="宋体" w:eastAsia="宋体" w:cs="宋体"/>
                <w:b w:val="0"/>
                <w:sz w:val="24"/>
                <w:szCs w:val="24"/>
              </w:rPr>
              <w:br w:type="textWrapping"/>
            </w:r>
            <w:r>
              <w:rPr>
                <w:rFonts w:hint="eastAsia" w:ascii="宋体" w:hAnsi="宋体" w:eastAsia="宋体" w:cs="宋体"/>
                <w:kern w:val="2"/>
                <w:sz w:val="24"/>
                <w:szCs w:val="24"/>
              </w:rPr>
              <w:t>■</w:t>
            </w:r>
            <w:r>
              <w:rPr>
                <w:rFonts w:hint="eastAsia" w:ascii="宋体" w:hAnsi="宋体" w:eastAsia="宋体" w:cs="宋体"/>
                <w:b w:val="0"/>
                <w:sz w:val="24"/>
                <w:szCs w:val="24"/>
              </w:rPr>
              <w:t>3.《实作培训工卡》、《实作评估工卡》、《实作评估规范》的制定应结合具体设施条件，具备可操作性，涵盖M7和M8培训的全部内容，符合AC-66-FS-002R1版规章要求和CCAR-66R3版要求的考核项目；</w:t>
            </w:r>
            <w:r>
              <w:rPr>
                <w:rFonts w:hint="eastAsia" w:ascii="宋体" w:hAnsi="宋体" w:eastAsia="宋体" w:cs="宋体"/>
                <w:sz w:val="24"/>
                <w:szCs w:val="24"/>
                <w:lang w:bidi="ar"/>
              </w:rPr>
              <w:t>（投标文件中需提供实作培训工卡、实作评估工卡和实作评估规范符合规范要求的内容截图证明文件）</w:t>
            </w:r>
            <w:r>
              <w:rPr>
                <w:rFonts w:hint="eastAsia" w:ascii="宋体" w:hAnsi="宋体" w:eastAsia="宋体" w:cs="宋体"/>
                <w:b w:val="0"/>
                <w:sz w:val="24"/>
                <w:szCs w:val="24"/>
              </w:rPr>
              <w:br w:type="textWrapping"/>
            </w:r>
            <w:r>
              <w:rPr>
                <w:rFonts w:hint="eastAsia" w:ascii="宋体" w:hAnsi="宋体" w:eastAsia="宋体" w:cs="宋体"/>
                <w:kern w:val="2"/>
                <w:sz w:val="24"/>
                <w:szCs w:val="24"/>
              </w:rPr>
              <w:t>■</w:t>
            </w:r>
            <w:r>
              <w:rPr>
                <w:rFonts w:hint="eastAsia" w:ascii="宋体" w:hAnsi="宋体" w:eastAsia="宋体" w:cs="宋体"/>
                <w:b w:val="0"/>
                <w:sz w:val="24"/>
                <w:szCs w:val="24"/>
              </w:rPr>
              <w:t>4.《机构管理手册》、《工作程序手册》、《质量管理手册》需结合培训机构实际情况进行开发制作，要求满足最新版CCAR-147及CCAR-66R3版规章程序要求，满足CCAR-147审核要求；</w:t>
            </w:r>
            <w:r>
              <w:rPr>
                <w:rFonts w:hint="eastAsia" w:ascii="宋体" w:hAnsi="宋体" w:eastAsia="宋体" w:cs="宋体"/>
                <w:sz w:val="24"/>
                <w:szCs w:val="24"/>
                <w:lang w:bidi="ar"/>
              </w:rPr>
              <w:t>（投标文件中需提供机构管理手册、工作程序手册和质量管理手册符合规范要求的开发目录证明文件）</w:t>
            </w:r>
            <w:r>
              <w:rPr>
                <w:rFonts w:hint="eastAsia" w:ascii="宋体" w:hAnsi="宋体" w:eastAsia="宋体" w:cs="宋体"/>
                <w:b w:val="0"/>
                <w:sz w:val="24"/>
                <w:szCs w:val="24"/>
              </w:rPr>
              <w:br w:type="textWrapping"/>
            </w:r>
            <w:r>
              <w:rPr>
                <w:rFonts w:hint="eastAsia" w:ascii="宋体" w:hAnsi="宋体" w:eastAsia="宋体" w:cs="宋体"/>
                <w:b w:val="0"/>
                <w:sz w:val="24"/>
                <w:szCs w:val="24"/>
              </w:rPr>
              <w:t>5.《质量管理手册》需根据CCAR-147部、CCAR-66部标准所规定的质量管理体系，完善提升适航航线及维修机务岗位专业建设，拓宽航空领域人才培养和专业建设；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文件为提升学院办学水平，完善航空类专业群建设，覆盖航空相关专业；将相关管理要求结合航空企业管理规范，建立专业发展规划；培养具有良好的职业道德素养、扎实的航空器维修理论知识和专业知识、较强的实践动手操作能力和较强的职业生涯发展能力的专本科生；学院以CCAR-147部行业标准和质量体系为基准，将知识、能力、素质与使之得以实现的课程和实践环节相对应，根据职业能力，优化课程结构和内容，以项目为载体按照知识点组织教学，形成基础知识、专业知识、综合素质三位一体，逐步拓展结构体系；</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手册需规定了培训机构的质量方针和质量目标，需描述培训机构质量管理体系的基本要求，《质量管理手册》需保证是培训机构培训服务质量管理体系有效运行的法规性文件，是对内进行质量管理和对外进行质量保证的依据。</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rPr>
              <w:t>注：</w:t>
            </w:r>
            <w:r>
              <w:rPr>
                <w:rFonts w:hint="eastAsia" w:ascii="宋体" w:hAnsi="宋体" w:eastAsia="宋体" w:cs="宋体"/>
                <w:sz w:val="24"/>
                <w:szCs w:val="24"/>
                <w:lang w:bidi="ar"/>
              </w:rPr>
              <w:t>为了避免项目知识产品纠纷，要求投标单位提供产权承诺函，不提供承诺函的投标单位该项内容不得分。（格式自拟）</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1项</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73</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实训室综合管理设备组件</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一、RFID采集器  1台</w:t>
            </w:r>
            <w:r>
              <w:rPr>
                <w:rFonts w:hint="eastAsia" w:ascii="宋体" w:hAnsi="宋体" w:eastAsia="宋体" w:cs="宋体"/>
                <w:b w:val="0"/>
                <w:sz w:val="24"/>
                <w:szCs w:val="24"/>
              </w:rPr>
              <w:br w:type="textWrapping"/>
            </w:r>
            <w:r>
              <w:rPr>
                <w:rFonts w:hint="eastAsia" w:ascii="宋体" w:hAnsi="宋体" w:eastAsia="宋体" w:cs="宋体"/>
                <w:b w:val="0"/>
                <w:sz w:val="24"/>
                <w:szCs w:val="24"/>
              </w:rPr>
              <w:t>1、CPU：采用高通64位八核高性能处理器，主频可达2.2GHz，操作系统 Android9.0；</w:t>
            </w:r>
            <w:r>
              <w:rPr>
                <w:rFonts w:hint="eastAsia" w:ascii="宋体" w:hAnsi="宋体" w:eastAsia="宋体" w:cs="宋体"/>
                <w:b w:val="0"/>
                <w:sz w:val="24"/>
                <w:szCs w:val="24"/>
              </w:rPr>
              <w:br w:type="textWrapping"/>
            </w:r>
            <w:r>
              <w:rPr>
                <w:rFonts w:hint="eastAsia" w:ascii="宋体" w:hAnsi="宋体" w:eastAsia="宋体" w:cs="宋体"/>
                <w:b w:val="0"/>
                <w:sz w:val="24"/>
                <w:szCs w:val="24"/>
              </w:rPr>
              <w:t>2、显示屏： 采用5.7 英寸高清(1440*720)光学级全贴合触摸屏，屏幕亮度可达 550nits ；</w:t>
            </w:r>
            <w:r>
              <w:rPr>
                <w:rFonts w:hint="eastAsia" w:ascii="宋体" w:hAnsi="宋体" w:eastAsia="宋体" w:cs="宋体"/>
                <w:b w:val="0"/>
                <w:sz w:val="24"/>
                <w:szCs w:val="24"/>
              </w:rPr>
              <w:br w:type="textWrapping"/>
            </w:r>
            <w:r>
              <w:rPr>
                <w:rFonts w:hint="eastAsia" w:ascii="宋体" w:hAnsi="宋体" w:eastAsia="宋体" w:cs="宋体"/>
                <w:b w:val="0"/>
                <w:sz w:val="24"/>
                <w:szCs w:val="24"/>
              </w:rPr>
              <w:t>3、扫描头支持一维和二维条码；</w:t>
            </w:r>
            <w:r>
              <w:rPr>
                <w:rFonts w:hint="eastAsia" w:ascii="宋体" w:hAnsi="宋体" w:eastAsia="宋体" w:cs="宋体"/>
                <w:b w:val="0"/>
                <w:sz w:val="24"/>
                <w:szCs w:val="24"/>
              </w:rPr>
              <w:br w:type="textWrapping"/>
            </w:r>
            <w:r>
              <w:rPr>
                <w:rFonts w:hint="eastAsia" w:ascii="宋体" w:hAnsi="宋体" w:eastAsia="宋体" w:cs="宋体"/>
                <w:b w:val="0"/>
                <w:sz w:val="24"/>
                <w:szCs w:val="24"/>
              </w:rPr>
              <w:t>4、重量 ：250g/8.8oz(含电池）；</w:t>
            </w:r>
            <w:r>
              <w:rPr>
                <w:rFonts w:hint="eastAsia" w:ascii="宋体" w:hAnsi="宋体" w:eastAsia="宋体" w:cs="宋体"/>
                <w:b w:val="0"/>
                <w:sz w:val="24"/>
                <w:szCs w:val="24"/>
              </w:rPr>
              <w:br w:type="textWrapping"/>
            </w:r>
            <w:r>
              <w:rPr>
                <w:rFonts w:hint="eastAsia" w:ascii="宋体" w:hAnsi="宋体" w:eastAsia="宋体" w:cs="宋体"/>
                <w:b w:val="0"/>
                <w:sz w:val="24"/>
                <w:szCs w:val="24"/>
              </w:rPr>
              <w:t xml:space="preserve">5、电源：可更换锂离子标准容量电池，3.8V/4300mAh(典型值)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6.频段：902～928MHz 或 865~868MHz（可以按不同国家或地区要求调整）读取距离 15m 距离与标签有关；</w:t>
            </w:r>
            <w:r>
              <w:rPr>
                <w:rFonts w:hint="eastAsia" w:ascii="宋体" w:hAnsi="宋体" w:eastAsia="宋体" w:cs="宋体"/>
                <w:b w:val="0"/>
                <w:sz w:val="24"/>
                <w:szCs w:val="24"/>
              </w:rPr>
              <w:br w:type="textWrapping"/>
            </w:r>
            <w:r>
              <w:rPr>
                <w:rFonts w:hint="eastAsia" w:ascii="宋体" w:hAnsi="宋体" w:eastAsia="宋体" w:cs="宋体"/>
                <w:b w:val="0"/>
                <w:sz w:val="24"/>
                <w:szCs w:val="24"/>
              </w:rPr>
              <w:t>二、RFID打印机  1台</w:t>
            </w:r>
            <w:r>
              <w:rPr>
                <w:rFonts w:hint="eastAsia" w:ascii="宋体" w:hAnsi="宋体" w:eastAsia="宋体" w:cs="宋体"/>
                <w:b w:val="0"/>
                <w:sz w:val="24"/>
                <w:szCs w:val="24"/>
              </w:rPr>
              <w:br w:type="textWrapping"/>
            </w:r>
            <w:r>
              <w:rPr>
                <w:rFonts w:hint="eastAsia" w:ascii="宋体" w:hAnsi="宋体" w:eastAsia="宋体" w:cs="宋体"/>
                <w:b w:val="0"/>
                <w:sz w:val="24"/>
                <w:szCs w:val="24"/>
              </w:rPr>
              <w:t>1.打印方式：热转式/热感式；</w:t>
            </w:r>
            <w:r>
              <w:rPr>
                <w:rFonts w:hint="eastAsia" w:ascii="宋体" w:hAnsi="宋体" w:eastAsia="宋体" w:cs="宋体"/>
                <w:b w:val="0"/>
                <w:sz w:val="24"/>
                <w:szCs w:val="24"/>
              </w:rPr>
              <w:br w:type="textWrapping"/>
            </w:r>
            <w:r>
              <w:rPr>
                <w:rFonts w:hint="eastAsia" w:ascii="宋体" w:hAnsi="宋体" w:eastAsia="宋体" w:cs="宋体"/>
                <w:b w:val="0"/>
                <w:sz w:val="24"/>
                <w:szCs w:val="24"/>
              </w:rPr>
              <w:t>2.分辨率：300DPI；</w:t>
            </w:r>
            <w:r>
              <w:rPr>
                <w:rFonts w:hint="eastAsia" w:ascii="宋体" w:hAnsi="宋体" w:eastAsia="宋体" w:cs="宋体"/>
                <w:b w:val="0"/>
                <w:sz w:val="24"/>
                <w:szCs w:val="24"/>
              </w:rPr>
              <w:br w:type="textWrapping"/>
            </w:r>
            <w:r>
              <w:rPr>
                <w:rFonts w:hint="eastAsia" w:ascii="宋体" w:hAnsi="宋体" w:eastAsia="宋体" w:cs="宋体"/>
                <w:b w:val="0"/>
                <w:sz w:val="24"/>
                <w:szCs w:val="24"/>
              </w:rPr>
              <w:t>3.最大打印速度：最大203mm/s；</w:t>
            </w:r>
            <w:r>
              <w:rPr>
                <w:rFonts w:hint="eastAsia" w:ascii="宋体" w:hAnsi="宋体" w:eastAsia="宋体" w:cs="宋体"/>
                <w:b w:val="0"/>
                <w:sz w:val="24"/>
                <w:szCs w:val="24"/>
              </w:rPr>
              <w:br w:type="textWrapping"/>
            </w:r>
            <w:r>
              <w:rPr>
                <w:rFonts w:hint="eastAsia" w:ascii="宋体" w:hAnsi="宋体" w:eastAsia="宋体" w:cs="宋体"/>
                <w:b w:val="0"/>
                <w:sz w:val="24"/>
                <w:szCs w:val="24"/>
              </w:rPr>
              <w:t>4.最大打印宽：104mm ；</w:t>
            </w:r>
            <w:r>
              <w:rPr>
                <w:rFonts w:hint="eastAsia" w:ascii="宋体" w:hAnsi="宋体" w:eastAsia="宋体" w:cs="宋体"/>
                <w:b w:val="0"/>
                <w:sz w:val="24"/>
                <w:szCs w:val="24"/>
              </w:rPr>
              <w:br w:type="textWrapping"/>
            </w:r>
            <w:r>
              <w:rPr>
                <w:rFonts w:hint="eastAsia" w:ascii="宋体" w:hAnsi="宋体" w:eastAsia="宋体" w:cs="宋体"/>
                <w:b w:val="0"/>
                <w:sz w:val="24"/>
                <w:szCs w:val="24"/>
              </w:rPr>
              <w:t>5.最大打印长：25,400mm；</w:t>
            </w:r>
            <w:r>
              <w:rPr>
                <w:rFonts w:hint="eastAsia" w:ascii="宋体" w:hAnsi="宋体" w:eastAsia="宋体" w:cs="宋体"/>
                <w:b w:val="0"/>
                <w:sz w:val="24"/>
                <w:szCs w:val="24"/>
              </w:rPr>
              <w:br w:type="textWrapping"/>
            </w:r>
            <w:r>
              <w:rPr>
                <w:rFonts w:hint="eastAsia" w:ascii="宋体" w:hAnsi="宋体" w:eastAsia="宋体" w:cs="宋体"/>
                <w:b w:val="0"/>
                <w:sz w:val="24"/>
                <w:szCs w:val="24"/>
              </w:rPr>
              <w:t>6.碳带长度：300m；</w:t>
            </w:r>
            <w:r>
              <w:rPr>
                <w:rFonts w:hint="eastAsia" w:ascii="宋体" w:hAnsi="宋体" w:eastAsia="宋体" w:cs="宋体"/>
                <w:b w:val="0"/>
                <w:sz w:val="24"/>
                <w:szCs w:val="24"/>
              </w:rPr>
              <w:br w:type="textWrapping"/>
            </w:r>
            <w:r>
              <w:rPr>
                <w:rFonts w:hint="eastAsia" w:ascii="宋体" w:hAnsi="宋体" w:eastAsia="宋体" w:cs="宋体"/>
                <w:b w:val="0"/>
                <w:sz w:val="24"/>
                <w:szCs w:val="24"/>
              </w:rPr>
              <w:t>7.碳带宽度：30~ 110mm；</w:t>
            </w:r>
            <w:r>
              <w:rPr>
                <w:rFonts w:hint="eastAsia" w:ascii="宋体" w:hAnsi="宋体" w:eastAsia="宋体" w:cs="宋体"/>
                <w:b w:val="0"/>
                <w:sz w:val="24"/>
                <w:szCs w:val="24"/>
              </w:rPr>
              <w:br w:type="textWrapping"/>
            </w:r>
            <w:r>
              <w:rPr>
                <w:rFonts w:hint="eastAsia" w:ascii="宋体" w:hAnsi="宋体" w:eastAsia="宋体" w:cs="宋体"/>
                <w:b w:val="0"/>
                <w:sz w:val="24"/>
                <w:szCs w:val="24"/>
              </w:rPr>
              <w:t>8.碳带缠绕形式：外卷式；</w:t>
            </w:r>
            <w:r>
              <w:rPr>
                <w:rFonts w:hint="eastAsia" w:ascii="宋体" w:hAnsi="宋体" w:eastAsia="宋体" w:cs="宋体"/>
                <w:b w:val="0"/>
                <w:sz w:val="24"/>
                <w:szCs w:val="24"/>
              </w:rPr>
              <w:br w:type="textWrapping"/>
            </w:r>
            <w:r>
              <w:rPr>
                <w:rFonts w:hint="eastAsia" w:ascii="宋体" w:hAnsi="宋体" w:eastAsia="宋体" w:cs="宋体"/>
                <w:b w:val="0"/>
                <w:sz w:val="24"/>
                <w:szCs w:val="24"/>
              </w:rPr>
              <w:t>9.USB 2.0 传输速度可以高达 480Mbps；</w:t>
            </w:r>
            <w:r>
              <w:rPr>
                <w:rFonts w:hint="eastAsia" w:ascii="宋体" w:hAnsi="宋体" w:eastAsia="宋体" w:cs="宋体"/>
                <w:b w:val="0"/>
                <w:sz w:val="24"/>
                <w:szCs w:val="24"/>
              </w:rPr>
              <w:br w:type="textWrapping"/>
            </w:r>
            <w:r>
              <w:rPr>
                <w:rFonts w:hint="eastAsia" w:ascii="宋体" w:hAnsi="宋体" w:eastAsia="宋体" w:cs="宋体"/>
                <w:b w:val="0"/>
                <w:sz w:val="24"/>
                <w:szCs w:val="24"/>
              </w:rPr>
              <w:t>10.输入：AC 100-240V, 2.5A，输出：DC 24V, 2.5A；</w:t>
            </w:r>
            <w:r>
              <w:rPr>
                <w:rFonts w:hint="eastAsia" w:ascii="宋体" w:hAnsi="宋体" w:eastAsia="宋体" w:cs="宋体"/>
                <w:b w:val="0"/>
                <w:sz w:val="24"/>
                <w:szCs w:val="24"/>
              </w:rPr>
              <w:br w:type="textWrapping"/>
            </w:r>
            <w:r>
              <w:rPr>
                <w:rFonts w:hint="eastAsia" w:ascii="宋体" w:hAnsi="宋体" w:eastAsia="宋体" w:cs="宋体"/>
                <w:b w:val="0"/>
                <w:sz w:val="24"/>
                <w:szCs w:val="24"/>
              </w:rPr>
              <w:t>11.支持RFID模块，支持边打印边写信息到标签；</w:t>
            </w:r>
            <w:r>
              <w:rPr>
                <w:rFonts w:hint="eastAsia" w:ascii="宋体" w:hAnsi="宋体" w:eastAsia="宋体" w:cs="宋体"/>
                <w:b w:val="0"/>
                <w:sz w:val="24"/>
                <w:szCs w:val="24"/>
              </w:rPr>
              <w:br w:type="textWrapping"/>
            </w:r>
            <w:r>
              <w:rPr>
                <w:rFonts w:hint="eastAsia" w:ascii="宋体" w:hAnsi="宋体" w:eastAsia="宋体" w:cs="宋体"/>
                <w:b w:val="0"/>
                <w:sz w:val="24"/>
                <w:szCs w:val="24"/>
              </w:rPr>
              <w:t>三、普通PET电子标签  1000张</w:t>
            </w:r>
            <w:r>
              <w:rPr>
                <w:rFonts w:hint="eastAsia" w:ascii="宋体" w:hAnsi="宋体" w:eastAsia="宋体" w:cs="宋体"/>
                <w:b w:val="0"/>
                <w:sz w:val="24"/>
                <w:szCs w:val="24"/>
              </w:rPr>
              <w:br w:type="textWrapping"/>
            </w:r>
            <w:r>
              <w:rPr>
                <w:rFonts w:hint="eastAsia" w:ascii="宋体" w:hAnsi="宋体" w:eastAsia="宋体" w:cs="宋体"/>
                <w:b w:val="0"/>
                <w:sz w:val="24"/>
                <w:szCs w:val="24"/>
              </w:rPr>
              <w:t>60MM*40MM，PET材质，频率：860 ~960MHz；</w:t>
            </w:r>
            <w:r>
              <w:rPr>
                <w:rFonts w:hint="eastAsia" w:ascii="宋体" w:hAnsi="宋体" w:eastAsia="宋体" w:cs="宋体"/>
                <w:b w:val="0"/>
                <w:sz w:val="24"/>
                <w:szCs w:val="24"/>
              </w:rPr>
              <w:br w:type="textWrapping"/>
            </w:r>
            <w:r>
              <w:rPr>
                <w:rFonts w:hint="eastAsia" w:ascii="宋体" w:hAnsi="宋体" w:eastAsia="宋体" w:cs="宋体"/>
                <w:b w:val="0"/>
                <w:sz w:val="24"/>
                <w:szCs w:val="24"/>
              </w:rPr>
              <w:t>四、抗干扰电子标签  600张</w:t>
            </w:r>
            <w:r>
              <w:rPr>
                <w:rFonts w:hint="eastAsia" w:ascii="宋体" w:hAnsi="宋体" w:eastAsia="宋体" w:cs="宋体"/>
                <w:b w:val="0"/>
                <w:sz w:val="24"/>
                <w:szCs w:val="24"/>
              </w:rPr>
              <w:br w:type="textWrapping"/>
            </w:r>
            <w:r>
              <w:rPr>
                <w:rFonts w:hint="eastAsia" w:ascii="宋体" w:hAnsi="宋体" w:eastAsia="宋体" w:cs="宋体"/>
                <w:b w:val="0"/>
                <w:sz w:val="24"/>
                <w:szCs w:val="24"/>
              </w:rPr>
              <w:t>65MM*35MM，协议：EPC Class 1 Gen 2 (ISO 18000-6C)无源超高频RFID标签  工作频率：902-928MHz ，高强度背胶。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五、工具箱  1台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1.尺寸：长36cm x 宽20cm x 高10cm；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2.重量：约4Kg；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3.材料：耐用聚丙烯（PP）材质，抗冲击、耐磨损；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4.颜色：标准色（蓝/橙）；</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5.锁扣：双排扣设计，更牢固；</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6.提手：加厚泡棉材质，易于握持。</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74</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实训室综合管理平台</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一、首页模块功能: 需求系统的常用功能、公告信息、待办任务、预警信息、多维度资产图表统计功能：</w:t>
            </w:r>
            <w:r>
              <w:rPr>
                <w:rFonts w:hint="eastAsia" w:ascii="宋体" w:hAnsi="宋体" w:eastAsia="宋体" w:cs="宋体"/>
                <w:b w:val="0"/>
                <w:sz w:val="24"/>
                <w:szCs w:val="24"/>
              </w:rPr>
              <w:br w:type="textWrapping"/>
            </w:r>
            <w:r>
              <w:rPr>
                <w:rFonts w:hint="eastAsia" w:ascii="宋体" w:hAnsi="宋体" w:eastAsia="宋体" w:cs="宋体"/>
                <w:b w:val="0"/>
                <w:sz w:val="24"/>
                <w:szCs w:val="24"/>
              </w:rPr>
              <w:t>1.常用功能模块快捷链接入口；</w:t>
            </w:r>
            <w:r>
              <w:rPr>
                <w:rFonts w:hint="eastAsia" w:ascii="宋体" w:hAnsi="宋体" w:eastAsia="宋体" w:cs="宋体"/>
                <w:b w:val="0"/>
                <w:sz w:val="24"/>
                <w:szCs w:val="24"/>
              </w:rPr>
              <w:br w:type="textWrapping"/>
            </w:r>
            <w:r>
              <w:rPr>
                <w:rFonts w:hint="eastAsia" w:ascii="宋体" w:hAnsi="宋体" w:eastAsia="宋体" w:cs="宋体"/>
                <w:b w:val="0"/>
                <w:sz w:val="24"/>
                <w:szCs w:val="24"/>
              </w:rPr>
              <w:t>2.内部公告信息展示；</w:t>
            </w:r>
            <w:r>
              <w:rPr>
                <w:rFonts w:hint="eastAsia" w:ascii="宋体" w:hAnsi="宋体" w:eastAsia="宋体" w:cs="宋体"/>
                <w:b w:val="0"/>
                <w:sz w:val="24"/>
                <w:szCs w:val="24"/>
              </w:rPr>
              <w:br w:type="textWrapping"/>
            </w:r>
            <w:r>
              <w:rPr>
                <w:rFonts w:hint="eastAsia" w:ascii="宋体" w:hAnsi="宋体" w:eastAsia="宋体" w:cs="宋体"/>
                <w:b w:val="0"/>
                <w:sz w:val="24"/>
                <w:szCs w:val="24"/>
              </w:rPr>
              <w:t>3.每个月待办任务项展示；</w:t>
            </w:r>
            <w:r>
              <w:rPr>
                <w:rFonts w:hint="eastAsia" w:ascii="宋体" w:hAnsi="宋体" w:eastAsia="宋体" w:cs="宋体"/>
                <w:b w:val="0"/>
                <w:sz w:val="24"/>
                <w:szCs w:val="24"/>
              </w:rPr>
              <w:br w:type="textWrapping"/>
            </w:r>
            <w:r>
              <w:rPr>
                <w:rFonts w:hint="eastAsia" w:ascii="宋体" w:hAnsi="宋体" w:eastAsia="宋体" w:cs="宋体"/>
                <w:b w:val="0"/>
                <w:sz w:val="24"/>
                <w:szCs w:val="24"/>
              </w:rPr>
              <w:t>4.自定义资产预警条件，展示预警资产；</w:t>
            </w:r>
            <w:r>
              <w:rPr>
                <w:rFonts w:hint="eastAsia" w:ascii="宋体" w:hAnsi="宋体" w:eastAsia="宋体" w:cs="宋体"/>
                <w:b w:val="0"/>
                <w:sz w:val="24"/>
                <w:szCs w:val="24"/>
              </w:rPr>
              <w:br w:type="textWrapping"/>
            </w:r>
            <w:r>
              <w:rPr>
                <w:rFonts w:hint="eastAsia" w:ascii="宋体" w:hAnsi="宋体" w:eastAsia="宋体" w:cs="宋体"/>
                <w:b w:val="0"/>
                <w:sz w:val="24"/>
                <w:szCs w:val="24"/>
              </w:rPr>
              <w:t>5.资产快捷查询；</w:t>
            </w:r>
            <w:r>
              <w:rPr>
                <w:rFonts w:hint="eastAsia" w:ascii="宋体" w:hAnsi="宋体" w:eastAsia="宋体" w:cs="宋体"/>
                <w:b w:val="0"/>
                <w:sz w:val="24"/>
                <w:szCs w:val="24"/>
              </w:rPr>
              <w:br w:type="textWrapping"/>
            </w:r>
            <w:r>
              <w:rPr>
                <w:rFonts w:hint="eastAsia" w:ascii="宋体" w:hAnsi="宋体" w:eastAsia="宋体" w:cs="宋体"/>
                <w:b w:val="0"/>
                <w:sz w:val="24"/>
                <w:szCs w:val="24"/>
              </w:rPr>
              <w:t>6.资产分布图表；</w:t>
            </w:r>
            <w:r>
              <w:rPr>
                <w:rFonts w:hint="eastAsia" w:ascii="宋体" w:hAnsi="宋体" w:eastAsia="宋体" w:cs="宋体"/>
                <w:b w:val="0"/>
                <w:sz w:val="24"/>
                <w:szCs w:val="24"/>
              </w:rPr>
              <w:br w:type="textWrapping"/>
            </w:r>
            <w:r>
              <w:rPr>
                <w:rFonts w:hint="eastAsia" w:ascii="宋体" w:hAnsi="宋体" w:eastAsia="宋体" w:cs="宋体"/>
                <w:b w:val="0"/>
                <w:sz w:val="24"/>
                <w:szCs w:val="24"/>
              </w:rPr>
              <w:t>二、基础管理模块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1.院校组织机构，自定义组织架构，不限级别</w:t>
            </w:r>
            <w:r>
              <w:rPr>
                <w:rFonts w:hint="eastAsia" w:ascii="宋体" w:hAnsi="宋体" w:eastAsia="宋体" w:cs="宋体"/>
                <w:b w:val="0"/>
                <w:bCs w:val="0"/>
                <w:sz w:val="24"/>
                <w:szCs w:val="24"/>
                <w:lang w:bidi="ar"/>
              </w:rPr>
              <w:t>，同时在线数不低于10人，用户数无限制</w:t>
            </w:r>
            <w:r>
              <w:rPr>
                <w:rFonts w:hint="eastAsia" w:ascii="宋体" w:hAnsi="宋体" w:eastAsia="宋体" w:cs="宋体"/>
                <w:b w:val="0"/>
                <w:bCs w:val="0"/>
                <w:sz w:val="24"/>
                <w:szCs w:val="24"/>
              </w:rPr>
              <w:t>；</w:t>
            </w:r>
            <w:r>
              <w:rPr>
                <w:rFonts w:hint="eastAsia" w:ascii="宋体" w:hAnsi="宋体" w:eastAsia="宋体" w:cs="宋体"/>
                <w:b w:val="0"/>
                <w:sz w:val="24"/>
                <w:szCs w:val="24"/>
              </w:rPr>
              <w:br w:type="textWrapping"/>
            </w:r>
            <w:r>
              <w:rPr>
                <w:rFonts w:hint="eastAsia" w:ascii="宋体" w:hAnsi="宋体" w:eastAsia="宋体" w:cs="宋体"/>
                <w:b w:val="0"/>
                <w:sz w:val="24"/>
                <w:szCs w:val="24"/>
              </w:rPr>
              <w:t>2.具备用户注册功能；</w:t>
            </w:r>
            <w:r>
              <w:rPr>
                <w:rFonts w:hint="eastAsia" w:ascii="宋体" w:hAnsi="宋体" w:eastAsia="宋体" w:cs="宋体"/>
                <w:b w:val="0"/>
                <w:sz w:val="24"/>
                <w:szCs w:val="24"/>
              </w:rPr>
              <w:br w:type="textWrapping"/>
            </w:r>
            <w:r>
              <w:rPr>
                <w:rFonts w:hint="eastAsia" w:ascii="宋体" w:hAnsi="宋体" w:eastAsia="宋体" w:cs="宋体"/>
                <w:b w:val="0"/>
                <w:sz w:val="24"/>
                <w:szCs w:val="24"/>
              </w:rPr>
              <w:t>3.条码标签设计，满足自定义条码标签样式；</w:t>
            </w:r>
            <w:r>
              <w:rPr>
                <w:rFonts w:hint="eastAsia" w:ascii="宋体" w:hAnsi="宋体" w:eastAsia="宋体" w:cs="宋体"/>
                <w:b w:val="0"/>
                <w:sz w:val="24"/>
                <w:szCs w:val="24"/>
              </w:rPr>
              <w:br w:type="textWrapping"/>
            </w:r>
            <w:r>
              <w:rPr>
                <w:rFonts w:hint="eastAsia" w:ascii="宋体" w:hAnsi="宋体" w:eastAsia="宋体" w:cs="宋体"/>
                <w:b w:val="0"/>
                <w:sz w:val="24"/>
                <w:szCs w:val="24"/>
              </w:rPr>
              <w:t>三、前期管理模块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1.满足供应商信息维护，包括基本信息、财务信息、联系人信息等；</w:t>
            </w:r>
            <w:r>
              <w:rPr>
                <w:rFonts w:hint="eastAsia" w:ascii="宋体" w:hAnsi="宋体" w:eastAsia="宋体" w:cs="宋体"/>
                <w:b w:val="0"/>
                <w:sz w:val="24"/>
                <w:szCs w:val="24"/>
              </w:rPr>
              <w:br w:type="textWrapping"/>
            </w:r>
            <w:r>
              <w:rPr>
                <w:rFonts w:hint="eastAsia" w:ascii="宋体" w:hAnsi="宋体" w:eastAsia="宋体" w:cs="宋体"/>
                <w:b w:val="0"/>
                <w:sz w:val="24"/>
                <w:szCs w:val="24"/>
              </w:rPr>
              <w:t>2.满足资产申购计划单据信息维护：支持增删改查、撤回单据、查看审批进度、审批撤回、催办、上传图文附件、打印、另存数据操作；</w:t>
            </w:r>
            <w:r>
              <w:rPr>
                <w:rFonts w:hint="eastAsia" w:ascii="宋体" w:hAnsi="宋体" w:eastAsia="宋体" w:cs="宋体"/>
                <w:b w:val="0"/>
                <w:sz w:val="24"/>
                <w:szCs w:val="24"/>
              </w:rPr>
              <w:br w:type="textWrapping"/>
            </w:r>
            <w:r>
              <w:rPr>
                <w:rFonts w:hint="eastAsia" w:ascii="宋体" w:hAnsi="宋体" w:eastAsia="宋体" w:cs="宋体"/>
                <w:b w:val="0"/>
                <w:sz w:val="24"/>
                <w:szCs w:val="24"/>
              </w:rPr>
              <w:t>3.满足采购订单信息维护：提交申购计划后，自动生成采购订单，支持批量设置资产供应商信息；支持增删改查操作，支持重新生成采购单、查看审批进度、审批撤回、催办、反提交、上传图文附件、打印操作；</w:t>
            </w:r>
            <w:r>
              <w:rPr>
                <w:rFonts w:hint="eastAsia" w:ascii="宋体" w:hAnsi="宋体" w:eastAsia="宋体" w:cs="宋体"/>
                <w:b w:val="0"/>
                <w:sz w:val="24"/>
                <w:szCs w:val="24"/>
              </w:rPr>
              <w:br w:type="textWrapping"/>
            </w:r>
            <w:r>
              <w:rPr>
                <w:rFonts w:hint="eastAsia" w:ascii="宋体" w:hAnsi="宋体" w:eastAsia="宋体" w:cs="宋体"/>
                <w:b w:val="0"/>
                <w:sz w:val="24"/>
                <w:szCs w:val="24"/>
              </w:rPr>
              <w:t>4.满足采购订单进行验收信息维护：支持增删改查、重新生成采购单、查看审批进度、审批撤回、催办、反提交、上传图文附件、打印操作；</w:t>
            </w:r>
            <w:r>
              <w:rPr>
                <w:rFonts w:hint="eastAsia" w:ascii="宋体" w:hAnsi="宋体" w:eastAsia="宋体" w:cs="宋体"/>
                <w:b w:val="0"/>
                <w:sz w:val="24"/>
                <w:szCs w:val="24"/>
              </w:rPr>
              <w:br w:type="textWrapping"/>
            </w:r>
            <w:r>
              <w:rPr>
                <w:rFonts w:hint="eastAsia" w:ascii="宋体" w:hAnsi="宋体" w:eastAsia="宋体" w:cs="宋体"/>
                <w:b w:val="0"/>
                <w:sz w:val="24"/>
                <w:szCs w:val="24"/>
              </w:rPr>
              <w:t>四、资产管理模块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1.资产分类信息维护，不限制分类级别，资产条目数无限制；</w:t>
            </w:r>
            <w:r>
              <w:rPr>
                <w:rFonts w:hint="eastAsia" w:ascii="宋体" w:hAnsi="宋体" w:eastAsia="宋体" w:cs="宋体"/>
                <w:b w:val="0"/>
                <w:sz w:val="24"/>
                <w:szCs w:val="24"/>
              </w:rPr>
              <w:br w:type="textWrapping"/>
            </w:r>
            <w:r>
              <w:rPr>
                <w:rFonts w:hint="eastAsia" w:ascii="宋体" w:hAnsi="宋体" w:eastAsia="宋体" w:cs="宋体"/>
                <w:b w:val="0"/>
                <w:sz w:val="24"/>
                <w:szCs w:val="24"/>
              </w:rPr>
              <w:t>2.院校资产分布位置信息维护：不限制级别，可按院校实际情况创建多级资产分类；支持增删改查、标签打印、预览操作；</w:t>
            </w:r>
            <w:r>
              <w:rPr>
                <w:rFonts w:hint="eastAsia" w:ascii="宋体" w:hAnsi="宋体" w:eastAsia="宋体" w:cs="宋体"/>
                <w:b w:val="0"/>
                <w:sz w:val="24"/>
                <w:szCs w:val="24"/>
              </w:rPr>
              <w:br w:type="textWrapping"/>
            </w:r>
            <w:r>
              <w:rPr>
                <w:rFonts w:hint="eastAsia" w:ascii="宋体" w:hAnsi="宋体" w:eastAsia="宋体" w:cs="宋体"/>
                <w:b w:val="0"/>
                <w:sz w:val="24"/>
                <w:szCs w:val="24"/>
              </w:rPr>
              <w:t>3.资产统一台账信息维护：需支持导入采购验收的资产快捷创建资产信息；导入的资产会自动生成唯一一串序列号，使用标签打印功能时，系统会将该RFID序列号写入RFID标签，与RFID标签芯片绑定，唯一身份识别码；支持资产标签预览、打印普通标签/RFID标签操作；支持增删改查、复制新增资产，打印、导出资产信息；自定义资产折旧规则，支持查看资产折旧履历信息；</w:t>
            </w:r>
            <w:r>
              <w:rPr>
                <w:rFonts w:hint="eastAsia" w:ascii="宋体" w:hAnsi="宋体" w:eastAsia="宋体" w:cs="宋体"/>
                <w:b w:val="0"/>
                <w:sz w:val="24"/>
                <w:szCs w:val="24"/>
              </w:rPr>
              <w:br w:type="textWrapping"/>
            </w:r>
            <w:r>
              <w:rPr>
                <w:rFonts w:hint="eastAsia" w:ascii="宋体" w:hAnsi="宋体" w:eastAsia="宋体" w:cs="宋体"/>
                <w:b w:val="0"/>
                <w:sz w:val="24"/>
                <w:szCs w:val="24"/>
              </w:rPr>
              <w:t>4.资产履历信息维护：需可查看资产相关信息、变动记录、折旧履历；支持导出数据到本地操作；</w:t>
            </w:r>
            <w:r>
              <w:rPr>
                <w:rFonts w:hint="eastAsia" w:ascii="宋体" w:hAnsi="宋体" w:eastAsia="宋体" w:cs="宋体"/>
                <w:b w:val="0"/>
                <w:sz w:val="24"/>
                <w:szCs w:val="24"/>
              </w:rPr>
              <w:br w:type="textWrapping"/>
            </w:r>
            <w:r>
              <w:rPr>
                <w:rFonts w:hint="eastAsia" w:ascii="宋体" w:hAnsi="宋体" w:eastAsia="宋体" w:cs="宋体"/>
                <w:b w:val="0"/>
                <w:sz w:val="24"/>
                <w:szCs w:val="24"/>
              </w:rPr>
              <w:t>5.支持批量导入资产信息；可生成资产台账；</w:t>
            </w:r>
            <w:r>
              <w:rPr>
                <w:rFonts w:hint="eastAsia" w:ascii="宋体" w:hAnsi="宋体" w:eastAsia="宋体" w:cs="宋体"/>
                <w:b w:val="0"/>
                <w:sz w:val="24"/>
                <w:szCs w:val="24"/>
              </w:rPr>
              <w:br w:type="textWrapping"/>
            </w:r>
            <w:r>
              <w:rPr>
                <w:rFonts w:hint="eastAsia" w:ascii="宋体" w:hAnsi="宋体" w:eastAsia="宋体" w:cs="宋体"/>
                <w:b w:val="0"/>
                <w:sz w:val="24"/>
                <w:szCs w:val="24"/>
              </w:rPr>
              <w:t>6.资产拆分，需同一个资产可拆分不同资产，支持增删改查、导出操作；</w:t>
            </w:r>
            <w:r>
              <w:rPr>
                <w:rFonts w:hint="eastAsia" w:ascii="宋体" w:hAnsi="宋体" w:eastAsia="宋体" w:cs="宋体"/>
                <w:b w:val="0"/>
                <w:sz w:val="24"/>
                <w:szCs w:val="24"/>
              </w:rPr>
              <w:br w:type="textWrapping"/>
            </w:r>
            <w:r>
              <w:rPr>
                <w:rFonts w:hint="eastAsia" w:ascii="宋体" w:hAnsi="宋体" w:eastAsia="宋体" w:cs="宋体"/>
                <w:b w:val="0"/>
                <w:sz w:val="24"/>
                <w:szCs w:val="24"/>
              </w:rPr>
              <w:t>7.资产调整、调拨、借出、归还、启用、闲置、维修、变卖、报废、盘亏、盘盈、盘点更新等所有变动记录查询，支持导出操作；</w:t>
            </w:r>
            <w:r>
              <w:rPr>
                <w:rFonts w:hint="eastAsia" w:ascii="宋体" w:hAnsi="宋体" w:eastAsia="宋体" w:cs="宋体"/>
                <w:b w:val="0"/>
                <w:sz w:val="24"/>
                <w:szCs w:val="24"/>
              </w:rPr>
              <w:br w:type="textWrapping"/>
            </w:r>
            <w:r>
              <w:rPr>
                <w:rFonts w:hint="eastAsia" w:ascii="宋体" w:hAnsi="宋体" w:eastAsia="宋体" w:cs="宋体"/>
                <w:b w:val="0"/>
                <w:sz w:val="24"/>
                <w:szCs w:val="24"/>
              </w:rPr>
              <w:t>五、变动管理模块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1.资产调整、调拨、借出、归还、启用、闲置、维修、变卖、报废、盘亏、盘盈、盘点更新等所有变动记录查询，支持导出操作；</w:t>
            </w:r>
            <w:r>
              <w:rPr>
                <w:rFonts w:hint="eastAsia" w:ascii="宋体" w:hAnsi="宋体" w:eastAsia="宋体" w:cs="宋体"/>
                <w:b w:val="0"/>
                <w:sz w:val="24"/>
                <w:szCs w:val="24"/>
              </w:rPr>
              <w:br w:type="textWrapping"/>
            </w:r>
            <w:r>
              <w:rPr>
                <w:rFonts w:hint="eastAsia" w:ascii="宋体" w:hAnsi="宋体" w:eastAsia="宋体" w:cs="宋体"/>
                <w:b w:val="0"/>
                <w:sz w:val="24"/>
                <w:szCs w:val="24"/>
              </w:rPr>
              <w:t>2.资产调整功能：支持EXCEL批量导入资产，调整资产相关信息；支持增删改查、反提交、上传图文附件、打印、导出等相关操作；</w:t>
            </w:r>
            <w:r>
              <w:rPr>
                <w:rFonts w:hint="eastAsia" w:ascii="宋体" w:hAnsi="宋体" w:eastAsia="宋体" w:cs="宋体"/>
                <w:b w:val="0"/>
                <w:sz w:val="24"/>
                <w:szCs w:val="24"/>
              </w:rPr>
              <w:br w:type="textWrapping"/>
            </w:r>
            <w:r>
              <w:rPr>
                <w:rFonts w:hint="eastAsia" w:ascii="宋体" w:hAnsi="宋体" w:eastAsia="宋体" w:cs="宋体"/>
                <w:b w:val="0"/>
                <w:sz w:val="24"/>
                <w:szCs w:val="24"/>
              </w:rPr>
              <w:t>3.系统资产批量调整功能：需支持批量调整使用/管理部门、资产位置、责任人信息；支持增删改查操作，反提交、上传图文附件、另存数据、审批等相关操作；</w:t>
            </w:r>
            <w:r>
              <w:rPr>
                <w:rFonts w:hint="eastAsia" w:ascii="宋体" w:hAnsi="宋体" w:eastAsia="宋体" w:cs="宋体"/>
                <w:b w:val="0"/>
                <w:sz w:val="24"/>
                <w:szCs w:val="24"/>
              </w:rPr>
              <w:br w:type="textWrapping"/>
            </w:r>
            <w:r>
              <w:rPr>
                <w:rFonts w:hint="eastAsia" w:ascii="宋体" w:hAnsi="宋体" w:eastAsia="宋体" w:cs="宋体"/>
                <w:b w:val="0"/>
                <w:sz w:val="24"/>
                <w:szCs w:val="24"/>
              </w:rPr>
              <w:t>4.资产调拨功能：需支持自定义审批流程；支持增删改查、反提交、上传图文附件、打印、导出等相关操作；</w:t>
            </w:r>
            <w:r>
              <w:rPr>
                <w:rFonts w:hint="eastAsia" w:ascii="宋体" w:hAnsi="宋体" w:eastAsia="宋体" w:cs="宋体"/>
                <w:b w:val="0"/>
                <w:sz w:val="24"/>
                <w:szCs w:val="24"/>
              </w:rPr>
              <w:br w:type="textWrapping"/>
            </w:r>
            <w:r>
              <w:rPr>
                <w:rFonts w:hint="eastAsia" w:ascii="宋体" w:hAnsi="宋体" w:eastAsia="宋体" w:cs="宋体"/>
                <w:b w:val="0"/>
                <w:sz w:val="24"/>
                <w:szCs w:val="24"/>
              </w:rPr>
              <w:t>5.资产闲置功能：需支持自定义审批流程；支持增删改查、反提交、上传图文附件、打印、导出等相关操作；</w:t>
            </w:r>
            <w:r>
              <w:rPr>
                <w:rFonts w:hint="eastAsia" w:ascii="宋体" w:hAnsi="宋体" w:eastAsia="宋体" w:cs="宋体"/>
                <w:b w:val="0"/>
                <w:sz w:val="24"/>
                <w:szCs w:val="24"/>
              </w:rPr>
              <w:br w:type="textWrapping"/>
            </w:r>
            <w:r>
              <w:rPr>
                <w:rFonts w:hint="eastAsia" w:ascii="宋体" w:hAnsi="宋体" w:eastAsia="宋体" w:cs="宋体"/>
                <w:b w:val="0"/>
                <w:sz w:val="24"/>
                <w:szCs w:val="24"/>
              </w:rPr>
              <w:t>6.资产启用功能：需支持自定义审批流程；支持增删改查、反提交、上传图文附件、打印、导出等相关操作；</w:t>
            </w:r>
            <w:r>
              <w:rPr>
                <w:rFonts w:hint="eastAsia" w:ascii="宋体" w:hAnsi="宋体" w:eastAsia="宋体" w:cs="宋体"/>
                <w:b w:val="0"/>
                <w:sz w:val="24"/>
                <w:szCs w:val="24"/>
              </w:rPr>
              <w:br w:type="textWrapping"/>
            </w:r>
            <w:r>
              <w:rPr>
                <w:rFonts w:hint="eastAsia" w:ascii="宋体" w:hAnsi="宋体" w:eastAsia="宋体" w:cs="宋体"/>
                <w:b w:val="0"/>
                <w:sz w:val="24"/>
                <w:szCs w:val="24"/>
              </w:rPr>
              <w:t>7.资产借出功能：需支持自定义审批流程；支持增删改查、反提交、上传图文附件、打印、导出等相关操作；</w:t>
            </w:r>
            <w:r>
              <w:rPr>
                <w:rFonts w:hint="eastAsia" w:ascii="宋体" w:hAnsi="宋体" w:eastAsia="宋体" w:cs="宋体"/>
                <w:b w:val="0"/>
                <w:sz w:val="24"/>
                <w:szCs w:val="24"/>
              </w:rPr>
              <w:br w:type="textWrapping"/>
            </w:r>
            <w:r>
              <w:rPr>
                <w:rFonts w:hint="eastAsia" w:ascii="宋体" w:hAnsi="宋体" w:eastAsia="宋体" w:cs="宋体"/>
                <w:b w:val="0"/>
                <w:sz w:val="24"/>
                <w:szCs w:val="24"/>
              </w:rPr>
              <w:t>8.资产归还功能：需支持自定义审批流程；支持增删改查、反提交、上传图文附件、打印、导出等相关操作；</w:t>
            </w:r>
            <w:r>
              <w:rPr>
                <w:rFonts w:hint="eastAsia" w:ascii="宋体" w:hAnsi="宋体" w:eastAsia="宋体" w:cs="宋体"/>
                <w:b w:val="0"/>
                <w:sz w:val="24"/>
                <w:szCs w:val="24"/>
              </w:rPr>
              <w:br w:type="textWrapping"/>
            </w:r>
            <w:r>
              <w:rPr>
                <w:rFonts w:hint="eastAsia" w:ascii="宋体" w:hAnsi="宋体" w:eastAsia="宋体" w:cs="宋体"/>
                <w:b w:val="0"/>
                <w:sz w:val="24"/>
                <w:szCs w:val="24"/>
              </w:rPr>
              <w:t>9.资产报废功能：需支持自定义审批流程；支持增删改查、反提交、打印、导出等相关操作；</w:t>
            </w:r>
            <w:r>
              <w:rPr>
                <w:rFonts w:hint="eastAsia" w:ascii="宋体" w:hAnsi="宋体" w:eastAsia="宋体" w:cs="宋体"/>
                <w:b w:val="0"/>
                <w:sz w:val="24"/>
                <w:szCs w:val="24"/>
              </w:rPr>
              <w:br w:type="textWrapping"/>
            </w:r>
            <w:r>
              <w:rPr>
                <w:rFonts w:hint="eastAsia" w:ascii="宋体" w:hAnsi="宋体" w:eastAsia="宋体" w:cs="宋体"/>
                <w:b w:val="0"/>
                <w:sz w:val="24"/>
                <w:szCs w:val="24"/>
              </w:rPr>
              <w:t>六、盘点管理模块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资产盘点任务单据：创建盘点任务单据，PC端支持手工盘点操作；移动端支持扫码盘点，RFID盘点机批量快速盘点；移动端支持盘点资产信息时，更新资产信息；盘点单据需支持增删改查、生成清单、开始、结束盘点等操作；</w:t>
            </w:r>
            <w:r>
              <w:rPr>
                <w:rFonts w:hint="eastAsia" w:ascii="宋体" w:hAnsi="宋体" w:eastAsia="宋体" w:cs="宋体"/>
                <w:b w:val="0"/>
                <w:sz w:val="24"/>
                <w:szCs w:val="24"/>
              </w:rPr>
              <w:br w:type="textWrapping"/>
            </w:r>
            <w:r>
              <w:rPr>
                <w:rFonts w:hint="eastAsia" w:ascii="宋体" w:hAnsi="宋体" w:eastAsia="宋体" w:cs="宋体"/>
                <w:b w:val="0"/>
                <w:sz w:val="24"/>
                <w:szCs w:val="24"/>
              </w:rPr>
              <w:t>2.结束盘点后，若盘亏自动流转到盘亏清单，支持盘亏资产信息确认、编辑，提交盘亏单据操作；支持导出操作；</w:t>
            </w:r>
            <w:r>
              <w:rPr>
                <w:rFonts w:hint="eastAsia" w:ascii="宋体" w:hAnsi="宋体" w:eastAsia="宋体" w:cs="宋体"/>
                <w:b w:val="0"/>
                <w:sz w:val="24"/>
                <w:szCs w:val="24"/>
              </w:rPr>
              <w:br w:type="textWrapping"/>
            </w:r>
            <w:r>
              <w:rPr>
                <w:rFonts w:hint="eastAsia" w:ascii="宋体" w:hAnsi="宋体" w:eastAsia="宋体" w:cs="宋体"/>
                <w:b w:val="0"/>
                <w:sz w:val="24"/>
                <w:szCs w:val="24"/>
              </w:rPr>
              <w:t>3.资产盘盈信息录入：需支持增删改查资产盘盈单据；支持反提交、导出操作；</w:t>
            </w:r>
            <w:r>
              <w:rPr>
                <w:rFonts w:hint="eastAsia" w:ascii="宋体" w:hAnsi="宋体" w:eastAsia="宋体" w:cs="宋体"/>
                <w:b w:val="0"/>
                <w:sz w:val="24"/>
                <w:szCs w:val="24"/>
              </w:rPr>
              <w:br w:type="textWrapping"/>
            </w:r>
            <w:r>
              <w:rPr>
                <w:rFonts w:hint="eastAsia" w:ascii="宋体" w:hAnsi="宋体" w:eastAsia="宋体" w:cs="宋体"/>
                <w:b w:val="0"/>
                <w:sz w:val="24"/>
                <w:szCs w:val="24"/>
              </w:rPr>
              <w:t>七、维修管理模块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1.资产故障申报信息维护：需支持增删改查、上传图文附件、导出、打印操作；</w:t>
            </w:r>
            <w:r>
              <w:rPr>
                <w:rFonts w:hint="eastAsia" w:ascii="宋体" w:hAnsi="宋体" w:eastAsia="宋体" w:cs="宋体"/>
                <w:b w:val="0"/>
                <w:sz w:val="24"/>
                <w:szCs w:val="24"/>
              </w:rPr>
              <w:br w:type="textWrapping"/>
            </w:r>
            <w:r>
              <w:rPr>
                <w:rFonts w:hint="eastAsia" w:ascii="宋体" w:hAnsi="宋体" w:eastAsia="宋体" w:cs="宋体"/>
                <w:b w:val="0"/>
                <w:sz w:val="24"/>
                <w:szCs w:val="24"/>
              </w:rPr>
              <w:t>2.资产维修记录维护：需支持增删改查、上传图文附件、导出、打印操作；</w:t>
            </w:r>
            <w:r>
              <w:rPr>
                <w:rFonts w:hint="eastAsia" w:ascii="宋体" w:hAnsi="宋体" w:eastAsia="宋体" w:cs="宋体"/>
                <w:b w:val="0"/>
                <w:sz w:val="24"/>
                <w:szCs w:val="24"/>
              </w:rPr>
              <w:br w:type="textWrapping"/>
            </w:r>
            <w:r>
              <w:rPr>
                <w:rFonts w:hint="eastAsia" w:ascii="宋体" w:hAnsi="宋体" w:eastAsia="宋体" w:cs="宋体"/>
                <w:b w:val="0"/>
                <w:sz w:val="24"/>
                <w:szCs w:val="24"/>
              </w:rPr>
              <w:t>八、报表模块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1.自定义选择资产类别，统计资产报表，支持导出操作；</w:t>
            </w:r>
            <w:r>
              <w:rPr>
                <w:rFonts w:hint="eastAsia" w:ascii="宋体" w:hAnsi="宋体" w:eastAsia="宋体" w:cs="宋体"/>
                <w:b w:val="0"/>
                <w:sz w:val="24"/>
                <w:szCs w:val="24"/>
              </w:rPr>
              <w:br w:type="textWrapping"/>
            </w:r>
            <w:r>
              <w:rPr>
                <w:rFonts w:hint="eastAsia" w:ascii="宋体" w:hAnsi="宋体" w:eastAsia="宋体" w:cs="宋体"/>
                <w:b w:val="0"/>
                <w:sz w:val="24"/>
                <w:szCs w:val="24"/>
              </w:rPr>
              <w:t>2.自定义选择资产部门，统计资产报表，支持导出操作；</w:t>
            </w:r>
            <w:r>
              <w:rPr>
                <w:rFonts w:hint="eastAsia" w:ascii="宋体" w:hAnsi="宋体" w:eastAsia="宋体" w:cs="宋体"/>
                <w:b w:val="0"/>
                <w:sz w:val="24"/>
                <w:szCs w:val="24"/>
              </w:rPr>
              <w:br w:type="textWrapping"/>
            </w:r>
            <w:r>
              <w:rPr>
                <w:rFonts w:hint="eastAsia" w:ascii="宋体" w:hAnsi="宋体" w:eastAsia="宋体" w:cs="宋体"/>
                <w:b w:val="0"/>
                <w:sz w:val="24"/>
                <w:szCs w:val="24"/>
              </w:rPr>
              <w:t>3.支持按时间段统计物资出入库报表；</w:t>
            </w:r>
            <w:r>
              <w:rPr>
                <w:rFonts w:hint="eastAsia" w:ascii="宋体" w:hAnsi="宋体" w:eastAsia="宋体" w:cs="宋体"/>
                <w:b w:val="0"/>
                <w:sz w:val="24"/>
                <w:szCs w:val="24"/>
              </w:rPr>
              <w:br w:type="textWrapping"/>
            </w:r>
            <w:r>
              <w:rPr>
                <w:rFonts w:hint="eastAsia" w:ascii="宋体" w:hAnsi="宋体" w:eastAsia="宋体" w:cs="宋体"/>
                <w:b w:val="0"/>
                <w:sz w:val="24"/>
                <w:szCs w:val="24"/>
              </w:rPr>
              <w:t>4.自定义选择时间段/资产名称，统计资产折旧报表，支持导出操作；</w:t>
            </w:r>
            <w:r>
              <w:rPr>
                <w:rFonts w:hint="eastAsia" w:ascii="宋体" w:hAnsi="宋体" w:eastAsia="宋体" w:cs="宋体"/>
                <w:b w:val="0"/>
                <w:sz w:val="24"/>
                <w:szCs w:val="24"/>
              </w:rPr>
              <w:br w:type="textWrapping"/>
            </w:r>
            <w:r>
              <w:rPr>
                <w:rFonts w:hint="eastAsia" w:ascii="宋体" w:hAnsi="宋体" w:eastAsia="宋体" w:cs="宋体"/>
                <w:b w:val="0"/>
                <w:sz w:val="24"/>
                <w:szCs w:val="24"/>
              </w:rPr>
              <w:t>5.自定义选择时间段/资产名称，统计资产维修报表，支持导出操作；</w:t>
            </w:r>
            <w:r>
              <w:rPr>
                <w:rFonts w:hint="eastAsia" w:ascii="宋体" w:hAnsi="宋体" w:eastAsia="宋体" w:cs="宋体"/>
                <w:b w:val="0"/>
                <w:sz w:val="24"/>
                <w:szCs w:val="24"/>
              </w:rPr>
              <w:br w:type="textWrapping"/>
            </w:r>
            <w:r>
              <w:rPr>
                <w:rFonts w:hint="eastAsia" w:ascii="宋体" w:hAnsi="宋体" w:eastAsia="宋体" w:cs="宋体"/>
                <w:b w:val="0"/>
                <w:sz w:val="24"/>
                <w:szCs w:val="24"/>
              </w:rPr>
              <w:t>九、系统设置模块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1.发布公告相关信息维护：需支持增删改查、预览、置顶、取消置顶、导出等操作；</w:t>
            </w:r>
            <w:r>
              <w:rPr>
                <w:rFonts w:hint="eastAsia" w:ascii="宋体" w:hAnsi="宋体" w:eastAsia="宋体" w:cs="宋体"/>
                <w:b w:val="0"/>
                <w:sz w:val="24"/>
                <w:szCs w:val="24"/>
              </w:rPr>
              <w:br w:type="textWrapping"/>
            </w:r>
            <w:r>
              <w:rPr>
                <w:rFonts w:hint="eastAsia" w:ascii="宋体" w:hAnsi="宋体" w:eastAsia="宋体" w:cs="宋体"/>
                <w:b w:val="0"/>
                <w:sz w:val="24"/>
                <w:szCs w:val="24"/>
              </w:rPr>
              <w:t>2.初始化库存数据信息，需支持增删改查、导出操作；</w:t>
            </w:r>
            <w:r>
              <w:rPr>
                <w:rFonts w:hint="eastAsia" w:ascii="宋体" w:hAnsi="宋体" w:eastAsia="宋体" w:cs="宋体"/>
                <w:b w:val="0"/>
                <w:sz w:val="24"/>
                <w:szCs w:val="24"/>
              </w:rPr>
              <w:br w:type="textWrapping"/>
            </w:r>
            <w:r>
              <w:rPr>
                <w:rFonts w:hint="eastAsia" w:ascii="宋体" w:hAnsi="宋体" w:eastAsia="宋体" w:cs="宋体"/>
                <w:b w:val="0"/>
                <w:sz w:val="24"/>
                <w:szCs w:val="24"/>
              </w:rPr>
              <w:t>3.角色信息维护：需支持增删改查、复制角色相关信息；支持角色授权功能菜单权限、数据权限、授权用户操作；</w:t>
            </w:r>
            <w:r>
              <w:rPr>
                <w:rFonts w:hint="eastAsia" w:ascii="宋体" w:hAnsi="宋体" w:eastAsia="宋体" w:cs="宋体"/>
                <w:b w:val="0"/>
                <w:sz w:val="24"/>
                <w:szCs w:val="24"/>
              </w:rPr>
              <w:br w:type="textWrapping"/>
            </w:r>
            <w:r>
              <w:rPr>
                <w:rFonts w:hint="eastAsia" w:ascii="宋体" w:hAnsi="宋体" w:eastAsia="宋体" w:cs="宋体"/>
                <w:b w:val="0"/>
                <w:sz w:val="24"/>
                <w:szCs w:val="24"/>
              </w:rPr>
              <w:t>4.App端角色信息维护：支持增删改查、复制移动端角色相关信息；需支持授权功能菜单权限、授权用户操作；</w:t>
            </w:r>
            <w:r>
              <w:rPr>
                <w:rFonts w:hint="eastAsia" w:ascii="宋体" w:hAnsi="宋体" w:eastAsia="宋体" w:cs="宋体"/>
                <w:b w:val="0"/>
                <w:sz w:val="24"/>
                <w:szCs w:val="24"/>
              </w:rPr>
              <w:br w:type="textWrapping"/>
            </w:r>
            <w:r>
              <w:rPr>
                <w:rFonts w:hint="eastAsia" w:ascii="宋体" w:hAnsi="宋体" w:eastAsia="宋体" w:cs="宋体"/>
                <w:b w:val="0"/>
                <w:sz w:val="24"/>
                <w:szCs w:val="24"/>
              </w:rPr>
              <w:t>5.数据权限自定义：自定义控制资产位置、部门、用户等数据权限控制；单据支持增删改查操作；</w:t>
            </w:r>
            <w:r>
              <w:rPr>
                <w:rFonts w:hint="eastAsia" w:ascii="宋体" w:hAnsi="宋体" w:eastAsia="宋体" w:cs="宋体"/>
                <w:b w:val="0"/>
                <w:sz w:val="24"/>
                <w:szCs w:val="24"/>
              </w:rPr>
              <w:br w:type="textWrapping"/>
            </w:r>
            <w:r>
              <w:rPr>
                <w:rFonts w:hint="eastAsia" w:ascii="宋体" w:hAnsi="宋体" w:eastAsia="宋体" w:cs="宋体"/>
                <w:b w:val="0"/>
                <w:sz w:val="24"/>
                <w:szCs w:val="24"/>
              </w:rPr>
              <w:t>6.审批岗位管理：自定义审批岗位，关联多个人；单据支持增删改查操作；</w:t>
            </w:r>
            <w:r>
              <w:rPr>
                <w:rFonts w:hint="eastAsia" w:ascii="宋体" w:hAnsi="宋体" w:eastAsia="宋体" w:cs="宋体"/>
                <w:b w:val="0"/>
                <w:sz w:val="24"/>
                <w:szCs w:val="24"/>
              </w:rPr>
              <w:br w:type="textWrapping"/>
            </w:r>
            <w:r>
              <w:rPr>
                <w:rFonts w:hint="eastAsia" w:ascii="宋体" w:hAnsi="宋体" w:eastAsia="宋体" w:cs="宋体"/>
                <w:b w:val="0"/>
                <w:sz w:val="24"/>
                <w:szCs w:val="24"/>
              </w:rPr>
              <w:t>7.报表设计管理：需支持增删改查操作；自定义报表样式；</w:t>
            </w:r>
            <w:r>
              <w:rPr>
                <w:rFonts w:hint="eastAsia" w:ascii="宋体" w:hAnsi="宋体" w:eastAsia="宋体" w:cs="宋体"/>
                <w:b w:val="0"/>
                <w:sz w:val="24"/>
                <w:szCs w:val="24"/>
              </w:rPr>
              <w:br w:type="textWrapping"/>
            </w:r>
            <w:r>
              <w:rPr>
                <w:rFonts w:hint="eastAsia" w:ascii="宋体" w:hAnsi="宋体" w:eastAsia="宋体" w:cs="宋体"/>
                <w:b w:val="0"/>
                <w:sz w:val="24"/>
                <w:szCs w:val="24"/>
              </w:rPr>
              <w:t>8.自定义审批流程：需支持自定义审批流程、审批人、审批规则；单据支持增删改查、启用、禁用流程等操作；</w:t>
            </w:r>
            <w:r>
              <w:rPr>
                <w:rFonts w:hint="eastAsia" w:ascii="宋体" w:hAnsi="宋体" w:eastAsia="宋体" w:cs="宋体"/>
                <w:b w:val="0"/>
                <w:sz w:val="24"/>
                <w:szCs w:val="24"/>
              </w:rPr>
              <w:br w:type="textWrapping"/>
            </w:r>
            <w:r>
              <w:rPr>
                <w:rFonts w:hint="eastAsia" w:ascii="宋体" w:hAnsi="宋体" w:eastAsia="宋体" w:cs="宋体"/>
                <w:b w:val="0"/>
                <w:sz w:val="24"/>
                <w:szCs w:val="24"/>
              </w:rPr>
              <w:t>9.移动端审批配置：需支持增删查操作，自定义审批提示语句；</w:t>
            </w:r>
            <w:r>
              <w:rPr>
                <w:rFonts w:hint="eastAsia" w:ascii="宋体" w:hAnsi="宋体" w:eastAsia="宋体" w:cs="宋体"/>
                <w:b w:val="0"/>
                <w:sz w:val="24"/>
                <w:szCs w:val="24"/>
              </w:rPr>
              <w:br w:type="textWrapping"/>
            </w:r>
            <w:r>
              <w:rPr>
                <w:rFonts w:hint="eastAsia" w:ascii="宋体" w:hAnsi="宋体" w:eastAsia="宋体" w:cs="宋体"/>
                <w:b w:val="0"/>
                <w:sz w:val="24"/>
                <w:szCs w:val="24"/>
              </w:rPr>
              <w:t>10.定时任务配置：需可自定义备份数据库、自动计算资产折旧等；</w:t>
            </w:r>
            <w:r>
              <w:rPr>
                <w:rFonts w:hint="eastAsia" w:ascii="宋体" w:hAnsi="宋体" w:eastAsia="宋体" w:cs="宋体"/>
                <w:b w:val="0"/>
                <w:sz w:val="24"/>
                <w:szCs w:val="24"/>
              </w:rPr>
              <w:br w:type="textWrapping"/>
            </w:r>
            <w:r>
              <w:rPr>
                <w:rFonts w:hint="eastAsia" w:ascii="宋体" w:hAnsi="宋体" w:eastAsia="宋体" w:cs="宋体"/>
                <w:b w:val="0"/>
                <w:sz w:val="24"/>
                <w:szCs w:val="24"/>
              </w:rPr>
              <w:t>11.上报任务可配置</w:t>
            </w:r>
            <w:r>
              <w:rPr>
                <w:rFonts w:hint="eastAsia" w:ascii="宋体" w:hAnsi="宋体" w:eastAsia="宋体" w:cs="宋体"/>
                <w:b w:val="0"/>
                <w:sz w:val="24"/>
                <w:szCs w:val="24"/>
              </w:rPr>
              <w:br w:type="textWrapping"/>
            </w:r>
            <w:r>
              <w:rPr>
                <w:rFonts w:hint="eastAsia" w:ascii="宋体" w:hAnsi="宋体" w:eastAsia="宋体" w:cs="宋体"/>
                <w:b w:val="0"/>
                <w:sz w:val="24"/>
                <w:szCs w:val="24"/>
              </w:rPr>
              <w:t>12.资产条码生产规则自定义；资产折旧、采购方式、附件存放路径、数据库路径、是否开启物资管理、开始拣货等功能配置；系统初始化、清除业务数据、备份数据看、许可证；</w:t>
            </w:r>
            <w:r>
              <w:rPr>
                <w:rFonts w:hint="eastAsia" w:ascii="宋体" w:hAnsi="宋体" w:eastAsia="宋体" w:cs="宋体"/>
                <w:b w:val="0"/>
                <w:sz w:val="24"/>
                <w:szCs w:val="24"/>
              </w:rPr>
              <w:br w:type="textWrapping"/>
            </w:r>
            <w:r>
              <w:rPr>
                <w:rFonts w:hint="eastAsia" w:ascii="宋体" w:hAnsi="宋体" w:eastAsia="宋体" w:cs="宋体"/>
                <w:b w:val="0"/>
                <w:sz w:val="24"/>
                <w:szCs w:val="24"/>
              </w:rPr>
              <w:t>十、APP模块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1.移动端支持新增货品信息、支持打印资产标签操作；</w:t>
            </w:r>
            <w:r>
              <w:rPr>
                <w:rFonts w:hint="eastAsia" w:ascii="宋体" w:hAnsi="宋体" w:eastAsia="宋体" w:cs="宋体"/>
                <w:b w:val="0"/>
                <w:sz w:val="24"/>
                <w:szCs w:val="24"/>
              </w:rPr>
              <w:br w:type="textWrapping"/>
            </w:r>
            <w:r>
              <w:rPr>
                <w:rFonts w:hint="eastAsia" w:ascii="宋体" w:hAnsi="宋体" w:eastAsia="宋体" w:cs="宋体"/>
                <w:b w:val="0"/>
                <w:sz w:val="24"/>
                <w:szCs w:val="24"/>
              </w:rPr>
              <w:t>2.移动端支持资产打印、批量打印资产标签操作；</w:t>
            </w:r>
            <w:r>
              <w:rPr>
                <w:rFonts w:hint="eastAsia" w:ascii="宋体" w:hAnsi="宋体" w:eastAsia="宋体" w:cs="宋体"/>
                <w:b w:val="0"/>
                <w:sz w:val="24"/>
                <w:szCs w:val="24"/>
              </w:rPr>
              <w:br w:type="textWrapping"/>
            </w:r>
            <w:r>
              <w:rPr>
                <w:rFonts w:hint="eastAsia" w:ascii="宋体" w:hAnsi="宋体" w:eastAsia="宋体" w:cs="宋体"/>
                <w:b w:val="0"/>
                <w:sz w:val="24"/>
                <w:szCs w:val="24"/>
              </w:rPr>
              <w:t>3.查看资产统一台账：支持按条件筛选或扫码查看资产台账信息、资产履历记录；</w:t>
            </w:r>
            <w:r>
              <w:rPr>
                <w:rFonts w:hint="eastAsia" w:ascii="宋体" w:hAnsi="宋体" w:eastAsia="宋体" w:cs="宋体"/>
                <w:b w:val="0"/>
                <w:sz w:val="24"/>
                <w:szCs w:val="24"/>
              </w:rPr>
              <w:br w:type="textWrapping"/>
            </w:r>
            <w:r>
              <w:rPr>
                <w:rFonts w:hint="eastAsia" w:ascii="宋体" w:hAnsi="宋体" w:eastAsia="宋体" w:cs="宋体"/>
                <w:b w:val="0"/>
                <w:sz w:val="24"/>
                <w:szCs w:val="24"/>
              </w:rPr>
              <w:t>4.扫码或按照条件筛选查看资产位置信息；</w:t>
            </w:r>
            <w:r>
              <w:rPr>
                <w:rFonts w:hint="eastAsia" w:ascii="宋体" w:hAnsi="宋体" w:eastAsia="宋体" w:cs="宋体"/>
                <w:b w:val="0"/>
                <w:sz w:val="24"/>
                <w:szCs w:val="24"/>
              </w:rPr>
              <w:br w:type="textWrapping"/>
            </w:r>
            <w:r>
              <w:rPr>
                <w:rFonts w:hint="eastAsia" w:ascii="宋体" w:hAnsi="宋体" w:eastAsia="宋体" w:cs="宋体"/>
                <w:b w:val="0"/>
                <w:sz w:val="24"/>
                <w:szCs w:val="24"/>
              </w:rPr>
              <w:t>5.扫码调整按照条件筛选资产信息；</w:t>
            </w:r>
            <w:r>
              <w:rPr>
                <w:rFonts w:hint="eastAsia" w:ascii="宋体" w:hAnsi="宋体" w:eastAsia="宋体" w:cs="宋体"/>
                <w:b w:val="0"/>
                <w:sz w:val="24"/>
                <w:szCs w:val="24"/>
              </w:rPr>
              <w:br w:type="textWrapping"/>
            </w:r>
            <w:r>
              <w:rPr>
                <w:rFonts w:hint="eastAsia" w:ascii="宋体" w:hAnsi="宋体" w:eastAsia="宋体" w:cs="宋体"/>
                <w:b w:val="0"/>
                <w:sz w:val="24"/>
                <w:szCs w:val="24"/>
              </w:rPr>
              <w:t>6.新增资产调拨单据；</w:t>
            </w:r>
            <w:r>
              <w:rPr>
                <w:rFonts w:hint="eastAsia" w:ascii="宋体" w:hAnsi="宋体" w:eastAsia="宋体" w:cs="宋体"/>
                <w:b w:val="0"/>
                <w:sz w:val="24"/>
                <w:szCs w:val="24"/>
              </w:rPr>
              <w:br w:type="textWrapping"/>
            </w:r>
            <w:r>
              <w:rPr>
                <w:rFonts w:hint="eastAsia" w:ascii="宋体" w:hAnsi="宋体" w:eastAsia="宋体" w:cs="宋体"/>
                <w:b w:val="0"/>
                <w:sz w:val="24"/>
                <w:szCs w:val="24"/>
              </w:rPr>
              <w:t>7.扫码或按照条件筛选资产，新增闲置资产单据；</w:t>
            </w:r>
            <w:r>
              <w:rPr>
                <w:rFonts w:hint="eastAsia" w:ascii="宋体" w:hAnsi="宋体" w:eastAsia="宋体" w:cs="宋体"/>
                <w:b w:val="0"/>
                <w:sz w:val="24"/>
                <w:szCs w:val="24"/>
              </w:rPr>
              <w:br w:type="textWrapping"/>
            </w:r>
            <w:r>
              <w:rPr>
                <w:rFonts w:hint="eastAsia" w:ascii="宋体" w:hAnsi="宋体" w:eastAsia="宋体" w:cs="宋体"/>
                <w:b w:val="0"/>
                <w:sz w:val="24"/>
                <w:szCs w:val="24"/>
              </w:rPr>
              <w:t>8.扫码或按照条件筛选资产，新增启用资产单据；</w:t>
            </w:r>
            <w:r>
              <w:rPr>
                <w:rFonts w:hint="eastAsia" w:ascii="宋体" w:hAnsi="宋体" w:eastAsia="宋体" w:cs="宋体"/>
                <w:b w:val="0"/>
                <w:sz w:val="24"/>
                <w:szCs w:val="24"/>
              </w:rPr>
              <w:br w:type="textWrapping"/>
            </w:r>
            <w:r>
              <w:rPr>
                <w:rFonts w:hint="eastAsia" w:ascii="宋体" w:hAnsi="宋体" w:eastAsia="宋体" w:cs="宋体"/>
                <w:b w:val="0"/>
                <w:sz w:val="24"/>
                <w:szCs w:val="24"/>
              </w:rPr>
              <w:t>9.新增资产借用单据；</w:t>
            </w:r>
            <w:r>
              <w:rPr>
                <w:rFonts w:hint="eastAsia" w:ascii="宋体" w:hAnsi="宋体" w:eastAsia="宋体" w:cs="宋体"/>
                <w:b w:val="0"/>
                <w:sz w:val="24"/>
                <w:szCs w:val="24"/>
              </w:rPr>
              <w:br w:type="textWrapping"/>
            </w:r>
            <w:r>
              <w:rPr>
                <w:rFonts w:hint="eastAsia" w:ascii="宋体" w:hAnsi="宋体" w:eastAsia="宋体" w:cs="宋体"/>
                <w:b w:val="0"/>
                <w:sz w:val="24"/>
                <w:szCs w:val="24"/>
              </w:rPr>
              <w:t>10.查看资产归还单据；</w:t>
            </w:r>
            <w:r>
              <w:rPr>
                <w:rFonts w:hint="eastAsia" w:ascii="宋体" w:hAnsi="宋体" w:eastAsia="宋体" w:cs="宋体"/>
                <w:b w:val="0"/>
                <w:sz w:val="24"/>
                <w:szCs w:val="24"/>
              </w:rPr>
              <w:br w:type="textWrapping"/>
            </w:r>
            <w:r>
              <w:rPr>
                <w:rFonts w:hint="eastAsia" w:ascii="宋体" w:hAnsi="宋体" w:eastAsia="宋体" w:cs="宋体"/>
                <w:b w:val="0"/>
                <w:sz w:val="24"/>
                <w:szCs w:val="24"/>
              </w:rPr>
              <w:t>11.扫码或按照条件筛选资产，新增报废资产单据；</w:t>
            </w:r>
            <w:r>
              <w:rPr>
                <w:rFonts w:hint="eastAsia" w:ascii="宋体" w:hAnsi="宋体" w:eastAsia="宋体" w:cs="宋体"/>
                <w:b w:val="0"/>
                <w:sz w:val="24"/>
                <w:szCs w:val="24"/>
              </w:rPr>
              <w:br w:type="textWrapping"/>
            </w:r>
            <w:r>
              <w:rPr>
                <w:rFonts w:hint="eastAsia" w:ascii="宋体" w:hAnsi="宋体" w:eastAsia="宋体" w:cs="宋体"/>
                <w:b w:val="0"/>
                <w:sz w:val="24"/>
                <w:szCs w:val="24"/>
              </w:rPr>
              <w:t>12.扫码或按照条件筛选资产，新增变卖资产单据；</w:t>
            </w:r>
            <w:r>
              <w:rPr>
                <w:rFonts w:hint="eastAsia" w:ascii="宋体" w:hAnsi="宋体" w:eastAsia="宋体" w:cs="宋体"/>
                <w:b w:val="0"/>
                <w:sz w:val="24"/>
                <w:szCs w:val="24"/>
              </w:rPr>
              <w:br w:type="textWrapping"/>
            </w:r>
            <w:r>
              <w:rPr>
                <w:rFonts w:hint="eastAsia" w:ascii="宋体" w:hAnsi="宋体" w:eastAsia="宋体" w:cs="宋体"/>
                <w:b w:val="0"/>
                <w:sz w:val="24"/>
                <w:szCs w:val="24"/>
              </w:rPr>
              <w:t xml:space="preserve">13.新增故障申报单据；   </w:t>
            </w:r>
            <w:r>
              <w:rPr>
                <w:rFonts w:hint="eastAsia" w:ascii="宋体" w:hAnsi="宋体" w:eastAsia="宋体" w:cs="宋体"/>
                <w:b w:val="0"/>
                <w:sz w:val="24"/>
                <w:szCs w:val="24"/>
              </w:rPr>
              <w:br w:type="textWrapping"/>
            </w:r>
            <w:r>
              <w:rPr>
                <w:rFonts w:hint="eastAsia" w:ascii="宋体" w:hAnsi="宋体" w:eastAsia="宋体" w:cs="宋体"/>
                <w:b w:val="0"/>
                <w:sz w:val="24"/>
                <w:szCs w:val="24"/>
              </w:rPr>
              <w:t>14.扫码或按照条件筛选资产或选择故障申报单据，新增维修工单；</w:t>
            </w:r>
            <w:r>
              <w:rPr>
                <w:rFonts w:hint="eastAsia" w:ascii="宋体" w:hAnsi="宋体" w:eastAsia="宋体" w:cs="宋体"/>
                <w:b w:val="0"/>
                <w:sz w:val="24"/>
                <w:szCs w:val="24"/>
              </w:rPr>
              <w:br w:type="textWrapping"/>
            </w:r>
            <w:r>
              <w:rPr>
                <w:rFonts w:hint="eastAsia" w:ascii="宋体" w:hAnsi="宋体" w:eastAsia="宋体" w:cs="宋体"/>
                <w:b w:val="0"/>
                <w:sz w:val="24"/>
                <w:szCs w:val="24"/>
              </w:rPr>
              <w:t>15.根据盘点任务，扫描盘点；</w:t>
            </w:r>
            <w:r>
              <w:rPr>
                <w:rFonts w:hint="eastAsia" w:ascii="宋体" w:hAnsi="宋体" w:eastAsia="宋体" w:cs="宋体"/>
                <w:b w:val="0"/>
                <w:sz w:val="24"/>
                <w:szCs w:val="24"/>
              </w:rPr>
              <w:br w:type="textWrapping"/>
            </w:r>
            <w:r>
              <w:rPr>
                <w:rFonts w:hint="eastAsia" w:ascii="宋体" w:hAnsi="宋体" w:eastAsia="宋体" w:cs="宋体"/>
                <w:b w:val="0"/>
                <w:sz w:val="24"/>
                <w:szCs w:val="24"/>
              </w:rPr>
              <w:t>16.根据盘点任务，RFID高效扫描盘点，抗金属标签10米以内能批量高效读取；</w:t>
            </w:r>
            <w:r>
              <w:rPr>
                <w:rFonts w:hint="eastAsia" w:ascii="宋体" w:hAnsi="宋体" w:eastAsia="宋体" w:cs="宋体"/>
                <w:b w:val="0"/>
                <w:sz w:val="24"/>
                <w:szCs w:val="24"/>
              </w:rPr>
              <w:br w:type="textWrapping"/>
            </w:r>
            <w:r>
              <w:rPr>
                <w:rFonts w:hint="eastAsia" w:ascii="宋体" w:hAnsi="宋体" w:eastAsia="宋体" w:cs="宋体"/>
                <w:b w:val="0"/>
                <w:sz w:val="24"/>
                <w:szCs w:val="24"/>
              </w:rPr>
              <w:t>17.离线模式支持数据上传、下载操作；</w:t>
            </w:r>
            <w:r>
              <w:rPr>
                <w:rFonts w:hint="eastAsia" w:ascii="宋体" w:hAnsi="宋体" w:eastAsia="宋体" w:cs="宋体"/>
                <w:b w:val="0"/>
                <w:sz w:val="24"/>
                <w:szCs w:val="24"/>
              </w:rPr>
              <w:br w:type="textWrapping"/>
            </w:r>
            <w:r>
              <w:rPr>
                <w:rFonts w:hint="eastAsia" w:ascii="宋体" w:hAnsi="宋体" w:eastAsia="宋体" w:cs="宋体"/>
                <w:b w:val="0"/>
                <w:sz w:val="24"/>
                <w:szCs w:val="24"/>
              </w:rPr>
              <w:t>18.需支持手动将资产与RFID标签绑定，读取RFID标签的RFID码与系统资产进行绑定，自动替换我们系统生成的RFID序列号。</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rPr>
              <w:t>投标人须承诺：签订合同前，提供“实训室综合管理平台”各性能演示，演示内容及技术性能与投标响应参数不符合或不演示，则视为虚假投标，投标人自行承担一切后果。（附承诺函加盖投标人公章，承诺函格式自拟）</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75</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数据中心</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1.机型：采用2U机架式，国有品牌，自主研发，不得采用OEM产品；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2.处理器：配置2 颗 不低于Intel Xeon 4310处理器 (12C, 2.1GHz)；</w:t>
            </w:r>
            <w:r>
              <w:rPr>
                <w:rFonts w:hint="eastAsia" w:ascii="宋体" w:hAnsi="宋体" w:eastAsia="宋体" w:cs="宋体"/>
                <w:b w:val="0"/>
                <w:sz w:val="24"/>
                <w:szCs w:val="24"/>
              </w:rPr>
              <w:br w:type="textWrapping"/>
            </w:r>
            <w:r>
              <w:rPr>
                <w:rFonts w:hint="eastAsia" w:ascii="宋体" w:hAnsi="宋体" w:eastAsia="宋体" w:cs="宋体"/>
                <w:b w:val="0"/>
                <w:sz w:val="24"/>
                <w:szCs w:val="24"/>
              </w:rPr>
              <w:t>3.内存：支持≥32条 DDR4 内存插槽；本次配置64GB DDR4 3200MHz 内存（2*32GB）；</w:t>
            </w:r>
            <w:r>
              <w:rPr>
                <w:rFonts w:hint="eastAsia" w:ascii="宋体" w:hAnsi="宋体" w:eastAsia="宋体" w:cs="宋体"/>
                <w:b w:val="0"/>
                <w:sz w:val="24"/>
                <w:szCs w:val="24"/>
              </w:rPr>
              <w:br w:type="textWrapping"/>
            </w:r>
            <w:r>
              <w:rPr>
                <w:rFonts w:hint="eastAsia" w:ascii="宋体" w:hAnsi="宋体" w:eastAsia="宋体" w:cs="宋体"/>
                <w:b w:val="0"/>
                <w:sz w:val="24"/>
                <w:szCs w:val="24"/>
              </w:rPr>
              <w:t xml:space="preserve">4.RAID：配置一张RAID阵列卡； </w:t>
            </w:r>
            <w:r>
              <w:rPr>
                <w:rFonts w:hint="eastAsia" w:ascii="宋体" w:hAnsi="宋体" w:eastAsia="宋体" w:cs="宋体"/>
                <w:b w:val="0"/>
                <w:sz w:val="24"/>
                <w:szCs w:val="24"/>
              </w:rPr>
              <w:br w:type="textWrapping"/>
            </w:r>
            <w:r>
              <w:rPr>
                <w:rFonts w:hint="eastAsia" w:ascii="宋体" w:hAnsi="宋体" w:eastAsia="宋体" w:cs="宋体"/>
                <w:b w:val="0"/>
                <w:sz w:val="24"/>
                <w:szCs w:val="24"/>
              </w:rPr>
              <w:t>5.网口：板载≥2个双口万兆网口，支持标准 1Gb/10Gb/25Gb/40G/100Gb 网卡；</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6.硬盘：需配置2块2TB硬盘，I/O扩展，最大支持≥20块3.5寸硬盘或≥39块2.5寸硬盘，支持≥2个E1.S：支持≥11个PCIe插槽，支持1个OCP 3.0和1个RAID Mezz插槽，支持4个双宽GPU或8个单宽GPU；</w:t>
            </w:r>
            <w:r>
              <w:rPr>
                <w:rFonts w:hint="eastAsia" w:ascii="宋体" w:hAnsi="宋体" w:eastAsia="宋体" w:cs="宋体"/>
                <w:b w:val="0"/>
                <w:sz w:val="24"/>
                <w:szCs w:val="24"/>
              </w:rPr>
              <w:br w:type="textWrapping"/>
            </w:r>
            <w:r>
              <w:rPr>
                <w:rFonts w:hint="eastAsia" w:ascii="宋体" w:hAnsi="宋体" w:eastAsia="宋体" w:cs="宋体"/>
                <w:b w:val="0"/>
                <w:sz w:val="24"/>
                <w:szCs w:val="24"/>
              </w:rPr>
              <w:t>7.接口：支持≥3个USB3.0接口，≥2个VGA接口；</w:t>
            </w:r>
            <w:r>
              <w:rPr>
                <w:rFonts w:hint="eastAsia" w:ascii="宋体" w:hAnsi="宋体" w:eastAsia="宋体" w:cs="宋体"/>
                <w:b w:val="0"/>
                <w:sz w:val="24"/>
                <w:szCs w:val="24"/>
              </w:rPr>
              <w:br w:type="textWrapping"/>
            </w:r>
            <w:r>
              <w:rPr>
                <w:rFonts w:hint="eastAsia" w:ascii="宋体" w:hAnsi="宋体" w:eastAsia="宋体" w:cs="宋体"/>
                <w:b w:val="0"/>
                <w:sz w:val="24"/>
                <w:szCs w:val="24"/>
              </w:rPr>
              <w:t>8.电源风扇：配置1+1冗余电源，满配冗余风扇；</w:t>
            </w:r>
            <w:r>
              <w:rPr>
                <w:rFonts w:hint="eastAsia" w:ascii="宋体" w:hAnsi="宋体" w:eastAsia="宋体" w:cs="宋体"/>
                <w:b w:val="0"/>
                <w:sz w:val="24"/>
                <w:szCs w:val="24"/>
              </w:rPr>
              <w:br w:type="textWrapping"/>
            </w:r>
            <w:r>
              <w:rPr>
                <w:rFonts w:hint="eastAsia" w:ascii="宋体" w:hAnsi="宋体" w:eastAsia="宋体" w:cs="宋体"/>
                <w:b w:val="0"/>
                <w:sz w:val="24"/>
                <w:szCs w:val="24"/>
              </w:rPr>
              <w:t>9.服务器管理：配置与服务器同品牌的数据中心级别管理软件，不得采用OEM软件；</w:t>
            </w:r>
            <w:r>
              <w:rPr>
                <w:rFonts w:hint="eastAsia" w:ascii="宋体" w:hAnsi="宋体" w:eastAsia="宋体" w:cs="宋体"/>
                <w:b w:val="0"/>
                <w:sz w:val="24"/>
                <w:szCs w:val="24"/>
              </w:rPr>
              <w:br w:type="textWrapping"/>
            </w:r>
            <w:r>
              <w:rPr>
                <w:rFonts w:hint="eastAsia" w:ascii="宋体" w:hAnsi="宋体" w:eastAsia="宋体" w:cs="宋体"/>
                <w:kern w:val="2"/>
                <w:sz w:val="24"/>
                <w:szCs w:val="24"/>
              </w:rPr>
              <w:t>■</w:t>
            </w:r>
            <w:r>
              <w:rPr>
                <w:rFonts w:hint="eastAsia" w:ascii="宋体" w:hAnsi="宋体" w:eastAsia="宋体" w:cs="宋体"/>
                <w:b w:val="0"/>
                <w:sz w:val="24"/>
                <w:szCs w:val="24"/>
              </w:rPr>
              <w:t>10.监控告警：管理软件支持服务器全方位性能监控 ，包括CPU 利用率、CPU温度、内存使用率、SWAP使用率，内存及SWAP使用明细；TCP重传率及套接字个数；UDP连接数；文件句柄使用率及文件句柄数；硬盘读写次数及读写时速率；出入风口温度；风扇转速及风扇占空比；分区使用率及分区未使用量；网络发送速率、接收速率等，微架构 单精度及双精度浮点运算、PCIe设备读写速率等，运行时长、系统进程数等；</w:t>
            </w:r>
            <w:r>
              <w:rPr>
                <w:rFonts w:hint="eastAsia" w:ascii="宋体" w:hAnsi="宋体" w:eastAsia="宋体" w:cs="宋体"/>
                <w:sz w:val="24"/>
                <w:szCs w:val="24"/>
                <w:lang w:bidi="ar"/>
              </w:rPr>
              <w:t>（投标文件中需提供彩页、官网截图或其他证明材料）</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11.基础设施管理：管理软件支持针对不同厂商品牌、不同型号的设备统一监控、管理，支持物理设备、虚拟化设备的统一监控管理，资产属性的自定义扩展，资产详情导出功能，满足用户资产纳管的个性化需求；</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12.自动化管理：管理软件支持服务器CPU、MEM带外压力测试功能，支持自定义的极限压力测试策略，确保用户设备使用的稳定性，避免设备运输、上架碰撞的物理损伤；</w:t>
            </w:r>
            <w:r>
              <w:rPr>
                <w:rFonts w:hint="eastAsia" w:ascii="宋体" w:hAnsi="宋体" w:eastAsia="宋体" w:cs="宋体"/>
                <w:sz w:val="24"/>
                <w:szCs w:val="24"/>
                <w:lang w:bidi="ar"/>
              </w:rPr>
              <w:t>（投标文件中需提供彩页、官网截图或其他证明材料）</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13.性能：机器测试中，最大性能指标不低于286000；</w:t>
            </w:r>
            <w:r>
              <w:rPr>
                <w:rFonts w:hint="eastAsia" w:ascii="宋体" w:hAnsi="宋体" w:eastAsia="宋体" w:cs="宋体"/>
                <w:b w:val="0"/>
                <w:sz w:val="24"/>
                <w:szCs w:val="24"/>
              </w:rPr>
              <w:br w:type="textWrapping"/>
            </w:r>
            <w:r>
              <w:rPr>
                <w:rFonts w:hint="eastAsia" w:ascii="宋体" w:hAnsi="宋体" w:eastAsia="宋体" w:cs="宋体"/>
                <w:b w:val="0"/>
                <w:sz w:val="24"/>
                <w:szCs w:val="24"/>
              </w:rPr>
              <w:t>14.通信设备抗震性能检测标准，准许进入9级烈度及以下地区信息通信网使用、产品监控管理系统固件（BMC）软件版本通过中国评估保障级（EAL4级）认证；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15.安全资质：《信息安全技术服务器安全技术要求和测评准则》认证；</w:t>
            </w:r>
            <w:r>
              <w:rPr>
                <w:rFonts w:hint="eastAsia" w:ascii="宋体" w:hAnsi="宋体" w:eastAsia="宋体" w:cs="宋体"/>
                <w:sz w:val="24"/>
                <w:szCs w:val="24"/>
                <w:lang w:bidi="ar"/>
              </w:rPr>
              <w:t>（投标文件中需提供增强级认证证明材料）</w:t>
            </w:r>
            <w:r>
              <w:rPr>
                <w:rFonts w:hint="eastAsia" w:ascii="宋体" w:hAnsi="宋体" w:eastAsia="宋体" w:cs="宋体"/>
                <w:b w:val="0"/>
                <w:sz w:val="24"/>
                <w:szCs w:val="24"/>
              </w:rPr>
              <w:br w:type="textWrapping"/>
            </w:r>
            <w:r>
              <w:rPr>
                <w:rFonts w:hint="eastAsia" w:ascii="宋体" w:hAnsi="宋体" w:eastAsia="宋体" w:cs="宋体"/>
                <w:b w:val="0"/>
                <w:sz w:val="24"/>
                <w:szCs w:val="24"/>
              </w:rPr>
              <w:t>16.服务：三年免费整机硬件保修，原厂工程师上门服务。</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rPr>
              <w:t>投标人须承诺：签订合同前，提供“数据中心”各性能演示，演示内容及技术性能与投标响应参数不符合或不演示，则视为虚假投标，投标人自行承担一切后果。（附承诺函加盖投标人公章，承诺函格式自拟）</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1台</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76</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教学一体机</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一、整体设计要求如下</w:t>
            </w:r>
            <w:r>
              <w:rPr>
                <w:rFonts w:hint="eastAsia" w:ascii="宋体" w:hAnsi="宋体" w:eastAsia="宋体" w:cs="宋体"/>
                <w:b w:val="0"/>
                <w:sz w:val="24"/>
                <w:szCs w:val="24"/>
              </w:rPr>
              <w:br w:type="textWrapping"/>
            </w:r>
            <w:r>
              <w:rPr>
                <w:rFonts w:hint="eastAsia" w:ascii="宋体" w:hAnsi="宋体" w:eastAsia="宋体" w:cs="宋体"/>
                <w:b w:val="0"/>
                <w:sz w:val="24"/>
                <w:szCs w:val="24"/>
              </w:rPr>
              <w:t>1.采用不低于86英寸UHD超高清LED液晶屏，显示比例16:9，分辨率3840*2160；</w:t>
            </w:r>
            <w:r>
              <w:rPr>
                <w:rFonts w:hint="eastAsia" w:ascii="宋体" w:hAnsi="宋体" w:eastAsia="宋体" w:cs="宋体"/>
                <w:b w:val="0"/>
                <w:sz w:val="24"/>
                <w:szCs w:val="24"/>
              </w:rPr>
              <w:br w:type="textWrapping"/>
            </w:r>
            <w:r>
              <w:rPr>
                <w:rFonts w:hint="eastAsia" w:ascii="宋体" w:hAnsi="宋体" w:eastAsia="宋体" w:cs="宋体"/>
                <w:b w:val="0"/>
                <w:sz w:val="24"/>
                <w:szCs w:val="24"/>
              </w:rPr>
              <w:t>2.侧置输入接口具备2路HDMI、1路RS232；侧置输出接口具备1路音频、1路触控USB；前置输入接口3路USB接口（包含1路Type-C、2路USB）；</w:t>
            </w:r>
            <w:r>
              <w:rPr>
                <w:rFonts w:hint="eastAsia" w:ascii="宋体" w:hAnsi="宋体" w:eastAsia="宋体" w:cs="宋体"/>
                <w:b w:val="0"/>
                <w:sz w:val="24"/>
                <w:szCs w:val="24"/>
              </w:rPr>
              <w:br w:type="textWrapping"/>
            </w:r>
            <w:r>
              <w:rPr>
                <w:rFonts w:hint="eastAsia" w:ascii="宋体" w:hAnsi="宋体" w:eastAsia="宋体" w:cs="宋体"/>
                <w:b w:val="0"/>
                <w:sz w:val="24"/>
                <w:szCs w:val="24"/>
              </w:rPr>
              <w:t>3.嵌入式系统版本不低于Android 11，内存≥2GB，存储空间≥8GB；</w:t>
            </w:r>
            <w:r>
              <w:rPr>
                <w:rFonts w:hint="eastAsia" w:ascii="宋体" w:hAnsi="宋体" w:eastAsia="宋体" w:cs="宋体"/>
                <w:b w:val="0"/>
                <w:sz w:val="24"/>
                <w:szCs w:val="24"/>
              </w:rPr>
              <w:br w:type="textWrapping"/>
            </w:r>
            <w:r>
              <w:rPr>
                <w:rFonts w:hint="eastAsia" w:ascii="宋体" w:hAnsi="宋体" w:eastAsia="宋体" w:cs="宋体"/>
                <w:b w:val="0"/>
                <w:sz w:val="24"/>
                <w:szCs w:val="24"/>
              </w:rPr>
              <w:t>4.整机支持在Windows系统中进行20点或以上触控，支持在Android系统中进行10点或以上触控；</w:t>
            </w:r>
            <w:r>
              <w:rPr>
                <w:rFonts w:hint="eastAsia" w:ascii="宋体" w:hAnsi="宋体" w:eastAsia="宋体" w:cs="宋体"/>
                <w:b w:val="0"/>
                <w:sz w:val="24"/>
                <w:szCs w:val="24"/>
              </w:rPr>
              <w:br w:type="textWrapping"/>
            </w:r>
            <w:r>
              <w:rPr>
                <w:rFonts w:hint="eastAsia" w:ascii="宋体" w:hAnsi="宋体" w:eastAsia="宋体" w:cs="宋体"/>
                <w:b w:val="0"/>
                <w:sz w:val="24"/>
                <w:szCs w:val="24"/>
              </w:rPr>
              <w:t>5.从内部Android通道切换到内部PC通道后，触摸框在1s内达到可触控状态，从内部PC通道切换到外部通道后，触摸框在3s内达到可触控状态；</w:t>
            </w:r>
            <w:r>
              <w:rPr>
                <w:rFonts w:hint="eastAsia" w:ascii="宋体" w:hAnsi="宋体" w:eastAsia="宋体" w:cs="宋体"/>
                <w:b w:val="0"/>
                <w:sz w:val="24"/>
                <w:szCs w:val="24"/>
              </w:rPr>
              <w:br w:type="textWrapping"/>
            </w:r>
            <w:r>
              <w:rPr>
                <w:rFonts w:hint="eastAsia" w:ascii="宋体" w:hAnsi="宋体" w:eastAsia="宋体" w:cs="宋体"/>
                <w:b w:val="0"/>
                <w:sz w:val="24"/>
                <w:szCs w:val="24"/>
              </w:rPr>
              <w:t>6.整机内置2.2声道扬声器，位于设备上边框，顶置朝前发声，前朝向10W高音扬声器2个，上朝向20W中低音扬声器2个，额定总功率60W；</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7.整机支持高级音效设置，可以调节左右声道平衡；在中低频段125Hz～1KHz，高频段2KHz～16KHz分别有-12dB～12dB范围的调节功能；</w:t>
            </w:r>
            <w:r>
              <w:rPr>
                <w:rFonts w:hint="eastAsia" w:ascii="宋体" w:hAnsi="宋体" w:eastAsia="宋体" w:cs="宋体"/>
                <w:b w:val="0"/>
                <w:sz w:val="24"/>
                <w:szCs w:val="24"/>
              </w:rPr>
              <w:br w:type="textWrapping"/>
            </w:r>
            <w:r>
              <w:rPr>
                <w:rFonts w:hint="eastAsia" w:ascii="宋体" w:hAnsi="宋体" w:eastAsia="宋体" w:cs="宋体"/>
                <w:b w:val="0"/>
                <w:sz w:val="24"/>
                <w:szCs w:val="24"/>
              </w:rPr>
              <w:t>8.整机内置非独立外扩展的4阵列麦克风，可用于对教室环境音频进行采集，拾音距离≥12m；</w:t>
            </w:r>
            <w:r>
              <w:rPr>
                <w:rFonts w:hint="eastAsia" w:ascii="宋体" w:hAnsi="宋体" w:eastAsia="宋体" w:cs="宋体"/>
                <w:b w:val="0"/>
                <w:sz w:val="24"/>
                <w:szCs w:val="24"/>
              </w:rPr>
              <w:br w:type="textWrapping"/>
            </w:r>
            <w:r>
              <w:rPr>
                <w:rFonts w:hint="eastAsia" w:ascii="宋体" w:hAnsi="宋体" w:eastAsia="宋体" w:cs="宋体"/>
                <w:b w:val="0"/>
                <w:sz w:val="24"/>
                <w:szCs w:val="24"/>
              </w:rPr>
              <w:t>9.整机内置扬声器采用缝隙发声技术，喇叭采用槽式开口设计，不大于5.8mm；</w:t>
            </w:r>
            <w:r>
              <w:rPr>
                <w:rFonts w:hint="eastAsia" w:ascii="宋体" w:hAnsi="宋体" w:eastAsia="宋体" w:cs="宋体"/>
                <w:b w:val="0"/>
                <w:sz w:val="24"/>
                <w:szCs w:val="24"/>
              </w:rPr>
              <w:br w:type="textWrapping"/>
            </w:r>
            <w:r>
              <w:rPr>
                <w:rFonts w:hint="eastAsia" w:ascii="宋体" w:hAnsi="宋体" w:eastAsia="宋体" w:cs="宋体"/>
                <w:b w:val="0"/>
                <w:sz w:val="24"/>
                <w:szCs w:val="24"/>
              </w:rPr>
              <w:t>10.整机采用硬件低蓝光背光技术，在源头减少有害蓝光波段能量，蓝光占比（有害蓝光415～455nm能量综合）/（整体蓝光400～500能量综合）＜50%，低蓝光保护显示不偏色、不泛黄；</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11.通过由中国标准化研究院制定的视觉舒适度（VICO）体系认证，达到视觉舒适度A +级或以上标准；</w:t>
            </w:r>
            <w:r>
              <w:rPr>
                <w:rFonts w:hint="eastAsia" w:ascii="宋体" w:hAnsi="宋体" w:eastAsia="宋体" w:cs="宋体"/>
                <w:sz w:val="24"/>
                <w:szCs w:val="24"/>
                <w:lang w:bidi="ar"/>
              </w:rPr>
              <w:t>（提供中国标准化研究院或其他国家级社会公益类标准化科研机构出具的检测结果复印件）</w:t>
            </w:r>
            <w:r>
              <w:rPr>
                <w:rFonts w:hint="eastAsia" w:ascii="宋体" w:hAnsi="宋体" w:eastAsia="宋体" w:cs="宋体"/>
                <w:b w:val="0"/>
                <w:sz w:val="24"/>
                <w:szCs w:val="24"/>
              </w:rPr>
              <w:br w:type="textWrapping"/>
            </w:r>
            <w:r>
              <w:rPr>
                <w:rFonts w:hint="eastAsia" w:ascii="宋体" w:hAnsi="宋体" w:eastAsia="宋体" w:cs="宋体"/>
                <w:b w:val="0"/>
                <w:sz w:val="24"/>
                <w:szCs w:val="24"/>
              </w:rPr>
              <w:t>12.整机视网膜蓝光危害（蓝光加权辐射亮度LB）满足IEC TR 62778:2014蓝光危害RG0级别。</w:t>
            </w:r>
            <w:r>
              <w:rPr>
                <w:rFonts w:hint="eastAsia" w:ascii="宋体" w:hAnsi="宋体" w:eastAsia="宋体" w:cs="宋体"/>
                <w:b w:val="0"/>
                <w:sz w:val="24"/>
                <w:szCs w:val="24"/>
              </w:rPr>
              <w:br w:type="textWrapping"/>
            </w:r>
            <w:r>
              <w:rPr>
                <w:rFonts w:hint="eastAsia" w:ascii="宋体" w:hAnsi="宋体" w:eastAsia="宋体" w:cs="宋体"/>
                <w:b w:val="0"/>
                <w:sz w:val="24"/>
                <w:szCs w:val="24"/>
              </w:rPr>
              <w:t>二、主要功能要求如下</w:t>
            </w:r>
            <w:r>
              <w:rPr>
                <w:rFonts w:hint="eastAsia" w:ascii="宋体" w:hAnsi="宋体" w:eastAsia="宋体" w:cs="宋体"/>
                <w:b w:val="0"/>
                <w:sz w:val="24"/>
                <w:szCs w:val="24"/>
              </w:rPr>
              <w:br w:type="textWrapping"/>
            </w:r>
            <w:r>
              <w:rPr>
                <w:rFonts w:hint="eastAsia" w:ascii="宋体" w:hAnsi="宋体" w:eastAsia="宋体" w:cs="宋体"/>
                <w:b w:val="0"/>
                <w:sz w:val="24"/>
                <w:szCs w:val="24"/>
              </w:rPr>
              <w:t>1.外接电脑设备连接整机且触摸信号连通时，外接电脑设备可直接读取整机前置USB接口的移动存储设备数据，连接整机前置USB接口的翻页笔和无线键鼠外接设备可直接使用于外接电脑；</w:t>
            </w:r>
            <w:r>
              <w:rPr>
                <w:rFonts w:hint="eastAsia" w:ascii="宋体" w:hAnsi="宋体" w:eastAsia="宋体" w:cs="宋体"/>
                <w:b w:val="0"/>
                <w:sz w:val="24"/>
                <w:szCs w:val="24"/>
              </w:rPr>
              <w:br w:type="textWrapping"/>
            </w:r>
            <w:r>
              <w:rPr>
                <w:rFonts w:hint="eastAsia" w:ascii="宋体" w:hAnsi="宋体" w:eastAsia="宋体" w:cs="宋体"/>
                <w:b w:val="0"/>
                <w:sz w:val="24"/>
                <w:szCs w:val="24"/>
              </w:rPr>
              <w:t>2.外接电脑设备经双头Type-C线连接至整机，可调用整机内置的摄像头、麦克风、扬声器，在外接电脑即可控制整机拍摄教室画面；</w:t>
            </w:r>
            <w:r>
              <w:rPr>
                <w:rFonts w:hint="eastAsia" w:ascii="宋体" w:hAnsi="宋体" w:eastAsia="宋体" w:cs="宋体"/>
                <w:b w:val="0"/>
                <w:sz w:val="24"/>
                <w:szCs w:val="24"/>
              </w:rPr>
              <w:br w:type="textWrapping"/>
            </w:r>
            <w:r>
              <w:rPr>
                <w:rFonts w:hint="eastAsia" w:ascii="宋体" w:hAnsi="宋体" w:eastAsia="宋体" w:cs="宋体"/>
                <w:b w:val="0"/>
                <w:sz w:val="24"/>
                <w:szCs w:val="24"/>
              </w:rPr>
              <w:t>3.前置Type-C接口，支持通过不带转换转置的外部线缆，实现外接电脑HDMI信号的接入；</w:t>
            </w:r>
            <w:r>
              <w:rPr>
                <w:rFonts w:hint="eastAsia" w:ascii="宋体" w:hAnsi="宋体" w:eastAsia="宋体" w:cs="宋体"/>
                <w:b w:val="0"/>
                <w:sz w:val="24"/>
                <w:szCs w:val="24"/>
              </w:rPr>
              <w:br w:type="textWrapping"/>
            </w:r>
            <w:r>
              <w:rPr>
                <w:rFonts w:hint="eastAsia" w:ascii="宋体" w:hAnsi="宋体" w:eastAsia="宋体" w:cs="宋体"/>
                <w:b w:val="0"/>
                <w:sz w:val="24"/>
                <w:szCs w:val="24"/>
              </w:rPr>
              <w:t>4.机身具备防盐雾锈蚀特性，且满足GB4943.1-2011标准中的防火要求。整机具备抗振动、防跌落特性，保证整机运输或使用过程中不易受损，整机表面覆盖玻璃选用国标优等品，光学变形、点状缺陷、尺寸偏差、弯曲度、透射比等均符合GB11614-2009平板玻璃标准整机书写面板采用防眩光全钢化防爆玻璃面板，面板的碎片状态、抗冲击性、霰弹袋冲击性能、耐热冲击性能均通过国家强制玻璃标准，表面应力≥100Mpa,适应学校复杂环境，保障教学安全，整机在0℃- 40℃环境下可正常工作，在-20℃—60℃的环境下可正常贮存且贮存后功能无损；</w:t>
            </w:r>
            <w:r>
              <w:rPr>
                <w:rFonts w:hint="eastAsia" w:ascii="宋体" w:hAnsi="宋体" w:eastAsia="宋体" w:cs="宋体"/>
                <w:b w:val="0"/>
                <w:sz w:val="24"/>
                <w:szCs w:val="24"/>
              </w:rPr>
              <w:br w:type="textWrapping"/>
            </w:r>
            <w:r>
              <w:rPr>
                <w:rFonts w:hint="eastAsia" w:ascii="宋体" w:hAnsi="宋体" w:eastAsia="宋体" w:cs="宋体"/>
                <w:b w:val="0"/>
                <w:sz w:val="24"/>
                <w:szCs w:val="24"/>
              </w:rPr>
              <w:t>5.整机支持纸质护眼模式，可以在任意通道任意画面任意软件所有显示内容下实现画面纹理的实时调整，支持纸质纹理：牛皮纸、素描纸、宣纸、水彩纸、水纹纸；支持透明度调节，支持色温调节；</w:t>
            </w:r>
            <w:r>
              <w:rPr>
                <w:rFonts w:hint="eastAsia" w:ascii="宋体" w:hAnsi="宋体" w:eastAsia="宋体" w:cs="宋体"/>
                <w:b w:val="0"/>
                <w:sz w:val="24"/>
                <w:szCs w:val="24"/>
              </w:rPr>
              <w:br w:type="textWrapping"/>
            </w:r>
            <w:r>
              <w:rPr>
                <w:rFonts w:hint="eastAsia" w:ascii="宋体" w:hAnsi="宋体" w:eastAsia="宋体" w:cs="宋体"/>
                <w:b w:val="0"/>
                <w:sz w:val="24"/>
                <w:szCs w:val="24"/>
              </w:rPr>
              <w:t>6.三合一电源按键，同一电源物理按键完成Android系统和Windows系统的开机、节能熄屏、关机操作，关机状态下按按键开机；开机状态下按按键实现节能熄屏/唤醒，长按按键实现关机；</w:t>
            </w:r>
            <w:r>
              <w:rPr>
                <w:rFonts w:hint="eastAsia" w:ascii="宋体" w:hAnsi="宋体" w:eastAsia="宋体" w:cs="宋体"/>
                <w:b w:val="0"/>
                <w:sz w:val="24"/>
                <w:szCs w:val="24"/>
              </w:rPr>
              <w:br w:type="textWrapping"/>
            </w:r>
            <w:r>
              <w:rPr>
                <w:rFonts w:hint="eastAsia" w:ascii="宋体" w:hAnsi="宋体" w:eastAsia="宋体" w:cs="宋体"/>
                <w:kern w:val="2"/>
                <w:sz w:val="24"/>
                <w:szCs w:val="24"/>
              </w:rPr>
              <w:t>■</w:t>
            </w:r>
            <w:r>
              <w:rPr>
                <w:rFonts w:hint="eastAsia" w:ascii="宋体" w:hAnsi="宋体" w:eastAsia="宋体" w:cs="宋体"/>
                <w:b w:val="0"/>
                <w:sz w:val="24"/>
                <w:szCs w:val="24"/>
              </w:rPr>
              <w:t>7.整机支持搭配具有NFC功能的手机、平板，通过接触整机设备上的NFC标签，即可实现手机、平板与大屏的连接并同步手机、平板的画面到设备上，无需其它操作设置，支持不少于4台手机、平板同时连接并显示；</w:t>
            </w:r>
            <w:r>
              <w:rPr>
                <w:rFonts w:hint="eastAsia" w:ascii="宋体" w:hAnsi="宋体" w:eastAsia="宋体" w:cs="宋体"/>
                <w:sz w:val="24"/>
                <w:szCs w:val="24"/>
                <w:lang w:bidi="ar"/>
              </w:rPr>
              <w:t>（投标文件中提供第三方有权检测机构出具的带有CMA或CNAS标识的检测报告扫描件）</w:t>
            </w:r>
            <w:r>
              <w:rPr>
                <w:rFonts w:hint="eastAsia" w:ascii="宋体" w:hAnsi="宋体" w:eastAsia="宋体" w:cs="宋体"/>
                <w:b w:val="0"/>
                <w:sz w:val="24"/>
                <w:szCs w:val="24"/>
              </w:rPr>
              <w:br w:type="textWrapping"/>
            </w:r>
            <w:r>
              <w:rPr>
                <w:rFonts w:hint="eastAsia" w:ascii="宋体" w:hAnsi="宋体" w:eastAsia="宋体" w:cs="宋体"/>
                <w:b w:val="0"/>
                <w:sz w:val="24"/>
                <w:szCs w:val="24"/>
              </w:rPr>
              <w:t>8.整机支持蓝牙Bluetooth 5.2标准，固件版本号HCI11.2/LMP11.2</w:t>
            </w:r>
            <w:r>
              <w:rPr>
                <w:rFonts w:hint="eastAsia" w:ascii="宋体" w:hAnsi="宋体" w:eastAsia="宋体" w:cs="宋体"/>
                <w:b w:val="0"/>
                <w:sz w:val="24"/>
                <w:szCs w:val="24"/>
              </w:rPr>
              <w:br w:type="textWrapping"/>
            </w:r>
            <w:r>
              <w:rPr>
                <w:rFonts w:hint="eastAsia" w:ascii="宋体" w:hAnsi="宋体" w:eastAsia="宋体" w:cs="宋体"/>
                <w:b w:val="0"/>
                <w:sz w:val="24"/>
                <w:szCs w:val="24"/>
                <w:lang w:eastAsia="zh-Hans"/>
              </w:rPr>
              <w:t>三</w:t>
            </w:r>
            <w:r>
              <w:rPr>
                <w:rFonts w:hint="eastAsia" w:ascii="宋体" w:hAnsi="宋体" w:eastAsia="宋体" w:cs="宋体"/>
                <w:b w:val="0"/>
                <w:sz w:val="24"/>
                <w:szCs w:val="24"/>
              </w:rPr>
              <w:t>、OPS电脑要求如下</w:t>
            </w:r>
            <w:r>
              <w:rPr>
                <w:rFonts w:hint="eastAsia" w:ascii="宋体" w:hAnsi="宋体" w:eastAsia="宋体" w:cs="宋体"/>
                <w:b w:val="0"/>
                <w:sz w:val="24"/>
                <w:szCs w:val="24"/>
              </w:rPr>
              <w:br w:type="textWrapping"/>
            </w:r>
            <w:r>
              <w:rPr>
                <w:rFonts w:hint="eastAsia" w:ascii="宋体" w:hAnsi="宋体" w:eastAsia="宋体" w:cs="宋体"/>
                <w:b w:val="0"/>
                <w:sz w:val="24"/>
                <w:szCs w:val="24"/>
              </w:rPr>
              <w:t>1.主板采用H510芯片组，搭载Intel 10代酷睿系列i5  CPU；内存：8GB DDR4笔记本内存或以上；硬盘：256GB或以上SSD固态硬盘</w:t>
            </w:r>
            <w:r>
              <w:rPr>
                <w:rFonts w:hint="eastAsia" w:ascii="宋体" w:hAnsi="宋体" w:eastAsia="宋体" w:cs="宋体"/>
                <w:b w:val="0"/>
                <w:sz w:val="24"/>
                <w:szCs w:val="24"/>
              </w:rPr>
              <w:br w:type="textWrapping"/>
            </w:r>
            <w:r>
              <w:rPr>
                <w:rFonts w:hint="eastAsia" w:ascii="宋体" w:hAnsi="宋体" w:eastAsia="宋体" w:cs="宋体"/>
                <w:kern w:val="2"/>
                <w:sz w:val="24"/>
                <w:szCs w:val="24"/>
              </w:rPr>
              <w:t>■</w:t>
            </w:r>
            <w:r>
              <w:rPr>
                <w:rFonts w:hint="eastAsia" w:ascii="宋体" w:hAnsi="宋体" w:eastAsia="宋体" w:cs="宋体"/>
                <w:b w:val="0"/>
                <w:sz w:val="24"/>
                <w:szCs w:val="24"/>
              </w:rPr>
              <w:t>2.采用按压式卡扣，无需工具即可快速拆卸电脑模块，且PC模块可抽拉式插入整机，可实现无单独接线的插拔。</w:t>
            </w:r>
            <w:r>
              <w:rPr>
                <w:rFonts w:hint="eastAsia" w:ascii="宋体" w:hAnsi="宋体" w:eastAsia="宋体" w:cs="宋体"/>
                <w:sz w:val="24"/>
                <w:szCs w:val="24"/>
                <w:lang w:bidi="ar"/>
              </w:rPr>
              <w:t>（投标文件中提供第三方有权检测机构出具的带有CMA或CNAS标识的检测报告扫描件）</w:t>
            </w:r>
            <w:r>
              <w:rPr>
                <w:rFonts w:hint="eastAsia" w:ascii="宋体" w:hAnsi="宋体" w:eastAsia="宋体" w:cs="宋体"/>
                <w:b w:val="0"/>
                <w:sz w:val="24"/>
                <w:szCs w:val="24"/>
              </w:rPr>
              <w:br w:type="textWrapping"/>
            </w:r>
            <w:r>
              <w:rPr>
                <w:rFonts w:hint="eastAsia" w:ascii="宋体" w:hAnsi="宋体" w:eastAsia="宋体" w:cs="宋体"/>
                <w:b w:val="0"/>
                <w:sz w:val="24"/>
                <w:szCs w:val="24"/>
              </w:rPr>
              <w:t>3.与整机的连接采用万兆级接口，传输速率≥10Gbps。</w:t>
            </w:r>
          </w:p>
          <w:p>
            <w:pPr>
              <w:pStyle w:val="33"/>
              <w:widowControl w:val="0"/>
              <w:spacing w:before="0" w:beforeAutospacing="0" w:after="0" w:afterAutospacing="0" w:line="360" w:lineRule="auto"/>
              <w:jc w:val="left"/>
              <w:rPr>
                <w:rFonts w:ascii="宋体" w:hAnsi="宋体" w:eastAsia="宋体" w:cs="宋体"/>
                <w:b w:val="0"/>
                <w:sz w:val="24"/>
                <w:szCs w:val="24"/>
                <w:lang w:eastAsia="zh-Hans"/>
              </w:rPr>
            </w:pPr>
            <w:r>
              <w:rPr>
                <w:rFonts w:hint="eastAsia" w:ascii="宋体" w:hAnsi="宋体" w:eastAsia="宋体" w:cs="宋体"/>
                <w:b w:val="0"/>
                <w:sz w:val="24"/>
                <w:szCs w:val="24"/>
                <w:lang w:eastAsia="zh-Hans"/>
              </w:rPr>
              <w:t>四</w:t>
            </w:r>
            <w:r>
              <w:rPr>
                <w:rFonts w:hint="eastAsia" w:ascii="宋体" w:hAnsi="宋体" w:eastAsia="宋体" w:cs="宋体"/>
                <w:b w:val="0"/>
                <w:sz w:val="24"/>
                <w:szCs w:val="24"/>
              </w:rPr>
              <w:t>、</w:t>
            </w:r>
            <w:r>
              <w:rPr>
                <w:rFonts w:hint="eastAsia" w:ascii="宋体" w:hAnsi="宋体" w:eastAsia="宋体" w:cs="宋体"/>
                <w:b w:val="0"/>
                <w:sz w:val="24"/>
                <w:szCs w:val="24"/>
                <w:lang w:eastAsia="zh-Hans"/>
              </w:rPr>
              <w:t>无线传屏器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lang w:eastAsia="zh-Hans"/>
              </w:rPr>
              <w:t>1</w:t>
            </w:r>
            <w:r>
              <w:rPr>
                <w:rFonts w:hint="eastAsia" w:ascii="宋体" w:hAnsi="宋体" w:eastAsia="宋体" w:cs="宋体"/>
                <w:b w:val="0"/>
                <w:sz w:val="24"/>
                <w:szCs w:val="24"/>
              </w:rPr>
              <w:t>.产品配备外置接收模块，可实现外部电脑音视频信号实时传输到触摸一体机上（无论整机处于任何通道），并可支持触摸回传，支持免安装驱动，即插即用；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lang w:eastAsia="zh-Hans"/>
              </w:rPr>
              <w:t>2</w:t>
            </w:r>
            <w:r>
              <w:rPr>
                <w:rFonts w:hint="eastAsia" w:ascii="宋体" w:hAnsi="宋体" w:eastAsia="宋体" w:cs="宋体"/>
                <w:b w:val="0"/>
                <w:sz w:val="24"/>
                <w:szCs w:val="24"/>
              </w:rPr>
              <w:t>.支持操作系统：Win7/Win8/Win8.1/Win10/Mac OS10.10及以上；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3.手机和电脑支持混合投屏展示，最多支持九画面同屏展示，可对每个投屏内容进行独立反向操作，最多可连接32台设备；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4.可以仅对一个窗口进行无线投屏，其他窗口内容不做展示，保证沉浸式+个人端隐私；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5.无线传屏器无需插入大屏，支持蓝牙快速配对；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6.软硬件传屏可以支持国产化操作系统，如UOS、麒麟OS，包括X86架构和ARM架构。</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五、移动支架</w:t>
            </w:r>
            <w:r>
              <w:rPr>
                <w:rFonts w:hint="eastAsia" w:ascii="宋体" w:hAnsi="宋体" w:eastAsia="宋体" w:cs="宋体"/>
                <w:b w:val="0"/>
                <w:sz w:val="24"/>
                <w:szCs w:val="24"/>
              </w:rPr>
              <w:br w:type="textWrapping"/>
            </w:r>
            <w:r>
              <w:rPr>
                <w:rFonts w:hint="eastAsia" w:ascii="宋体" w:hAnsi="宋体" w:eastAsia="宋体" w:cs="宋体"/>
                <w:b w:val="0"/>
                <w:sz w:val="24"/>
                <w:szCs w:val="24"/>
              </w:rPr>
              <w:t>1.产品颜色：黑色/灰色；</w:t>
            </w:r>
            <w:r>
              <w:rPr>
                <w:rFonts w:hint="eastAsia" w:ascii="宋体" w:hAnsi="宋体" w:eastAsia="宋体" w:cs="宋体"/>
                <w:b w:val="0"/>
                <w:sz w:val="24"/>
                <w:szCs w:val="24"/>
              </w:rPr>
              <w:br w:type="textWrapping"/>
            </w:r>
            <w:r>
              <w:rPr>
                <w:rFonts w:hint="eastAsia" w:ascii="宋体" w:hAnsi="宋体" w:eastAsia="宋体" w:cs="宋体"/>
                <w:b w:val="0"/>
                <w:sz w:val="24"/>
                <w:szCs w:val="24"/>
              </w:rPr>
              <w:t>2.金属材质；</w:t>
            </w:r>
            <w:r>
              <w:rPr>
                <w:rFonts w:hint="eastAsia" w:ascii="宋体" w:hAnsi="宋体" w:eastAsia="宋体" w:cs="宋体"/>
                <w:b w:val="0"/>
                <w:sz w:val="24"/>
                <w:szCs w:val="24"/>
              </w:rPr>
              <w:br w:type="textWrapping"/>
            </w:r>
            <w:r>
              <w:rPr>
                <w:rFonts w:hint="eastAsia" w:ascii="宋体" w:hAnsi="宋体" w:eastAsia="宋体" w:cs="宋体"/>
                <w:b w:val="0"/>
                <w:sz w:val="24"/>
                <w:szCs w:val="24"/>
              </w:rPr>
              <w:t>3.适用最大孔距：950*600mm±2%；</w:t>
            </w:r>
            <w:r>
              <w:rPr>
                <w:rFonts w:hint="eastAsia" w:ascii="宋体" w:hAnsi="宋体" w:eastAsia="宋体" w:cs="宋体"/>
                <w:b w:val="0"/>
                <w:sz w:val="24"/>
                <w:szCs w:val="24"/>
              </w:rPr>
              <w:br w:type="textWrapping"/>
            </w:r>
            <w:r>
              <w:rPr>
                <w:rFonts w:hint="eastAsia" w:ascii="宋体" w:hAnsi="宋体" w:eastAsia="宋体" w:cs="宋体"/>
                <w:b w:val="0"/>
                <w:sz w:val="24"/>
                <w:szCs w:val="24"/>
              </w:rPr>
              <w:t>4.尺寸：63-86寸；</w:t>
            </w:r>
            <w:r>
              <w:rPr>
                <w:rFonts w:hint="eastAsia" w:ascii="宋体" w:hAnsi="宋体" w:eastAsia="宋体" w:cs="宋体"/>
                <w:b w:val="0"/>
                <w:sz w:val="24"/>
                <w:szCs w:val="24"/>
              </w:rPr>
              <w:br w:type="textWrapping"/>
            </w:r>
            <w:r>
              <w:rPr>
                <w:rFonts w:hint="eastAsia" w:ascii="宋体" w:hAnsi="宋体" w:eastAsia="宋体" w:cs="宋体"/>
                <w:b w:val="0"/>
                <w:sz w:val="24"/>
                <w:szCs w:val="24"/>
              </w:rPr>
              <w:t>5.最大承重：≥150kg；</w:t>
            </w:r>
            <w:r>
              <w:rPr>
                <w:rFonts w:hint="eastAsia" w:ascii="宋体" w:hAnsi="宋体" w:eastAsia="宋体" w:cs="宋体"/>
                <w:b w:val="0"/>
                <w:sz w:val="24"/>
                <w:szCs w:val="24"/>
              </w:rPr>
              <w:br w:type="textWrapping"/>
            </w:r>
            <w:r>
              <w:rPr>
                <w:rFonts w:hint="eastAsia" w:ascii="宋体" w:hAnsi="宋体" w:eastAsia="宋体" w:cs="宋体"/>
                <w:b w:val="0"/>
                <w:sz w:val="24"/>
                <w:szCs w:val="24"/>
              </w:rPr>
              <w:t>6.产品自重：≤37kg。</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77</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施工辅材及施工费</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一、总体要求根据现场需求进行静电地板施工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全钢化防静电地板。防火性能A级,全钢外壳结构，底在采用拉伸板，表面选用硬质钢板，四周导电嵌条解镶边,支座使用钢板模压成型，丝杆可任意调节，横梁选用方管制作，600mm*600mm*35mm;GB8624-2006建设材料及制品燃烧性能分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2.钢板厚度：上为0.5mm下为0.4mm，支架采用1.0mm加厚支架，支架地面到板面20cm；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rPr>
              <w:t>★</w:t>
            </w:r>
            <w:r>
              <w:rPr>
                <w:rFonts w:hint="eastAsia" w:ascii="宋体" w:hAnsi="宋体" w:eastAsia="宋体" w:cs="宋体"/>
                <w:b w:val="0"/>
                <w:sz w:val="24"/>
                <w:szCs w:val="24"/>
              </w:rPr>
              <w:t>3.对地电阻符合GB/T 36340-2018导静电型: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1.0x1042~1.0x1062静电耗散型:1.0x102~1.0x10%；</w:t>
            </w:r>
            <w:r>
              <w:rPr>
                <w:rFonts w:hint="eastAsia" w:ascii="宋体" w:hAnsi="宋体" w:eastAsia="宋体" w:cs="宋体"/>
                <w:sz w:val="24"/>
                <w:szCs w:val="24"/>
              </w:rPr>
              <w:t>（投标文件中提供第三方有权检测机构出具的带有CMA或CNAS标识的检测报告扫描件）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4.具有防滑、耐磨、易清洁等，适用于实验室防静电的场所；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5.面积100平方米；</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二、六类网线施工（根据现场施工需求，采购人不再另行追加费用，供应商自行考虑投标风险）</w:t>
            </w:r>
            <w:r>
              <w:rPr>
                <w:rFonts w:hint="eastAsia" w:ascii="宋体" w:hAnsi="宋体" w:eastAsia="宋体" w:cs="宋体"/>
                <w:b w:val="0"/>
                <w:sz w:val="24"/>
                <w:szCs w:val="24"/>
              </w:rPr>
              <w:br w:type="textWrapping"/>
            </w:r>
            <w:r>
              <w:rPr>
                <w:rFonts w:hint="eastAsia" w:ascii="宋体" w:hAnsi="宋体" w:eastAsia="宋体" w:cs="宋体"/>
                <w:b w:val="0"/>
                <w:sz w:val="24"/>
                <w:szCs w:val="24"/>
              </w:rPr>
              <w:t>1.符合ISO/IEC 11801:2000 标准和 ANSI/TIA/EIA568-C.2 的标准；</w:t>
            </w:r>
            <w:r>
              <w:rPr>
                <w:rFonts w:hint="eastAsia" w:ascii="宋体" w:hAnsi="宋体" w:eastAsia="宋体" w:cs="宋体"/>
                <w:b w:val="0"/>
                <w:sz w:val="24"/>
                <w:szCs w:val="24"/>
              </w:rPr>
              <w:br w:type="textWrapping"/>
            </w:r>
            <w:r>
              <w:rPr>
                <w:rFonts w:hint="eastAsia" w:ascii="宋体" w:hAnsi="宋体" w:eastAsia="宋体" w:cs="宋体"/>
                <w:b w:val="0"/>
                <w:sz w:val="24"/>
                <w:szCs w:val="24"/>
              </w:rPr>
              <w:t>2.带宽：传输带宽高达 500MHz 以上；</w:t>
            </w:r>
            <w:r>
              <w:rPr>
                <w:rFonts w:hint="eastAsia" w:ascii="宋体" w:hAnsi="宋体" w:eastAsia="宋体" w:cs="宋体"/>
                <w:b w:val="0"/>
                <w:sz w:val="24"/>
                <w:szCs w:val="24"/>
              </w:rPr>
              <w:br w:type="textWrapping"/>
            </w:r>
            <w:r>
              <w:rPr>
                <w:rFonts w:hint="eastAsia" w:ascii="宋体" w:hAnsi="宋体" w:eastAsia="宋体" w:cs="宋体"/>
                <w:b w:val="0"/>
                <w:sz w:val="24"/>
                <w:szCs w:val="24"/>
              </w:rPr>
              <w:t>3.采用 99.996%无氧铜；</w:t>
            </w:r>
            <w:r>
              <w:rPr>
                <w:rFonts w:hint="eastAsia" w:ascii="宋体" w:hAnsi="宋体" w:eastAsia="宋体" w:cs="宋体"/>
                <w:b w:val="0"/>
                <w:sz w:val="24"/>
                <w:szCs w:val="24"/>
              </w:rPr>
              <w:br w:type="textWrapping"/>
            </w:r>
            <w:r>
              <w:rPr>
                <w:rFonts w:hint="eastAsia" w:ascii="宋体" w:hAnsi="宋体" w:eastAsia="宋体" w:cs="宋体"/>
                <w:b w:val="0"/>
                <w:sz w:val="24"/>
                <w:szCs w:val="24"/>
              </w:rPr>
              <w:t>4.设计要求：芯线采用串联设备一次成型，小于1%的绝缘层厚度变化，99.5%铜；导体同心度, 近乎完美的线对対绞；</w:t>
            </w:r>
            <w:r>
              <w:rPr>
                <w:rFonts w:hint="eastAsia" w:ascii="宋体" w:hAnsi="宋体" w:eastAsia="宋体" w:cs="宋体"/>
                <w:b w:val="0"/>
                <w:sz w:val="24"/>
                <w:szCs w:val="24"/>
              </w:rPr>
              <w:br w:type="textWrapping"/>
            </w:r>
            <w:r>
              <w:rPr>
                <w:rFonts w:hint="eastAsia" w:ascii="宋体" w:hAnsi="宋体" w:eastAsia="宋体" w:cs="宋体"/>
                <w:b w:val="0"/>
                <w:sz w:val="24"/>
                <w:szCs w:val="24"/>
              </w:rPr>
              <w:t>5.支持千兆以太网，最大限度的提高线缆传输速率，为未来应用提供额外带宽；</w:t>
            </w:r>
            <w:r>
              <w:rPr>
                <w:rFonts w:hint="eastAsia" w:ascii="宋体" w:hAnsi="宋体" w:eastAsia="宋体" w:cs="宋体"/>
                <w:b w:val="0"/>
                <w:sz w:val="24"/>
                <w:szCs w:val="24"/>
              </w:rPr>
              <w:br w:type="textWrapping"/>
            </w:r>
            <w:r>
              <w:rPr>
                <w:rFonts w:hint="eastAsia" w:ascii="宋体" w:hAnsi="宋体" w:eastAsia="宋体" w:cs="宋体"/>
                <w:b w:val="0"/>
                <w:sz w:val="24"/>
                <w:szCs w:val="24"/>
              </w:rPr>
              <w:t>6.线缆结构：带十字芯骨架结构，更好的隔离效果；</w:t>
            </w:r>
            <w:r>
              <w:rPr>
                <w:rFonts w:hint="eastAsia" w:ascii="宋体" w:hAnsi="宋体" w:eastAsia="宋体" w:cs="宋体"/>
                <w:b w:val="0"/>
                <w:sz w:val="24"/>
                <w:szCs w:val="24"/>
              </w:rPr>
              <w:br w:type="textWrapping"/>
            </w:r>
            <w:r>
              <w:rPr>
                <w:rFonts w:hint="eastAsia" w:ascii="宋体" w:hAnsi="宋体" w:eastAsia="宋体" w:cs="宋体"/>
                <w:b w:val="0"/>
                <w:sz w:val="24"/>
                <w:szCs w:val="24"/>
              </w:rPr>
              <w:t>7.通过以太网零误码率传输性能测试；</w:t>
            </w:r>
            <w:r>
              <w:rPr>
                <w:rFonts w:hint="eastAsia" w:ascii="宋体" w:hAnsi="宋体" w:eastAsia="宋体" w:cs="宋体"/>
                <w:b w:val="0"/>
                <w:sz w:val="24"/>
                <w:szCs w:val="24"/>
              </w:rPr>
              <w:br w:type="textWrapping"/>
            </w:r>
            <w:r>
              <w:rPr>
                <w:rFonts w:hint="eastAsia" w:ascii="宋体" w:hAnsi="宋体" w:eastAsia="宋体" w:cs="宋体"/>
                <w:b w:val="0"/>
                <w:sz w:val="24"/>
                <w:szCs w:val="24"/>
              </w:rPr>
              <w:t>8.防火等级：可选 CM、CMR、CMP 以及 LSZH 等级；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9.需各终端标识清晰。</w:t>
            </w:r>
            <w:r>
              <w:rPr>
                <w:rFonts w:hint="eastAsia" w:ascii="宋体" w:hAnsi="宋体" w:eastAsia="宋体" w:cs="宋体"/>
                <w:b w:val="0"/>
                <w:sz w:val="24"/>
                <w:szCs w:val="24"/>
              </w:rPr>
              <w:br w:type="textWrapping"/>
            </w:r>
            <w:r>
              <w:rPr>
                <w:rFonts w:hint="eastAsia" w:ascii="宋体" w:hAnsi="宋体" w:eastAsia="宋体" w:cs="宋体"/>
                <w:b w:val="0"/>
                <w:sz w:val="24"/>
                <w:szCs w:val="24"/>
              </w:rPr>
              <w:t>三、电源线施工（根据现场施工需求，采购人不再另行追加费用，供应商自行考虑投标风险）</w:t>
            </w:r>
            <w:r>
              <w:rPr>
                <w:rFonts w:hint="eastAsia" w:ascii="宋体" w:hAnsi="宋体" w:eastAsia="宋体" w:cs="宋体"/>
                <w:b w:val="0"/>
                <w:sz w:val="24"/>
                <w:szCs w:val="24"/>
              </w:rPr>
              <w:br w:type="textWrapping"/>
            </w:r>
            <w:r>
              <w:rPr>
                <w:rFonts w:hint="eastAsia" w:ascii="宋体" w:hAnsi="宋体" w:eastAsia="宋体" w:cs="宋体"/>
                <w:b w:val="0"/>
                <w:sz w:val="24"/>
                <w:szCs w:val="24"/>
              </w:rPr>
              <w:t>1.线径不低于2.5mm²；</w:t>
            </w:r>
            <w:r>
              <w:rPr>
                <w:rFonts w:hint="eastAsia" w:ascii="宋体" w:hAnsi="宋体" w:eastAsia="宋体" w:cs="宋体"/>
                <w:b w:val="0"/>
                <w:sz w:val="24"/>
                <w:szCs w:val="24"/>
              </w:rPr>
              <w:br w:type="textWrapping"/>
            </w:r>
            <w:r>
              <w:rPr>
                <w:rFonts w:hint="eastAsia" w:ascii="宋体" w:hAnsi="宋体" w:eastAsia="宋体" w:cs="宋体"/>
                <w:b w:val="0"/>
                <w:sz w:val="24"/>
                <w:szCs w:val="24"/>
              </w:rPr>
              <w:t>2.纯铜材质；</w:t>
            </w:r>
            <w:r>
              <w:rPr>
                <w:rFonts w:hint="eastAsia" w:ascii="宋体" w:hAnsi="宋体" w:eastAsia="宋体" w:cs="宋体"/>
                <w:b w:val="0"/>
                <w:sz w:val="24"/>
                <w:szCs w:val="24"/>
              </w:rPr>
              <w:br w:type="textWrapping"/>
            </w:r>
            <w:r>
              <w:rPr>
                <w:rFonts w:hint="eastAsia" w:ascii="宋体" w:hAnsi="宋体" w:eastAsia="宋体" w:cs="宋体"/>
                <w:b w:val="0"/>
                <w:sz w:val="24"/>
                <w:szCs w:val="24"/>
              </w:rPr>
              <w:t>3.绝缘层不低于国标标准。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四、工具间挂板1套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工具挂板若干，满足工具间工具挂件需求，钣金厚度：1.5mm，尺寸：850x650x40mm，安装于工具间墙面；</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五、工具间工作台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整体尺寸不小于5000*750*2400mm（根据工具间现场尺寸进行适当调整），满足工具间工具领用台面需求。</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1项</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567" w:hRule="atLeast"/>
          <w:jc w:val="center"/>
        </w:trPr>
        <w:tc>
          <w:tcPr>
            <w:tcW w:w="72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78</w:t>
            </w:r>
          </w:p>
        </w:tc>
        <w:tc>
          <w:tcPr>
            <w:tcW w:w="1100"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实训室文化建设</w:t>
            </w:r>
          </w:p>
        </w:tc>
        <w:tc>
          <w:tcPr>
            <w:tcW w:w="555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1.收集有关民航安全生产的法律法规、民航维修相关规章制度、民航维修相关标准，建立和完善符合学院实际的维修实训管理制度体系；</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2.设计维修实训场地管理告示栏、实训设备介绍告示牌，主要内容包括场地管理人，场地内实训设施设备名称、数量、主要功能、使用注意事项，课程表，开发相应的文档、图片模板；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设计建设通用和专用的维修实训环境标识系统：通用标识系统用于所有实训室，主要包括实训室安全管理规范、标识标线、警示牌、安全撤离路径等；专用标识系统结合实训场地工作任务，设计放置安全标识、警示牌、图版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在实训场地文化建设：设计建设维修作风宣传栏（版）、标语、标识，宣传领导人关于安全的报道、指示，安全生产法律法规，职业教育法律法规，体现当代民航精神、三个敬畏、四个意识、五个到位等民航行业的内容，结合职业教育特点，民航行业特点，潜移默化提升学生的职业素养；</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本项目所指的实训场地包括不限于以下实训室：工具间、危险化学品储藏间、钳工实训室、钣金实训室、发动机实训室、紧固件保险实训室、密封防腐润滑实训室、管路实训室飞机起落架实训室、飞机操纵系统实训室、飞机标准线路施工实训室、飞机电气设备实训室，文化建设的区域包括实训室内部空间和实训室外部的墙面，走廊，楼梯等公共区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6.各实验室排版数量不低于10副以上；</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1项</w:t>
            </w:r>
          </w:p>
        </w:tc>
        <w:tc>
          <w:tcPr>
            <w:tcW w:w="81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bl>
    <w:p>
      <w:pPr>
        <w:rPr>
          <w:rFonts w:ascii="宋体" w:hAnsi="宋体" w:eastAsia="宋体"/>
          <w:sz w:val="24"/>
        </w:rPr>
      </w:pPr>
      <w:r>
        <w:rPr>
          <w:rFonts w:ascii="宋体" w:hAnsi="宋体" w:eastAsia="宋体"/>
          <w:sz w:val="24"/>
        </w:rPr>
        <w:br w:type="page"/>
      </w:r>
    </w:p>
    <w:tbl>
      <w:tblPr>
        <w:tblStyle w:val="24"/>
        <w:tblW w:w="9829" w:type="dxa"/>
        <w:tblInd w:w="-427" w:type="dxa"/>
        <w:tblLayout w:type="fixed"/>
        <w:tblCellMar>
          <w:top w:w="0" w:type="dxa"/>
          <w:left w:w="108" w:type="dxa"/>
          <w:bottom w:w="0" w:type="dxa"/>
          <w:right w:w="108" w:type="dxa"/>
        </w:tblCellMar>
      </w:tblPr>
      <w:tblGrid>
        <w:gridCol w:w="781"/>
        <w:gridCol w:w="1137"/>
        <w:gridCol w:w="5789"/>
        <w:gridCol w:w="1264"/>
        <w:gridCol w:w="858"/>
      </w:tblGrid>
      <w:tr>
        <w:tblPrEx>
          <w:tblCellMar>
            <w:top w:w="0" w:type="dxa"/>
            <w:left w:w="108" w:type="dxa"/>
            <w:bottom w:w="0" w:type="dxa"/>
            <w:right w:w="108" w:type="dxa"/>
          </w:tblCellMar>
        </w:tblPrEx>
        <w:trPr>
          <w:trHeight w:val="1048" w:hRule="atLeast"/>
        </w:trPr>
        <w:tc>
          <w:tcPr>
            <w:tcW w:w="9414"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产教融合实训基地建设项目（第一、二包）（第二包）</w:t>
            </w:r>
          </w:p>
        </w:tc>
      </w:tr>
      <w:tr>
        <w:tblPrEx>
          <w:tblCellMar>
            <w:top w:w="0" w:type="dxa"/>
            <w:left w:w="108" w:type="dxa"/>
            <w:bottom w:w="0" w:type="dxa"/>
            <w:right w:w="108" w:type="dxa"/>
          </w:tblCellMar>
        </w:tblPrEx>
        <w:trPr>
          <w:trHeight w:val="415" w:hRule="atLeast"/>
        </w:trPr>
        <w:tc>
          <w:tcPr>
            <w:tcW w:w="747"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序号</w:t>
            </w:r>
          </w:p>
        </w:tc>
        <w:tc>
          <w:tcPr>
            <w:tcW w:w="1089"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货物名称</w:t>
            </w:r>
          </w:p>
        </w:tc>
        <w:tc>
          <w:tcPr>
            <w:tcW w:w="554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技术参数及要求</w:t>
            </w:r>
          </w:p>
        </w:tc>
        <w:tc>
          <w:tcPr>
            <w:tcW w:w="121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数量</w:t>
            </w:r>
          </w:p>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（单位）</w:t>
            </w:r>
          </w:p>
        </w:tc>
        <w:tc>
          <w:tcPr>
            <w:tcW w:w="822"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备注</w:t>
            </w:r>
          </w:p>
        </w:tc>
      </w:tr>
      <w:tr>
        <w:tblPrEx>
          <w:tblCellMar>
            <w:top w:w="0" w:type="dxa"/>
            <w:left w:w="108" w:type="dxa"/>
            <w:bottom w:w="0" w:type="dxa"/>
            <w:right w:w="108" w:type="dxa"/>
          </w:tblCellMar>
        </w:tblPrEx>
        <w:trPr>
          <w:trHeight w:val="415" w:hRule="atLeast"/>
        </w:trPr>
        <w:tc>
          <w:tcPr>
            <w:tcW w:w="747"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w:t>
            </w:r>
          </w:p>
        </w:tc>
        <w:tc>
          <w:tcPr>
            <w:tcW w:w="1089"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飞机维护修理训练模拟实训系统-教师端</w:t>
            </w:r>
          </w:p>
        </w:tc>
        <w:tc>
          <w:tcPr>
            <w:tcW w:w="554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一、系统基本功能</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1.飞机维护修理训练模拟实训系统配套设备，需满足民航CCAR-147基础执照培训、机型培训以及航空类院校关于开展面向专业课程实训教学的相关需求；</w:t>
            </w:r>
            <w:r>
              <w:rPr>
                <w:rFonts w:hint="eastAsia" w:ascii="宋体" w:hAnsi="宋体" w:eastAsia="宋体" w:cs="宋体"/>
                <w:sz w:val="24"/>
                <w:szCs w:val="24"/>
                <w:lang w:bidi="ar"/>
              </w:rPr>
              <w:t>（投标文件中需提供CCAR-147机构出具的至少两种机型软件的测试证明，格式自拟）</w:t>
            </w:r>
            <w:r>
              <w:rPr>
                <w:rFonts w:hint="eastAsia" w:ascii="宋体" w:hAnsi="宋体" w:eastAsia="宋体" w:cs="宋体"/>
                <w:b w:val="0"/>
                <w:sz w:val="24"/>
                <w:szCs w:val="24"/>
              </w:rPr>
              <w:br w:type="textWrapping"/>
            </w:r>
            <w:r>
              <w:rPr>
                <w:rFonts w:hint="eastAsia" w:ascii="宋体" w:hAnsi="宋体" w:eastAsia="宋体" w:cs="宋体"/>
                <w:b w:val="0"/>
                <w:sz w:val="24"/>
                <w:szCs w:val="24"/>
              </w:rPr>
              <w:t>2.飞机维护修理训练模拟实训系统应至少包括民航飞机机型B737CL、B737NG、B787、B737MAX、A320NEO、A320、A350、C919和通航R44直升机机型共计九种机型；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3.飞机维护修理训练模拟实训系统中B737CL、B737NG、B787、B737MAX、A320NEO、A320、A350、R44各机型应当包括：虚拟座舱、虚拟飞机、训练控制/手册查询三个模块：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（1）虚拟座舱模块需能够实现相应机型的驾驶舱通电操作、发动机试车；</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（2）虚拟飞机模块需能够进入各个舱室实现部件识别认知功能；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（3）训练控制模块需能够实现系统的故障设置、原理图演示、科目选择、飞机状态设置等辅助教学功能；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（4）手册查询模块能够实现各机型实时查询手册，实时教学功能；</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4.飞机维护修理训练模拟实训系统为一个通用的多机型平台，至少包括民航飞机机型B737CL、B737NG、B787、B737MAX、A320NEO、A320、A350、C919和通航R44直升机机型共计九种机型，平台功能需满足：</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（1）教师端九种机型应当能够实时自由切换，切换时间不应超过30秒；</w:t>
            </w:r>
            <w:r>
              <w:rPr>
                <w:rFonts w:hint="eastAsia" w:ascii="宋体" w:hAnsi="宋体" w:eastAsia="宋体" w:cs="宋体"/>
                <w:b w:val="0"/>
                <w:sz w:val="24"/>
                <w:szCs w:val="24"/>
              </w:rPr>
              <w:br w:type="textWrapping"/>
            </w:r>
            <w:r>
              <w:rPr>
                <w:rFonts w:hint="eastAsia" w:ascii="宋体" w:hAnsi="宋体" w:eastAsia="宋体" w:cs="宋体"/>
                <w:b w:val="0"/>
                <w:sz w:val="24"/>
                <w:szCs w:val="24"/>
              </w:rPr>
              <w:t>（2）机型系统需为自由操作（FreePlay）模式，驾驶舱所有面板和部件可能够自由操作，不受科目限制；</w:t>
            </w:r>
            <w:r>
              <w:rPr>
                <w:rFonts w:hint="eastAsia" w:ascii="宋体" w:hAnsi="宋体" w:eastAsia="宋体" w:cs="宋体"/>
                <w:b w:val="0"/>
                <w:sz w:val="24"/>
                <w:szCs w:val="24"/>
              </w:rPr>
              <w:br w:type="textWrapping"/>
            </w:r>
            <w:r>
              <w:rPr>
                <w:rFonts w:hint="eastAsia" w:ascii="宋体" w:hAnsi="宋体" w:eastAsia="宋体" w:cs="宋体"/>
                <w:b w:val="0"/>
                <w:sz w:val="24"/>
                <w:szCs w:val="24"/>
              </w:rPr>
              <w:t>（3）通电测试（FOT）：需实现驾驶舱通电测试功能，具备设备面板操作、MCDU测试操作，操作模拟；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（4）系统显示分别为虚拟座舱屏、虚拟飞机屏、训练控制屏，界面需为全屏模式，适配分辨率1920*1080；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（5）C919机型为全三维虚拟飞机实训系统；</w:t>
            </w:r>
            <w:r>
              <w:rPr>
                <w:rFonts w:hint="eastAsia" w:ascii="宋体" w:hAnsi="宋体" w:eastAsia="宋体" w:cs="宋体"/>
                <w:b w:val="0"/>
                <w:sz w:val="24"/>
                <w:szCs w:val="24"/>
              </w:rPr>
              <w:br w:type="textWrapping"/>
            </w:r>
            <w:r>
              <w:rPr>
                <w:rFonts w:hint="eastAsia" w:ascii="宋体" w:hAnsi="宋体" w:eastAsia="宋体" w:cs="宋体"/>
                <w:b w:val="0"/>
                <w:sz w:val="24"/>
                <w:szCs w:val="24"/>
              </w:rPr>
              <w:t>二、具体功能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（一）通电测试模块。适用于民航飞机B737NG、B787、B737MAX、A320NEO、A320、A350机型，各机型均应当覆盖下列章节系统（各型飞机各章节设备具体名称不同，但都应当具备该章节的主要维修操作内容）：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ATA21空调系统操作项目包括：连接飞机引气后，通过空调系统进行驾驶舱、客舱、货舱的温度调节等、调整/测试项目包括：中央故障显示系统（CFDS）/多模式控制显示组件（CDU）的驾驶舱和客舱温度控制的操作测试、通风系统的操作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ATA22自动飞行系统操作项目包括：自动驾驶的接通、关断，油门杆使用以及飞行指引仪的操作等、调整/测试项目包括：自动飞行系统（AFS）的操作测试、地面扫描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ATA23通信系统操作项目包括：无线电管理面板、话音记录器等的操作等、调整/测试项目包括：高频通信系统（HF）系统测试、甚高频通信系统（VHF）系统测试、RMP系统测试、CVR的操作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4.ATA24电源系统操作项目包括：不同电源的供电、断电、冷却等操作、调整/测试项目包括：电瓶充电限制器（BCL）操作测试、IDG的重新设定等、设置系统故障并实现系统故障分析与处理的模拟训练功能；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5.ATA26火警系统操作项目包括：发动机、APU等防火操作、调整/测试项目包括：发动机防火测试、APU防火测试、电子设备烟雾探测的操作测试等；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ATA27飞行操纵系统操作项目包括：各飞行舵面的操纵（包括缝翼、升降舵、方向舵等）、调整/测试项目包括：方向舵配平的测试、EFCS的地面扫描测试、升降舵和副翼计算机（ELACs）的操作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7.ATA28燃油系统操作项目包括：燃油控制面板、发动机供油、自动加油等操作、调整/测试项目包括：加油系统的操作测试、交输活门操作测试、油箱高油位传感系统的测试等，能够提供燃油系统排故训练；</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8.ATA29液压系统操作项目包括：用电动泵通过动力转换组件（PTU）给其他系统增压、用电动泵给液压系统增压、发动机启动后液压系统增压、液压系统卸压、储压器充氮气、调整/测试项目包括：PTU的性能检查、液压液压系统的操作测试、低油量警告系统的操作测试、设置系统故障并实现系统故障分析与处理的模拟训练功能；</w:t>
            </w:r>
            <w:r>
              <w:rPr>
                <w:rFonts w:hint="eastAsia" w:ascii="宋体" w:hAnsi="宋体" w:eastAsia="宋体" w:cs="宋体"/>
                <w:sz w:val="24"/>
                <w:szCs w:val="24"/>
                <w:lang w:bidi="ar"/>
              </w:rPr>
              <w:t>（投标文件中需提供每种机型ATA29指示与记录系统通电测试界面清晰截图证明文件）</w:t>
            </w:r>
            <w:r>
              <w:rPr>
                <w:rFonts w:hint="eastAsia" w:ascii="宋体" w:hAnsi="宋体" w:eastAsia="宋体" w:cs="宋体"/>
                <w:b w:val="0"/>
                <w:sz w:val="24"/>
                <w:szCs w:val="24"/>
              </w:rPr>
              <w:br w:type="textWrapping"/>
            </w:r>
            <w:r>
              <w:rPr>
                <w:rFonts w:hint="eastAsia" w:ascii="宋体" w:hAnsi="宋体" w:eastAsia="宋体" w:cs="宋体"/>
                <w:b w:val="0"/>
                <w:sz w:val="24"/>
                <w:szCs w:val="24"/>
              </w:rPr>
              <w:t>9.ATA30防雨防冰系统调整/测试项目包括：发动机进气道防冰保护的操作测试、风挡防雨的功能测试等；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10.ATA31指示与记录调整/测试项目包括：电子仪表系统（EIS）输入测试、系统测试、数据管理组件（FDIMU）测试等、设置系统故障并实现系统故障分析与处理的模拟训练功能；</w:t>
            </w:r>
            <w:r>
              <w:rPr>
                <w:rFonts w:hint="eastAsia" w:ascii="宋体" w:hAnsi="宋体" w:eastAsia="宋体" w:cs="宋体"/>
                <w:sz w:val="24"/>
                <w:szCs w:val="24"/>
                <w:lang w:bidi="ar"/>
              </w:rPr>
              <w:t>（投标文件中需提供每种机型ATA31指示与记录系统通电测试界面清晰截图证明文件）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11.ATA32起落装置系统设置故障并实现系统故障分析与处理的模拟训练功能；操作项目包括：起落架的收放、舱门的打开，转弯操纵、调整/测试项目包括：起落架的BITE测试、刹车转弯BSCU的BITE测试等；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12.ATA33灯光系统调整/测试项目包括：驾驶舱、电子设备舱的照明测试等；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13.ATA34导航系统调整/测试项目包括：IR的接口测试、多模式接收机（MMR）的BITE测试、气象雷达的系统测试、无线电高度表的BITE测试、TCAS的BITE测试、增强型近地警告计算机（GPWC）的操作测试、测距机（DME）的BITE测试、自动定向机（ADF）的BITE测试、甚高频全向信标（VOR）的BITE测试等、设置系统故障并实现系统故障分析与处理的模拟训练功能；</w:t>
            </w:r>
            <w:r>
              <w:rPr>
                <w:rFonts w:hint="eastAsia" w:ascii="宋体" w:hAnsi="宋体" w:eastAsia="宋体" w:cs="宋体"/>
                <w:sz w:val="24"/>
                <w:szCs w:val="24"/>
                <w:lang w:bidi="ar"/>
              </w:rPr>
              <w:t>（投标文件中需提供每种机型ATA34导航系统通电测试界面清晰截图证明文件）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14.ATA35氧气系统能够提供氧气压力指示相关的通电检查训练；</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15.ATA36引气系统调整/测试项目包括：APU引气、发动机引气、地面引气操作、BMC的BITE测试等，设置系统故障并实现系统故障分析与处理的模拟训练功能；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16.ATA49 APU操作项目包括：APU的启动、关车等、调整/测试项目包括：APU的操作测试等、设置系统故障并实现系统故障分析与处理的模拟训练功能；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kern w:val="2"/>
                <w:sz w:val="24"/>
                <w:szCs w:val="24"/>
              </w:rPr>
              <w:t>★</w:t>
            </w:r>
            <w:r>
              <w:rPr>
                <w:rFonts w:hint="eastAsia" w:ascii="宋体" w:hAnsi="宋体" w:eastAsia="宋体" w:cs="宋体"/>
                <w:b w:val="0"/>
                <w:sz w:val="24"/>
                <w:szCs w:val="24"/>
              </w:rPr>
              <w:t>17.ATA70-80动力装置发动机的启动点火、发动机燃油系统、反推系统的操作、打开风扇整流罩、打开反推舱门等、补充滑油调整，测试项目包括：发动机自动启动、人工启动、干冷转、湿冷转、大功率试车、反推试车、自动启动或人工启动完成后关断、干冷转或湿冷转的关断、自动启动中途关断、人工启动中途关断等、设置系统故障并实现系统故障分析与处理的模拟训练功能。其中A320、A320NEO、B787三种机型均应当为两种发动机；</w:t>
            </w:r>
            <w:r>
              <w:rPr>
                <w:rFonts w:hint="eastAsia" w:ascii="宋体" w:hAnsi="宋体" w:eastAsia="宋体" w:cs="宋体"/>
                <w:sz w:val="24"/>
                <w:szCs w:val="24"/>
                <w:lang w:bidi="ar"/>
              </w:rPr>
              <w:t>（投标文件中需提供上述六种机型、九款发动机试车界面清晰截图证明文件）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18.应当具备飞机主要系统的动态原理图，具体内容如下：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B737NG机型应当具备下列动态原理图：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ADIRS-DC POWER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APU IGNITION/STARTING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PASSENGER ADDRESS FUNCTIONAL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ELECTRICAL POWER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ENGINE OIL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ENGINE FUEL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FLIGHT DATA RECORDER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CENTER TANK BOOST PUMP</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AUTOPILOT ENGAGE/DISENGAGE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YAW DAMPER AND WTRIS ENGAGE/DISENGAGE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WEATHER RADAR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MAIN LANDING GEAR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ENGINE FUEL SPAR VALVE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PRESSURE FUELING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HYD BRAKE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PTU</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THRUST REVERSER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NOSE LANDING GEAR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ENGINE STARTING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A320、A320NEO机型应当具备下列动态原理图：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Air Conditioning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Auto Pilot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Electrical Power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Fire Protection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Primary Flight Control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SLT/FLP Secondary F/CTL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Fuel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Hydraulic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EIS System Overview</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Pneumatic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Auxiliary Power Unit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Engine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A350机型应当具备下列动态原理图：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AIRCONDITION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AVCN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ELEC</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FUEL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HYD-G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HYD-Y</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Pneumatic</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PrimaryFlightControl</w:t>
            </w:r>
          </w:p>
          <w:p>
            <w:pPr>
              <w:widowControl/>
              <w:textAlignment w:val="center"/>
              <w:rPr>
                <w:rFonts w:ascii="宋体" w:hAnsi="宋体" w:eastAsia="宋体" w:cs="宋体"/>
                <w:sz w:val="24"/>
                <w:szCs w:val="24"/>
              </w:rPr>
            </w:pPr>
            <w:r>
              <w:rPr>
                <w:rFonts w:hint="eastAsia" w:ascii="宋体" w:hAnsi="宋体" w:eastAsia="宋体" w:cs="宋体"/>
                <w:b/>
                <w:bCs/>
                <w:kern w:val="0"/>
                <w:sz w:val="24"/>
                <w:szCs w:val="24"/>
                <w:lang w:bidi="ar"/>
              </w:rPr>
              <w:t>（投标文件中需提供上述每张动态原理图清晰截图证明文件）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（二）最低放飞标准（MEL）模块。适用于民航飞机B737NG、B787、A320、A350机型，应当覆盖下列MEL科目训练功能：</w:t>
            </w:r>
            <w:r>
              <w:rPr>
                <w:rFonts w:hint="eastAsia" w:ascii="宋体" w:hAnsi="宋体" w:eastAsia="宋体" w:cs="宋体"/>
                <w:b w:val="0"/>
                <w:sz w:val="24"/>
                <w:szCs w:val="24"/>
              </w:rPr>
              <w:br w:type="textWrapping"/>
            </w:r>
            <w:r>
              <w:rPr>
                <w:rFonts w:hint="eastAsia" w:ascii="宋体" w:hAnsi="宋体" w:eastAsia="宋体" w:cs="宋体"/>
                <w:b w:val="0"/>
                <w:sz w:val="24"/>
                <w:szCs w:val="24"/>
              </w:rPr>
              <w:t>1.B737NG机型应当至少包括下列科目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AIR CONDITIONING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ATA22   AUTOFLIGHT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ATA23   COMMUNICATION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ATA24   ELECTRICAL POWER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ATA26   FRIE PROTECTION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ATA27   FLIGHT CONTROL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ATA28   FUEL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ATA29   HYDRAULIC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ATA30   ICE AND RAIN PROTECTION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ATA31   CDS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ATA31   INDICATION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ATA32   L/G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ATA33   LIGHT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ATA34   NAVIGATION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ATA35   OXYGEN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ATA36   PNEUMATIC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ATA49   APU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ATA77   ENGINE INDICATION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ATA78   ENGINE EXHAUST SYSTEM MEL ITEMS</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2.B787机型至少应当包含下列科目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CPRSR INLET PRESS SNSR L1</w:t>
            </w:r>
            <w:r>
              <w:rPr>
                <w:rFonts w:hint="eastAsia" w:ascii="宋体" w:hAnsi="宋体" w:eastAsia="宋体" w:cs="宋体"/>
                <w:b w:val="0"/>
                <w:sz w:val="24"/>
                <w:szCs w:val="24"/>
              </w:rPr>
              <w:br w:type="textWrapping"/>
            </w:r>
            <w:r>
              <w:rPr>
                <w:rFonts w:hint="eastAsia" w:ascii="宋体" w:hAnsi="宋体" w:eastAsia="宋体" w:cs="宋体"/>
                <w:b w:val="0"/>
                <w:sz w:val="24"/>
                <w:szCs w:val="24"/>
              </w:rPr>
              <w:t>ATA22 Right Control Column Backdrive Actuator clutch cricuit is failed</w:t>
            </w:r>
            <w:r>
              <w:rPr>
                <w:rFonts w:hint="eastAsia" w:ascii="宋体" w:hAnsi="宋体" w:eastAsia="宋体" w:cs="宋体"/>
                <w:b w:val="0"/>
                <w:sz w:val="24"/>
                <w:szCs w:val="24"/>
              </w:rPr>
              <w:br w:type="textWrapping"/>
            </w:r>
            <w:r>
              <w:rPr>
                <w:rFonts w:hint="eastAsia" w:ascii="宋体" w:hAnsi="宋体" w:eastAsia="宋体" w:cs="宋体"/>
                <w:b w:val="0"/>
                <w:sz w:val="24"/>
                <w:szCs w:val="24"/>
              </w:rPr>
              <w:t>ATA23 Left Satellite Receiver Transmillter has an internal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ATA26 DET FIRE 2B ENG L</w:t>
            </w:r>
            <w:r>
              <w:rPr>
                <w:rFonts w:hint="eastAsia" w:ascii="宋体" w:hAnsi="宋体" w:eastAsia="宋体" w:cs="宋体"/>
                <w:b w:val="0"/>
                <w:sz w:val="24"/>
                <w:szCs w:val="24"/>
              </w:rPr>
              <w:br w:type="textWrapping"/>
            </w:r>
            <w:r>
              <w:rPr>
                <w:rFonts w:hint="eastAsia" w:ascii="宋体" w:hAnsi="宋体" w:eastAsia="宋体" w:cs="宋体"/>
                <w:b w:val="0"/>
                <w:sz w:val="24"/>
                <w:szCs w:val="24"/>
              </w:rPr>
              <w:t>ATA27 Direct Mode Rate Sensor Inoperative</w:t>
            </w:r>
            <w:r>
              <w:rPr>
                <w:rFonts w:hint="eastAsia" w:ascii="宋体" w:hAnsi="宋体" w:eastAsia="宋体" w:cs="宋体"/>
                <w:b w:val="0"/>
                <w:sz w:val="24"/>
                <w:szCs w:val="24"/>
              </w:rPr>
              <w:br w:type="textWrapping"/>
            </w:r>
            <w:r>
              <w:rPr>
                <w:rFonts w:hint="eastAsia" w:ascii="宋体" w:hAnsi="宋体" w:eastAsia="宋体" w:cs="宋体"/>
                <w:b w:val="0"/>
                <w:sz w:val="24"/>
                <w:szCs w:val="24"/>
              </w:rPr>
              <w:t>ATA28 FUEL TEMP INDICATION C</w:t>
            </w:r>
            <w:r>
              <w:rPr>
                <w:rFonts w:hint="eastAsia" w:ascii="宋体" w:hAnsi="宋体" w:eastAsia="宋体" w:cs="宋体"/>
                <w:b w:val="0"/>
                <w:sz w:val="24"/>
                <w:szCs w:val="24"/>
              </w:rPr>
              <w:br w:type="textWrapping"/>
            </w:r>
            <w:r>
              <w:rPr>
                <w:rFonts w:hint="eastAsia" w:ascii="宋体" w:hAnsi="宋体" w:eastAsia="宋体" w:cs="宋体"/>
                <w:b w:val="0"/>
                <w:sz w:val="24"/>
                <w:szCs w:val="24"/>
              </w:rPr>
              <w:t>ATA30 EAI PRESS SENSOR L 1</w:t>
            </w:r>
            <w:r>
              <w:rPr>
                <w:rFonts w:hint="eastAsia" w:ascii="宋体" w:hAnsi="宋体" w:eastAsia="宋体" w:cs="宋体"/>
                <w:b w:val="0"/>
                <w:sz w:val="24"/>
                <w:szCs w:val="24"/>
              </w:rPr>
              <w:br w:type="textWrapping"/>
            </w:r>
            <w:r>
              <w:rPr>
                <w:rFonts w:hint="eastAsia" w:ascii="宋体" w:hAnsi="宋体" w:eastAsia="宋体" w:cs="宋体"/>
                <w:b w:val="0"/>
                <w:sz w:val="24"/>
                <w:szCs w:val="24"/>
              </w:rPr>
              <w:t>ATA31 Display unit :blank-center lower DU</w:t>
            </w:r>
            <w:r>
              <w:rPr>
                <w:rFonts w:hint="eastAsia" w:ascii="宋体" w:hAnsi="宋体" w:eastAsia="宋体" w:cs="宋体"/>
                <w:b w:val="0"/>
                <w:sz w:val="24"/>
                <w:szCs w:val="24"/>
              </w:rPr>
              <w:br w:type="textWrapping"/>
            </w:r>
            <w:r>
              <w:rPr>
                <w:rFonts w:hint="eastAsia" w:ascii="宋体" w:hAnsi="宋体" w:eastAsia="宋体" w:cs="宋体"/>
                <w:b w:val="0"/>
                <w:sz w:val="24"/>
                <w:szCs w:val="24"/>
              </w:rPr>
              <w:t>ATA34 AHRU L</w:t>
            </w:r>
            <w:r>
              <w:rPr>
                <w:rFonts w:hint="eastAsia" w:ascii="宋体" w:hAnsi="宋体" w:eastAsia="宋体" w:cs="宋体"/>
                <w:b w:val="0"/>
                <w:sz w:val="24"/>
                <w:szCs w:val="24"/>
              </w:rPr>
              <w:br w:type="textWrapping"/>
            </w:r>
            <w:r>
              <w:rPr>
                <w:rFonts w:hint="eastAsia" w:ascii="宋体" w:hAnsi="宋体" w:eastAsia="宋体" w:cs="宋体"/>
                <w:b w:val="0"/>
                <w:sz w:val="24"/>
                <w:szCs w:val="24"/>
              </w:rPr>
              <w:t>ATA42 CCR GPM 8L</w:t>
            </w:r>
            <w:r>
              <w:rPr>
                <w:rFonts w:hint="eastAsia" w:ascii="宋体" w:hAnsi="宋体" w:eastAsia="宋体" w:cs="宋体"/>
                <w:b w:val="0"/>
                <w:sz w:val="24"/>
                <w:szCs w:val="24"/>
              </w:rPr>
              <w:br w:type="textWrapping"/>
            </w:r>
            <w:r>
              <w:rPr>
                <w:rFonts w:hint="eastAsia" w:ascii="宋体" w:hAnsi="宋体" w:eastAsia="宋体" w:cs="宋体"/>
                <w:b w:val="0"/>
                <w:sz w:val="24"/>
                <w:szCs w:val="24"/>
              </w:rPr>
              <w:t>ATA44 CABIN INTERPHONE</w:t>
            </w:r>
            <w:r>
              <w:rPr>
                <w:rFonts w:hint="eastAsia" w:ascii="宋体" w:hAnsi="宋体" w:eastAsia="宋体" w:cs="宋体"/>
                <w:b w:val="0"/>
                <w:sz w:val="24"/>
                <w:szCs w:val="24"/>
              </w:rPr>
              <w:br w:type="textWrapping"/>
            </w:r>
            <w:r>
              <w:rPr>
                <w:rFonts w:hint="eastAsia" w:ascii="宋体" w:hAnsi="宋体" w:eastAsia="宋体" w:cs="宋体"/>
                <w:b w:val="0"/>
                <w:sz w:val="24"/>
                <w:szCs w:val="24"/>
              </w:rPr>
              <w:t>ATA47 NITROGEN GEN SOV</w:t>
            </w:r>
            <w:r>
              <w:rPr>
                <w:rFonts w:hint="eastAsia" w:ascii="宋体" w:hAnsi="宋体" w:eastAsia="宋体" w:cs="宋体"/>
                <w:b w:val="0"/>
                <w:sz w:val="24"/>
                <w:szCs w:val="24"/>
              </w:rPr>
              <w:br w:type="textWrapping"/>
            </w:r>
            <w:r>
              <w:rPr>
                <w:rFonts w:hint="eastAsia" w:ascii="宋体" w:hAnsi="宋体" w:eastAsia="宋体" w:cs="宋体"/>
                <w:b w:val="0"/>
                <w:sz w:val="24"/>
                <w:szCs w:val="24"/>
              </w:rPr>
              <w:t>ATA49 APU OIL QUANTITY</w:t>
            </w:r>
            <w:r>
              <w:rPr>
                <w:rFonts w:hint="eastAsia" w:ascii="宋体" w:hAnsi="宋体" w:eastAsia="宋体" w:cs="宋体"/>
                <w:b w:val="0"/>
                <w:sz w:val="24"/>
                <w:szCs w:val="24"/>
              </w:rPr>
              <w:br w:type="textWrapping"/>
            </w:r>
            <w:r>
              <w:rPr>
                <w:rFonts w:hint="eastAsia" w:ascii="宋体" w:hAnsi="宋体" w:eastAsia="宋体" w:cs="宋体"/>
                <w:b w:val="0"/>
                <w:sz w:val="24"/>
                <w:szCs w:val="24"/>
              </w:rPr>
              <w:t>ATA77 ENG VIB MONITOR L</w:t>
            </w:r>
            <w:r>
              <w:rPr>
                <w:rFonts w:hint="eastAsia" w:ascii="宋体" w:hAnsi="宋体" w:eastAsia="宋体" w:cs="宋体"/>
                <w:b w:val="0"/>
                <w:sz w:val="24"/>
                <w:szCs w:val="24"/>
              </w:rPr>
              <w:br w:type="textWrapping"/>
            </w:r>
            <w:r>
              <w:rPr>
                <w:rFonts w:hint="eastAsia" w:ascii="宋体" w:hAnsi="宋体" w:eastAsia="宋体" w:cs="宋体"/>
                <w:b w:val="0"/>
                <w:sz w:val="24"/>
                <w:szCs w:val="24"/>
              </w:rPr>
              <w:t>ATA78 ENG REVERSER 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（投标文件中需提供系统功能界面清晰截图证明文件）</w:t>
            </w:r>
            <w:r>
              <w:rPr>
                <w:rFonts w:hint="eastAsia" w:ascii="宋体" w:hAnsi="宋体" w:eastAsia="宋体" w:cs="宋体"/>
                <w:b w:val="0"/>
                <w:sz w:val="24"/>
                <w:szCs w:val="24"/>
              </w:rPr>
              <w:br w:type="textWrapping"/>
            </w:r>
            <w:r>
              <w:rPr>
                <w:rFonts w:hint="eastAsia" w:ascii="宋体" w:hAnsi="宋体" w:eastAsia="宋体" w:cs="宋体"/>
                <w:b w:val="0"/>
                <w:sz w:val="24"/>
                <w:szCs w:val="24"/>
              </w:rPr>
              <w:t>3.A320机型至少包括以下科目：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了解MEL中有关空调系统的项目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MEL项：客舱压力自动控制系统通道1</w:t>
            </w:r>
            <w:r>
              <w:rPr>
                <w:rFonts w:hint="eastAsia" w:ascii="宋体" w:hAnsi="宋体" w:eastAsia="宋体" w:cs="宋体"/>
                <w:b w:val="0"/>
                <w:sz w:val="24"/>
                <w:szCs w:val="24"/>
              </w:rPr>
              <w:br w:type="textWrapping"/>
            </w:r>
            <w:r>
              <w:rPr>
                <w:rFonts w:hint="eastAsia" w:ascii="宋体" w:hAnsi="宋体" w:eastAsia="宋体" w:cs="宋体"/>
                <w:b w:val="0"/>
                <w:sz w:val="24"/>
                <w:szCs w:val="24"/>
              </w:rPr>
              <w:t>ATA21 MEL项：客舱压力自动控制系统通道2</w:t>
            </w:r>
            <w:r>
              <w:rPr>
                <w:rFonts w:hint="eastAsia" w:ascii="宋体" w:hAnsi="宋体" w:eastAsia="宋体" w:cs="宋体"/>
                <w:b w:val="0"/>
                <w:sz w:val="24"/>
                <w:szCs w:val="24"/>
              </w:rPr>
              <w:br w:type="textWrapping"/>
            </w:r>
            <w:r>
              <w:rPr>
                <w:rFonts w:hint="eastAsia" w:ascii="宋体" w:hAnsi="宋体" w:eastAsia="宋体" w:cs="宋体"/>
                <w:b w:val="0"/>
                <w:sz w:val="24"/>
                <w:szCs w:val="24"/>
              </w:rPr>
              <w:t>ATA22 飞行管理计算机（FMGC）一部不工作</w:t>
            </w:r>
            <w:r>
              <w:rPr>
                <w:rFonts w:hint="eastAsia" w:ascii="宋体" w:hAnsi="宋体" w:eastAsia="宋体" w:cs="宋体"/>
                <w:b w:val="0"/>
                <w:sz w:val="24"/>
                <w:szCs w:val="24"/>
              </w:rPr>
              <w:br w:type="textWrapping"/>
            </w:r>
            <w:r>
              <w:rPr>
                <w:rFonts w:hint="eastAsia" w:ascii="宋体" w:hAnsi="宋体" w:eastAsia="宋体" w:cs="宋体"/>
                <w:b w:val="0"/>
                <w:sz w:val="24"/>
                <w:szCs w:val="24"/>
              </w:rPr>
              <w:t>ATA22 MEL项：FAC1失效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ATA23 MEL项：CAPT ACP失效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ATA24 MEL项：TR2失效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ATA24 MEL项：IDG1</w:t>
            </w:r>
            <w:r>
              <w:rPr>
                <w:rFonts w:hint="eastAsia" w:ascii="宋体" w:hAnsi="宋体" w:eastAsia="宋体" w:cs="宋体"/>
                <w:b w:val="0"/>
                <w:sz w:val="24"/>
                <w:szCs w:val="24"/>
              </w:rPr>
              <w:br w:type="textWrapping"/>
            </w:r>
            <w:r>
              <w:rPr>
                <w:rFonts w:hint="eastAsia" w:ascii="宋体" w:hAnsi="宋体" w:eastAsia="宋体" w:cs="宋体"/>
                <w:b w:val="0"/>
                <w:sz w:val="24"/>
                <w:szCs w:val="24"/>
              </w:rPr>
              <w:t>ATA26 MEL项：右发AGENT按钮灯</w:t>
            </w:r>
            <w:r>
              <w:rPr>
                <w:rFonts w:hint="eastAsia" w:ascii="宋体" w:hAnsi="宋体" w:eastAsia="宋体" w:cs="宋体"/>
                <w:b w:val="0"/>
                <w:sz w:val="24"/>
                <w:szCs w:val="24"/>
              </w:rPr>
              <w:br w:type="textWrapping"/>
            </w:r>
            <w:r>
              <w:rPr>
                <w:rFonts w:hint="eastAsia" w:ascii="宋体" w:hAnsi="宋体" w:eastAsia="宋体" w:cs="宋体"/>
                <w:b w:val="0"/>
                <w:sz w:val="24"/>
                <w:szCs w:val="24"/>
              </w:rPr>
              <w:t>ATA26 MEL项：APU探测环路失效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ATA27 MEL项：ELAC 1故障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ATA28 MEL项：中央油箱传输活门按钮FAULT灯亮</w:t>
            </w:r>
            <w:r>
              <w:rPr>
                <w:rFonts w:hint="eastAsia" w:ascii="宋体" w:hAnsi="宋体" w:eastAsia="宋体" w:cs="宋体"/>
                <w:b w:val="0"/>
                <w:sz w:val="24"/>
                <w:szCs w:val="24"/>
              </w:rPr>
              <w:br w:type="textWrapping"/>
            </w:r>
            <w:r>
              <w:rPr>
                <w:rFonts w:hint="eastAsia" w:ascii="宋体" w:hAnsi="宋体" w:eastAsia="宋体" w:cs="宋体"/>
                <w:b w:val="0"/>
                <w:sz w:val="24"/>
                <w:szCs w:val="24"/>
              </w:rPr>
              <w:t>ATA29 MEL项：液压页面油箱油量指示失效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ATA30 了解MEL中有关防冰排雨系统的项目</w:t>
            </w:r>
            <w:r>
              <w:rPr>
                <w:rFonts w:hint="eastAsia" w:ascii="宋体" w:hAnsi="宋体" w:eastAsia="宋体" w:cs="宋体"/>
                <w:b w:val="0"/>
                <w:sz w:val="24"/>
                <w:szCs w:val="24"/>
              </w:rPr>
              <w:br w:type="textWrapping"/>
            </w:r>
            <w:r>
              <w:rPr>
                <w:rFonts w:hint="eastAsia" w:ascii="宋体" w:hAnsi="宋体" w:eastAsia="宋体" w:cs="宋体"/>
                <w:b w:val="0"/>
                <w:sz w:val="24"/>
                <w:szCs w:val="24"/>
              </w:rPr>
              <w:t>ATA30 发动机防冰活门</w:t>
            </w:r>
            <w:r>
              <w:rPr>
                <w:rFonts w:hint="eastAsia" w:ascii="宋体" w:hAnsi="宋体" w:eastAsia="宋体" w:cs="宋体"/>
                <w:b w:val="0"/>
                <w:sz w:val="24"/>
                <w:szCs w:val="24"/>
              </w:rPr>
              <w:br w:type="textWrapping"/>
            </w:r>
            <w:r>
              <w:rPr>
                <w:rFonts w:hint="eastAsia" w:ascii="宋体" w:hAnsi="宋体" w:eastAsia="宋体" w:cs="宋体"/>
                <w:b w:val="0"/>
                <w:sz w:val="24"/>
                <w:szCs w:val="24"/>
              </w:rPr>
              <w:t>ATA31 MEL项目：SD失效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ATA31 SDAC 1 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ATA31 显示器故障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ATA32 起落架手柄上红色放下箭头灯失效的M项</w:t>
            </w:r>
            <w:r>
              <w:rPr>
                <w:rFonts w:hint="eastAsia" w:ascii="宋体" w:hAnsi="宋体" w:eastAsia="宋体" w:cs="宋体"/>
                <w:b w:val="0"/>
                <w:sz w:val="24"/>
                <w:szCs w:val="24"/>
              </w:rPr>
              <w:br w:type="textWrapping"/>
            </w:r>
            <w:r>
              <w:rPr>
                <w:rFonts w:hint="eastAsia" w:ascii="宋体" w:hAnsi="宋体" w:eastAsia="宋体" w:cs="宋体"/>
                <w:b w:val="0"/>
                <w:sz w:val="24"/>
                <w:szCs w:val="24"/>
              </w:rPr>
              <w:t>ATA32 LGCIU 1不工作</w:t>
            </w:r>
            <w:r>
              <w:rPr>
                <w:rFonts w:hint="eastAsia" w:ascii="宋体" w:hAnsi="宋体" w:eastAsia="宋体" w:cs="宋体"/>
                <w:b w:val="0"/>
                <w:sz w:val="24"/>
                <w:szCs w:val="24"/>
              </w:rPr>
              <w:br w:type="textWrapping"/>
            </w:r>
            <w:r>
              <w:rPr>
                <w:rFonts w:hint="eastAsia" w:ascii="宋体" w:hAnsi="宋体" w:eastAsia="宋体" w:cs="宋体"/>
                <w:b w:val="0"/>
                <w:sz w:val="24"/>
                <w:szCs w:val="24"/>
              </w:rPr>
              <w:t>ATA33 MEL项：EMER_EXIT_LIGHT的OFF灯不亮</w:t>
            </w:r>
            <w:r>
              <w:rPr>
                <w:rFonts w:hint="eastAsia" w:ascii="宋体" w:hAnsi="宋体" w:eastAsia="宋体" w:cs="宋体"/>
                <w:b w:val="0"/>
                <w:sz w:val="24"/>
                <w:szCs w:val="24"/>
              </w:rPr>
              <w:br w:type="textWrapping"/>
            </w:r>
            <w:r>
              <w:rPr>
                <w:rFonts w:hint="eastAsia" w:ascii="宋体" w:hAnsi="宋体" w:eastAsia="宋体" w:cs="宋体"/>
                <w:b w:val="0"/>
                <w:sz w:val="24"/>
                <w:szCs w:val="24"/>
              </w:rPr>
              <w:t>ATA34 了解MEL中有关导航系统的项目</w:t>
            </w:r>
            <w:r>
              <w:rPr>
                <w:rFonts w:hint="eastAsia" w:ascii="宋体" w:hAnsi="宋体" w:eastAsia="宋体" w:cs="宋体"/>
                <w:b w:val="0"/>
                <w:sz w:val="24"/>
                <w:szCs w:val="24"/>
              </w:rPr>
              <w:br w:type="textWrapping"/>
            </w:r>
            <w:r>
              <w:rPr>
                <w:rFonts w:hint="eastAsia" w:ascii="宋体" w:hAnsi="宋体" w:eastAsia="宋体" w:cs="宋体"/>
                <w:b w:val="0"/>
                <w:sz w:val="24"/>
                <w:szCs w:val="24"/>
              </w:rPr>
              <w:t>ATA34 MEL项目：RA 1故障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ATA35 了解MEL中有关氧气系统的项目</w:t>
            </w:r>
            <w:r>
              <w:rPr>
                <w:rFonts w:hint="eastAsia" w:ascii="宋体" w:hAnsi="宋体" w:eastAsia="宋体" w:cs="宋体"/>
                <w:b w:val="0"/>
                <w:sz w:val="24"/>
                <w:szCs w:val="24"/>
              </w:rPr>
              <w:br w:type="textWrapping"/>
            </w:r>
            <w:r>
              <w:rPr>
                <w:rFonts w:hint="eastAsia" w:ascii="宋体" w:hAnsi="宋体" w:eastAsia="宋体" w:cs="宋体"/>
                <w:b w:val="0"/>
                <w:sz w:val="24"/>
                <w:szCs w:val="24"/>
              </w:rPr>
              <w:t>ATA35 机组氧气压力指示失效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ATA36 了解MEL中有关气源系统的项目</w:t>
            </w:r>
            <w:r>
              <w:rPr>
                <w:rFonts w:hint="eastAsia" w:ascii="宋体" w:hAnsi="宋体" w:eastAsia="宋体" w:cs="宋体"/>
                <w:b w:val="0"/>
                <w:sz w:val="24"/>
                <w:szCs w:val="24"/>
              </w:rPr>
              <w:br w:type="textWrapping"/>
            </w:r>
            <w:r>
              <w:rPr>
                <w:rFonts w:hint="eastAsia" w:ascii="宋体" w:hAnsi="宋体" w:eastAsia="宋体" w:cs="宋体"/>
                <w:b w:val="0"/>
                <w:sz w:val="24"/>
                <w:szCs w:val="24"/>
              </w:rPr>
              <w:t>ATA36 MEL 项：左发高压引气活门失效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ATA49 MEL项：进气口活门</w:t>
            </w:r>
            <w:r>
              <w:rPr>
                <w:rFonts w:hint="eastAsia" w:ascii="宋体" w:hAnsi="宋体" w:eastAsia="宋体" w:cs="宋体"/>
                <w:b w:val="0"/>
                <w:sz w:val="24"/>
                <w:szCs w:val="24"/>
              </w:rPr>
              <w:br w:type="textWrapping"/>
            </w:r>
            <w:r>
              <w:rPr>
                <w:rFonts w:hint="eastAsia" w:ascii="宋体" w:hAnsi="宋体" w:eastAsia="宋体" w:cs="宋体"/>
                <w:b w:val="0"/>
                <w:sz w:val="24"/>
                <w:szCs w:val="24"/>
              </w:rPr>
              <w:t>ATA73 (PW)Full Authority Digital Engine Control (FADEC) abnormal operation</w:t>
            </w:r>
            <w:r>
              <w:rPr>
                <w:rFonts w:hint="eastAsia" w:ascii="宋体" w:hAnsi="宋体" w:eastAsia="宋体" w:cs="宋体"/>
                <w:b w:val="0"/>
                <w:sz w:val="24"/>
                <w:szCs w:val="24"/>
              </w:rPr>
              <w:br w:type="textWrapping"/>
            </w:r>
            <w:r>
              <w:rPr>
                <w:rFonts w:hint="eastAsia" w:ascii="宋体" w:hAnsi="宋体" w:eastAsia="宋体" w:cs="宋体"/>
                <w:b w:val="0"/>
                <w:sz w:val="24"/>
                <w:szCs w:val="24"/>
              </w:rPr>
              <w:t>ATA73 MEL项：ENG2 FAN COWL NOT CLSD警戒</w:t>
            </w:r>
            <w:r>
              <w:rPr>
                <w:rFonts w:hint="eastAsia" w:ascii="宋体" w:hAnsi="宋体" w:eastAsia="宋体" w:cs="宋体"/>
                <w:b w:val="0"/>
                <w:sz w:val="24"/>
                <w:szCs w:val="24"/>
              </w:rPr>
              <w:br w:type="textWrapping"/>
            </w:r>
            <w:r>
              <w:rPr>
                <w:rFonts w:hint="eastAsia" w:ascii="宋体" w:hAnsi="宋体" w:eastAsia="宋体" w:cs="宋体"/>
                <w:b w:val="0"/>
                <w:sz w:val="24"/>
                <w:szCs w:val="24"/>
              </w:rPr>
              <w:t>ATA73 MEL项：右发TCM故障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ATA77 (PW)Engine indications system abnormal operation</w:t>
            </w:r>
            <w:r>
              <w:rPr>
                <w:rFonts w:hint="eastAsia" w:ascii="宋体" w:hAnsi="宋体" w:eastAsia="宋体" w:cs="宋体"/>
                <w:b w:val="0"/>
                <w:sz w:val="24"/>
                <w:szCs w:val="24"/>
              </w:rPr>
              <w:br w:type="textWrapping"/>
            </w:r>
            <w:r>
              <w:rPr>
                <w:rFonts w:hint="eastAsia" w:ascii="宋体" w:hAnsi="宋体" w:eastAsia="宋体" w:cs="宋体"/>
                <w:b w:val="0"/>
                <w:sz w:val="24"/>
                <w:szCs w:val="24"/>
              </w:rPr>
              <w:t>ATA78 (PW)Thrust reverser (TR) system abnormal operation</w:t>
            </w:r>
            <w:r>
              <w:rPr>
                <w:rFonts w:hint="eastAsia" w:ascii="宋体" w:hAnsi="宋体" w:eastAsia="宋体" w:cs="宋体"/>
                <w:b w:val="0"/>
                <w:sz w:val="24"/>
                <w:szCs w:val="24"/>
              </w:rPr>
              <w:br w:type="textWrapping"/>
            </w:r>
            <w:r>
              <w:rPr>
                <w:rFonts w:hint="eastAsia" w:ascii="宋体" w:hAnsi="宋体" w:eastAsia="宋体" w:cs="宋体"/>
                <w:b w:val="0"/>
                <w:sz w:val="24"/>
                <w:szCs w:val="24"/>
              </w:rPr>
              <w:t>ATA78 (LEAP)左发反推失效（REV INHIBITED）</w:t>
            </w:r>
            <w:r>
              <w:rPr>
                <w:rFonts w:hint="eastAsia" w:ascii="宋体" w:hAnsi="宋体" w:eastAsia="宋体" w:cs="宋体"/>
                <w:b w:val="0"/>
                <w:sz w:val="24"/>
                <w:szCs w:val="24"/>
              </w:rPr>
              <w:br w:type="textWrapping"/>
            </w:r>
            <w:r>
              <w:rPr>
                <w:rFonts w:hint="eastAsia" w:ascii="宋体" w:hAnsi="宋体" w:eastAsia="宋体" w:cs="宋体"/>
                <w:b w:val="0"/>
                <w:sz w:val="24"/>
                <w:szCs w:val="24"/>
              </w:rPr>
              <w:t>ATA79 (LEAP)左发滑油压力传感器指示失效</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4.A350机型应当包括下列科目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MEL：AIR PACK VLV CLOSED</w:t>
            </w:r>
            <w:r>
              <w:rPr>
                <w:rFonts w:hint="eastAsia" w:ascii="宋体" w:hAnsi="宋体" w:eastAsia="宋体" w:cs="宋体"/>
                <w:b w:val="0"/>
                <w:sz w:val="24"/>
                <w:szCs w:val="24"/>
              </w:rPr>
              <w:br w:type="textWrapping"/>
            </w:r>
            <w:r>
              <w:rPr>
                <w:rFonts w:hint="eastAsia" w:ascii="宋体" w:hAnsi="宋体" w:eastAsia="宋体" w:cs="宋体"/>
                <w:b w:val="0"/>
                <w:sz w:val="24"/>
                <w:szCs w:val="24"/>
              </w:rPr>
              <w:t>ATA21 MEL：Affected hot air valve deactivated in the closed position</w:t>
            </w:r>
            <w:r>
              <w:rPr>
                <w:rFonts w:hint="eastAsia" w:ascii="宋体" w:hAnsi="宋体" w:eastAsia="宋体" w:cs="宋体"/>
                <w:b w:val="0"/>
                <w:sz w:val="24"/>
                <w:szCs w:val="24"/>
              </w:rPr>
              <w:br w:type="textWrapping"/>
            </w:r>
            <w:r>
              <w:rPr>
                <w:rFonts w:hint="eastAsia" w:ascii="宋体" w:hAnsi="宋体" w:eastAsia="宋体" w:cs="宋体"/>
                <w:b w:val="0"/>
                <w:sz w:val="24"/>
                <w:szCs w:val="24"/>
              </w:rPr>
              <w:t>ATA21 VENT AVNCS L BLOWERING FAN</w:t>
            </w:r>
            <w:r>
              <w:rPr>
                <w:rFonts w:hint="eastAsia" w:ascii="宋体" w:hAnsi="宋体" w:eastAsia="宋体" w:cs="宋体"/>
                <w:b w:val="0"/>
                <w:sz w:val="24"/>
                <w:szCs w:val="24"/>
              </w:rPr>
              <w:br w:type="textWrapping"/>
            </w:r>
            <w:r>
              <w:rPr>
                <w:rFonts w:hint="eastAsia" w:ascii="宋体" w:hAnsi="宋体" w:eastAsia="宋体" w:cs="宋体"/>
                <w:b w:val="0"/>
                <w:sz w:val="24"/>
                <w:szCs w:val="24"/>
              </w:rPr>
              <w:t>ATA22 MEL：AFS CTL　PNL</w:t>
            </w:r>
            <w:r>
              <w:rPr>
                <w:rFonts w:hint="eastAsia" w:ascii="宋体" w:hAnsi="宋体" w:eastAsia="宋体" w:cs="宋体"/>
                <w:b w:val="0"/>
                <w:sz w:val="24"/>
                <w:szCs w:val="24"/>
              </w:rPr>
              <w:br w:type="textWrapping"/>
            </w:r>
            <w:r>
              <w:rPr>
                <w:rFonts w:hint="eastAsia" w:ascii="宋体" w:hAnsi="宋体" w:eastAsia="宋体" w:cs="宋体"/>
                <w:b w:val="0"/>
                <w:sz w:val="24"/>
                <w:szCs w:val="24"/>
              </w:rPr>
              <w:t>ATA23 VHF 3 Datalink</w:t>
            </w:r>
            <w:r>
              <w:rPr>
                <w:rFonts w:hint="eastAsia" w:ascii="宋体" w:hAnsi="宋体" w:eastAsia="宋体" w:cs="宋体"/>
                <w:b w:val="0"/>
                <w:sz w:val="24"/>
                <w:szCs w:val="24"/>
              </w:rPr>
              <w:br w:type="textWrapping"/>
            </w:r>
            <w:r>
              <w:rPr>
                <w:rFonts w:hint="eastAsia" w:ascii="宋体" w:hAnsi="宋体" w:eastAsia="宋体" w:cs="宋体"/>
                <w:b w:val="0"/>
                <w:sz w:val="24"/>
                <w:szCs w:val="24"/>
              </w:rPr>
              <w:t>ATA24 MEL：EXT PUSH BUTTON LIGHT</w:t>
            </w:r>
            <w:r>
              <w:rPr>
                <w:rFonts w:hint="eastAsia" w:ascii="宋体" w:hAnsi="宋体" w:eastAsia="宋体" w:cs="宋体"/>
                <w:b w:val="0"/>
                <w:sz w:val="24"/>
                <w:szCs w:val="24"/>
              </w:rPr>
              <w:br w:type="textWrapping"/>
            </w:r>
            <w:r>
              <w:rPr>
                <w:rFonts w:hint="eastAsia" w:ascii="宋体" w:hAnsi="宋体" w:eastAsia="宋体" w:cs="宋体"/>
                <w:b w:val="0"/>
                <w:sz w:val="24"/>
                <w:szCs w:val="24"/>
              </w:rPr>
              <w:t>ATA24 AC generator fail</w:t>
            </w:r>
            <w:r>
              <w:rPr>
                <w:rFonts w:hint="eastAsia" w:ascii="宋体" w:hAnsi="宋体" w:eastAsia="宋体" w:cs="宋体"/>
                <w:b w:val="0"/>
                <w:sz w:val="24"/>
                <w:szCs w:val="24"/>
              </w:rPr>
              <w:br w:type="textWrapping"/>
            </w:r>
            <w:r>
              <w:rPr>
                <w:rFonts w:hint="eastAsia" w:ascii="宋体" w:hAnsi="宋体" w:eastAsia="宋体" w:cs="宋体"/>
                <w:b w:val="0"/>
                <w:sz w:val="24"/>
                <w:szCs w:val="24"/>
              </w:rPr>
              <w:t>ATA26 MEL: LED in ENG FIRE pb-sw</w:t>
            </w:r>
            <w:r>
              <w:rPr>
                <w:rFonts w:hint="eastAsia" w:ascii="宋体" w:hAnsi="宋体" w:eastAsia="宋体" w:cs="宋体"/>
                <w:b w:val="0"/>
                <w:sz w:val="24"/>
                <w:szCs w:val="24"/>
              </w:rPr>
              <w:br w:type="textWrapping"/>
            </w:r>
            <w:r>
              <w:rPr>
                <w:rFonts w:hint="eastAsia" w:ascii="宋体" w:hAnsi="宋体" w:eastAsia="宋体" w:cs="宋体"/>
                <w:b w:val="0"/>
                <w:sz w:val="24"/>
                <w:szCs w:val="24"/>
              </w:rPr>
              <w:t>ATA27 MEL：T/CTL RUDDER Y ACTUATOR</w:t>
            </w:r>
            <w:r>
              <w:rPr>
                <w:rFonts w:hint="eastAsia" w:ascii="宋体" w:hAnsi="宋体" w:eastAsia="宋体" w:cs="宋体"/>
                <w:b w:val="0"/>
                <w:sz w:val="24"/>
                <w:szCs w:val="24"/>
              </w:rPr>
              <w:br w:type="textWrapping"/>
            </w:r>
            <w:r>
              <w:rPr>
                <w:rFonts w:hint="eastAsia" w:ascii="宋体" w:hAnsi="宋体" w:eastAsia="宋体" w:cs="宋体"/>
                <w:b w:val="0"/>
                <w:sz w:val="24"/>
                <w:szCs w:val="24"/>
              </w:rPr>
              <w:t>ATA27 Spoiler 1 fail</w:t>
            </w:r>
            <w:r>
              <w:rPr>
                <w:rFonts w:hint="eastAsia" w:ascii="宋体" w:hAnsi="宋体" w:eastAsia="宋体" w:cs="宋体"/>
                <w:b w:val="0"/>
                <w:sz w:val="24"/>
                <w:szCs w:val="24"/>
              </w:rPr>
              <w:br w:type="textWrapping"/>
            </w:r>
            <w:r>
              <w:rPr>
                <w:rFonts w:hint="eastAsia" w:ascii="宋体" w:hAnsi="宋体" w:eastAsia="宋体" w:cs="宋体"/>
                <w:b w:val="0"/>
                <w:sz w:val="24"/>
                <w:szCs w:val="24"/>
              </w:rPr>
              <w:t>ATA28 MEL：Center Tank Pump</w:t>
            </w:r>
            <w:r>
              <w:rPr>
                <w:rFonts w:hint="eastAsia" w:ascii="宋体" w:hAnsi="宋体" w:eastAsia="宋体" w:cs="宋体"/>
                <w:b w:val="0"/>
                <w:sz w:val="24"/>
                <w:szCs w:val="24"/>
              </w:rPr>
              <w:br w:type="textWrapping"/>
            </w:r>
            <w:r>
              <w:rPr>
                <w:rFonts w:hint="eastAsia" w:ascii="宋体" w:hAnsi="宋体" w:eastAsia="宋体" w:cs="宋体"/>
                <w:b w:val="0"/>
                <w:sz w:val="24"/>
                <w:szCs w:val="24"/>
              </w:rPr>
              <w:t>ATA28 MEL：Fuel quantity indicating fail</w:t>
            </w:r>
            <w:r>
              <w:rPr>
                <w:rFonts w:hint="eastAsia" w:ascii="宋体" w:hAnsi="宋体" w:eastAsia="宋体" w:cs="宋体"/>
                <w:b w:val="0"/>
                <w:sz w:val="24"/>
                <w:szCs w:val="24"/>
              </w:rPr>
              <w:br w:type="textWrapping"/>
            </w:r>
            <w:r>
              <w:rPr>
                <w:rFonts w:hint="eastAsia" w:ascii="宋体" w:hAnsi="宋体" w:eastAsia="宋体" w:cs="宋体"/>
                <w:b w:val="0"/>
                <w:sz w:val="24"/>
                <w:szCs w:val="24"/>
              </w:rPr>
              <w:t>ATA29 MEL: Green(Yellow) Reservoir Level Monitoring</w:t>
            </w:r>
            <w:r>
              <w:rPr>
                <w:rFonts w:hint="eastAsia" w:ascii="宋体" w:hAnsi="宋体" w:eastAsia="宋体" w:cs="宋体"/>
                <w:b w:val="0"/>
                <w:sz w:val="24"/>
                <w:szCs w:val="24"/>
              </w:rPr>
              <w:br w:type="textWrapping"/>
            </w:r>
            <w:r>
              <w:rPr>
                <w:rFonts w:hint="eastAsia" w:ascii="宋体" w:hAnsi="宋体" w:eastAsia="宋体" w:cs="宋体"/>
                <w:b w:val="0"/>
                <w:sz w:val="24"/>
                <w:szCs w:val="24"/>
              </w:rPr>
              <w:t>ATA30 Wing Anti-Ice Valve</w:t>
            </w:r>
            <w:r>
              <w:rPr>
                <w:rFonts w:hint="eastAsia" w:ascii="宋体" w:hAnsi="宋体" w:eastAsia="宋体" w:cs="宋体"/>
                <w:b w:val="0"/>
                <w:sz w:val="24"/>
                <w:szCs w:val="24"/>
              </w:rPr>
              <w:br w:type="textWrapping"/>
            </w:r>
            <w:r>
              <w:rPr>
                <w:rFonts w:hint="eastAsia" w:ascii="宋体" w:hAnsi="宋体" w:eastAsia="宋体" w:cs="宋体"/>
                <w:b w:val="0"/>
                <w:sz w:val="24"/>
                <w:szCs w:val="24"/>
              </w:rPr>
              <w:t>ATA31 MEL：F/O KCCU KEYBOAD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ATA32 MEL：ACCU REINFLATE button inope ration</w:t>
            </w:r>
            <w:r>
              <w:rPr>
                <w:rFonts w:hint="eastAsia" w:ascii="宋体" w:hAnsi="宋体" w:eastAsia="宋体" w:cs="宋体"/>
                <w:b w:val="0"/>
                <w:sz w:val="24"/>
                <w:szCs w:val="24"/>
              </w:rPr>
              <w:br w:type="textWrapping"/>
            </w:r>
            <w:r>
              <w:rPr>
                <w:rFonts w:hint="eastAsia" w:ascii="宋体" w:hAnsi="宋体" w:eastAsia="宋体" w:cs="宋体"/>
                <w:b w:val="0"/>
                <w:sz w:val="24"/>
                <w:szCs w:val="24"/>
              </w:rPr>
              <w:t>ATA33 MEL：Exterior Light Control Degraded</w:t>
            </w:r>
            <w:r>
              <w:rPr>
                <w:rFonts w:hint="eastAsia" w:ascii="宋体" w:hAnsi="宋体" w:eastAsia="宋体" w:cs="宋体"/>
                <w:b w:val="0"/>
                <w:sz w:val="24"/>
                <w:szCs w:val="24"/>
              </w:rPr>
              <w:br w:type="textWrapping"/>
            </w:r>
            <w:r>
              <w:rPr>
                <w:rFonts w:hint="eastAsia" w:ascii="宋体" w:hAnsi="宋体" w:eastAsia="宋体" w:cs="宋体"/>
                <w:b w:val="0"/>
                <w:sz w:val="24"/>
                <w:szCs w:val="24"/>
              </w:rPr>
              <w:t>ATA34 MEL:Radio altimeter</w:t>
            </w:r>
            <w:r>
              <w:rPr>
                <w:rFonts w:hint="eastAsia" w:ascii="宋体" w:hAnsi="宋体" w:eastAsia="宋体" w:cs="宋体"/>
                <w:b w:val="0"/>
                <w:sz w:val="24"/>
                <w:szCs w:val="24"/>
              </w:rPr>
              <w:br w:type="textWrapping"/>
            </w:r>
            <w:r>
              <w:rPr>
                <w:rFonts w:hint="eastAsia" w:ascii="宋体" w:hAnsi="宋体" w:eastAsia="宋体" w:cs="宋体"/>
                <w:b w:val="0"/>
                <w:sz w:val="24"/>
                <w:szCs w:val="24"/>
              </w:rPr>
              <w:t>ATA35 MEL：REGUL PR LO Indication on the DOOR/OXYGEN SD page</w:t>
            </w:r>
            <w:r>
              <w:rPr>
                <w:rFonts w:hint="eastAsia" w:ascii="宋体" w:hAnsi="宋体" w:eastAsia="宋体" w:cs="宋体"/>
                <w:b w:val="0"/>
                <w:sz w:val="24"/>
                <w:szCs w:val="24"/>
              </w:rPr>
              <w:br w:type="textWrapping"/>
            </w:r>
            <w:r>
              <w:rPr>
                <w:rFonts w:hint="eastAsia" w:ascii="宋体" w:hAnsi="宋体" w:eastAsia="宋体" w:cs="宋体"/>
                <w:b w:val="0"/>
                <w:sz w:val="24"/>
                <w:szCs w:val="24"/>
              </w:rPr>
              <w:t>ATA36 MEL：Engine HP Bleed Valve</w:t>
            </w:r>
            <w:r>
              <w:rPr>
                <w:rFonts w:hint="eastAsia" w:ascii="宋体" w:hAnsi="宋体" w:eastAsia="宋体" w:cs="宋体"/>
                <w:b w:val="0"/>
                <w:sz w:val="24"/>
                <w:szCs w:val="24"/>
              </w:rPr>
              <w:br w:type="textWrapping"/>
            </w:r>
            <w:r>
              <w:rPr>
                <w:rFonts w:hint="eastAsia" w:ascii="宋体" w:hAnsi="宋体" w:eastAsia="宋体" w:cs="宋体"/>
                <w:b w:val="0"/>
                <w:sz w:val="24"/>
                <w:szCs w:val="24"/>
              </w:rPr>
              <w:t>ATA49 MEL：APU OIL LEVER SENSOR</w:t>
            </w:r>
            <w:r>
              <w:rPr>
                <w:rFonts w:hint="eastAsia" w:ascii="宋体" w:hAnsi="宋体" w:eastAsia="宋体" w:cs="宋体"/>
                <w:b w:val="0"/>
                <w:sz w:val="24"/>
                <w:szCs w:val="24"/>
              </w:rPr>
              <w:br w:type="textWrapping"/>
            </w:r>
            <w:r>
              <w:rPr>
                <w:rFonts w:hint="eastAsia" w:ascii="宋体" w:hAnsi="宋体" w:eastAsia="宋体" w:cs="宋体"/>
                <w:b w:val="0"/>
                <w:sz w:val="24"/>
                <w:szCs w:val="24"/>
              </w:rPr>
              <w:t>ATA78 MEL:ENG1 REVERSER ENERGIZED</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（投标文件中需提供系统功能界面清晰截图证明文件）</w:t>
            </w:r>
            <w:r>
              <w:rPr>
                <w:rFonts w:hint="eastAsia" w:ascii="宋体" w:hAnsi="宋体" w:eastAsia="宋体" w:cs="宋体"/>
                <w:b w:val="0"/>
                <w:sz w:val="24"/>
                <w:szCs w:val="24"/>
              </w:rPr>
              <w:br w:type="textWrapping"/>
            </w:r>
            <w:r>
              <w:rPr>
                <w:rFonts w:hint="eastAsia" w:ascii="宋体" w:hAnsi="宋体" w:eastAsia="宋体" w:cs="宋体"/>
                <w:b w:val="0"/>
                <w:sz w:val="24"/>
                <w:szCs w:val="24"/>
              </w:rPr>
              <w:t>（三）训练控制模块。适用于民航飞机B737CL、B737NG、B737MAX、B787、A320、A350机型，应当覆盖下列章节系统：</w:t>
            </w:r>
            <w:r>
              <w:rPr>
                <w:rFonts w:hint="eastAsia" w:ascii="宋体" w:hAnsi="宋体" w:eastAsia="宋体" w:cs="宋体"/>
                <w:b w:val="0"/>
                <w:sz w:val="24"/>
                <w:szCs w:val="24"/>
              </w:rPr>
              <w:br w:type="textWrapping"/>
            </w:r>
            <w:r>
              <w:rPr>
                <w:rFonts w:hint="eastAsia" w:ascii="宋体" w:hAnsi="宋体" w:eastAsia="宋体" w:cs="宋体"/>
                <w:b w:val="0"/>
                <w:sz w:val="24"/>
                <w:szCs w:val="24"/>
              </w:rPr>
              <w:t>1.B737CL机型至少应当实现以下内容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ATA49 APU起动操作模拟功能；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ATA34 惯导校准模拟操作功能；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ATA34 导航系统通电检查功能；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ATA23 通信面板操作检查功能；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ATA29 液压系统操作检查功能；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ATA28 燃油系统操作检查功能；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ATA26 火警系统操作检查功能；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ATA36 引气操作检查功能；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ATA27 飞控舵面操作检查功能；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ATA32 起落架收放检查功能；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ATA32 刹车系统检查功能；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ATA24 飞机电源你系统检查功能；</w:t>
            </w:r>
          </w:p>
          <w:p>
            <w:pPr>
              <w:pStyle w:val="2"/>
              <w:spacing w:line="240" w:lineRule="auto"/>
              <w:rPr>
                <w:rFonts w:ascii="宋体" w:hAnsi="宋体" w:eastAsia="宋体" w:cs="宋体"/>
                <w:szCs w:val="24"/>
              </w:rPr>
            </w:pPr>
            <w:r>
              <w:rPr>
                <w:rFonts w:hint="eastAsia" w:ascii="宋体" w:hAnsi="宋体" w:eastAsia="宋体" w:cs="宋体"/>
                <w:szCs w:val="24"/>
              </w:rPr>
              <w:t>具备虚拟飞机和三维场景，可进入主要舱室进行部件识别认知；</w:t>
            </w:r>
            <w:r>
              <w:rPr>
                <w:rFonts w:hint="eastAsia" w:ascii="宋体" w:hAnsi="宋体" w:eastAsia="宋体" w:cs="宋体"/>
                <w:szCs w:val="24"/>
              </w:rPr>
              <w:br w:type="textWrapping"/>
            </w:r>
            <w:r>
              <w:rPr>
                <w:rFonts w:hint="eastAsia" w:ascii="宋体" w:hAnsi="宋体" w:eastAsia="宋体" w:cs="宋体"/>
                <w:szCs w:val="24"/>
              </w:rPr>
              <w:t>2.B737NG机型应当至少包括下列科目</w:t>
            </w:r>
            <w:r>
              <w:rPr>
                <w:rFonts w:hint="eastAsia" w:ascii="宋体" w:hAnsi="宋体" w:eastAsia="宋体" w:cs="宋体"/>
                <w:szCs w:val="24"/>
              </w:rPr>
              <w:br w:type="textWrapping"/>
            </w:r>
            <w:r>
              <w:rPr>
                <w:rFonts w:hint="eastAsia" w:ascii="宋体" w:hAnsi="宋体" w:eastAsia="宋体" w:cs="宋体"/>
                <w:szCs w:val="24"/>
              </w:rPr>
              <w:t>ATA21 CABIN PRESSURE CONTROL FAULT</w:t>
            </w:r>
            <w:r>
              <w:rPr>
                <w:rFonts w:hint="eastAsia" w:ascii="宋体" w:hAnsi="宋体" w:eastAsia="宋体" w:cs="宋体"/>
                <w:szCs w:val="24"/>
              </w:rPr>
              <w:br w:type="textWrapping"/>
            </w:r>
            <w:r>
              <w:rPr>
                <w:rFonts w:hint="eastAsia" w:ascii="宋体" w:hAnsi="宋体" w:eastAsia="宋体" w:cs="宋体"/>
                <w:szCs w:val="24"/>
              </w:rPr>
              <w:t>ATA21 PACK TRIP OFF</w:t>
            </w:r>
            <w:r>
              <w:rPr>
                <w:rFonts w:hint="eastAsia" w:ascii="宋体" w:hAnsi="宋体" w:eastAsia="宋体" w:cs="宋体"/>
                <w:szCs w:val="24"/>
              </w:rPr>
              <w:br w:type="textWrapping"/>
            </w:r>
            <w:r>
              <w:rPr>
                <w:rFonts w:hint="eastAsia" w:ascii="宋体" w:hAnsi="宋体" w:eastAsia="宋体" w:cs="宋体"/>
                <w:szCs w:val="24"/>
              </w:rPr>
              <w:t>ATA22 AUTOTHROTTLE FAIL</w:t>
            </w:r>
            <w:r>
              <w:rPr>
                <w:rFonts w:hint="eastAsia" w:ascii="宋体" w:hAnsi="宋体" w:eastAsia="宋体" w:cs="宋体"/>
                <w:szCs w:val="24"/>
              </w:rPr>
              <w:br w:type="textWrapping"/>
            </w:r>
            <w:r>
              <w:rPr>
                <w:rFonts w:hint="eastAsia" w:ascii="宋体" w:hAnsi="宋体" w:eastAsia="宋体" w:cs="宋体"/>
                <w:szCs w:val="24"/>
              </w:rPr>
              <w:t>ATA22 AP CMD A FAULT IN FLIGHT</w:t>
            </w:r>
            <w:r>
              <w:rPr>
                <w:rFonts w:hint="eastAsia" w:ascii="宋体" w:hAnsi="宋体" w:eastAsia="宋体" w:cs="宋体"/>
                <w:szCs w:val="24"/>
              </w:rPr>
              <w:br w:type="textWrapping"/>
            </w:r>
            <w:r>
              <w:rPr>
                <w:rFonts w:hint="eastAsia" w:ascii="宋体" w:hAnsi="宋体" w:eastAsia="宋体" w:cs="宋体"/>
                <w:szCs w:val="24"/>
              </w:rPr>
              <w:t>ATA23 CAPTAIN RTP FAULT</w:t>
            </w:r>
            <w:r>
              <w:rPr>
                <w:rFonts w:hint="eastAsia" w:ascii="宋体" w:hAnsi="宋体" w:eastAsia="宋体" w:cs="宋体"/>
                <w:szCs w:val="24"/>
              </w:rPr>
              <w:br w:type="textWrapping"/>
            </w:r>
            <w:r>
              <w:rPr>
                <w:rFonts w:hint="eastAsia" w:ascii="宋体" w:hAnsi="宋体" w:eastAsia="宋体" w:cs="宋体"/>
                <w:szCs w:val="24"/>
              </w:rPr>
              <w:t>ATA24 TRANSFER BUS DISCONNECTION FAULT</w:t>
            </w:r>
            <w:r>
              <w:rPr>
                <w:rFonts w:hint="eastAsia" w:ascii="宋体" w:hAnsi="宋体" w:eastAsia="宋体" w:cs="宋体"/>
                <w:szCs w:val="24"/>
              </w:rPr>
              <w:br w:type="textWrapping"/>
            </w:r>
            <w:r>
              <w:rPr>
                <w:rFonts w:hint="eastAsia" w:ascii="宋体" w:hAnsi="宋体" w:eastAsia="宋体" w:cs="宋体"/>
                <w:szCs w:val="24"/>
              </w:rPr>
              <w:t>ATA26 AFTER CARGO FIRE ALARM</w:t>
            </w:r>
            <w:r>
              <w:rPr>
                <w:rFonts w:hint="eastAsia" w:ascii="宋体" w:hAnsi="宋体" w:eastAsia="宋体" w:cs="宋体"/>
                <w:szCs w:val="24"/>
              </w:rPr>
              <w:br w:type="textWrapping"/>
            </w:r>
            <w:r>
              <w:rPr>
                <w:rFonts w:hint="eastAsia" w:ascii="宋体" w:hAnsi="宋体" w:eastAsia="宋体" w:cs="宋体"/>
                <w:szCs w:val="24"/>
              </w:rPr>
              <w:t>ATA27 FLAP POSITION DISAGREE WITH POSITION INDICATOR</w:t>
            </w:r>
            <w:r>
              <w:rPr>
                <w:rFonts w:hint="eastAsia" w:ascii="宋体" w:hAnsi="宋体" w:eastAsia="宋体" w:cs="宋体"/>
                <w:szCs w:val="24"/>
              </w:rPr>
              <w:br w:type="textWrapping"/>
            </w:r>
            <w:r>
              <w:rPr>
                <w:rFonts w:hint="eastAsia" w:ascii="宋体" w:hAnsi="宋体" w:eastAsia="宋体" w:cs="宋体"/>
                <w:szCs w:val="24"/>
              </w:rPr>
              <w:t>ATA29 L/H HYDRAULIC PUMP OVERHEAT</w:t>
            </w:r>
            <w:r>
              <w:rPr>
                <w:rFonts w:hint="eastAsia" w:ascii="宋体" w:hAnsi="宋体" w:eastAsia="宋体" w:cs="宋体"/>
                <w:szCs w:val="24"/>
              </w:rPr>
              <w:br w:type="textWrapping"/>
            </w:r>
            <w:r>
              <w:rPr>
                <w:rFonts w:hint="eastAsia" w:ascii="宋体" w:hAnsi="宋体" w:eastAsia="宋体" w:cs="宋体"/>
                <w:szCs w:val="24"/>
              </w:rPr>
              <w:t>ATA30 WINDSHIELD OVERHEAD LIGHT ILLUMINATE</w:t>
            </w:r>
            <w:r>
              <w:rPr>
                <w:rFonts w:hint="eastAsia" w:ascii="宋体" w:hAnsi="宋体" w:eastAsia="宋体" w:cs="宋体"/>
                <w:szCs w:val="24"/>
              </w:rPr>
              <w:br w:type="textWrapping"/>
            </w:r>
            <w:r>
              <w:rPr>
                <w:rFonts w:hint="eastAsia" w:ascii="宋体" w:hAnsi="宋体" w:eastAsia="宋体" w:cs="宋体"/>
                <w:szCs w:val="24"/>
              </w:rPr>
              <w:t>ATA30 R/H ENGINE COWL ANTIICE VALVE INOPERATION</w:t>
            </w:r>
            <w:r>
              <w:rPr>
                <w:rFonts w:hint="eastAsia" w:ascii="宋体" w:hAnsi="宋体" w:eastAsia="宋体" w:cs="宋体"/>
                <w:szCs w:val="24"/>
              </w:rPr>
              <w:br w:type="textWrapping"/>
            </w:r>
            <w:r>
              <w:rPr>
                <w:rFonts w:hint="eastAsia" w:ascii="宋体" w:hAnsi="宋体" w:eastAsia="宋体" w:cs="宋体"/>
                <w:szCs w:val="24"/>
              </w:rPr>
              <w:t>ATA31 CDS FAULT ANNUNCIATION SHOWS ON CAPT PFD</w:t>
            </w:r>
            <w:r>
              <w:rPr>
                <w:rFonts w:hint="eastAsia" w:ascii="宋体" w:hAnsi="宋体" w:eastAsia="宋体" w:cs="宋体"/>
                <w:szCs w:val="24"/>
              </w:rPr>
              <w:br w:type="textWrapping"/>
            </w:r>
            <w:r>
              <w:rPr>
                <w:rFonts w:hint="eastAsia" w:ascii="宋体" w:hAnsi="宋体" w:eastAsia="宋体" w:cs="宋体"/>
                <w:szCs w:val="24"/>
              </w:rPr>
              <w:t>ATA32 WHEEL AND ANTISKID BRAKE FAULT LIGHT ILLUMINATE</w:t>
            </w:r>
            <w:r>
              <w:rPr>
                <w:rFonts w:hint="eastAsia" w:ascii="宋体" w:hAnsi="宋体" w:eastAsia="宋体" w:cs="宋体"/>
                <w:szCs w:val="24"/>
              </w:rPr>
              <w:br w:type="textWrapping"/>
            </w:r>
            <w:r>
              <w:rPr>
                <w:rFonts w:hint="eastAsia" w:ascii="宋体" w:hAnsi="宋体" w:eastAsia="宋体" w:cs="宋体"/>
                <w:szCs w:val="24"/>
              </w:rPr>
              <w:t>ATA34 RA SYSTEM FAULT</w:t>
            </w:r>
            <w:r>
              <w:rPr>
                <w:rFonts w:hint="eastAsia" w:ascii="宋体" w:hAnsi="宋体" w:eastAsia="宋体" w:cs="宋体"/>
                <w:szCs w:val="24"/>
              </w:rPr>
              <w:br w:type="textWrapping"/>
            </w:r>
            <w:r>
              <w:rPr>
                <w:rFonts w:hint="eastAsia" w:ascii="宋体" w:hAnsi="宋体" w:eastAsia="宋体" w:cs="宋体"/>
                <w:szCs w:val="24"/>
              </w:rPr>
              <w:t>ATA36 L/H ENGINE PNEUMATIC BLEED TRIP OFF</w:t>
            </w:r>
            <w:r>
              <w:rPr>
                <w:rFonts w:hint="eastAsia" w:ascii="宋体" w:hAnsi="宋体" w:eastAsia="宋体" w:cs="宋体"/>
                <w:szCs w:val="24"/>
              </w:rPr>
              <w:br w:type="textWrapping"/>
            </w:r>
            <w:r>
              <w:rPr>
                <w:rFonts w:hint="eastAsia" w:ascii="宋体" w:hAnsi="宋体" w:eastAsia="宋体" w:cs="宋体"/>
                <w:szCs w:val="24"/>
              </w:rPr>
              <w:t>ATA49 APU FAULT LIGHT ILLUMINATE</w:t>
            </w:r>
            <w:r>
              <w:rPr>
                <w:rFonts w:hint="eastAsia" w:ascii="宋体" w:hAnsi="宋体" w:eastAsia="宋体" w:cs="宋体"/>
                <w:szCs w:val="24"/>
              </w:rPr>
              <w:br w:type="textWrapping"/>
            </w:r>
            <w:r>
              <w:rPr>
                <w:rFonts w:hint="eastAsia" w:ascii="宋体" w:hAnsi="宋体" w:eastAsia="宋体" w:cs="宋体"/>
                <w:szCs w:val="24"/>
              </w:rPr>
              <w:t>ATA73 R/H ENGINE FUEL FILTER BYPASS</w:t>
            </w:r>
            <w:r>
              <w:rPr>
                <w:rFonts w:hint="eastAsia" w:ascii="宋体" w:hAnsi="宋体" w:eastAsia="宋体" w:cs="宋体"/>
                <w:szCs w:val="24"/>
              </w:rPr>
              <w:br w:type="textWrapping"/>
            </w:r>
            <w:r>
              <w:rPr>
                <w:rFonts w:hint="eastAsia" w:ascii="宋体" w:hAnsi="宋体" w:eastAsia="宋体" w:cs="宋体"/>
                <w:szCs w:val="24"/>
              </w:rPr>
              <w:t>ATA76 RIGHT START LEVER SIGNALS DISAGREE</w:t>
            </w:r>
            <w:r>
              <w:rPr>
                <w:rFonts w:hint="eastAsia" w:ascii="宋体" w:hAnsi="宋体" w:eastAsia="宋体" w:cs="宋体"/>
                <w:szCs w:val="24"/>
              </w:rPr>
              <w:br w:type="textWrapping"/>
            </w:r>
            <w:r>
              <w:rPr>
                <w:rFonts w:hint="eastAsia" w:ascii="宋体" w:hAnsi="宋体" w:eastAsia="宋体" w:cs="宋体"/>
                <w:szCs w:val="24"/>
              </w:rPr>
              <w:t>ATA79 ENGINE OIL TEMPERATURE HIGHT TROUBLESHOOTING</w:t>
            </w:r>
            <w:r>
              <w:rPr>
                <w:rFonts w:hint="eastAsia" w:ascii="宋体" w:hAnsi="宋体" w:eastAsia="宋体" w:cs="宋体"/>
                <w:szCs w:val="24"/>
              </w:rPr>
              <w:br w:type="textWrapping"/>
            </w:r>
            <w:r>
              <w:rPr>
                <w:rFonts w:hint="eastAsia" w:ascii="宋体" w:hAnsi="宋体" w:eastAsia="宋体" w:cs="宋体"/>
                <w:szCs w:val="24"/>
              </w:rPr>
              <w:t>ATA80 ENGINE START IGNITION FAULT</w:t>
            </w:r>
            <w:r>
              <w:rPr>
                <w:rFonts w:hint="eastAsia" w:ascii="宋体" w:hAnsi="宋体" w:eastAsia="宋体" w:cs="宋体"/>
                <w:szCs w:val="24"/>
              </w:rPr>
              <w:br w:type="textWrapping"/>
            </w:r>
            <w:r>
              <w:rPr>
                <w:rFonts w:hint="eastAsia" w:ascii="宋体" w:hAnsi="宋体" w:eastAsia="宋体" w:cs="宋体"/>
                <w:szCs w:val="24"/>
              </w:rPr>
              <w:t>3.B737MAX机型应当至少包括下列科目</w:t>
            </w:r>
            <w:r>
              <w:rPr>
                <w:rFonts w:hint="eastAsia" w:ascii="宋体" w:hAnsi="宋体" w:eastAsia="宋体" w:cs="宋体"/>
                <w:szCs w:val="24"/>
              </w:rPr>
              <w:br w:type="textWrapping"/>
            </w:r>
            <w:r>
              <w:rPr>
                <w:rFonts w:hint="eastAsia" w:ascii="宋体" w:hAnsi="宋体" w:eastAsia="宋体" w:cs="宋体"/>
                <w:szCs w:val="24"/>
              </w:rPr>
              <w:t>ATA21 状态信息 PACK FLOW PRIMARY  L 和维护信息21-90001 排故</w:t>
            </w:r>
            <w:r>
              <w:rPr>
                <w:rFonts w:hint="eastAsia" w:ascii="宋体" w:hAnsi="宋体" w:eastAsia="宋体" w:cs="宋体"/>
                <w:szCs w:val="24"/>
              </w:rPr>
              <w:br w:type="textWrapping"/>
            </w:r>
            <w:r>
              <w:rPr>
                <w:rFonts w:hint="eastAsia" w:ascii="宋体" w:hAnsi="宋体" w:eastAsia="宋体" w:cs="宋体"/>
                <w:szCs w:val="24"/>
              </w:rPr>
              <w:t>ATA26 轮舱火警探测失效</w:t>
            </w:r>
            <w:r>
              <w:rPr>
                <w:rFonts w:hint="eastAsia" w:ascii="宋体" w:hAnsi="宋体" w:eastAsia="宋体" w:cs="宋体"/>
                <w:szCs w:val="24"/>
              </w:rPr>
              <w:br w:type="textWrapping"/>
            </w:r>
            <w:r>
              <w:rPr>
                <w:rFonts w:hint="eastAsia" w:ascii="宋体" w:hAnsi="宋体" w:eastAsia="宋体" w:cs="宋体"/>
                <w:szCs w:val="24"/>
              </w:rPr>
              <w:t>ATA27 状态信息 SPOILER PAIR 4/9 和维护信息 27-01620</w:t>
            </w:r>
            <w:r>
              <w:rPr>
                <w:rFonts w:hint="eastAsia" w:ascii="宋体" w:hAnsi="宋体" w:eastAsia="宋体" w:cs="宋体"/>
                <w:szCs w:val="24"/>
              </w:rPr>
              <w:br w:type="textWrapping"/>
            </w:r>
            <w:r>
              <w:rPr>
                <w:rFonts w:hint="eastAsia" w:ascii="宋体" w:hAnsi="宋体" w:eastAsia="宋体" w:cs="宋体"/>
                <w:szCs w:val="24"/>
              </w:rPr>
              <w:t>ATA27 驾驶舱P1板STAB OUT OF TRIM灯亮,维护信息27-02230</w:t>
            </w:r>
            <w:r>
              <w:rPr>
                <w:rFonts w:hint="eastAsia" w:ascii="宋体" w:hAnsi="宋体" w:eastAsia="宋体" w:cs="宋体"/>
                <w:szCs w:val="24"/>
              </w:rPr>
              <w:br w:type="textWrapping"/>
            </w:r>
            <w:r>
              <w:rPr>
                <w:rFonts w:hint="eastAsia" w:ascii="宋体" w:hAnsi="宋体" w:eastAsia="宋体" w:cs="宋体"/>
                <w:szCs w:val="24"/>
              </w:rPr>
              <w:t>ATA31 排故操作：出现状态信息DISPLAY UNIT INTERFACE,31-00032</w:t>
            </w:r>
            <w:r>
              <w:rPr>
                <w:rFonts w:hint="eastAsia" w:ascii="宋体" w:hAnsi="宋体" w:eastAsia="宋体" w:cs="宋体"/>
                <w:szCs w:val="24"/>
              </w:rPr>
              <w:br w:type="textWrapping"/>
            </w:r>
            <w:r>
              <w:rPr>
                <w:rFonts w:hint="eastAsia" w:ascii="宋体" w:hAnsi="宋体" w:eastAsia="宋体" w:cs="宋体"/>
                <w:szCs w:val="24"/>
              </w:rPr>
              <w:t>ATA31 两侧PFD显示DISPLAY SOURCE 1,维护信息：31-00101</w:t>
            </w:r>
            <w:r>
              <w:rPr>
                <w:rFonts w:hint="eastAsia" w:ascii="宋体" w:hAnsi="宋体" w:eastAsia="宋体" w:cs="宋体"/>
                <w:szCs w:val="24"/>
              </w:rPr>
              <w:br w:type="textWrapping"/>
            </w:r>
            <w:r>
              <w:rPr>
                <w:rFonts w:hint="eastAsia" w:ascii="宋体" w:hAnsi="宋体" w:eastAsia="宋体" w:cs="宋体"/>
                <w:szCs w:val="24"/>
              </w:rPr>
              <w:t>ATA31 两侧PFD显示DISPLAY SOURCE 2，维护信息：31-00032</w:t>
            </w:r>
            <w:r>
              <w:rPr>
                <w:rFonts w:hint="eastAsia" w:ascii="宋体" w:hAnsi="宋体" w:eastAsia="宋体" w:cs="宋体"/>
                <w:szCs w:val="24"/>
              </w:rPr>
              <w:br w:type="textWrapping"/>
            </w:r>
            <w:r>
              <w:rPr>
                <w:rFonts w:hint="eastAsia" w:ascii="宋体" w:hAnsi="宋体" w:eastAsia="宋体" w:cs="宋体"/>
                <w:szCs w:val="24"/>
              </w:rPr>
              <w:t>ATA32 状态信息 GEAR LEVER SW 和维护信息32-62623</w:t>
            </w:r>
            <w:r>
              <w:rPr>
                <w:rFonts w:hint="eastAsia" w:ascii="宋体" w:hAnsi="宋体" w:eastAsia="宋体" w:cs="宋体"/>
                <w:szCs w:val="24"/>
              </w:rPr>
              <w:br w:type="textWrapping"/>
            </w:r>
            <w:r>
              <w:rPr>
                <w:rFonts w:hint="eastAsia" w:ascii="宋体" w:hAnsi="宋体" w:eastAsia="宋体" w:cs="宋体"/>
                <w:szCs w:val="24"/>
              </w:rPr>
              <w:t>ATA32 状态信息 PSEU FAIL 和维护信息32-64001</w:t>
            </w:r>
            <w:r>
              <w:rPr>
                <w:rFonts w:hint="eastAsia" w:ascii="宋体" w:hAnsi="宋体" w:eastAsia="宋体" w:cs="宋体"/>
                <w:szCs w:val="24"/>
              </w:rPr>
              <w:br w:type="textWrapping"/>
            </w:r>
            <w:r>
              <w:rPr>
                <w:rFonts w:hint="eastAsia" w:ascii="宋体" w:hAnsi="宋体" w:eastAsia="宋体" w:cs="宋体"/>
                <w:szCs w:val="24"/>
              </w:rPr>
              <w:t>ATA34 两侧ND显示WXR FAIL，维护信息：34-43103</w:t>
            </w:r>
            <w:r>
              <w:rPr>
                <w:rFonts w:hint="eastAsia" w:ascii="宋体" w:hAnsi="宋体" w:eastAsia="宋体" w:cs="宋体"/>
                <w:szCs w:val="24"/>
              </w:rPr>
              <w:br w:type="textWrapping"/>
            </w:r>
            <w:r>
              <w:rPr>
                <w:rFonts w:hint="eastAsia" w:ascii="宋体" w:hAnsi="宋体" w:eastAsia="宋体" w:cs="宋体"/>
                <w:szCs w:val="24"/>
              </w:rPr>
              <w:t>ATA34 MMR-1 INTERNAL FAULT，维护信息：34-31001</w:t>
            </w:r>
            <w:r>
              <w:rPr>
                <w:rFonts w:hint="eastAsia" w:ascii="宋体" w:hAnsi="宋体" w:eastAsia="宋体" w:cs="宋体"/>
                <w:szCs w:val="24"/>
              </w:rPr>
              <w:br w:type="textWrapping"/>
            </w:r>
            <w:r>
              <w:rPr>
                <w:rFonts w:hint="eastAsia" w:ascii="宋体" w:hAnsi="宋体" w:eastAsia="宋体" w:cs="宋体"/>
                <w:szCs w:val="24"/>
              </w:rPr>
              <w:t>ATA36 状态信息 BLEED PRSOV L 和维护信息36-11050</w:t>
            </w:r>
            <w:r>
              <w:rPr>
                <w:rFonts w:hint="eastAsia" w:ascii="宋体" w:hAnsi="宋体" w:eastAsia="宋体" w:cs="宋体"/>
                <w:szCs w:val="24"/>
              </w:rPr>
              <w:br w:type="textWrapping"/>
            </w:r>
            <w:r>
              <w:rPr>
                <w:rFonts w:hint="eastAsia" w:ascii="宋体" w:hAnsi="宋体" w:eastAsia="宋体" w:cs="宋体"/>
                <w:szCs w:val="24"/>
              </w:rPr>
              <w:t>ATA36 状态信息 BLEED FAMV R 和维护信息36-12021</w:t>
            </w:r>
            <w:r>
              <w:rPr>
                <w:rFonts w:hint="eastAsia" w:ascii="宋体" w:hAnsi="宋体" w:eastAsia="宋体" w:cs="宋体"/>
                <w:szCs w:val="24"/>
              </w:rPr>
              <w:br w:type="textWrapping"/>
            </w:r>
            <w:r>
              <w:rPr>
                <w:rFonts w:hint="eastAsia" w:ascii="宋体" w:hAnsi="宋体" w:eastAsia="宋体" w:cs="宋体"/>
                <w:szCs w:val="24"/>
              </w:rPr>
              <w:t>ATA46 NFS-L INTERNAL FAULT，维护信息：46-10001</w:t>
            </w:r>
            <w:r>
              <w:rPr>
                <w:rFonts w:hint="eastAsia" w:ascii="宋体" w:hAnsi="宋体" w:eastAsia="宋体" w:cs="宋体"/>
                <w:szCs w:val="24"/>
              </w:rPr>
              <w:br w:type="textWrapping"/>
            </w:r>
            <w:r>
              <w:rPr>
                <w:rFonts w:hint="eastAsia" w:ascii="宋体" w:hAnsi="宋体" w:eastAsia="宋体" w:cs="宋体"/>
                <w:szCs w:val="24"/>
              </w:rPr>
              <w:t>ATA46 NFS-L SOFTWARE FAULT，维护信息：46-10010</w:t>
            </w:r>
            <w:r>
              <w:rPr>
                <w:rFonts w:hint="eastAsia" w:ascii="宋体" w:hAnsi="宋体" w:eastAsia="宋体" w:cs="宋体"/>
                <w:szCs w:val="24"/>
              </w:rPr>
              <w:br w:type="textWrapping"/>
            </w:r>
            <w:r>
              <w:rPr>
                <w:rFonts w:hint="eastAsia" w:ascii="宋体" w:hAnsi="宋体" w:eastAsia="宋体" w:cs="宋体"/>
                <w:szCs w:val="24"/>
              </w:rPr>
              <w:t>ATA49 状态信息 APU DOOR 和维护信息49-83271</w:t>
            </w:r>
            <w:r>
              <w:rPr>
                <w:rFonts w:hint="eastAsia" w:ascii="宋体" w:hAnsi="宋体" w:eastAsia="宋体" w:cs="宋体"/>
                <w:szCs w:val="24"/>
              </w:rPr>
              <w:br w:type="textWrapping"/>
            </w:r>
            <w:r>
              <w:rPr>
                <w:rFonts w:hint="eastAsia" w:ascii="宋体" w:hAnsi="宋体" w:eastAsia="宋体" w:cs="宋体"/>
                <w:szCs w:val="24"/>
              </w:rPr>
              <w:t>ATA78 状态信息 ENG 2 REVERSER 和维护信息78-44243</w:t>
            </w:r>
            <w:r>
              <w:rPr>
                <w:rFonts w:hint="eastAsia" w:ascii="宋体" w:hAnsi="宋体" w:eastAsia="宋体" w:cs="宋体"/>
                <w:szCs w:val="24"/>
              </w:rPr>
              <w:br w:type="textWrapping"/>
            </w:r>
            <w:r>
              <w:rPr>
                <w:rFonts w:hint="eastAsia" w:ascii="宋体" w:hAnsi="宋体" w:eastAsia="宋体" w:cs="宋体"/>
                <w:kern w:val="0"/>
                <w:szCs w:val="24"/>
                <w:lang w:bidi="ar"/>
              </w:rPr>
              <w:t>■</w:t>
            </w:r>
            <w:r>
              <w:rPr>
                <w:rFonts w:hint="eastAsia" w:ascii="宋体" w:hAnsi="宋体" w:eastAsia="宋体" w:cs="宋体"/>
                <w:szCs w:val="24"/>
              </w:rPr>
              <w:t>4.B787机型应当至少包括下列科目</w:t>
            </w:r>
            <w:r>
              <w:rPr>
                <w:rFonts w:hint="eastAsia" w:ascii="宋体" w:hAnsi="宋体" w:eastAsia="宋体" w:cs="宋体"/>
                <w:szCs w:val="24"/>
              </w:rPr>
              <w:br w:type="textWrapping"/>
            </w:r>
            <w:r>
              <w:rPr>
                <w:rFonts w:hint="eastAsia" w:ascii="宋体" w:hAnsi="宋体" w:eastAsia="宋体" w:cs="宋体"/>
                <w:szCs w:val="24"/>
              </w:rPr>
              <w:t>ATA21 PECS Left Liquid Pump Package airflow is blocked or leaking</w:t>
            </w:r>
            <w:r>
              <w:rPr>
                <w:rFonts w:hint="eastAsia" w:ascii="宋体" w:hAnsi="宋体" w:eastAsia="宋体" w:cs="宋体"/>
                <w:szCs w:val="24"/>
              </w:rPr>
              <w:br w:type="textWrapping"/>
            </w:r>
            <w:r>
              <w:rPr>
                <w:rFonts w:hint="eastAsia" w:ascii="宋体" w:hAnsi="宋体" w:eastAsia="宋体" w:cs="宋体"/>
                <w:szCs w:val="24"/>
              </w:rPr>
              <w:t>ATA21 OUTFLOW VALVE  FWD</w:t>
            </w:r>
            <w:r>
              <w:rPr>
                <w:rFonts w:hint="eastAsia" w:ascii="宋体" w:hAnsi="宋体" w:eastAsia="宋体" w:cs="宋体"/>
                <w:szCs w:val="24"/>
              </w:rPr>
              <w:br w:type="textWrapping"/>
            </w:r>
            <w:r>
              <w:rPr>
                <w:rFonts w:hint="eastAsia" w:ascii="宋体" w:hAnsi="宋体" w:eastAsia="宋体" w:cs="宋体"/>
                <w:szCs w:val="24"/>
              </w:rPr>
              <w:t>ATA22 MCP Module Channel B Has No Output</w:t>
            </w:r>
            <w:r>
              <w:rPr>
                <w:rFonts w:hint="eastAsia" w:ascii="宋体" w:hAnsi="宋体" w:eastAsia="宋体" w:cs="宋体"/>
                <w:szCs w:val="24"/>
              </w:rPr>
              <w:br w:type="textWrapping"/>
            </w:r>
            <w:r>
              <w:rPr>
                <w:rFonts w:hint="eastAsia" w:ascii="宋体" w:hAnsi="宋体" w:eastAsia="宋体" w:cs="宋体"/>
                <w:szCs w:val="24"/>
              </w:rPr>
              <w:t>ATA22 Solid State Power Controller is failed to the open position</w:t>
            </w:r>
            <w:r>
              <w:rPr>
                <w:rFonts w:hint="eastAsia" w:ascii="宋体" w:hAnsi="宋体" w:eastAsia="宋体" w:cs="宋体"/>
                <w:szCs w:val="24"/>
              </w:rPr>
              <w:br w:type="textWrapping"/>
            </w:r>
            <w:r>
              <w:rPr>
                <w:rFonts w:hint="eastAsia" w:ascii="宋体" w:hAnsi="宋体" w:eastAsia="宋体" w:cs="宋体"/>
                <w:szCs w:val="24"/>
              </w:rPr>
              <w:t>ATA23 Left Satellite Receiver Transmillter has an internal fault</w:t>
            </w:r>
            <w:r>
              <w:rPr>
                <w:rFonts w:hint="eastAsia" w:ascii="宋体" w:hAnsi="宋体" w:eastAsia="宋体" w:cs="宋体"/>
                <w:szCs w:val="24"/>
              </w:rPr>
              <w:br w:type="textWrapping"/>
            </w:r>
            <w:r>
              <w:rPr>
                <w:rFonts w:hint="eastAsia" w:ascii="宋体" w:hAnsi="宋体" w:eastAsia="宋体" w:cs="宋体"/>
                <w:szCs w:val="24"/>
              </w:rPr>
              <w:t>ATA23 Left VHF conmmunication transceiver fault</w:t>
            </w:r>
            <w:r>
              <w:rPr>
                <w:rFonts w:hint="eastAsia" w:ascii="宋体" w:hAnsi="宋体" w:eastAsia="宋体" w:cs="宋体"/>
                <w:szCs w:val="24"/>
              </w:rPr>
              <w:br w:type="textWrapping"/>
            </w:r>
            <w:r>
              <w:rPr>
                <w:rFonts w:hint="eastAsia" w:ascii="宋体" w:hAnsi="宋体" w:eastAsia="宋体" w:cs="宋体"/>
                <w:szCs w:val="24"/>
              </w:rPr>
              <w:t>ATA24 RPDU 75M2 DC19 Circuit card has an internal fault</w:t>
            </w:r>
            <w:r>
              <w:rPr>
                <w:rFonts w:hint="eastAsia" w:ascii="宋体" w:hAnsi="宋体" w:eastAsia="宋体" w:cs="宋体"/>
                <w:szCs w:val="24"/>
              </w:rPr>
              <w:br w:type="textWrapping"/>
            </w:r>
            <w:r>
              <w:rPr>
                <w:rFonts w:hint="eastAsia" w:ascii="宋体" w:hAnsi="宋体" w:eastAsia="宋体" w:cs="宋体"/>
                <w:szCs w:val="24"/>
              </w:rPr>
              <w:t>ATA24 GEN CTRL L1 Light Failure</w:t>
            </w:r>
            <w:r>
              <w:rPr>
                <w:rFonts w:hint="eastAsia" w:ascii="宋体" w:hAnsi="宋体" w:eastAsia="宋体" w:cs="宋体"/>
                <w:szCs w:val="24"/>
              </w:rPr>
              <w:br w:type="textWrapping"/>
            </w:r>
            <w:r>
              <w:rPr>
                <w:rFonts w:hint="eastAsia" w:ascii="宋体" w:hAnsi="宋体" w:eastAsia="宋体" w:cs="宋体"/>
                <w:szCs w:val="24"/>
              </w:rPr>
              <w:t>ATA26 MEDC CHAN A ENG L</w:t>
            </w:r>
            <w:r>
              <w:rPr>
                <w:rFonts w:hint="eastAsia" w:ascii="宋体" w:hAnsi="宋体" w:eastAsia="宋体" w:cs="宋体"/>
                <w:szCs w:val="24"/>
              </w:rPr>
              <w:br w:type="textWrapping"/>
            </w:r>
            <w:r>
              <w:rPr>
                <w:rFonts w:hint="eastAsia" w:ascii="宋体" w:hAnsi="宋体" w:eastAsia="宋体" w:cs="宋体"/>
                <w:szCs w:val="24"/>
              </w:rPr>
              <w:t>ATA27 P300M2 Slot-S DC-4 Circuit Card has an interal fault</w:t>
            </w:r>
            <w:r>
              <w:rPr>
                <w:rFonts w:hint="eastAsia" w:ascii="宋体" w:hAnsi="宋体" w:eastAsia="宋体" w:cs="宋体"/>
                <w:szCs w:val="24"/>
              </w:rPr>
              <w:br w:type="textWrapping"/>
            </w:r>
            <w:r>
              <w:rPr>
                <w:rFonts w:hint="eastAsia" w:ascii="宋体" w:hAnsi="宋体" w:eastAsia="宋体" w:cs="宋体"/>
                <w:szCs w:val="24"/>
              </w:rPr>
              <w:t>ATA27 Direct Mode Rate Sensor Inoperative</w:t>
            </w:r>
            <w:r>
              <w:rPr>
                <w:rFonts w:hint="eastAsia" w:ascii="宋体" w:hAnsi="宋体" w:eastAsia="宋体" w:cs="宋体"/>
                <w:szCs w:val="24"/>
              </w:rPr>
              <w:br w:type="textWrapping"/>
            </w:r>
            <w:r>
              <w:rPr>
                <w:rFonts w:hint="eastAsia" w:ascii="宋体" w:hAnsi="宋体" w:eastAsia="宋体" w:cs="宋体"/>
                <w:szCs w:val="24"/>
              </w:rPr>
              <w:t>ATA28 FUEL TEMP INDICATION C</w:t>
            </w:r>
            <w:r>
              <w:rPr>
                <w:rFonts w:hint="eastAsia" w:ascii="宋体" w:hAnsi="宋体" w:eastAsia="宋体" w:cs="宋体"/>
                <w:szCs w:val="24"/>
              </w:rPr>
              <w:br w:type="textWrapping"/>
            </w:r>
            <w:r>
              <w:rPr>
                <w:rFonts w:hint="eastAsia" w:ascii="宋体" w:hAnsi="宋体" w:eastAsia="宋体" w:cs="宋体"/>
                <w:szCs w:val="24"/>
              </w:rPr>
              <w:t>ATA29 HYD QTY IND C</w:t>
            </w:r>
            <w:r>
              <w:rPr>
                <w:rFonts w:hint="eastAsia" w:ascii="宋体" w:hAnsi="宋体" w:eastAsia="宋体" w:cs="宋体"/>
                <w:szCs w:val="24"/>
              </w:rPr>
              <w:br w:type="textWrapping"/>
            </w:r>
            <w:r>
              <w:rPr>
                <w:rFonts w:hint="eastAsia" w:ascii="宋体" w:hAnsi="宋体" w:eastAsia="宋体" w:cs="宋体"/>
                <w:szCs w:val="24"/>
              </w:rPr>
              <w:t>ATA29 HYD OVERHEAT PRIL L</w:t>
            </w:r>
            <w:r>
              <w:rPr>
                <w:rFonts w:hint="eastAsia" w:ascii="宋体" w:hAnsi="宋体" w:eastAsia="宋体" w:cs="宋体"/>
                <w:szCs w:val="24"/>
              </w:rPr>
              <w:br w:type="textWrapping"/>
            </w:r>
            <w:r>
              <w:rPr>
                <w:rFonts w:hint="eastAsia" w:ascii="宋体" w:hAnsi="宋体" w:eastAsia="宋体" w:cs="宋体"/>
                <w:szCs w:val="24"/>
              </w:rPr>
              <w:t>ATA30 EAI PRESS SENSOR L 1</w:t>
            </w:r>
            <w:r>
              <w:rPr>
                <w:rFonts w:hint="eastAsia" w:ascii="宋体" w:hAnsi="宋体" w:eastAsia="宋体" w:cs="宋体"/>
                <w:szCs w:val="24"/>
              </w:rPr>
              <w:br w:type="textWrapping"/>
            </w:r>
            <w:r>
              <w:rPr>
                <w:rFonts w:hint="eastAsia" w:ascii="宋体" w:hAnsi="宋体" w:eastAsia="宋体" w:cs="宋体"/>
                <w:szCs w:val="24"/>
              </w:rPr>
              <w:t>ATA31 Display unit :blank-center lower DU</w:t>
            </w:r>
            <w:r>
              <w:rPr>
                <w:rFonts w:hint="eastAsia" w:ascii="宋体" w:hAnsi="宋体" w:eastAsia="宋体" w:cs="宋体"/>
                <w:szCs w:val="24"/>
              </w:rPr>
              <w:br w:type="textWrapping"/>
            </w:r>
            <w:r>
              <w:rPr>
                <w:rFonts w:hint="eastAsia" w:ascii="宋体" w:hAnsi="宋体" w:eastAsia="宋体" w:cs="宋体"/>
                <w:szCs w:val="24"/>
              </w:rPr>
              <w:t>ATA31 CCR GRAPHICS GENERATOR Failure(L)</w:t>
            </w:r>
            <w:r>
              <w:rPr>
                <w:rFonts w:hint="eastAsia" w:ascii="宋体" w:hAnsi="宋体" w:eastAsia="宋体" w:cs="宋体"/>
                <w:szCs w:val="24"/>
              </w:rPr>
              <w:br w:type="textWrapping"/>
            </w:r>
            <w:r>
              <w:rPr>
                <w:rFonts w:hint="eastAsia" w:ascii="宋体" w:hAnsi="宋体" w:eastAsia="宋体" w:cs="宋体"/>
                <w:szCs w:val="24"/>
              </w:rPr>
              <w:t>ATA31 Captain Clock Failure</w:t>
            </w:r>
            <w:r>
              <w:rPr>
                <w:rFonts w:hint="eastAsia" w:ascii="宋体" w:hAnsi="宋体" w:eastAsia="宋体" w:cs="宋体"/>
                <w:szCs w:val="24"/>
              </w:rPr>
              <w:br w:type="textWrapping"/>
            </w:r>
            <w:r>
              <w:rPr>
                <w:rFonts w:hint="eastAsia" w:ascii="宋体" w:hAnsi="宋体" w:eastAsia="宋体" w:cs="宋体"/>
                <w:szCs w:val="24"/>
              </w:rPr>
              <w:t>ATA31 Left 4 General Processor Modele is  faulted</w:t>
            </w:r>
            <w:r>
              <w:rPr>
                <w:rFonts w:hint="eastAsia" w:ascii="宋体" w:hAnsi="宋体" w:eastAsia="宋体" w:cs="宋体"/>
                <w:szCs w:val="24"/>
              </w:rPr>
              <w:br w:type="textWrapping"/>
            </w:r>
            <w:r>
              <w:rPr>
                <w:rFonts w:hint="eastAsia" w:ascii="宋体" w:hAnsi="宋体" w:eastAsia="宋体" w:cs="宋体"/>
                <w:szCs w:val="24"/>
              </w:rPr>
              <w:t>ATA32 ANTISKID 3</w:t>
            </w:r>
            <w:r>
              <w:rPr>
                <w:rFonts w:hint="eastAsia" w:ascii="宋体" w:hAnsi="宋体" w:eastAsia="宋体" w:cs="宋体"/>
                <w:szCs w:val="24"/>
              </w:rPr>
              <w:br w:type="textWrapping"/>
            </w:r>
            <w:r>
              <w:rPr>
                <w:rFonts w:hint="eastAsia" w:ascii="宋体" w:hAnsi="宋体" w:eastAsia="宋体" w:cs="宋体"/>
                <w:szCs w:val="24"/>
              </w:rPr>
              <w:t>ATA34 Radio Altimeter Failure(L)</w:t>
            </w:r>
            <w:r>
              <w:rPr>
                <w:rFonts w:hint="eastAsia" w:ascii="宋体" w:hAnsi="宋体" w:eastAsia="宋体" w:cs="宋体"/>
                <w:szCs w:val="24"/>
              </w:rPr>
              <w:br w:type="textWrapping"/>
            </w:r>
            <w:r>
              <w:rPr>
                <w:rFonts w:hint="eastAsia" w:ascii="宋体" w:hAnsi="宋体" w:eastAsia="宋体" w:cs="宋体"/>
                <w:szCs w:val="24"/>
              </w:rPr>
              <w:t>ATA34 ILS Localizer failure(L)</w:t>
            </w:r>
            <w:r>
              <w:rPr>
                <w:rFonts w:hint="eastAsia" w:ascii="宋体" w:hAnsi="宋体" w:eastAsia="宋体" w:cs="宋体"/>
                <w:szCs w:val="24"/>
              </w:rPr>
              <w:br w:type="textWrapping"/>
            </w:r>
            <w:r>
              <w:rPr>
                <w:rFonts w:hint="eastAsia" w:ascii="宋体" w:hAnsi="宋体" w:eastAsia="宋体" w:cs="宋体"/>
                <w:szCs w:val="24"/>
              </w:rPr>
              <w:t>ATA34 IRU R</w:t>
            </w:r>
            <w:r>
              <w:rPr>
                <w:rFonts w:hint="eastAsia" w:ascii="宋体" w:hAnsi="宋体" w:eastAsia="宋体" w:cs="宋体"/>
                <w:szCs w:val="24"/>
              </w:rPr>
              <w:br w:type="textWrapping"/>
            </w:r>
            <w:r>
              <w:rPr>
                <w:rFonts w:hint="eastAsia" w:ascii="宋体" w:hAnsi="宋体" w:eastAsia="宋体" w:cs="宋体"/>
                <w:szCs w:val="24"/>
              </w:rPr>
              <w:t>ATA34 ATC/TCAS PANEL Failure</w:t>
            </w:r>
            <w:r>
              <w:rPr>
                <w:rFonts w:hint="eastAsia" w:ascii="宋体" w:hAnsi="宋体" w:eastAsia="宋体" w:cs="宋体"/>
                <w:szCs w:val="24"/>
              </w:rPr>
              <w:br w:type="textWrapping"/>
            </w:r>
            <w:r>
              <w:rPr>
                <w:rFonts w:hint="eastAsia" w:ascii="宋体" w:hAnsi="宋体" w:eastAsia="宋体" w:cs="宋体"/>
                <w:szCs w:val="24"/>
              </w:rPr>
              <w:t>ATA34 Windshear Predictive L</w:t>
            </w:r>
            <w:r>
              <w:rPr>
                <w:rFonts w:hint="eastAsia" w:ascii="宋体" w:hAnsi="宋体" w:eastAsia="宋体" w:cs="宋体"/>
                <w:szCs w:val="24"/>
              </w:rPr>
              <w:br w:type="textWrapping"/>
            </w:r>
            <w:r>
              <w:rPr>
                <w:rFonts w:hint="eastAsia" w:ascii="宋体" w:hAnsi="宋体" w:eastAsia="宋体" w:cs="宋体"/>
                <w:szCs w:val="24"/>
              </w:rPr>
              <w:t>ATA42 CCR CABINET COOLING Failure(L)</w:t>
            </w:r>
            <w:r>
              <w:rPr>
                <w:rFonts w:hint="eastAsia" w:ascii="宋体" w:hAnsi="宋体" w:eastAsia="宋体" w:cs="宋体"/>
                <w:szCs w:val="24"/>
              </w:rPr>
              <w:br w:type="textWrapping"/>
            </w:r>
            <w:r>
              <w:rPr>
                <w:rFonts w:hint="eastAsia" w:ascii="宋体" w:hAnsi="宋体" w:eastAsia="宋体" w:cs="宋体"/>
                <w:szCs w:val="24"/>
              </w:rPr>
              <w:t>ATA42 CCR FIBER OPTIC XLTR</w:t>
            </w:r>
            <w:r>
              <w:rPr>
                <w:rFonts w:hint="eastAsia" w:ascii="宋体" w:hAnsi="宋体" w:eastAsia="宋体" w:cs="宋体"/>
                <w:szCs w:val="24"/>
              </w:rPr>
              <w:br w:type="textWrapping"/>
            </w:r>
            <w:r>
              <w:rPr>
                <w:rFonts w:hint="eastAsia" w:ascii="宋体" w:hAnsi="宋体" w:eastAsia="宋体" w:cs="宋体"/>
                <w:szCs w:val="24"/>
              </w:rPr>
              <w:t>ATA44 Cabin Services System Controller:amber light is off</w:t>
            </w:r>
            <w:r>
              <w:rPr>
                <w:rFonts w:hint="eastAsia" w:ascii="宋体" w:hAnsi="宋体" w:eastAsia="宋体" w:cs="宋体"/>
                <w:szCs w:val="24"/>
              </w:rPr>
              <w:br w:type="textWrapping"/>
            </w:r>
            <w:r>
              <w:rPr>
                <w:rFonts w:hint="eastAsia" w:ascii="宋体" w:hAnsi="宋体" w:eastAsia="宋体" w:cs="宋体"/>
                <w:szCs w:val="24"/>
              </w:rPr>
              <w:t>ATA45 LEFT CENTRAL MAINTENANCE COMPUTER IS FAILED</w:t>
            </w:r>
            <w:r>
              <w:rPr>
                <w:rFonts w:hint="eastAsia" w:ascii="宋体" w:hAnsi="宋体" w:eastAsia="宋体" w:cs="宋体"/>
                <w:szCs w:val="24"/>
              </w:rPr>
              <w:br w:type="textWrapping"/>
            </w:r>
            <w:r>
              <w:rPr>
                <w:rFonts w:hint="eastAsia" w:ascii="宋体" w:hAnsi="宋体" w:eastAsia="宋体" w:cs="宋体"/>
                <w:szCs w:val="24"/>
              </w:rPr>
              <w:t>ATA47 NITROGEN GEN SOV</w:t>
            </w:r>
            <w:r>
              <w:rPr>
                <w:rFonts w:hint="eastAsia" w:ascii="宋体" w:hAnsi="宋体" w:eastAsia="宋体" w:cs="宋体"/>
                <w:szCs w:val="24"/>
              </w:rPr>
              <w:br w:type="textWrapping"/>
            </w:r>
            <w:r>
              <w:rPr>
                <w:rFonts w:hint="eastAsia" w:ascii="宋体" w:hAnsi="宋体" w:eastAsia="宋体" w:cs="宋体"/>
                <w:szCs w:val="24"/>
              </w:rPr>
              <w:t>ATA49 APU emergency shut down</w:t>
            </w:r>
            <w:r>
              <w:rPr>
                <w:rFonts w:hint="eastAsia" w:ascii="宋体" w:hAnsi="宋体" w:eastAsia="宋体" w:cs="宋体"/>
                <w:szCs w:val="24"/>
              </w:rPr>
              <w:br w:type="textWrapping"/>
            </w:r>
            <w:r>
              <w:rPr>
                <w:rFonts w:hint="eastAsia" w:ascii="宋体" w:hAnsi="宋体" w:eastAsia="宋体" w:cs="宋体"/>
                <w:szCs w:val="24"/>
              </w:rPr>
              <w:t>ATA73 ENG FUEL FILTER L</w:t>
            </w:r>
            <w:r>
              <w:rPr>
                <w:rFonts w:hint="eastAsia" w:ascii="宋体" w:hAnsi="宋体" w:eastAsia="宋体" w:cs="宋体"/>
                <w:szCs w:val="24"/>
              </w:rPr>
              <w:br w:type="textWrapping"/>
            </w:r>
            <w:r>
              <w:rPr>
                <w:rFonts w:hint="eastAsia" w:ascii="宋体" w:hAnsi="宋体" w:eastAsia="宋体" w:cs="宋体"/>
                <w:szCs w:val="24"/>
              </w:rPr>
              <w:t>ATA75 ENG CCC VALVE L</w:t>
            </w:r>
            <w:r>
              <w:rPr>
                <w:rFonts w:hint="eastAsia" w:ascii="宋体" w:hAnsi="宋体" w:eastAsia="宋体" w:cs="宋体"/>
                <w:szCs w:val="24"/>
              </w:rPr>
              <w:br w:type="textWrapping"/>
            </w:r>
            <w:r>
              <w:rPr>
                <w:rFonts w:hint="eastAsia" w:ascii="宋体" w:hAnsi="宋体" w:eastAsia="宋体" w:cs="宋体"/>
                <w:szCs w:val="24"/>
              </w:rPr>
              <w:t>ATA76 ENG REVERSER INTERLOCK L</w:t>
            </w:r>
            <w:r>
              <w:rPr>
                <w:rFonts w:hint="eastAsia" w:ascii="宋体" w:hAnsi="宋体" w:eastAsia="宋体" w:cs="宋体"/>
                <w:szCs w:val="24"/>
              </w:rPr>
              <w:br w:type="textWrapping"/>
            </w:r>
            <w:r>
              <w:rPr>
                <w:rFonts w:hint="eastAsia" w:ascii="宋体" w:hAnsi="宋体" w:eastAsia="宋体" w:cs="宋体"/>
                <w:szCs w:val="24"/>
              </w:rPr>
              <w:t>ATA77 ENG L OIL QUANTITY  BLANK</w:t>
            </w:r>
            <w:r>
              <w:rPr>
                <w:rFonts w:hint="eastAsia" w:ascii="宋体" w:hAnsi="宋体" w:eastAsia="宋体" w:cs="宋体"/>
                <w:szCs w:val="24"/>
              </w:rPr>
              <w:br w:type="textWrapping"/>
            </w:r>
            <w:r>
              <w:rPr>
                <w:rFonts w:hint="eastAsia" w:ascii="宋体" w:hAnsi="宋体" w:eastAsia="宋体" w:cs="宋体"/>
                <w:szCs w:val="24"/>
              </w:rPr>
              <w:t>ATA77 ENG L EGT BLANK</w:t>
            </w:r>
            <w:r>
              <w:rPr>
                <w:rFonts w:hint="eastAsia" w:ascii="宋体" w:hAnsi="宋体" w:eastAsia="宋体" w:cs="宋体"/>
                <w:szCs w:val="24"/>
              </w:rPr>
              <w:br w:type="textWrapping"/>
            </w:r>
            <w:r>
              <w:rPr>
                <w:rFonts w:hint="eastAsia" w:ascii="宋体" w:hAnsi="宋体" w:eastAsia="宋体" w:cs="宋体"/>
                <w:szCs w:val="24"/>
              </w:rPr>
              <w:t>ATA78 ENG REVERSER SNSR L</w:t>
            </w:r>
            <w:r>
              <w:rPr>
                <w:rFonts w:hint="eastAsia" w:ascii="宋体" w:hAnsi="宋体" w:eastAsia="宋体" w:cs="宋体"/>
                <w:szCs w:val="24"/>
              </w:rPr>
              <w:br w:type="textWrapping"/>
            </w:r>
            <w:r>
              <w:rPr>
                <w:rFonts w:hint="eastAsia" w:ascii="宋体" w:hAnsi="宋体" w:eastAsia="宋体" w:cs="宋体"/>
                <w:szCs w:val="24"/>
              </w:rPr>
              <w:t>ATA79 ENG OIL DMS SENSOR R</w:t>
            </w:r>
            <w:r>
              <w:rPr>
                <w:rFonts w:hint="eastAsia" w:ascii="宋体" w:hAnsi="宋体" w:eastAsia="宋体" w:cs="宋体"/>
                <w:szCs w:val="24"/>
              </w:rPr>
              <w:br w:type="textWrapping"/>
            </w:r>
            <w:r>
              <w:rPr>
                <w:rFonts w:hint="eastAsia" w:ascii="宋体" w:hAnsi="宋体" w:eastAsia="宋体" w:cs="宋体"/>
                <w:szCs w:val="24"/>
              </w:rPr>
              <w:t>ATA80 ENG AUTOSTART L</w:t>
            </w:r>
          </w:p>
          <w:p>
            <w:pPr>
              <w:pStyle w:val="2"/>
              <w:spacing w:line="240" w:lineRule="auto"/>
              <w:rPr>
                <w:rFonts w:ascii="宋体" w:hAnsi="宋体" w:eastAsia="宋体" w:cs="宋体"/>
                <w:szCs w:val="24"/>
              </w:rPr>
            </w:pPr>
            <w:r>
              <w:rPr>
                <w:rFonts w:hint="eastAsia" w:ascii="宋体" w:hAnsi="宋体" w:eastAsia="宋体" w:cs="宋体"/>
                <w:b/>
                <w:bCs/>
                <w:kern w:val="0"/>
                <w:szCs w:val="24"/>
                <w:lang w:bidi="ar"/>
              </w:rPr>
              <w:t>（投标文件中需提供系统功能界面清晰截图证明文件）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5.A320机型至少应当实现以下科目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电子舱通风排气风扇故障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ATA21 客舱压力控制故障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ATA21 ECAM警告：CAB PR SYS 1（2） FAULT(CPC，外流活门 AUTO 通道)</w:t>
            </w:r>
            <w:r>
              <w:rPr>
                <w:rFonts w:hint="eastAsia" w:ascii="宋体" w:hAnsi="宋体" w:eastAsia="宋体" w:cs="宋体"/>
                <w:b w:val="0"/>
                <w:sz w:val="24"/>
                <w:szCs w:val="24"/>
              </w:rPr>
              <w:br w:type="textWrapping"/>
            </w:r>
            <w:r>
              <w:rPr>
                <w:rFonts w:hint="eastAsia" w:ascii="宋体" w:hAnsi="宋体" w:eastAsia="宋体" w:cs="宋体"/>
                <w:b w:val="0"/>
                <w:sz w:val="24"/>
                <w:szCs w:val="24"/>
              </w:rPr>
              <w:t>ATA21 流量控制活门故障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ATA22 FCU复位程序</w:t>
            </w:r>
            <w:r>
              <w:rPr>
                <w:rFonts w:hint="eastAsia" w:ascii="宋体" w:hAnsi="宋体" w:eastAsia="宋体" w:cs="宋体"/>
                <w:b w:val="0"/>
                <w:sz w:val="24"/>
                <w:szCs w:val="24"/>
              </w:rPr>
              <w:br w:type="textWrapping"/>
            </w:r>
            <w:r>
              <w:rPr>
                <w:rFonts w:hint="eastAsia" w:ascii="宋体" w:hAnsi="宋体" w:eastAsia="宋体" w:cs="宋体"/>
                <w:b w:val="0"/>
                <w:sz w:val="24"/>
                <w:szCs w:val="24"/>
              </w:rPr>
              <w:t>ATA22 FMGC假故障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ATA22 MCDU黑屏</w:t>
            </w:r>
            <w:r>
              <w:rPr>
                <w:rFonts w:hint="eastAsia" w:ascii="宋体" w:hAnsi="宋体" w:eastAsia="宋体" w:cs="宋体"/>
                <w:b w:val="0"/>
                <w:sz w:val="24"/>
                <w:szCs w:val="24"/>
              </w:rPr>
              <w:br w:type="textWrapping"/>
            </w:r>
            <w:r>
              <w:rPr>
                <w:rFonts w:hint="eastAsia" w:ascii="宋体" w:hAnsi="宋体" w:eastAsia="宋体" w:cs="宋体"/>
                <w:b w:val="0"/>
                <w:sz w:val="24"/>
                <w:szCs w:val="24"/>
              </w:rPr>
              <w:t>ATA22 FAC故障复位</w:t>
            </w:r>
            <w:r>
              <w:rPr>
                <w:rFonts w:hint="eastAsia" w:ascii="宋体" w:hAnsi="宋体" w:eastAsia="宋体" w:cs="宋体"/>
                <w:b w:val="0"/>
                <w:sz w:val="24"/>
                <w:szCs w:val="24"/>
              </w:rPr>
              <w:br w:type="textWrapping"/>
            </w:r>
            <w:r>
              <w:rPr>
                <w:rFonts w:hint="eastAsia" w:ascii="宋体" w:hAnsi="宋体" w:eastAsia="宋体" w:cs="宋体"/>
                <w:b w:val="0"/>
                <w:sz w:val="24"/>
                <w:szCs w:val="24"/>
              </w:rPr>
              <w:t>ATA23 CDIS1复位</w:t>
            </w:r>
            <w:r>
              <w:rPr>
                <w:rFonts w:hint="eastAsia" w:ascii="宋体" w:hAnsi="宋体" w:eastAsia="宋体" w:cs="宋体"/>
                <w:b w:val="0"/>
                <w:sz w:val="24"/>
                <w:szCs w:val="24"/>
              </w:rPr>
              <w:br w:type="textWrapping"/>
            </w:r>
            <w:r>
              <w:rPr>
                <w:rFonts w:hint="eastAsia" w:ascii="宋体" w:hAnsi="宋体" w:eastAsia="宋体" w:cs="宋体"/>
                <w:b w:val="0"/>
                <w:sz w:val="24"/>
                <w:szCs w:val="24"/>
              </w:rPr>
              <w:t>ATA23 飞行内话及勤务内话故障解析</w:t>
            </w:r>
            <w:r>
              <w:rPr>
                <w:rFonts w:hint="eastAsia" w:ascii="宋体" w:hAnsi="宋体" w:eastAsia="宋体" w:cs="宋体"/>
                <w:b w:val="0"/>
                <w:sz w:val="24"/>
                <w:szCs w:val="24"/>
              </w:rPr>
              <w:br w:type="textWrapping"/>
            </w:r>
            <w:r>
              <w:rPr>
                <w:rFonts w:hint="eastAsia" w:ascii="宋体" w:hAnsi="宋体" w:eastAsia="宋体" w:cs="宋体"/>
                <w:b w:val="0"/>
                <w:sz w:val="24"/>
                <w:szCs w:val="24"/>
              </w:rPr>
              <w:t>ATA23 RMP故障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ATA23 CDIS1+2 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ATA23 RMP故障（进阶）</w:t>
            </w:r>
            <w:r>
              <w:rPr>
                <w:rFonts w:hint="eastAsia" w:ascii="宋体" w:hAnsi="宋体" w:eastAsia="宋体" w:cs="宋体"/>
                <w:b w:val="0"/>
                <w:sz w:val="24"/>
                <w:szCs w:val="24"/>
              </w:rPr>
              <w:br w:type="textWrapping"/>
            </w:r>
            <w:r>
              <w:rPr>
                <w:rFonts w:hint="eastAsia" w:ascii="宋体" w:hAnsi="宋体" w:eastAsia="宋体" w:cs="宋体"/>
                <w:b w:val="0"/>
                <w:sz w:val="24"/>
                <w:szCs w:val="24"/>
              </w:rPr>
              <w:t>ATA24 通过CFDS和前面板103VU复位TR</w:t>
            </w:r>
            <w:r>
              <w:rPr>
                <w:rFonts w:hint="eastAsia" w:ascii="宋体" w:hAnsi="宋体" w:eastAsia="宋体" w:cs="宋体"/>
                <w:b w:val="0"/>
                <w:sz w:val="24"/>
                <w:szCs w:val="24"/>
              </w:rPr>
              <w:br w:type="textWrapping"/>
            </w:r>
            <w:r>
              <w:rPr>
                <w:rFonts w:hint="eastAsia" w:ascii="宋体" w:hAnsi="宋体" w:eastAsia="宋体" w:cs="宋体"/>
                <w:b w:val="0"/>
                <w:sz w:val="24"/>
                <w:szCs w:val="24"/>
              </w:rPr>
              <w:t>ATA24 GAPCU飞机上电故障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ATA24 ESS TR供电逻辑故障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ATA26 APU A探测环路失效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ATA26 火警面板故障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ATA26 发动机1 A探测环路失效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ATA27 缝翼不对称故障导致缝翼WTB的激活</w:t>
            </w:r>
            <w:r>
              <w:rPr>
                <w:rFonts w:hint="eastAsia" w:ascii="宋体" w:hAnsi="宋体" w:eastAsia="宋体" w:cs="宋体"/>
                <w:b w:val="0"/>
                <w:sz w:val="24"/>
                <w:szCs w:val="24"/>
              </w:rPr>
              <w:br w:type="textWrapping"/>
            </w:r>
            <w:r>
              <w:rPr>
                <w:rFonts w:hint="eastAsia" w:ascii="宋体" w:hAnsi="宋体" w:eastAsia="宋体" w:cs="宋体"/>
                <w:b w:val="0"/>
                <w:sz w:val="24"/>
                <w:szCs w:val="24"/>
              </w:rPr>
              <w:t>ATA27 飞控计算机（ELAC 1）故障(NEO for ALL,V2500 for B-6415, CFM56 for B-6903)</w:t>
            </w:r>
            <w:r>
              <w:rPr>
                <w:rFonts w:hint="eastAsia" w:ascii="宋体" w:hAnsi="宋体" w:eastAsia="宋体" w:cs="宋体"/>
                <w:b w:val="0"/>
                <w:sz w:val="24"/>
                <w:szCs w:val="24"/>
              </w:rPr>
              <w:br w:type="textWrapping"/>
            </w:r>
            <w:r>
              <w:rPr>
                <w:rFonts w:hint="eastAsia" w:ascii="宋体" w:hAnsi="宋体" w:eastAsia="宋体" w:cs="宋体"/>
                <w:b w:val="0"/>
                <w:sz w:val="24"/>
                <w:szCs w:val="24"/>
              </w:rPr>
              <w:t>ATA27 FLAP 1 FAULT的故障处理</w:t>
            </w:r>
            <w:r>
              <w:rPr>
                <w:rFonts w:hint="eastAsia" w:ascii="宋体" w:hAnsi="宋体" w:eastAsia="宋体" w:cs="宋体"/>
                <w:b w:val="0"/>
                <w:sz w:val="24"/>
                <w:szCs w:val="24"/>
              </w:rPr>
              <w:br w:type="textWrapping"/>
            </w:r>
            <w:r>
              <w:rPr>
                <w:rFonts w:hint="eastAsia" w:ascii="宋体" w:hAnsi="宋体" w:eastAsia="宋体" w:cs="宋体"/>
                <w:b w:val="0"/>
                <w:sz w:val="24"/>
                <w:szCs w:val="24"/>
              </w:rPr>
              <w:t>ATA28 中央油箱转换故障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ATA28 Fuel ManTransfer Systm Auto Control Failure</w:t>
            </w:r>
            <w:r>
              <w:rPr>
                <w:rFonts w:hint="eastAsia" w:ascii="宋体" w:hAnsi="宋体" w:eastAsia="宋体" w:cs="宋体"/>
                <w:b w:val="0"/>
                <w:sz w:val="24"/>
                <w:szCs w:val="24"/>
              </w:rPr>
              <w:br w:type="textWrapping"/>
            </w:r>
            <w:r>
              <w:rPr>
                <w:rFonts w:hint="eastAsia" w:ascii="宋体" w:hAnsi="宋体" w:eastAsia="宋体" w:cs="宋体"/>
                <w:b w:val="0"/>
                <w:sz w:val="24"/>
                <w:szCs w:val="24"/>
              </w:rPr>
              <w:t>ATA29 PTU故障1</w:t>
            </w:r>
            <w:r>
              <w:rPr>
                <w:rFonts w:hint="eastAsia" w:ascii="宋体" w:hAnsi="宋体" w:eastAsia="宋体" w:cs="宋体"/>
                <w:b w:val="0"/>
                <w:sz w:val="24"/>
                <w:szCs w:val="24"/>
              </w:rPr>
              <w:br w:type="textWrapping"/>
            </w:r>
            <w:r>
              <w:rPr>
                <w:rFonts w:hint="eastAsia" w:ascii="宋体" w:hAnsi="宋体" w:eastAsia="宋体" w:cs="宋体"/>
                <w:b w:val="0"/>
                <w:sz w:val="24"/>
                <w:szCs w:val="24"/>
              </w:rPr>
              <w:t>ATA29 蓝系统电动泵故障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ATA29 液压油箱气压低</w:t>
            </w:r>
            <w:r>
              <w:rPr>
                <w:rFonts w:hint="eastAsia" w:ascii="宋体" w:hAnsi="宋体" w:eastAsia="宋体" w:cs="宋体"/>
                <w:b w:val="0"/>
                <w:sz w:val="24"/>
                <w:szCs w:val="24"/>
              </w:rPr>
              <w:br w:type="textWrapping"/>
            </w:r>
            <w:r>
              <w:rPr>
                <w:rFonts w:hint="eastAsia" w:ascii="宋体" w:hAnsi="宋体" w:eastAsia="宋体" w:cs="宋体"/>
                <w:b w:val="0"/>
                <w:sz w:val="24"/>
                <w:szCs w:val="24"/>
              </w:rPr>
              <w:t>ATA29 PTU故障2</w:t>
            </w:r>
            <w:r>
              <w:rPr>
                <w:rFonts w:hint="eastAsia" w:ascii="宋体" w:hAnsi="宋体" w:eastAsia="宋体" w:cs="宋体"/>
                <w:b w:val="0"/>
                <w:sz w:val="24"/>
                <w:szCs w:val="24"/>
              </w:rPr>
              <w:br w:type="textWrapping"/>
            </w:r>
            <w:r>
              <w:rPr>
                <w:rFonts w:hint="eastAsia" w:ascii="宋体" w:hAnsi="宋体" w:eastAsia="宋体" w:cs="宋体"/>
                <w:b w:val="0"/>
                <w:sz w:val="24"/>
                <w:szCs w:val="24"/>
              </w:rPr>
              <w:t>ATA30 ENGINE ANTICE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ATA31 DU上显示INVAILID DISPLAY UNIT故障处理</w:t>
            </w:r>
            <w:r>
              <w:rPr>
                <w:rFonts w:hint="eastAsia" w:ascii="宋体" w:hAnsi="宋体" w:eastAsia="宋体" w:cs="宋体"/>
                <w:b w:val="0"/>
                <w:sz w:val="24"/>
                <w:szCs w:val="24"/>
              </w:rPr>
              <w:br w:type="textWrapping"/>
            </w:r>
            <w:r>
              <w:rPr>
                <w:rFonts w:hint="eastAsia" w:ascii="宋体" w:hAnsi="宋体" w:eastAsia="宋体" w:cs="宋体"/>
                <w:b w:val="0"/>
                <w:sz w:val="24"/>
                <w:szCs w:val="24"/>
              </w:rPr>
              <w:t>ATA31 SDAC2 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ATA31 DMC故障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ATA31 CFDIU故障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ATA31 FWC故障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ATA32 起落架舱门选择活门系统故障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ATA32 前起落架放下锁好临近传感器18GA故障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ATA34 左右高度和空速不一致的故障处理程序</w:t>
            </w:r>
            <w:r>
              <w:rPr>
                <w:rFonts w:hint="eastAsia" w:ascii="宋体" w:hAnsi="宋体" w:eastAsia="宋体" w:cs="宋体"/>
                <w:b w:val="0"/>
                <w:sz w:val="24"/>
                <w:szCs w:val="24"/>
              </w:rPr>
              <w:br w:type="textWrapping"/>
            </w:r>
            <w:r>
              <w:rPr>
                <w:rFonts w:hint="eastAsia" w:ascii="宋体" w:hAnsi="宋体" w:eastAsia="宋体" w:cs="宋体"/>
                <w:b w:val="0"/>
                <w:sz w:val="24"/>
                <w:szCs w:val="24"/>
              </w:rPr>
              <w:t>ATA34 TCAS故障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ATA34 EGPWS故障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ATA34 EGPWS故障（进阶）</w:t>
            </w:r>
            <w:r>
              <w:rPr>
                <w:rFonts w:hint="eastAsia" w:ascii="宋体" w:hAnsi="宋体" w:eastAsia="宋体" w:cs="宋体"/>
                <w:b w:val="0"/>
                <w:sz w:val="24"/>
                <w:szCs w:val="24"/>
              </w:rPr>
              <w:br w:type="textWrapping"/>
            </w:r>
            <w:r>
              <w:rPr>
                <w:rFonts w:hint="eastAsia" w:ascii="宋体" w:hAnsi="宋体" w:eastAsia="宋体" w:cs="宋体"/>
                <w:b w:val="0"/>
                <w:sz w:val="24"/>
                <w:szCs w:val="24"/>
              </w:rPr>
              <w:t>ATA34 ADIRU故障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ATA35 氧气压力指示低</w:t>
            </w:r>
            <w:r>
              <w:rPr>
                <w:rFonts w:hint="eastAsia" w:ascii="宋体" w:hAnsi="宋体" w:eastAsia="宋体" w:cs="宋体"/>
                <w:b w:val="0"/>
                <w:sz w:val="24"/>
                <w:szCs w:val="24"/>
              </w:rPr>
              <w:br w:type="textWrapping"/>
            </w:r>
            <w:r>
              <w:rPr>
                <w:rFonts w:hint="eastAsia" w:ascii="宋体" w:hAnsi="宋体" w:eastAsia="宋体" w:cs="宋体"/>
                <w:b w:val="0"/>
                <w:sz w:val="24"/>
                <w:szCs w:val="24"/>
              </w:rPr>
              <w:t>ATA36 AIR ENG1 HP VALVE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ATA36 BMC 1 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ATA38 废水箱传感器故障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ATA38 厕所组件故障快速判断</w:t>
            </w:r>
            <w:r>
              <w:rPr>
                <w:rFonts w:hint="eastAsia" w:ascii="宋体" w:hAnsi="宋体" w:eastAsia="宋体" w:cs="宋体"/>
                <w:b w:val="0"/>
                <w:sz w:val="24"/>
                <w:szCs w:val="24"/>
              </w:rPr>
              <w:br w:type="textWrapping"/>
            </w:r>
            <w:r>
              <w:rPr>
                <w:rFonts w:hint="eastAsia" w:ascii="宋体" w:hAnsi="宋体" w:eastAsia="宋体" w:cs="宋体"/>
                <w:b w:val="0"/>
                <w:sz w:val="24"/>
                <w:szCs w:val="24"/>
              </w:rPr>
              <w:t>ATA49 IGV作动器故障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ATA49 APU自动停车故障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ATA71 (PW)IIDG FOC DELTA P传感器故障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ATA71 (PW)HPC SVA1燃油泄漏</w:t>
            </w:r>
            <w:r>
              <w:rPr>
                <w:rFonts w:hint="eastAsia" w:ascii="宋体" w:hAnsi="宋体" w:eastAsia="宋体" w:cs="宋体"/>
                <w:b w:val="0"/>
                <w:sz w:val="24"/>
                <w:szCs w:val="24"/>
              </w:rPr>
              <w:br w:type="textWrapping"/>
            </w:r>
            <w:r>
              <w:rPr>
                <w:rFonts w:hint="eastAsia" w:ascii="宋体" w:hAnsi="宋体" w:eastAsia="宋体" w:cs="宋体"/>
                <w:b w:val="0"/>
                <w:sz w:val="24"/>
                <w:szCs w:val="24"/>
              </w:rPr>
              <w:t>ATA71 （LEAP）ENG 2 滑油渗漏</w:t>
            </w:r>
            <w:r>
              <w:rPr>
                <w:rFonts w:hint="eastAsia" w:ascii="宋体" w:hAnsi="宋体" w:eastAsia="宋体" w:cs="宋体"/>
                <w:b w:val="0"/>
                <w:sz w:val="24"/>
                <w:szCs w:val="24"/>
              </w:rPr>
              <w:br w:type="textWrapping"/>
            </w:r>
            <w:r>
              <w:rPr>
                <w:rFonts w:hint="eastAsia" w:ascii="宋体" w:hAnsi="宋体" w:eastAsia="宋体" w:cs="宋体"/>
                <w:b w:val="0"/>
                <w:sz w:val="24"/>
                <w:szCs w:val="24"/>
              </w:rPr>
              <w:t>ATA73 (PW)ENG 2 FADEC SYSTEM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ATA73 ECAM 警告：ENG1 FAN COWL NOT CLSD的故障处理</w:t>
            </w:r>
            <w:r>
              <w:rPr>
                <w:rFonts w:hint="eastAsia" w:ascii="宋体" w:hAnsi="宋体" w:eastAsia="宋体" w:cs="宋体"/>
                <w:b w:val="0"/>
                <w:sz w:val="24"/>
                <w:szCs w:val="24"/>
              </w:rPr>
              <w:br w:type="textWrapping"/>
            </w:r>
            <w:r>
              <w:rPr>
                <w:rFonts w:hint="eastAsia" w:ascii="宋体" w:hAnsi="宋体" w:eastAsia="宋体" w:cs="宋体"/>
                <w:b w:val="0"/>
                <w:sz w:val="24"/>
                <w:szCs w:val="24"/>
              </w:rPr>
              <w:t>ATA73 (LEAP)左发燃油流量传感器失效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ATA73 ECAM 警告：ENG1 FAN COWL NOT CLSD的故障处理</w:t>
            </w:r>
            <w:r>
              <w:rPr>
                <w:rFonts w:hint="eastAsia" w:ascii="宋体" w:hAnsi="宋体" w:eastAsia="宋体" w:cs="宋体"/>
                <w:b w:val="0"/>
                <w:sz w:val="24"/>
                <w:szCs w:val="24"/>
              </w:rPr>
              <w:br w:type="textWrapping"/>
            </w:r>
            <w:r>
              <w:rPr>
                <w:rFonts w:hint="eastAsia" w:ascii="宋体" w:hAnsi="宋体" w:eastAsia="宋体" w:cs="宋体"/>
                <w:b w:val="0"/>
                <w:sz w:val="24"/>
                <w:szCs w:val="24"/>
              </w:rPr>
              <w:t>ATA74 (LEAP)左发点火失效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ATA74 (LEAP)右发点火失效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ATA75 (PW)During T/O ECAM Warning -ENG1 COMPRESSOR VANE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ATA75 (LEAP)Fault of the Left and Right VSV Actuator(LVDT Sensor Signals Disagree) on ENG1</w:t>
            </w:r>
            <w:r>
              <w:rPr>
                <w:rFonts w:hint="eastAsia" w:ascii="宋体" w:hAnsi="宋体" w:eastAsia="宋体" w:cs="宋体"/>
                <w:b w:val="0"/>
                <w:sz w:val="24"/>
                <w:szCs w:val="24"/>
              </w:rPr>
              <w:br w:type="textWrapping"/>
            </w:r>
            <w:r>
              <w:rPr>
                <w:rFonts w:hint="eastAsia" w:ascii="宋体" w:hAnsi="宋体" w:eastAsia="宋体" w:cs="宋体"/>
                <w:b w:val="0"/>
                <w:sz w:val="24"/>
                <w:szCs w:val="24"/>
              </w:rPr>
              <w:t>ATA75 （LEAP）EEC冷却风扇故障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ATA77 (PW)Eng # 1 FADEC SYSTEM FAULT IS INDICATED</w:t>
            </w:r>
            <w:r>
              <w:rPr>
                <w:rFonts w:hint="eastAsia" w:ascii="宋体" w:hAnsi="宋体" w:eastAsia="宋体" w:cs="宋体"/>
                <w:b w:val="0"/>
                <w:sz w:val="24"/>
                <w:szCs w:val="24"/>
              </w:rPr>
              <w:br w:type="textWrapping"/>
            </w:r>
            <w:r>
              <w:rPr>
                <w:rFonts w:hint="eastAsia" w:ascii="宋体" w:hAnsi="宋体" w:eastAsia="宋体" w:cs="宋体"/>
                <w:b w:val="0"/>
                <w:sz w:val="24"/>
                <w:szCs w:val="24"/>
              </w:rPr>
              <w:t>ATA78 (PW)During Reverser activation Eng 1 Reverser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ATA79 (LEAP)左发滑油压力传感器指示失效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ATA80 (PW)At engine start #1 no start valve response and Start Valve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ATA80 (LEAP)左发起动活门故障；</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6.A350机型应当包括下列科目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AIR PACK VLV CLOSED</w:t>
            </w:r>
            <w:r>
              <w:rPr>
                <w:rFonts w:hint="eastAsia" w:ascii="宋体" w:hAnsi="宋体" w:eastAsia="宋体" w:cs="宋体"/>
                <w:b w:val="0"/>
                <w:sz w:val="24"/>
                <w:szCs w:val="24"/>
              </w:rPr>
              <w:br w:type="textWrapping"/>
            </w:r>
            <w:r>
              <w:rPr>
                <w:rFonts w:hint="eastAsia" w:ascii="宋体" w:hAnsi="宋体" w:eastAsia="宋体" w:cs="宋体"/>
                <w:b w:val="0"/>
                <w:sz w:val="24"/>
                <w:szCs w:val="24"/>
              </w:rPr>
              <w:t>ATA22 FCU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ATA22 Reset of the Flight Management Computer (FMC)</w:t>
            </w:r>
            <w:r>
              <w:rPr>
                <w:rFonts w:hint="eastAsia" w:ascii="宋体" w:hAnsi="宋体" w:eastAsia="宋体" w:cs="宋体"/>
                <w:b w:val="0"/>
                <w:sz w:val="24"/>
                <w:szCs w:val="24"/>
              </w:rPr>
              <w:br w:type="textWrapping"/>
            </w:r>
            <w:r>
              <w:rPr>
                <w:rFonts w:hint="eastAsia" w:ascii="宋体" w:hAnsi="宋体" w:eastAsia="宋体" w:cs="宋体"/>
                <w:b w:val="0"/>
                <w:sz w:val="24"/>
                <w:szCs w:val="24"/>
              </w:rPr>
              <w:t>ATA23 Fault of AMU（PFR）</w:t>
            </w:r>
            <w:r>
              <w:rPr>
                <w:rFonts w:hint="eastAsia" w:ascii="宋体" w:hAnsi="宋体" w:eastAsia="宋体" w:cs="宋体"/>
                <w:b w:val="0"/>
                <w:sz w:val="24"/>
                <w:szCs w:val="24"/>
              </w:rPr>
              <w:br w:type="textWrapping"/>
            </w:r>
            <w:r>
              <w:rPr>
                <w:rFonts w:hint="eastAsia" w:ascii="宋体" w:hAnsi="宋体" w:eastAsia="宋体" w:cs="宋体"/>
                <w:b w:val="0"/>
                <w:sz w:val="24"/>
                <w:szCs w:val="24"/>
              </w:rPr>
              <w:t>ATA24 Fault of ATU</w:t>
            </w:r>
            <w:r>
              <w:rPr>
                <w:rFonts w:hint="eastAsia" w:ascii="宋体" w:hAnsi="宋体" w:eastAsia="宋体" w:cs="宋体"/>
                <w:b w:val="0"/>
                <w:sz w:val="24"/>
                <w:szCs w:val="24"/>
              </w:rPr>
              <w:br w:type="textWrapping"/>
            </w:r>
            <w:r>
              <w:rPr>
                <w:rFonts w:hint="eastAsia" w:ascii="宋体" w:hAnsi="宋体" w:eastAsia="宋体" w:cs="宋体"/>
                <w:b w:val="0"/>
                <w:sz w:val="24"/>
                <w:szCs w:val="24"/>
              </w:rPr>
              <w:t>ATA26 Fault of ENG FIRE LOOP</w:t>
            </w:r>
            <w:r>
              <w:rPr>
                <w:rFonts w:hint="eastAsia" w:ascii="宋体" w:hAnsi="宋体" w:eastAsia="宋体" w:cs="宋体"/>
                <w:b w:val="0"/>
                <w:sz w:val="24"/>
                <w:szCs w:val="24"/>
              </w:rPr>
              <w:br w:type="textWrapping"/>
            </w:r>
            <w:r>
              <w:rPr>
                <w:rFonts w:hint="eastAsia" w:ascii="宋体" w:hAnsi="宋体" w:eastAsia="宋体" w:cs="宋体"/>
                <w:b w:val="0"/>
                <w:sz w:val="24"/>
                <w:szCs w:val="24"/>
              </w:rPr>
              <w:t>ATA27 Fault of RUDDER Y ACTUATOR</w:t>
            </w:r>
            <w:r>
              <w:rPr>
                <w:rFonts w:hint="eastAsia" w:ascii="宋体" w:hAnsi="宋体" w:eastAsia="宋体" w:cs="宋体"/>
                <w:b w:val="0"/>
                <w:sz w:val="24"/>
                <w:szCs w:val="24"/>
              </w:rPr>
              <w:br w:type="textWrapping"/>
            </w:r>
            <w:r>
              <w:rPr>
                <w:rFonts w:hint="eastAsia" w:ascii="宋体" w:hAnsi="宋体" w:eastAsia="宋体" w:cs="宋体"/>
                <w:b w:val="0"/>
                <w:sz w:val="24"/>
                <w:szCs w:val="24"/>
              </w:rPr>
              <w:t>ATA28 Fault of Actuator Inlet VLV</w:t>
            </w:r>
            <w:r>
              <w:rPr>
                <w:rFonts w:hint="eastAsia" w:ascii="宋体" w:hAnsi="宋体" w:eastAsia="宋体" w:cs="宋体"/>
                <w:b w:val="0"/>
                <w:sz w:val="24"/>
                <w:szCs w:val="24"/>
              </w:rPr>
              <w:br w:type="textWrapping"/>
            </w:r>
            <w:r>
              <w:rPr>
                <w:rFonts w:hint="eastAsia" w:ascii="宋体" w:hAnsi="宋体" w:eastAsia="宋体" w:cs="宋体"/>
                <w:b w:val="0"/>
                <w:sz w:val="24"/>
                <w:szCs w:val="24"/>
              </w:rPr>
              <w:t>ATA29 Fault of EPCU</w:t>
            </w:r>
            <w:r>
              <w:rPr>
                <w:rFonts w:hint="eastAsia" w:ascii="宋体" w:hAnsi="宋体" w:eastAsia="宋体" w:cs="宋体"/>
                <w:b w:val="0"/>
                <w:sz w:val="24"/>
                <w:szCs w:val="24"/>
              </w:rPr>
              <w:br w:type="textWrapping"/>
            </w:r>
            <w:r>
              <w:rPr>
                <w:rFonts w:hint="eastAsia" w:ascii="宋体" w:hAnsi="宋体" w:eastAsia="宋体" w:cs="宋体"/>
                <w:b w:val="0"/>
                <w:sz w:val="24"/>
                <w:szCs w:val="24"/>
              </w:rPr>
              <w:t>ATA30 A-ICE R WING VLV PRESS LOW</w:t>
            </w:r>
            <w:r>
              <w:rPr>
                <w:rFonts w:hint="eastAsia" w:ascii="宋体" w:hAnsi="宋体" w:eastAsia="宋体" w:cs="宋体"/>
                <w:b w:val="0"/>
                <w:sz w:val="24"/>
                <w:szCs w:val="24"/>
              </w:rPr>
              <w:br w:type="textWrapping"/>
            </w:r>
            <w:r>
              <w:rPr>
                <w:rFonts w:hint="eastAsia" w:ascii="宋体" w:hAnsi="宋体" w:eastAsia="宋体" w:cs="宋体"/>
                <w:b w:val="0"/>
                <w:sz w:val="24"/>
                <w:szCs w:val="24"/>
              </w:rPr>
              <w:t>ATA31 UPPER DU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ATA32 Fault of Normal Brake System</w:t>
            </w:r>
            <w:r>
              <w:rPr>
                <w:rFonts w:hint="eastAsia" w:ascii="宋体" w:hAnsi="宋体" w:eastAsia="宋体" w:cs="宋体"/>
                <w:b w:val="0"/>
                <w:sz w:val="24"/>
                <w:szCs w:val="24"/>
              </w:rPr>
              <w:br w:type="textWrapping"/>
            </w:r>
            <w:r>
              <w:rPr>
                <w:rFonts w:hint="eastAsia" w:ascii="宋体" w:hAnsi="宋体" w:eastAsia="宋体" w:cs="宋体"/>
                <w:b w:val="0"/>
                <w:sz w:val="24"/>
                <w:szCs w:val="24"/>
              </w:rPr>
              <w:t>ATA33 Fault of TAXI Light</w:t>
            </w:r>
            <w:r>
              <w:rPr>
                <w:rFonts w:hint="eastAsia" w:ascii="宋体" w:hAnsi="宋体" w:eastAsia="宋体" w:cs="宋体"/>
                <w:b w:val="0"/>
                <w:sz w:val="24"/>
                <w:szCs w:val="24"/>
              </w:rPr>
              <w:br w:type="textWrapping"/>
            </w:r>
            <w:r>
              <w:rPr>
                <w:rFonts w:hint="eastAsia" w:ascii="宋体" w:hAnsi="宋体" w:eastAsia="宋体" w:cs="宋体"/>
                <w:b w:val="0"/>
                <w:sz w:val="24"/>
                <w:szCs w:val="24"/>
              </w:rPr>
              <w:t>ATA34 Fault of IR1</w:t>
            </w:r>
            <w:r>
              <w:rPr>
                <w:rFonts w:hint="eastAsia" w:ascii="宋体" w:hAnsi="宋体" w:eastAsia="宋体" w:cs="宋体"/>
                <w:b w:val="0"/>
                <w:sz w:val="24"/>
                <w:szCs w:val="24"/>
              </w:rPr>
              <w:br w:type="textWrapping"/>
            </w:r>
            <w:r>
              <w:rPr>
                <w:rFonts w:hint="eastAsia" w:ascii="宋体" w:hAnsi="宋体" w:eastAsia="宋体" w:cs="宋体"/>
                <w:b w:val="0"/>
                <w:sz w:val="24"/>
                <w:szCs w:val="24"/>
              </w:rPr>
              <w:t>ATA36 ENG 1 BLEED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ATA42 Fault of CPIOM-H64</w:t>
            </w:r>
            <w:r>
              <w:rPr>
                <w:rFonts w:hint="eastAsia" w:ascii="宋体" w:hAnsi="宋体" w:eastAsia="宋体" w:cs="宋体"/>
                <w:b w:val="0"/>
                <w:sz w:val="24"/>
                <w:szCs w:val="24"/>
              </w:rPr>
              <w:br w:type="textWrapping"/>
            </w:r>
            <w:r>
              <w:rPr>
                <w:rFonts w:hint="eastAsia" w:ascii="宋体" w:hAnsi="宋体" w:eastAsia="宋体" w:cs="宋体"/>
                <w:b w:val="0"/>
                <w:sz w:val="24"/>
                <w:szCs w:val="24"/>
              </w:rPr>
              <w:t>ATA44 Fault of DEU A</w:t>
            </w:r>
            <w:r>
              <w:rPr>
                <w:rFonts w:hint="eastAsia" w:ascii="宋体" w:hAnsi="宋体" w:eastAsia="宋体" w:cs="宋体"/>
                <w:b w:val="0"/>
                <w:sz w:val="24"/>
                <w:szCs w:val="24"/>
              </w:rPr>
              <w:br w:type="textWrapping"/>
            </w:r>
            <w:r>
              <w:rPr>
                <w:rFonts w:hint="eastAsia" w:ascii="宋体" w:hAnsi="宋体" w:eastAsia="宋体" w:cs="宋体"/>
                <w:b w:val="0"/>
                <w:sz w:val="24"/>
                <w:szCs w:val="24"/>
              </w:rPr>
              <w:t>ATA46 Fault of VGM1</w:t>
            </w:r>
            <w:r>
              <w:rPr>
                <w:rFonts w:hint="eastAsia" w:ascii="宋体" w:hAnsi="宋体" w:eastAsia="宋体" w:cs="宋体"/>
                <w:b w:val="0"/>
                <w:sz w:val="24"/>
                <w:szCs w:val="24"/>
              </w:rPr>
              <w:br w:type="textWrapping"/>
            </w:r>
            <w:r>
              <w:rPr>
                <w:rFonts w:hint="eastAsia" w:ascii="宋体" w:hAnsi="宋体" w:eastAsia="宋体" w:cs="宋体"/>
                <w:b w:val="0"/>
                <w:sz w:val="24"/>
                <w:szCs w:val="24"/>
              </w:rPr>
              <w:t>ATA49 Fault of APU Start</w:t>
            </w:r>
            <w:r>
              <w:rPr>
                <w:rFonts w:hint="eastAsia" w:ascii="宋体" w:hAnsi="宋体" w:eastAsia="宋体" w:cs="宋体"/>
                <w:b w:val="0"/>
                <w:sz w:val="24"/>
                <w:szCs w:val="24"/>
              </w:rPr>
              <w:br w:type="textWrapping"/>
            </w:r>
            <w:r>
              <w:rPr>
                <w:rFonts w:hint="eastAsia" w:ascii="宋体" w:hAnsi="宋体" w:eastAsia="宋体" w:cs="宋体"/>
                <w:b w:val="0"/>
                <w:sz w:val="24"/>
                <w:szCs w:val="24"/>
              </w:rPr>
              <w:t>ATA73 ENG 1 HP FUEL VLV NOT CLOSED</w:t>
            </w:r>
            <w:r>
              <w:rPr>
                <w:rFonts w:hint="eastAsia" w:ascii="宋体" w:hAnsi="宋体" w:eastAsia="宋体" w:cs="宋体"/>
                <w:b w:val="0"/>
                <w:sz w:val="24"/>
                <w:szCs w:val="24"/>
              </w:rPr>
              <w:br w:type="textWrapping"/>
            </w:r>
            <w:r>
              <w:rPr>
                <w:rFonts w:hint="eastAsia" w:ascii="宋体" w:hAnsi="宋体" w:eastAsia="宋体" w:cs="宋体"/>
                <w:b w:val="0"/>
                <w:sz w:val="24"/>
                <w:szCs w:val="24"/>
              </w:rPr>
              <w:t>ATA80 VALVE - STARTER CONTROL</w:t>
            </w:r>
          </w:p>
          <w:p>
            <w:pPr>
              <w:pStyle w:val="2"/>
              <w:spacing w:line="240" w:lineRule="auto"/>
              <w:rPr>
                <w:rFonts w:ascii="宋体" w:hAnsi="宋体" w:eastAsia="宋体" w:cs="宋体"/>
                <w:szCs w:val="24"/>
              </w:rPr>
            </w:pPr>
            <w:r>
              <w:rPr>
                <w:rFonts w:hint="eastAsia" w:ascii="宋体" w:hAnsi="宋体" w:eastAsia="宋体" w:cs="宋体"/>
                <w:b/>
                <w:bCs/>
                <w:kern w:val="0"/>
                <w:szCs w:val="24"/>
                <w:lang w:bidi="ar"/>
              </w:rPr>
              <w:t>（投标文件中需提供系统功能界面清晰截图证明文件）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（四）R44直升机机型。应当具备下列功能：</w:t>
            </w:r>
            <w:r>
              <w:rPr>
                <w:rFonts w:hint="eastAsia" w:ascii="宋体" w:hAnsi="宋体" w:eastAsia="宋体" w:cs="宋体"/>
                <w:b w:val="0"/>
                <w:sz w:val="24"/>
                <w:szCs w:val="24"/>
              </w:rPr>
              <w:br w:type="textWrapping"/>
            </w:r>
            <w:r>
              <w:rPr>
                <w:rFonts w:hint="eastAsia" w:ascii="宋体" w:hAnsi="宋体" w:eastAsia="宋体" w:cs="宋体"/>
                <w:b w:val="0"/>
                <w:sz w:val="24"/>
                <w:szCs w:val="24"/>
              </w:rPr>
              <w:t>1.具备虚拟驾驶舱，能够实现发动机试车等驾驶舱内操作，并且能够实现故障模拟功能，应当包含以下故障科目：慢车转速高、慢车转速低、旋翼转速表指示异常、汽缸头温度指示高、滑油温度指示高、主旋翼齿轮箱温度警告、一氧化碳指示灯亮、起动信号灯故障、尾旋翼齿轮箱金属屑超标、主油箱油量表传感器故障、辅助燃油泵故障、发动机火警、滑油压力高、滑油压力低、调速器故障、桨矩杆起动按钮故障、进气压力表故障、低油量传感器故障、警告灯断路器自动跳开、仪表指示断路器故障、着陆灯故障、航行灯故障、副油箱油量表传感器故障、主油箱漏油、副油箱漏油；</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2.具备三维虚拟直升机，可实现部件识别认知功能、且直升机旋翼可与驾驶舱试车操作实时联动；</w:t>
            </w:r>
            <w:r>
              <w:rPr>
                <w:rFonts w:hint="eastAsia" w:ascii="宋体" w:hAnsi="宋体" w:eastAsia="宋体" w:cs="宋体"/>
                <w:sz w:val="24"/>
                <w:szCs w:val="24"/>
                <w:lang w:bidi="ar"/>
              </w:rPr>
              <w:t>（投标文件中需提供三维直升机模型、拆卸口盖后内部组件三维模型等清晰截图证明文件）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3.具备系统设置和考核管理功能，具体应当包括以下内容：燃油量设置、滑油量设置、外界环境温度设置、地面电源连接设置、发动机试车考核、技术资料查阅；</w:t>
            </w:r>
            <w:r>
              <w:rPr>
                <w:rFonts w:hint="eastAsia" w:ascii="宋体" w:hAnsi="宋体" w:eastAsia="宋体" w:cs="宋体"/>
                <w:b w:val="0"/>
                <w:sz w:val="24"/>
                <w:szCs w:val="24"/>
              </w:rPr>
              <w:br w:type="textWrapping"/>
            </w:r>
            <w:r>
              <w:rPr>
                <w:rFonts w:hint="eastAsia" w:ascii="宋体" w:hAnsi="宋体" w:eastAsia="宋体" w:cs="宋体"/>
                <w:b w:val="0"/>
                <w:sz w:val="24"/>
                <w:szCs w:val="24"/>
              </w:rPr>
              <w:t>4.具备R44直升机全套教学课件，能够满足教师开展课堂教学的需求，内容应当覆盖R44直升机全部教学所需的章节。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包括但不限于：检查、限寿部件、机体、起落架、动力装置及其相关系统、飞行操纵系统、旋翼系统、调整、追踪和平衡、加温和通风系统、燃油系统、仪表、电气和航空电子系统、座舱设备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（五）国产大飞机C919全三维虚拟飞机实训系统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1.仿真对象应当为国产C919大飞机，需要建立全三维的飞机、舱室和部件，用于飞机结构和部件识别认知的教学；</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2.全三维虚拟飞机至少包括以下部位的三维模型：雷达舱、驾驶舱、客舱、前电子设备舱前架、前电子设备舱后架、中电子设备舱、前起落架舱、主起落架舱、发动机、APU舱、空调舱、液压舱、前货舱、后货舱、后附件舱、右机翼；</w:t>
            </w:r>
            <w:r>
              <w:rPr>
                <w:rFonts w:hint="eastAsia" w:ascii="宋体" w:hAnsi="宋体" w:eastAsia="宋体" w:cs="宋体"/>
                <w:sz w:val="24"/>
                <w:szCs w:val="24"/>
                <w:lang w:bidi="ar"/>
              </w:rPr>
              <w:t>（投标文件中需提供三维飞机模型、上述每个舱室的三维截图、以及舱室中至少200个部件的独立三维模型截图）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3.全三维虚拟飞机应当具备快速定位功能，能够快速切换到所选部件的视角；仿真系统需具备中英文切换功能，可切换中文和英文界面，用于开展中英文对比教学；并且通过相应的三维模型调出，用于部件识别认知的教学。</w:t>
            </w:r>
            <w:r>
              <w:rPr>
                <w:rFonts w:hint="eastAsia" w:ascii="宋体" w:hAnsi="宋体" w:eastAsia="宋体" w:cs="宋体"/>
                <w:sz w:val="24"/>
                <w:szCs w:val="24"/>
                <w:lang w:bidi="ar"/>
              </w:rPr>
              <w:t>（投标文件中需提供系统功能界面截图，至少具备200个部件的ID CARD，并且通过相应的三维模型调出）</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需求供应商提供的产品应当是现有的成熟产品，产权清晰、不存在产权纠纷，采购人不承担任何纠纷事宜。</w:t>
            </w:r>
            <w:r>
              <w:rPr>
                <w:rFonts w:hint="eastAsia" w:ascii="宋体" w:hAnsi="宋体" w:eastAsia="宋体" w:cs="宋体"/>
                <w:sz w:val="24"/>
                <w:szCs w:val="24"/>
              </w:rPr>
              <w:t>（投标文件中需提交承诺函，格式自拟）</w:t>
            </w:r>
          </w:p>
        </w:tc>
        <w:tc>
          <w:tcPr>
            <w:tcW w:w="121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22"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90" w:hRule="atLeast"/>
        </w:trPr>
        <w:tc>
          <w:tcPr>
            <w:tcW w:w="747"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2</w:t>
            </w:r>
          </w:p>
        </w:tc>
        <w:tc>
          <w:tcPr>
            <w:tcW w:w="1089"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飞机维护修理训练模拟实训系统教学工作站</w:t>
            </w:r>
          </w:p>
        </w:tc>
        <w:tc>
          <w:tcPr>
            <w:tcW w:w="554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一、工作站配置  1套</w:t>
            </w:r>
            <w:r>
              <w:rPr>
                <w:rFonts w:hint="eastAsia" w:ascii="宋体" w:hAnsi="宋体" w:eastAsia="宋体" w:cs="宋体"/>
                <w:b w:val="0"/>
                <w:sz w:val="24"/>
                <w:szCs w:val="24"/>
              </w:rPr>
              <w:br w:type="textWrapping"/>
            </w:r>
            <w:r>
              <w:rPr>
                <w:rFonts w:hint="eastAsia" w:ascii="宋体" w:hAnsi="宋体" w:eastAsia="宋体" w:cs="宋体"/>
                <w:b w:val="0"/>
                <w:sz w:val="24"/>
                <w:szCs w:val="24"/>
              </w:rPr>
              <w:t>1.CPU：≥Intel I5-12500处理器，核心数≥6，主频≥3.0GHz，三级缓存≥18M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2.主板芯片组：≥ Q670 主板芯片组；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3.内存：≥16GB DDR4 3200MHz，≥4内存槽位；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4.硬盘：≥256G M.2 pcie 4.0 SSD，≥1TB SATA3 7200rpm HDD ；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5.音频：配置5.1声道(提供前2后3共5个音频接口，其中前置包含1个2合1接口)；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6.网卡：≥1千兆网卡；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7.插槽：≥1个PCI-E*16、≥2个PCI-E*4槽位；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8.端口：≥8个USB接口(其中至少2个USB 3.2 G2接口、1个type C接口 )、主板自带非转接（非显卡接口）≥3个视频输出接口</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9.显卡：独立显卡， 性能≥RX 550X，显存≥ 4G；显卡自带非转接接口：≥1个VGA接口，≥1个HDMI接口，≥1个DP接口；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10.输入设备：USB键盘鼠标；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11.电源：≥260W；</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12.系统：出厂预装 WIN11 正版操作系统；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 xml:space="preserve">13.管理功能：可实现所有的计算机终端集中统一管理、支持客户端多硬盘的统一部署和保护还原、无论客户端是关机或开机状态，均可在服务端对所有客户端进行软件安装、删除等维护工作，并不影响已经开机的客户端的正常使用，在客户端下次开机或重启后就能使用新装软件和系统、部署过程中，根据管理策略自动修改IP地址和计算机名称、支持客户端计算机名、MAC和IP地址等信息的导入导出、支持硬盘剩余空间智能调配，满足多系统时硬盘容量不足的问题； </w:t>
            </w:r>
            <w:r>
              <w:rPr>
                <w:rFonts w:hint="eastAsia" w:ascii="宋体" w:hAnsi="宋体" w:eastAsia="宋体" w:cs="宋体"/>
                <w:kern w:val="2"/>
                <w:sz w:val="24"/>
                <w:szCs w:val="24"/>
              </w:rPr>
              <w:t>（投标文件中需提供生产厂家证明材料或软件功能截图）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14.其他功能:智能 USB 屏蔽技术，仅识别键盘、鼠标，无法识别 USB 读取设备；BIOS底层支持USB智能屏蔽技术，仅识别USB键盘、鼠标，无法识别USB读取设备，有效防止数据泄露；</w:t>
            </w:r>
            <w:r>
              <w:rPr>
                <w:rFonts w:hint="eastAsia" w:ascii="宋体" w:hAnsi="宋体" w:eastAsia="宋体" w:cs="宋体"/>
                <w:kern w:val="2"/>
                <w:sz w:val="24"/>
                <w:szCs w:val="24"/>
              </w:rPr>
              <w:t>（投标文件中需提供生产厂家证明材料或软件功能截图）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15.机箱：机箱不大于14L，顶置提手，顶置电源开关键；</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二、显示器   3台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与主机同品牌 21.5"宽屏液晶显示器，分辨率支持 2160*1440、1920*1440、1920*1080；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三、课堂管理  1套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1.签到：提供学生名单管理工具，为软件和考试模块提供实名验证。提供点名功能，支持保留学生多次登录记录、考勤统计、签到信息的导出与对比；</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2.班级模型：有单独的管理界面，实现对班级模型的统一管理，并能够导入、导出，调用不同网络教室中的班级模型；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3.上网限制：设定学生访问网站的黑名单或白名单，对学生可以访问的Internet站点进行管理。支持多浏览器限制；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4.程序限制：通过各种策略的应用，可防止学生在教学过程中打游戏，或使用聊天工具；</w:t>
            </w:r>
            <w:r>
              <w:rPr>
                <w:rFonts w:hint="eastAsia" w:ascii="宋体" w:hAnsi="宋体" w:eastAsia="宋体" w:cs="宋体"/>
                <w:kern w:val="2"/>
                <w:sz w:val="24"/>
                <w:szCs w:val="24"/>
              </w:rPr>
              <w:t>（投标文件中需提供此功能界面截图证明）</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5.学生端属性查看：教师可以获取学生端计算机的名称、登录名和其它常用信息，并可以列出学生端的应用程序、进程和进程 ID，教师还可以远程终止学生端的进程；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6.系统日志：显示和自动保存系统运行过程中的关键事件，包括学生登录登出，资源不足，提交文件等；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7.黑屏肃静：教师可以对单一、部分、全体学生执行黑屏肃静来禁止其进行任何操作，达到专心听课目的，教师可自定义黑屏的内容与图片；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8.远程命令：可以进行远程开机、关机、重启等操作；</w:t>
            </w:r>
            <w:r>
              <w:rPr>
                <w:rFonts w:hint="eastAsia" w:ascii="宋体" w:hAnsi="宋体" w:eastAsia="宋体" w:cs="宋体"/>
                <w:kern w:val="2"/>
                <w:sz w:val="24"/>
                <w:szCs w:val="24"/>
              </w:rPr>
              <w:t>（投标文件中需提供此功能界面截图证明）</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9.分组管理：教师可以新建，删除，重命名分组，添加和删除分组中的成员，设置小组长；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10.分组信息随班级模型永久保存，下次上课可以直接使用保存的分组；</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11.图标监看：班级模型中可以显示学生机桌面的缩图。缩图显示大小也可自由设定；</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12.自动锁屏：断线保护自动锁屏技术，通过网卡的是否激活来锁定屏幕，避免学生拔掉网线违反纪律；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13.防杀进程：为安全起见，学生端程序运行后，防止学生通过任务管理器结束学生端程序进程来逃脱教师控制；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14.请求帮助：学生端遇到问题可请求帮助，教师端可远程遥控帮助学生解决问题；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15.远程消息：教师与学生能够使用远程消息进行交流，并可以允许和阻止学生发送文字消息；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16.远程设置：远程设置学生桌面主题、桌面背景、屏幕保护方案、学生的频道号和音量、学生端密码，是否启用进程保护，断线锁屏，热键退出等；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17. 老师可根据需要，设定是否限制学生使用U盘，设定是否限制学生使用光盘。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四、投影设备  3台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1.需符合ISO标准亮度：6000流明以上；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2.DLP芯片尺寸：0.67英寸以上；</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3.标准分辨率：1920*1200；16:9比例；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4.支持手动镜头变焦，变焦比例≤1.6倍；</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5.光源：纯激光光源 ，激光光源寿命≥30,000小时；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6.对比度：≥800,000:1；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7.投射比：1.20-1.92；镜头位移：100%~120%（上下移动）；</w:t>
            </w:r>
            <w:r>
              <w:rPr>
                <w:rFonts w:hint="eastAsia" w:ascii="宋体" w:hAnsi="宋体" w:eastAsia="宋体" w:cs="宋体"/>
                <w:sz w:val="24"/>
                <w:szCs w:val="24"/>
              </w:rPr>
              <w:t>（投标文件中提供第三方有权检测机构出具的带有 CMA 或 CNAS 标识的检测报告扫描件）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8.白色外观，投影机镜头偏置设计；</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9.散热系统：采用热管散热技术；</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10.接口：VGA in x 2，VGA out x 1，HDMI输入端口x 2，Composite Video x 1,S-video x 1，Audio(音频输入) ×2，Audio（音频输出）×1，RS232-D-Sub 9-pin控制串口 x 1，A型USB x 1，RJ-45网络接口 x 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11.内置10W*2扬声器；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12.功耗（标准）：Typ. 388W, Max 446W @ 220V，最低待机功耗： ≤0.5W；</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13.支持6色彩独立调节（红，绿，蓝，青，品红，黄）；</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五、带机柜的三屏幕结构控制台  1台；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1.尺寸165×70×100±10cm；后部有机柜，用于放置计算机等设备；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2.显示为虚拟座舱屏、虚拟飞机屏、训练控制屏器，均需采用内嵌式设计，背装方式；</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3.外表喷涂白色或灰色，需具备带导光板的控制面板；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4.台面需具有触控一体机，一体机不低于15英寸，镶嵌在水平台面内，控制台无凸出；</w:t>
            </w:r>
            <w:r>
              <w:rPr>
                <w:rFonts w:hint="eastAsia" w:ascii="宋体" w:hAnsi="宋体" w:eastAsia="宋体" w:cs="宋体"/>
                <w:b w:val="0"/>
                <w:sz w:val="24"/>
                <w:szCs w:val="24"/>
              </w:rPr>
              <w:br w:type="textWrapping"/>
            </w:r>
            <w:r>
              <w:rPr>
                <w:rFonts w:hint="eastAsia" w:ascii="宋体" w:hAnsi="宋体" w:eastAsia="宋体" w:cs="宋体"/>
                <w:b w:val="0"/>
                <w:sz w:val="24"/>
                <w:szCs w:val="24"/>
              </w:rPr>
              <w:t>六、工作站远程运维系统  1套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1.产品尺寸不小于150*100*50mm；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2.千兆RJ45电口≥2个，USB接口≥2个，HDMI接口≥2个，RS232串口接口≥1个，OTG接口≥1个，RJ45的Console串口≥1个；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3.便携式运维设备，可突破内外网隔离的物理层远程控制运维，终端即插即用，兼容多种网络设备实现远程维护；</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4.支持运维审计功能,将运维人员的操作过程实时录屏下来，对运维过程进行审计；</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5.支持管理员分权分级，不同的管理员拥有不同的管理权限，方便平台的维护管理，包括精细的页面修改查看权限和接入点管辖权限以及是否允许登陆数据中心等，方便网络的维护管理；</w:t>
            </w:r>
            <w:r>
              <w:rPr>
                <w:rFonts w:hint="eastAsia" w:ascii="宋体" w:hAnsi="宋体" w:eastAsia="宋体" w:cs="宋体"/>
                <w:sz w:val="24"/>
                <w:szCs w:val="24"/>
              </w:rPr>
              <w:t>（投标文件中提供第三方有权检测机构出具的带有 CMA 或 CNAS 标识的检测报告扫描件）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6.支持虚拟光驱功能，将系统镜像文件通过虚拟光驱挂载到远端被控主机类设备，进行远程系统安装，无需专业人员到场即可完成设备支撑服务系统等信息化设备的系统重置及故障恢复；</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7.支持应用识别和行为审计，能够在支持用户上网行为审计，并支持统一运维管理功能，支持水平异地灾备，垂直异地灾备；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七、无线传屏器  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1.可实现外部电脑音视频高清信号实时传输到触摸一体机上（无论一体机处于任何显示通道），且可支持触摸信号回传；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2.支持操作系统：Win7/Win10/MacOS；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3.传输延迟小于120ms，帧率达到15fps-25fps；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4.无线频段：IEEE 802.11 a/b/g/n，5.8GHz；</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5.采用USB接口进行传输，可兼容市面上具备通用USB接口的各类电脑；</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6.采用单按键设计，只需按一下即可传屏，无需在触摸一体机上做任何操作；</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八、耳机  2付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1.采用40mm驱动单元；</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2.可调节音量大小；</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3.耳机插头: 3.5mm圆插头；</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4.频响范围: 20-20000HZ。</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九、座椅  1张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1.椅背：一体成型PP椅座，可拆装；</w:t>
            </w:r>
            <w:r>
              <w:rPr>
                <w:rFonts w:hint="eastAsia" w:ascii="宋体" w:hAnsi="宋体" w:eastAsia="宋体" w:cs="宋体"/>
                <w:b w:val="0"/>
                <w:sz w:val="24"/>
                <w:szCs w:val="24"/>
              </w:rPr>
              <w:br w:type="textWrapping"/>
            </w:r>
            <w:r>
              <w:rPr>
                <w:rFonts w:hint="eastAsia" w:ascii="宋体" w:hAnsi="宋体" w:eastAsia="宋体" w:cs="宋体"/>
                <w:b w:val="0"/>
                <w:sz w:val="24"/>
                <w:szCs w:val="24"/>
              </w:rPr>
              <w:t>2.椅架：12MM实心钢筋实心电镀弓形架；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3.脚垫：PA材质脚垫，软质材料，耐磨损，不伤地面；</w:t>
            </w:r>
            <w:r>
              <w:rPr>
                <w:rFonts w:hint="eastAsia" w:ascii="宋体" w:hAnsi="宋体" w:eastAsia="宋体" w:cs="宋体"/>
                <w:b w:val="0"/>
                <w:sz w:val="24"/>
                <w:szCs w:val="24"/>
              </w:rPr>
              <w:br w:type="textWrapping"/>
            </w:r>
            <w:r>
              <w:rPr>
                <w:rFonts w:hint="eastAsia" w:ascii="宋体" w:hAnsi="宋体" w:eastAsia="宋体" w:cs="宋体"/>
                <w:b w:val="0"/>
                <w:sz w:val="24"/>
                <w:szCs w:val="24"/>
              </w:rPr>
              <w:t>4.尺寸（宽*深*高）：490x570x790MM。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十、视频分频器  3套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采用一入二出，HDMI制式分配器，用于同时驱动教员台三个显示器。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十一、视频切换器  1套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采用四入一出，HDMI制式切换器，用于显示内容的切换控制。</w:t>
            </w:r>
          </w:p>
        </w:tc>
        <w:tc>
          <w:tcPr>
            <w:tcW w:w="121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22"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400" w:hRule="atLeast"/>
        </w:trPr>
        <w:tc>
          <w:tcPr>
            <w:tcW w:w="747"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3</w:t>
            </w:r>
          </w:p>
        </w:tc>
        <w:tc>
          <w:tcPr>
            <w:tcW w:w="1089"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飞机维护修理训练模拟实训系统-训练端</w:t>
            </w:r>
          </w:p>
        </w:tc>
        <w:tc>
          <w:tcPr>
            <w:tcW w:w="554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一、系统基本功能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1.飞机维护修理训练模拟实训系统配套设备，需满足民航CCAR-147基础执照培训、机型培训以及航空类院校关于开展面向专业课程实训训练的相关需求；</w:t>
            </w:r>
            <w:r>
              <w:rPr>
                <w:rFonts w:hint="eastAsia" w:ascii="宋体" w:hAnsi="宋体" w:eastAsia="宋体" w:cs="宋体"/>
                <w:b w:val="0"/>
                <w:sz w:val="24"/>
                <w:szCs w:val="24"/>
              </w:rPr>
              <w:br w:type="textWrapping"/>
            </w:r>
            <w:r>
              <w:rPr>
                <w:rFonts w:hint="eastAsia" w:ascii="宋体" w:hAnsi="宋体" w:eastAsia="宋体" w:cs="宋体"/>
                <w:b w:val="0"/>
                <w:sz w:val="24"/>
                <w:szCs w:val="24"/>
              </w:rPr>
              <w:t>2.飞机维护修理训练模拟实训系统应至少包括民航飞机机型B737CL、B737NG、A320和通航R44直升机机型共计四种机型；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3.飞机维护修理训练模拟实训系统中B737CL、B737NG、A320、R44各机型应当包括：虚拟座舱、虚拟飞机、训练控制/手册查询三个模块：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（1）虚拟座舱模块需能够实现相应机型的驾驶舱通电操作、发动机试车；</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（2）虚拟飞机模块需能够进入各个舱室实现部件识别认知功能；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（3）训练控制模块需能够实现系统的故障设置、原理图演示、科目选择、飞机状态设置等辅助教学功能；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（4）手册查询模块能够实现各机型实时查询手册，实时教学功能；</w:t>
            </w:r>
            <w:r>
              <w:rPr>
                <w:rFonts w:hint="eastAsia" w:ascii="宋体" w:hAnsi="宋体" w:eastAsia="宋体" w:cs="宋体"/>
                <w:b w:val="0"/>
                <w:sz w:val="24"/>
                <w:szCs w:val="24"/>
              </w:rPr>
              <w:br w:type="textWrapping"/>
            </w:r>
            <w:r>
              <w:rPr>
                <w:rFonts w:hint="eastAsia" w:ascii="宋体" w:hAnsi="宋体" w:eastAsia="宋体" w:cs="宋体"/>
                <w:b w:val="0"/>
                <w:sz w:val="24"/>
                <w:szCs w:val="24"/>
              </w:rPr>
              <w:t>4.飞机维护修理训练模拟实训系统为一个通用的多机型平台，至少包括民航飞机机型B737CL、B737NG、A320、通航R44直升机机型共计四种机型，平台功能需满足：</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（1）训练端四种机型应当能够实时自由切换，切换时间不应超过30秒；</w:t>
            </w:r>
            <w:r>
              <w:rPr>
                <w:rFonts w:hint="eastAsia" w:ascii="宋体" w:hAnsi="宋体" w:eastAsia="宋体" w:cs="宋体"/>
                <w:b w:val="0"/>
                <w:sz w:val="24"/>
                <w:szCs w:val="24"/>
              </w:rPr>
              <w:br w:type="textWrapping"/>
            </w:r>
            <w:r>
              <w:rPr>
                <w:rFonts w:hint="eastAsia" w:ascii="宋体" w:hAnsi="宋体" w:eastAsia="宋体" w:cs="宋体"/>
                <w:b w:val="0"/>
                <w:sz w:val="24"/>
                <w:szCs w:val="24"/>
              </w:rPr>
              <w:t>（2）机型系统需为自由操作（FreePlay）模式，驾驶舱所有面板和部件可能够自由操作，不受科目限制；</w:t>
            </w:r>
            <w:r>
              <w:rPr>
                <w:rFonts w:hint="eastAsia" w:ascii="宋体" w:hAnsi="宋体" w:eastAsia="宋体" w:cs="宋体"/>
                <w:b w:val="0"/>
                <w:sz w:val="24"/>
                <w:szCs w:val="24"/>
              </w:rPr>
              <w:br w:type="textWrapping"/>
            </w:r>
            <w:r>
              <w:rPr>
                <w:rFonts w:hint="eastAsia" w:ascii="宋体" w:hAnsi="宋体" w:eastAsia="宋体" w:cs="宋体"/>
                <w:b w:val="0"/>
                <w:sz w:val="24"/>
                <w:szCs w:val="24"/>
              </w:rPr>
              <w:t>（3）通电测试（FOT）：需实现驾驶舱通电测试功能，具备设备面板操作、MCDU测试操作，操作模拟；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（4）系统显示分别为虚拟座舱屏、虚拟飞机屏、训练控制屏，界面需为全屏模式，适配分辨率1920*1080；</w:t>
            </w:r>
            <w:r>
              <w:rPr>
                <w:rFonts w:hint="eastAsia" w:ascii="宋体" w:hAnsi="宋体" w:eastAsia="宋体" w:cs="宋体"/>
                <w:b w:val="0"/>
                <w:sz w:val="24"/>
                <w:szCs w:val="24"/>
              </w:rPr>
              <w:br w:type="textWrapping"/>
            </w:r>
            <w:r>
              <w:rPr>
                <w:rFonts w:hint="eastAsia" w:ascii="宋体" w:hAnsi="宋体" w:eastAsia="宋体" w:cs="宋体"/>
                <w:b w:val="0"/>
                <w:sz w:val="24"/>
                <w:szCs w:val="24"/>
              </w:rPr>
              <w:t>二、具体功能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（一）通电测试模块。适用于民航飞机B737NG、A320机型，各机型均应当覆盖下列章节系统（各型飞机各章节设备具体名称不同，但都应当具备该章节的主要维修操作内容）：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ATA21空调系统操作项目包括：连接飞机引气后，通过空调系统进行驾驶舱、客舱、货舱的温度调节等、调整/测试项目包括：中央故障显示系统（CFDS）/多模式控制显示组件（CDU）的驾驶舱和客舱温度控制的操作测试、通风系统的操作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ATA22自动飞行系统操作项目包括：自动驾驶的接通、关断，油门杆使用以及飞行指引仪的操作等、调整/测试项目包括：自动飞行系统（AFS）的操作测试、地面扫描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ATA23通信系统操作项目包括：无线电管理面板、话音记录器等的操作等、调整/测试项目包括：高频通信系统（HF）系统测试、甚高频通信系统（VHF）系统测试、RMP系统测试、CVR的操作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4.ATA24电源系统操作项目包括：不同电源的供电、断电、冷却等操作、调整/测试项目包括：电瓶充电限制器（BCL）操作测试、IDG的重新设定等、设置系统故障并实现系统故障分析与处理的模拟训练功能；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5.ATA26火警系统操作项目包括：发动机、APU等防火操作、调整/测试项目包括：发动机防火测试、APU防火测试、电子设备烟雾探测的操作测试等；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ATA27飞行操纵系统操作项目包括：各飞行舵面的操纵（包括缝翼、升降舵、方向舵等）、调整/测试项目包括：方向舵配平的测试、EFCS的地面扫描测试、升降舵和副翼计算机（ELACs）的操作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7.ATA28燃油系统操作项目包括：燃油控制面板、发动机供油、自动加油等操作、调整/测试项目包括：加油系统的操作测试、交输活门操作测试、油箱高油位传感系统的测试等，能够提供燃油系统排故训练；</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ATA29液压系统操作项目包括：用电动泵通过动力转换组件（PTU）给其他系统增压、用电动泵给液压系统增压、发动机启动后液压系统增压、液压系统卸压、储压器充氮气、调整/测试项目包括：PTU的性能检查、液压液压系统的操作测试、低油量警告系统的操作测试、设置系统故障并实现系统故障分析与处理的模拟训练功能；</w:t>
            </w:r>
            <w:r>
              <w:rPr>
                <w:rFonts w:hint="eastAsia" w:ascii="宋体" w:hAnsi="宋体" w:eastAsia="宋体" w:cs="宋体"/>
                <w:b w:val="0"/>
                <w:sz w:val="24"/>
                <w:szCs w:val="24"/>
              </w:rPr>
              <w:br w:type="textWrapping"/>
            </w:r>
            <w:r>
              <w:rPr>
                <w:rFonts w:hint="eastAsia" w:ascii="宋体" w:hAnsi="宋体" w:eastAsia="宋体" w:cs="宋体"/>
                <w:b w:val="0"/>
                <w:sz w:val="24"/>
                <w:szCs w:val="24"/>
              </w:rPr>
              <w:t>9.ATA30防雨防冰系统调整/测试项目包括：发动机进气道防冰保护的操作测试、风挡防雨的功能测试等；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10.ATA31指示与记录调整/测试项目包括：电子仪表系统（EIS）输入测试、系统测试、数据管理组件（FDIMU）测试等、设置系统故障并实现系统故障分析与处理的模拟训练功能；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11.ATA32起落装置系统设置故障并实现系统故障分析与处理的模拟训练功能；操作项目包括：起落架的收放、舱门的打开，转弯操纵、调整/测试项目包括：起落架的BITE测试、刹车转弯BSCU的BITE测试等；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12.ATA33灯光系统调整/测试项目包括：驾驶舱、电子设备舱的照明测试等；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ATA34导航系统调整/测试项目包括：IR的接口测试、多模式接收机（MMR）的BITE测试、气象雷达的系统测试、无线电高度表的BITE测试、TCAS的BITE测试、增强型近地警告计算机（GPWC）的操作测试、测距机（DME）的BITE测试、自动定向机（ADF）的BITE测试、甚高频全向信标（VOR）的BITE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14.ATA35氧气系统能够提供氧气压力指示相关的通电检查训练；</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15.ATA36引气系统调整/测试项目包括：APU引气、发动机引气、地面引气操作、BMC的BITE测试等，设置系统故障并实现系统故障分析与处理的模拟训练功能；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16.ATA49 APU操作项目包括：APU的启动、关车等、调整/测试项目包括：APU的操作测试等、设置系统故障并实现系统故障分析与处理的模拟训练功能；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17.ATA70-80动力装置发动机的启动点火、发动机燃油系统、反推系统的操作、打开风扇整流罩、打开反推舱门等、补充滑油调整，测试项目包括：发动机自动启动、人工启动、干冷转、湿冷转、大功率试车、反推试车、自动启动或人工启动完成后关断、干冷转或湿冷转的关断、自动启动中途关断、人工启动中途关断等、设置系统故障并实现系统故障分析与处理的模拟训练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18.应当具备飞机主要系统的动态原理图，具体内容如下：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B737NG机型应当具备下列动态原理图：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ADIRS-DC POWER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APU IGNITION/STARTING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PASSENGER ADDRESS FUNCTIONAL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ELECTRICAL POWER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ENGINE OIL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ENGINE FUEL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FLIGHT DATA RECORDER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CENTER TANK BOOST PUMP</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AUTOPILOT ENGAGE/DISENGAGE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YAW DAMPER AND WTRIS ENGAGE/DISENGAGE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WEATHER RADAR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MAIN LANDING GEAR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ENGINE FUEL SPAR VALVE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PRESSURE FUELING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HYD BRAKE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PTU</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THRUST REVERSER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NOSE LANDING GEAR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ENGINE STARTING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A320机型应当具备下列动态原理图：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Air Conditioning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Auto Pilot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Electrical Power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Fire Protection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Primary Flight Control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SLT/FLP Secondary F/CTL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Fuel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Hydraulic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EIS System Overview</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Pneumatic System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Auxiliary Power Unit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Engine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（二）最低放飞标准（MEL）模块。适用于民航飞机B737NG、A320机型，应当覆盖下列MEL科目训练功能：</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1.B737NG机型应当至少包括下列科目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AIR CONDITIONING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ATA22   AUTOFLIGHT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ATA23   COMMUNICATION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ATA24   ELECTRICAL POWER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ATA26   FRIE PROTECTION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ATA27   FLIGHT CONTROL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ATA28   FUEL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ATA29   HYDRAULIC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ATA30   ICE AND RAIN PROTECTION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ATA31   CDS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ATA31   INDICATION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ATA32   L/G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ATA33   LIGHT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ATA34   NAVIGATION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ATA35   OXYGEN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ATA36   PNEUMATIC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ATA49   APU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ATA77   ENGINE INDICATION SYSTEM MEL ITEMS</w:t>
            </w:r>
            <w:r>
              <w:rPr>
                <w:rFonts w:hint="eastAsia" w:ascii="宋体" w:hAnsi="宋体" w:eastAsia="宋体" w:cs="宋体"/>
                <w:b w:val="0"/>
                <w:sz w:val="24"/>
                <w:szCs w:val="24"/>
              </w:rPr>
              <w:br w:type="textWrapping"/>
            </w:r>
            <w:r>
              <w:rPr>
                <w:rFonts w:hint="eastAsia" w:ascii="宋体" w:hAnsi="宋体" w:eastAsia="宋体" w:cs="宋体"/>
                <w:b w:val="0"/>
                <w:sz w:val="24"/>
                <w:szCs w:val="24"/>
              </w:rPr>
              <w:t>ATA78   ENGINE EXHAUST SYSTEM MEL ITEMS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（投标文件中需提供系统功能界面清晰截图证明文件）</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2.A320机型至少包括以下科目：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了解MEL中有关空调系统的项目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MEL项：客舱压力自动控制系统通道1</w:t>
            </w:r>
            <w:r>
              <w:rPr>
                <w:rFonts w:hint="eastAsia" w:ascii="宋体" w:hAnsi="宋体" w:eastAsia="宋体" w:cs="宋体"/>
                <w:b w:val="0"/>
                <w:sz w:val="24"/>
                <w:szCs w:val="24"/>
              </w:rPr>
              <w:br w:type="textWrapping"/>
            </w:r>
            <w:r>
              <w:rPr>
                <w:rFonts w:hint="eastAsia" w:ascii="宋体" w:hAnsi="宋体" w:eastAsia="宋体" w:cs="宋体"/>
                <w:b w:val="0"/>
                <w:sz w:val="24"/>
                <w:szCs w:val="24"/>
              </w:rPr>
              <w:t>ATA21 MEL项：客舱压力自动控制系统通道2</w:t>
            </w:r>
            <w:r>
              <w:rPr>
                <w:rFonts w:hint="eastAsia" w:ascii="宋体" w:hAnsi="宋体" w:eastAsia="宋体" w:cs="宋体"/>
                <w:b w:val="0"/>
                <w:sz w:val="24"/>
                <w:szCs w:val="24"/>
              </w:rPr>
              <w:br w:type="textWrapping"/>
            </w:r>
            <w:r>
              <w:rPr>
                <w:rFonts w:hint="eastAsia" w:ascii="宋体" w:hAnsi="宋体" w:eastAsia="宋体" w:cs="宋体"/>
                <w:b w:val="0"/>
                <w:sz w:val="24"/>
                <w:szCs w:val="24"/>
              </w:rPr>
              <w:t>ATA22 飞行管理计算机（FMGC）一部不工作</w:t>
            </w:r>
            <w:r>
              <w:rPr>
                <w:rFonts w:hint="eastAsia" w:ascii="宋体" w:hAnsi="宋体" w:eastAsia="宋体" w:cs="宋体"/>
                <w:b w:val="0"/>
                <w:sz w:val="24"/>
                <w:szCs w:val="24"/>
              </w:rPr>
              <w:br w:type="textWrapping"/>
            </w:r>
            <w:r>
              <w:rPr>
                <w:rFonts w:hint="eastAsia" w:ascii="宋体" w:hAnsi="宋体" w:eastAsia="宋体" w:cs="宋体"/>
                <w:b w:val="0"/>
                <w:sz w:val="24"/>
                <w:szCs w:val="24"/>
              </w:rPr>
              <w:t>ATA22 MEL项：FAC1失效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ATA23 MEL项：CAPT ACP失效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ATA24 MEL项：TR2失效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ATA24 MEL项：IDG1</w:t>
            </w:r>
            <w:r>
              <w:rPr>
                <w:rFonts w:hint="eastAsia" w:ascii="宋体" w:hAnsi="宋体" w:eastAsia="宋体" w:cs="宋体"/>
                <w:b w:val="0"/>
                <w:sz w:val="24"/>
                <w:szCs w:val="24"/>
              </w:rPr>
              <w:br w:type="textWrapping"/>
            </w:r>
            <w:r>
              <w:rPr>
                <w:rFonts w:hint="eastAsia" w:ascii="宋体" w:hAnsi="宋体" w:eastAsia="宋体" w:cs="宋体"/>
                <w:b w:val="0"/>
                <w:sz w:val="24"/>
                <w:szCs w:val="24"/>
              </w:rPr>
              <w:t>ATA26 MEL项：右发AGENT按钮灯</w:t>
            </w:r>
            <w:r>
              <w:rPr>
                <w:rFonts w:hint="eastAsia" w:ascii="宋体" w:hAnsi="宋体" w:eastAsia="宋体" w:cs="宋体"/>
                <w:b w:val="0"/>
                <w:sz w:val="24"/>
                <w:szCs w:val="24"/>
              </w:rPr>
              <w:br w:type="textWrapping"/>
            </w:r>
            <w:r>
              <w:rPr>
                <w:rFonts w:hint="eastAsia" w:ascii="宋体" w:hAnsi="宋体" w:eastAsia="宋体" w:cs="宋体"/>
                <w:b w:val="0"/>
                <w:sz w:val="24"/>
                <w:szCs w:val="24"/>
              </w:rPr>
              <w:t>ATA26 MEL项：APU探测环路失效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ATA27 MEL项：ELAC 1故障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ATA28 MEL项：中央油箱传输活门按钮FAULT灯亮</w:t>
            </w:r>
            <w:r>
              <w:rPr>
                <w:rFonts w:hint="eastAsia" w:ascii="宋体" w:hAnsi="宋体" w:eastAsia="宋体" w:cs="宋体"/>
                <w:b w:val="0"/>
                <w:sz w:val="24"/>
                <w:szCs w:val="24"/>
              </w:rPr>
              <w:br w:type="textWrapping"/>
            </w:r>
            <w:r>
              <w:rPr>
                <w:rFonts w:hint="eastAsia" w:ascii="宋体" w:hAnsi="宋体" w:eastAsia="宋体" w:cs="宋体"/>
                <w:b w:val="0"/>
                <w:sz w:val="24"/>
                <w:szCs w:val="24"/>
              </w:rPr>
              <w:t>ATA29 MEL项：液压页面油箱油量指示失效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ATA30 了解MEL中有关防冰排雨系统的项目</w:t>
            </w:r>
            <w:r>
              <w:rPr>
                <w:rFonts w:hint="eastAsia" w:ascii="宋体" w:hAnsi="宋体" w:eastAsia="宋体" w:cs="宋体"/>
                <w:b w:val="0"/>
                <w:sz w:val="24"/>
                <w:szCs w:val="24"/>
              </w:rPr>
              <w:br w:type="textWrapping"/>
            </w:r>
            <w:r>
              <w:rPr>
                <w:rFonts w:hint="eastAsia" w:ascii="宋体" w:hAnsi="宋体" w:eastAsia="宋体" w:cs="宋体"/>
                <w:b w:val="0"/>
                <w:sz w:val="24"/>
                <w:szCs w:val="24"/>
              </w:rPr>
              <w:t>ATA30 发动机防冰活门</w:t>
            </w:r>
            <w:r>
              <w:rPr>
                <w:rFonts w:hint="eastAsia" w:ascii="宋体" w:hAnsi="宋体" w:eastAsia="宋体" w:cs="宋体"/>
                <w:b w:val="0"/>
                <w:sz w:val="24"/>
                <w:szCs w:val="24"/>
              </w:rPr>
              <w:br w:type="textWrapping"/>
            </w:r>
            <w:r>
              <w:rPr>
                <w:rFonts w:hint="eastAsia" w:ascii="宋体" w:hAnsi="宋体" w:eastAsia="宋体" w:cs="宋体"/>
                <w:b w:val="0"/>
                <w:sz w:val="24"/>
                <w:szCs w:val="24"/>
              </w:rPr>
              <w:t>ATA31 MEL项目：SD失效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ATA31 SDAC 1 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ATA31 显示器故障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ATA32 起落架手柄上红色放下箭头灯失效的M项</w:t>
            </w:r>
            <w:r>
              <w:rPr>
                <w:rFonts w:hint="eastAsia" w:ascii="宋体" w:hAnsi="宋体" w:eastAsia="宋体" w:cs="宋体"/>
                <w:b w:val="0"/>
                <w:sz w:val="24"/>
                <w:szCs w:val="24"/>
              </w:rPr>
              <w:br w:type="textWrapping"/>
            </w:r>
            <w:r>
              <w:rPr>
                <w:rFonts w:hint="eastAsia" w:ascii="宋体" w:hAnsi="宋体" w:eastAsia="宋体" w:cs="宋体"/>
                <w:b w:val="0"/>
                <w:sz w:val="24"/>
                <w:szCs w:val="24"/>
              </w:rPr>
              <w:t>ATA32 LGCIU 1不工作</w:t>
            </w:r>
            <w:r>
              <w:rPr>
                <w:rFonts w:hint="eastAsia" w:ascii="宋体" w:hAnsi="宋体" w:eastAsia="宋体" w:cs="宋体"/>
                <w:b w:val="0"/>
                <w:sz w:val="24"/>
                <w:szCs w:val="24"/>
              </w:rPr>
              <w:br w:type="textWrapping"/>
            </w:r>
            <w:r>
              <w:rPr>
                <w:rFonts w:hint="eastAsia" w:ascii="宋体" w:hAnsi="宋体" w:eastAsia="宋体" w:cs="宋体"/>
                <w:b w:val="0"/>
                <w:sz w:val="24"/>
                <w:szCs w:val="24"/>
              </w:rPr>
              <w:t>ATA33 MEL项：EMER_EXIT_LIGHT的OFF灯不亮</w:t>
            </w:r>
            <w:r>
              <w:rPr>
                <w:rFonts w:hint="eastAsia" w:ascii="宋体" w:hAnsi="宋体" w:eastAsia="宋体" w:cs="宋体"/>
                <w:b w:val="0"/>
                <w:sz w:val="24"/>
                <w:szCs w:val="24"/>
              </w:rPr>
              <w:br w:type="textWrapping"/>
            </w:r>
            <w:r>
              <w:rPr>
                <w:rFonts w:hint="eastAsia" w:ascii="宋体" w:hAnsi="宋体" w:eastAsia="宋体" w:cs="宋体"/>
                <w:b w:val="0"/>
                <w:sz w:val="24"/>
                <w:szCs w:val="24"/>
              </w:rPr>
              <w:t>ATA34 了解MEL中有关导航系统的项目</w:t>
            </w:r>
            <w:r>
              <w:rPr>
                <w:rFonts w:hint="eastAsia" w:ascii="宋体" w:hAnsi="宋体" w:eastAsia="宋体" w:cs="宋体"/>
                <w:b w:val="0"/>
                <w:sz w:val="24"/>
                <w:szCs w:val="24"/>
              </w:rPr>
              <w:br w:type="textWrapping"/>
            </w:r>
            <w:r>
              <w:rPr>
                <w:rFonts w:hint="eastAsia" w:ascii="宋体" w:hAnsi="宋体" w:eastAsia="宋体" w:cs="宋体"/>
                <w:b w:val="0"/>
                <w:sz w:val="24"/>
                <w:szCs w:val="24"/>
              </w:rPr>
              <w:t>ATA34 MEL项目：RA 1故障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ATA35 了解MEL中有关氧气系统的项目</w:t>
            </w:r>
            <w:r>
              <w:rPr>
                <w:rFonts w:hint="eastAsia" w:ascii="宋体" w:hAnsi="宋体" w:eastAsia="宋体" w:cs="宋体"/>
                <w:b w:val="0"/>
                <w:sz w:val="24"/>
                <w:szCs w:val="24"/>
              </w:rPr>
              <w:br w:type="textWrapping"/>
            </w:r>
            <w:r>
              <w:rPr>
                <w:rFonts w:hint="eastAsia" w:ascii="宋体" w:hAnsi="宋体" w:eastAsia="宋体" w:cs="宋体"/>
                <w:b w:val="0"/>
                <w:sz w:val="24"/>
                <w:szCs w:val="24"/>
              </w:rPr>
              <w:t>ATA35 机组氧气压力指示失效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ATA36 了解MEL中有关气源系统的项目</w:t>
            </w:r>
            <w:r>
              <w:rPr>
                <w:rFonts w:hint="eastAsia" w:ascii="宋体" w:hAnsi="宋体" w:eastAsia="宋体" w:cs="宋体"/>
                <w:b w:val="0"/>
                <w:sz w:val="24"/>
                <w:szCs w:val="24"/>
              </w:rPr>
              <w:br w:type="textWrapping"/>
            </w:r>
            <w:r>
              <w:rPr>
                <w:rFonts w:hint="eastAsia" w:ascii="宋体" w:hAnsi="宋体" w:eastAsia="宋体" w:cs="宋体"/>
                <w:b w:val="0"/>
                <w:sz w:val="24"/>
                <w:szCs w:val="24"/>
              </w:rPr>
              <w:t>ATA36 MEL 项：左发高压引气活门失效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ATA49 MEL项：进气口活门</w:t>
            </w:r>
            <w:r>
              <w:rPr>
                <w:rFonts w:hint="eastAsia" w:ascii="宋体" w:hAnsi="宋体" w:eastAsia="宋体" w:cs="宋体"/>
                <w:b w:val="0"/>
                <w:sz w:val="24"/>
                <w:szCs w:val="24"/>
              </w:rPr>
              <w:br w:type="textWrapping"/>
            </w:r>
            <w:r>
              <w:rPr>
                <w:rFonts w:hint="eastAsia" w:ascii="宋体" w:hAnsi="宋体" w:eastAsia="宋体" w:cs="宋体"/>
                <w:b w:val="0"/>
                <w:sz w:val="24"/>
                <w:szCs w:val="24"/>
              </w:rPr>
              <w:t>ATA73 (PW)Full Authority Digital Engine Control (FADEC) abnormal operation</w:t>
            </w:r>
            <w:r>
              <w:rPr>
                <w:rFonts w:hint="eastAsia" w:ascii="宋体" w:hAnsi="宋体" w:eastAsia="宋体" w:cs="宋体"/>
                <w:b w:val="0"/>
                <w:sz w:val="24"/>
                <w:szCs w:val="24"/>
              </w:rPr>
              <w:br w:type="textWrapping"/>
            </w:r>
            <w:r>
              <w:rPr>
                <w:rFonts w:hint="eastAsia" w:ascii="宋体" w:hAnsi="宋体" w:eastAsia="宋体" w:cs="宋体"/>
                <w:b w:val="0"/>
                <w:sz w:val="24"/>
                <w:szCs w:val="24"/>
              </w:rPr>
              <w:t>ATA73 MEL项：ENG2 FAN COWL NOT CLSD警戒</w:t>
            </w:r>
            <w:r>
              <w:rPr>
                <w:rFonts w:hint="eastAsia" w:ascii="宋体" w:hAnsi="宋体" w:eastAsia="宋体" w:cs="宋体"/>
                <w:b w:val="0"/>
                <w:sz w:val="24"/>
                <w:szCs w:val="24"/>
              </w:rPr>
              <w:br w:type="textWrapping"/>
            </w:r>
            <w:r>
              <w:rPr>
                <w:rFonts w:hint="eastAsia" w:ascii="宋体" w:hAnsi="宋体" w:eastAsia="宋体" w:cs="宋体"/>
                <w:b w:val="0"/>
                <w:sz w:val="24"/>
                <w:szCs w:val="24"/>
              </w:rPr>
              <w:t>ATA73 MEL项：右发TCM故障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ATA77 (PW)Engine indications system abnormal operation</w:t>
            </w:r>
            <w:r>
              <w:rPr>
                <w:rFonts w:hint="eastAsia" w:ascii="宋体" w:hAnsi="宋体" w:eastAsia="宋体" w:cs="宋体"/>
                <w:b w:val="0"/>
                <w:sz w:val="24"/>
                <w:szCs w:val="24"/>
              </w:rPr>
              <w:br w:type="textWrapping"/>
            </w:r>
            <w:r>
              <w:rPr>
                <w:rFonts w:hint="eastAsia" w:ascii="宋体" w:hAnsi="宋体" w:eastAsia="宋体" w:cs="宋体"/>
                <w:b w:val="0"/>
                <w:sz w:val="24"/>
                <w:szCs w:val="24"/>
              </w:rPr>
              <w:t>ATA78 (PW)Thrust reverser (TR) system abnormal operation</w:t>
            </w:r>
            <w:r>
              <w:rPr>
                <w:rFonts w:hint="eastAsia" w:ascii="宋体" w:hAnsi="宋体" w:eastAsia="宋体" w:cs="宋体"/>
                <w:b w:val="0"/>
                <w:sz w:val="24"/>
                <w:szCs w:val="24"/>
              </w:rPr>
              <w:br w:type="textWrapping"/>
            </w:r>
            <w:r>
              <w:rPr>
                <w:rFonts w:hint="eastAsia" w:ascii="宋体" w:hAnsi="宋体" w:eastAsia="宋体" w:cs="宋体"/>
                <w:b w:val="0"/>
                <w:sz w:val="24"/>
                <w:szCs w:val="24"/>
              </w:rPr>
              <w:t>ATA78 (LEAP)左发反推失效（REV INHIBITED）</w:t>
            </w:r>
            <w:r>
              <w:rPr>
                <w:rFonts w:hint="eastAsia" w:ascii="宋体" w:hAnsi="宋体" w:eastAsia="宋体" w:cs="宋体"/>
                <w:b w:val="0"/>
                <w:sz w:val="24"/>
                <w:szCs w:val="24"/>
              </w:rPr>
              <w:br w:type="textWrapping"/>
            </w:r>
            <w:r>
              <w:rPr>
                <w:rFonts w:hint="eastAsia" w:ascii="宋体" w:hAnsi="宋体" w:eastAsia="宋体" w:cs="宋体"/>
                <w:b w:val="0"/>
                <w:sz w:val="24"/>
                <w:szCs w:val="24"/>
              </w:rPr>
              <w:t>ATA79 (LEAP)左发滑油压力传感器指示失效</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（投标文件中需提供系统功能界面清晰截图证明文件）</w:t>
            </w:r>
            <w:r>
              <w:rPr>
                <w:rFonts w:hint="eastAsia" w:ascii="宋体" w:hAnsi="宋体" w:eastAsia="宋体" w:cs="宋体"/>
                <w:b w:val="0"/>
                <w:sz w:val="24"/>
                <w:szCs w:val="24"/>
              </w:rPr>
              <w:br w:type="textWrapping"/>
            </w:r>
            <w:r>
              <w:rPr>
                <w:rFonts w:hint="eastAsia" w:ascii="宋体" w:hAnsi="宋体" w:eastAsia="宋体" w:cs="宋体"/>
                <w:b w:val="0"/>
                <w:sz w:val="24"/>
                <w:szCs w:val="24"/>
              </w:rPr>
              <w:t>（三）训练控制模块。适用于民航飞机B737CL、B737NG、A320机型，应当覆盖下列章节系统：</w:t>
            </w:r>
            <w:r>
              <w:rPr>
                <w:rFonts w:hint="eastAsia" w:ascii="宋体" w:hAnsi="宋体" w:eastAsia="宋体" w:cs="宋体"/>
                <w:b w:val="0"/>
                <w:sz w:val="24"/>
                <w:szCs w:val="24"/>
              </w:rPr>
              <w:br w:type="textWrapping"/>
            </w:r>
            <w:r>
              <w:rPr>
                <w:rFonts w:hint="eastAsia" w:ascii="宋体" w:hAnsi="宋体" w:eastAsia="宋体" w:cs="宋体"/>
                <w:b w:val="0"/>
                <w:sz w:val="24"/>
                <w:szCs w:val="24"/>
              </w:rPr>
              <w:t>应当覆盖下列实训项目：</w:t>
            </w:r>
            <w:r>
              <w:rPr>
                <w:rFonts w:hint="eastAsia" w:ascii="宋体" w:hAnsi="宋体" w:eastAsia="宋体" w:cs="宋体"/>
                <w:b w:val="0"/>
                <w:sz w:val="24"/>
                <w:szCs w:val="24"/>
              </w:rPr>
              <w:br w:type="textWrapping"/>
            </w:r>
            <w:r>
              <w:rPr>
                <w:rFonts w:hint="eastAsia" w:ascii="宋体" w:hAnsi="宋体" w:eastAsia="宋体" w:cs="宋体"/>
                <w:b w:val="0"/>
                <w:sz w:val="24"/>
                <w:szCs w:val="24"/>
              </w:rPr>
              <w:t>1.B737CL机型至少应当实现以下内容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ATA49  APU起动操作模拟功能；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ATA34  惯导校准模拟操作功能；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ATA34  导航系统通电检查功能；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ATA23  通信面板操作检查功能；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ATA29  液压系统操作检查功能；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ATA28  燃油系统操作检查功能；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ATA26  火警系统操作检查功能；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ATA36  引气操作检查功能；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ATA27  飞控舵面操作检查功能；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ATA32  起落架收放检查功能；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ATA32  刹车系统检查功能；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ATA24  飞机电源你系统检查功能；</w:t>
            </w:r>
          </w:p>
          <w:p>
            <w:pPr>
              <w:pStyle w:val="2"/>
              <w:spacing w:line="240" w:lineRule="auto"/>
              <w:rPr>
                <w:rFonts w:ascii="宋体" w:hAnsi="宋体" w:eastAsia="宋体" w:cs="宋体"/>
                <w:szCs w:val="24"/>
              </w:rPr>
            </w:pPr>
            <w:r>
              <w:rPr>
                <w:rFonts w:hint="eastAsia" w:ascii="宋体" w:hAnsi="宋体" w:eastAsia="宋体" w:cs="宋体"/>
                <w:szCs w:val="24"/>
              </w:rPr>
              <w:t>具备虚拟飞机和三维场景，可进入主要舱室进行部件识别认知；</w:t>
            </w:r>
            <w:r>
              <w:rPr>
                <w:rFonts w:hint="eastAsia" w:ascii="宋体" w:hAnsi="宋体" w:eastAsia="宋体" w:cs="宋体"/>
                <w:szCs w:val="24"/>
              </w:rPr>
              <w:br w:type="textWrapping"/>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2.B737NG机型应当至少包括下列科目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CABIN PRESSURE CONTROL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ATA21 PACK TRIP OFF</w:t>
            </w:r>
            <w:r>
              <w:rPr>
                <w:rFonts w:hint="eastAsia" w:ascii="宋体" w:hAnsi="宋体" w:eastAsia="宋体" w:cs="宋体"/>
                <w:b w:val="0"/>
                <w:sz w:val="24"/>
                <w:szCs w:val="24"/>
              </w:rPr>
              <w:br w:type="textWrapping"/>
            </w:r>
            <w:r>
              <w:rPr>
                <w:rFonts w:hint="eastAsia" w:ascii="宋体" w:hAnsi="宋体" w:eastAsia="宋体" w:cs="宋体"/>
                <w:b w:val="0"/>
                <w:sz w:val="24"/>
                <w:szCs w:val="24"/>
              </w:rPr>
              <w:t>ATA22 AUTOTHROTTLE FAIL</w:t>
            </w:r>
            <w:r>
              <w:rPr>
                <w:rFonts w:hint="eastAsia" w:ascii="宋体" w:hAnsi="宋体" w:eastAsia="宋体" w:cs="宋体"/>
                <w:b w:val="0"/>
                <w:sz w:val="24"/>
                <w:szCs w:val="24"/>
              </w:rPr>
              <w:br w:type="textWrapping"/>
            </w:r>
            <w:r>
              <w:rPr>
                <w:rFonts w:hint="eastAsia" w:ascii="宋体" w:hAnsi="宋体" w:eastAsia="宋体" w:cs="宋体"/>
                <w:b w:val="0"/>
                <w:sz w:val="24"/>
                <w:szCs w:val="24"/>
              </w:rPr>
              <w:t>ATA22 AP CMD A FAULT IN FLIGHT</w:t>
            </w:r>
            <w:r>
              <w:rPr>
                <w:rFonts w:hint="eastAsia" w:ascii="宋体" w:hAnsi="宋体" w:eastAsia="宋体" w:cs="宋体"/>
                <w:b w:val="0"/>
                <w:sz w:val="24"/>
                <w:szCs w:val="24"/>
              </w:rPr>
              <w:br w:type="textWrapping"/>
            </w:r>
            <w:r>
              <w:rPr>
                <w:rFonts w:hint="eastAsia" w:ascii="宋体" w:hAnsi="宋体" w:eastAsia="宋体" w:cs="宋体"/>
                <w:b w:val="0"/>
                <w:sz w:val="24"/>
                <w:szCs w:val="24"/>
              </w:rPr>
              <w:t>ATA23 CAPTAIN RTP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ATA24 TRANSFER BUS DISCONNECTION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ATA26 AFTER CARGO FIRE ALARM</w:t>
            </w:r>
            <w:r>
              <w:rPr>
                <w:rFonts w:hint="eastAsia" w:ascii="宋体" w:hAnsi="宋体" w:eastAsia="宋体" w:cs="宋体"/>
                <w:b w:val="0"/>
                <w:sz w:val="24"/>
                <w:szCs w:val="24"/>
              </w:rPr>
              <w:br w:type="textWrapping"/>
            </w:r>
            <w:r>
              <w:rPr>
                <w:rFonts w:hint="eastAsia" w:ascii="宋体" w:hAnsi="宋体" w:eastAsia="宋体" w:cs="宋体"/>
                <w:b w:val="0"/>
                <w:sz w:val="24"/>
                <w:szCs w:val="24"/>
              </w:rPr>
              <w:t>ATA27 FLAP POSITION DISAGREE WITH POSITION INDICATOR</w:t>
            </w:r>
            <w:r>
              <w:rPr>
                <w:rFonts w:hint="eastAsia" w:ascii="宋体" w:hAnsi="宋体" w:eastAsia="宋体" w:cs="宋体"/>
                <w:b w:val="0"/>
                <w:sz w:val="24"/>
                <w:szCs w:val="24"/>
              </w:rPr>
              <w:br w:type="textWrapping"/>
            </w:r>
            <w:r>
              <w:rPr>
                <w:rFonts w:hint="eastAsia" w:ascii="宋体" w:hAnsi="宋体" w:eastAsia="宋体" w:cs="宋体"/>
                <w:b w:val="0"/>
                <w:sz w:val="24"/>
                <w:szCs w:val="24"/>
              </w:rPr>
              <w:t>ATA29 L/H HYDRAULIC PUMP OVERHEAT</w:t>
            </w:r>
            <w:r>
              <w:rPr>
                <w:rFonts w:hint="eastAsia" w:ascii="宋体" w:hAnsi="宋体" w:eastAsia="宋体" w:cs="宋体"/>
                <w:b w:val="0"/>
                <w:sz w:val="24"/>
                <w:szCs w:val="24"/>
              </w:rPr>
              <w:br w:type="textWrapping"/>
            </w:r>
            <w:r>
              <w:rPr>
                <w:rFonts w:hint="eastAsia" w:ascii="宋体" w:hAnsi="宋体" w:eastAsia="宋体" w:cs="宋体"/>
                <w:b w:val="0"/>
                <w:sz w:val="24"/>
                <w:szCs w:val="24"/>
              </w:rPr>
              <w:t>ATA30 WINDSHIELD OVERHEAD LIGHT ILLUMINATE</w:t>
            </w:r>
            <w:r>
              <w:rPr>
                <w:rFonts w:hint="eastAsia" w:ascii="宋体" w:hAnsi="宋体" w:eastAsia="宋体" w:cs="宋体"/>
                <w:b w:val="0"/>
                <w:sz w:val="24"/>
                <w:szCs w:val="24"/>
              </w:rPr>
              <w:br w:type="textWrapping"/>
            </w:r>
            <w:r>
              <w:rPr>
                <w:rFonts w:hint="eastAsia" w:ascii="宋体" w:hAnsi="宋体" w:eastAsia="宋体" w:cs="宋体"/>
                <w:b w:val="0"/>
                <w:sz w:val="24"/>
                <w:szCs w:val="24"/>
              </w:rPr>
              <w:t>ATA30 R/H ENGINE COWL ANTIICE VALVE INOPERATION</w:t>
            </w:r>
            <w:r>
              <w:rPr>
                <w:rFonts w:hint="eastAsia" w:ascii="宋体" w:hAnsi="宋体" w:eastAsia="宋体" w:cs="宋体"/>
                <w:b w:val="0"/>
                <w:sz w:val="24"/>
                <w:szCs w:val="24"/>
              </w:rPr>
              <w:br w:type="textWrapping"/>
            </w:r>
            <w:r>
              <w:rPr>
                <w:rFonts w:hint="eastAsia" w:ascii="宋体" w:hAnsi="宋体" w:eastAsia="宋体" w:cs="宋体"/>
                <w:b w:val="0"/>
                <w:sz w:val="24"/>
                <w:szCs w:val="24"/>
              </w:rPr>
              <w:t>ATA31 CDS FAULT ANNUNCIATION SHOWS ON CAPT PFD</w:t>
            </w:r>
            <w:r>
              <w:rPr>
                <w:rFonts w:hint="eastAsia" w:ascii="宋体" w:hAnsi="宋体" w:eastAsia="宋体" w:cs="宋体"/>
                <w:b w:val="0"/>
                <w:sz w:val="24"/>
                <w:szCs w:val="24"/>
              </w:rPr>
              <w:br w:type="textWrapping"/>
            </w:r>
            <w:r>
              <w:rPr>
                <w:rFonts w:hint="eastAsia" w:ascii="宋体" w:hAnsi="宋体" w:eastAsia="宋体" w:cs="宋体"/>
                <w:b w:val="0"/>
                <w:sz w:val="24"/>
                <w:szCs w:val="24"/>
              </w:rPr>
              <w:t>ATA32 WHEEL AND ANTISKID BRAKE FAULT LIGHT ILLUMINATE</w:t>
            </w:r>
            <w:r>
              <w:rPr>
                <w:rFonts w:hint="eastAsia" w:ascii="宋体" w:hAnsi="宋体" w:eastAsia="宋体" w:cs="宋体"/>
                <w:b w:val="0"/>
                <w:sz w:val="24"/>
                <w:szCs w:val="24"/>
              </w:rPr>
              <w:br w:type="textWrapping"/>
            </w:r>
            <w:r>
              <w:rPr>
                <w:rFonts w:hint="eastAsia" w:ascii="宋体" w:hAnsi="宋体" w:eastAsia="宋体" w:cs="宋体"/>
                <w:b w:val="0"/>
                <w:sz w:val="24"/>
                <w:szCs w:val="24"/>
              </w:rPr>
              <w:t>ATA34 RA SYSTEM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ATA36 L/H ENGINE PNEUMATIC BLEED TRIP OFF</w:t>
            </w:r>
            <w:r>
              <w:rPr>
                <w:rFonts w:hint="eastAsia" w:ascii="宋体" w:hAnsi="宋体" w:eastAsia="宋体" w:cs="宋体"/>
                <w:b w:val="0"/>
                <w:sz w:val="24"/>
                <w:szCs w:val="24"/>
              </w:rPr>
              <w:br w:type="textWrapping"/>
            </w:r>
            <w:r>
              <w:rPr>
                <w:rFonts w:hint="eastAsia" w:ascii="宋体" w:hAnsi="宋体" w:eastAsia="宋体" w:cs="宋体"/>
                <w:b w:val="0"/>
                <w:sz w:val="24"/>
                <w:szCs w:val="24"/>
              </w:rPr>
              <w:t>ATA49 APU FAULT LIGHT ILLUMINATE</w:t>
            </w:r>
            <w:r>
              <w:rPr>
                <w:rFonts w:hint="eastAsia" w:ascii="宋体" w:hAnsi="宋体" w:eastAsia="宋体" w:cs="宋体"/>
                <w:b w:val="0"/>
                <w:sz w:val="24"/>
                <w:szCs w:val="24"/>
              </w:rPr>
              <w:br w:type="textWrapping"/>
            </w:r>
            <w:r>
              <w:rPr>
                <w:rFonts w:hint="eastAsia" w:ascii="宋体" w:hAnsi="宋体" w:eastAsia="宋体" w:cs="宋体"/>
                <w:b w:val="0"/>
                <w:sz w:val="24"/>
                <w:szCs w:val="24"/>
              </w:rPr>
              <w:t>ATA73 R/H ENGINE FUEL FILTER BYPASS</w:t>
            </w:r>
            <w:r>
              <w:rPr>
                <w:rFonts w:hint="eastAsia" w:ascii="宋体" w:hAnsi="宋体" w:eastAsia="宋体" w:cs="宋体"/>
                <w:b w:val="0"/>
                <w:sz w:val="24"/>
                <w:szCs w:val="24"/>
              </w:rPr>
              <w:br w:type="textWrapping"/>
            </w:r>
            <w:r>
              <w:rPr>
                <w:rFonts w:hint="eastAsia" w:ascii="宋体" w:hAnsi="宋体" w:eastAsia="宋体" w:cs="宋体"/>
                <w:b w:val="0"/>
                <w:sz w:val="24"/>
                <w:szCs w:val="24"/>
              </w:rPr>
              <w:t>ATA76 RIGHT START LEVER SIGNALS DISAGREE</w:t>
            </w:r>
            <w:r>
              <w:rPr>
                <w:rFonts w:hint="eastAsia" w:ascii="宋体" w:hAnsi="宋体" w:eastAsia="宋体" w:cs="宋体"/>
                <w:b w:val="0"/>
                <w:sz w:val="24"/>
                <w:szCs w:val="24"/>
              </w:rPr>
              <w:br w:type="textWrapping"/>
            </w:r>
            <w:r>
              <w:rPr>
                <w:rFonts w:hint="eastAsia" w:ascii="宋体" w:hAnsi="宋体" w:eastAsia="宋体" w:cs="宋体"/>
                <w:b w:val="0"/>
                <w:sz w:val="24"/>
                <w:szCs w:val="24"/>
              </w:rPr>
              <w:t>ATA79 ENGINE OIL TEMPERATURE HIGHT TROUBLESHOOTING</w:t>
            </w:r>
            <w:r>
              <w:rPr>
                <w:rFonts w:hint="eastAsia" w:ascii="宋体" w:hAnsi="宋体" w:eastAsia="宋体" w:cs="宋体"/>
                <w:b w:val="0"/>
                <w:sz w:val="24"/>
                <w:szCs w:val="24"/>
              </w:rPr>
              <w:br w:type="textWrapping"/>
            </w:r>
            <w:r>
              <w:rPr>
                <w:rFonts w:hint="eastAsia" w:ascii="宋体" w:hAnsi="宋体" w:eastAsia="宋体" w:cs="宋体"/>
                <w:b w:val="0"/>
                <w:sz w:val="24"/>
                <w:szCs w:val="24"/>
              </w:rPr>
              <w:t>ATA80 ENGINE START IGNITION FAULT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（投标文件中需提供系统功能界面清晰截图证明文件）</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3.A320机型至少应当实现以下科目</w:t>
            </w:r>
            <w:r>
              <w:rPr>
                <w:rFonts w:hint="eastAsia" w:ascii="宋体" w:hAnsi="宋体" w:eastAsia="宋体" w:cs="宋体"/>
                <w:b w:val="0"/>
                <w:sz w:val="24"/>
                <w:szCs w:val="24"/>
              </w:rPr>
              <w:br w:type="textWrapping"/>
            </w:r>
            <w:r>
              <w:rPr>
                <w:rFonts w:hint="eastAsia" w:ascii="宋体" w:hAnsi="宋体" w:eastAsia="宋体" w:cs="宋体"/>
                <w:b w:val="0"/>
                <w:sz w:val="24"/>
                <w:szCs w:val="24"/>
              </w:rPr>
              <w:t>ATA21 电子舱通风排气风扇故障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ATA21 客舱压力控制故障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ATA21 ECAM警告：CAB PR SYS 1（2） FAULT(CPC，外流活门 AUTO 通道)</w:t>
            </w:r>
            <w:r>
              <w:rPr>
                <w:rFonts w:hint="eastAsia" w:ascii="宋体" w:hAnsi="宋体" w:eastAsia="宋体" w:cs="宋体"/>
                <w:b w:val="0"/>
                <w:sz w:val="24"/>
                <w:szCs w:val="24"/>
              </w:rPr>
              <w:br w:type="textWrapping"/>
            </w:r>
            <w:r>
              <w:rPr>
                <w:rFonts w:hint="eastAsia" w:ascii="宋体" w:hAnsi="宋体" w:eastAsia="宋体" w:cs="宋体"/>
                <w:b w:val="0"/>
                <w:sz w:val="24"/>
                <w:szCs w:val="24"/>
              </w:rPr>
              <w:t>ATA21 流量控制活门故障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ATA22 FCU复位程序</w:t>
            </w:r>
            <w:r>
              <w:rPr>
                <w:rFonts w:hint="eastAsia" w:ascii="宋体" w:hAnsi="宋体" w:eastAsia="宋体" w:cs="宋体"/>
                <w:b w:val="0"/>
                <w:sz w:val="24"/>
                <w:szCs w:val="24"/>
              </w:rPr>
              <w:br w:type="textWrapping"/>
            </w:r>
            <w:r>
              <w:rPr>
                <w:rFonts w:hint="eastAsia" w:ascii="宋体" w:hAnsi="宋体" w:eastAsia="宋体" w:cs="宋体"/>
                <w:b w:val="0"/>
                <w:sz w:val="24"/>
                <w:szCs w:val="24"/>
              </w:rPr>
              <w:t>ATA22 FMGC假故障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ATA22 MCDU黑屏</w:t>
            </w:r>
            <w:r>
              <w:rPr>
                <w:rFonts w:hint="eastAsia" w:ascii="宋体" w:hAnsi="宋体" w:eastAsia="宋体" w:cs="宋体"/>
                <w:b w:val="0"/>
                <w:sz w:val="24"/>
                <w:szCs w:val="24"/>
              </w:rPr>
              <w:br w:type="textWrapping"/>
            </w:r>
            <w:r>
              <w:rPr>
                <w:rFonts w:hint="eastAsia" w:ascii="宋体" w:hAnsi="宋体" w:eastAsia="宋体" w:cs="宋体"/>
                <w:b w:val="0"/>
                <w:sz w:val="24"/>
                <w:szCs w:val="24"/>
              </w:rPr>
              <w:t>ATA22 FAC故障复位</w:t>
            </w:r>
            <w:r>
              <w:rPr>
                <w:rFonts w:hint="eastAsia" w:ascii="宋体" w:hAnsi="宋体" w:eastAsia="宋体" w:cs="宋体"/>
                <w:b w:val="0"/>
                <w:sz w:val="24"/>
                <w:szCs w:val="24"/>
              </w:rPr>
              <w:br w:type="textWrapping"/>
            </w:r>
            <w:r>
              <w:rPr>
                <w:rFonts w:hint="eastAsia" w:ascii="宋体" w:hAnsi="宋体" w:eastAsia="宋体" w:cs="宋体"/>
                <w:b w:val="0"/>
                <w:sz w:val="24"/>
                <w:szCs w:val="24"/>
              </w:rPr>
              <w:t>ATA23 CDIS1复位</w:t>
            </w:r>
            <w:r>
              <w:rPr>
                <w:rFonts w:hint="eastAsia" w:ascii="宋体" w:hAnsi="宋体" w:eastAsia="宋体" w:cs="宋体"/>
                <w:b w:val="0"/>
                <w:sz w:val="24"/>
                <w:szCs w:val="24"/>
              </w:rPr>
              <w:br w:type="textWrapping"/>
            </w:r>
            <w:r>
              <w:rPr>
                <w:rFonts w:hint="eastAsia" w:ascii="宋体" w:hAnsi="宋体" w:eastAsia="宋体" w:cs="宋体"/>
                <w:b w:val="0"/>
                <w:sz w:val="24"/>
                <w:szCs w:val="24"/>
              </w:rPr>
              <w:t>ATA23 飞行内话及勤务内话故障解析</w:t>
            </w:r>
            <w:r>
              <w:rPr>
                <w:rFonts w:hint="eastAsia" w:ascii="宋体" w:hAnsi="宋体" w:eastAsia="宋体" w:cs="宋体"/>
                <w:b w:val="0"/>
                <w:sz w:val="24"/>
                <w:szCs w:val="24"/>
              </w:rPr>
              <w:br w:type="textWrapping"/>
            </w:r>
            <w:r>
              <w:rPr>
                <w:rFonts w:hint="eastAsia" w:ascii="宋体" w:hAnsi="宋体" w:eastAsia="宋体" w:cs="宋体"/>
                <w:b w:val="0"/>
                <w:sz w:val="24"/>
                <w:szCs w:val="24"/>
              </w:rPr>
              <w:t>ATA23 RMP故障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ATA23 CDIS1+2 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ATA23 RMP故障（进阶）</w:t>
            </w:r>
            <w:r>
              <w:rPr>
                <w:rFonts w:hint="eastAsia" w:ascii="宋体" w:hAnsi="宋体" w:eastAsia="宋体" w:cs="宋体"/>
                <w:b w:val="0"/>
                <w:sz w:val="24"/>
                <w:szCs w:val="24"/>
              </w:rPr>
              <w:br w:type="textWrapping"/>
            </w:r>
            <w:r>
              <w:rPr>
                <w:rFonts w:hint="eastAsia" w:ascii="宋体" w:hAnsi="宋体" w:eastAsia="宋体" w:cs="宋体"/>
                <w:b w:val="0"/>
                <w:sz w:val="24"/>
                <w:szCs w:val="24"/>
              </w:rPr>
              <w:t>ATA24 通过CFDS和前面板103VU复位TR</w:t>
            </w:r>
            <w:r>
              <w:rPr>
                <w:rFonts w:hint="eastAsia" w:ascii="宋体" w:hAnsi="宋体" w:eastAsia="宋体" w:cs="宋体"/>
                <w:b w:val="0"/>
                <w:sz w:val="24"/>
                <w:szCs w:val="24"/>
              </w:rPr>
              <w:br w:type="textWrapping"/>
            </w:r>
            <w:r>
              <w:rPr>
                <w:rFonts w:hint="eastAsia" w:ascii="宋体" w:hAnsi="宋体" w:eastAsia="宋体" w:cs="宋体"/>
                <w:b w:val="0"/>
                <w:sz w:val="24"/>
                <w:szCs w:val="24"/>
              </w:rPr>
              <w:t>ATA24 GAPCU飞机上电故障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ATA24 ESS TR供电逻辑故障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ATA26 APU A探测环路失效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ATA26 火警面板故障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ATA26 发动机1 A探测环路失效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ATA27 缝翼不对称故障导致缝翼WTB的激活</w:t>
            </w:r>
            <w:r>
              <w:rPr>
                <w:rFonts w:hint="eastAsia" w:ascii="宋体" w:hAnsi="宋体" w:eastAsia="宋体" w:cs="宋体"/>
                <w:b w:val="0"/>
                <w:sz w:val="24"/>
                <w:szCs w:val="24"/>
              </w:rPr>
              <w:br w:type="textWrapping"/>
            </w:r>
            <w:r>
              <w:rPr>
                <w:rFonts w:hint="eastAsia" w:ascii="宋体" w:hAnsi="宋体" w:eastAsia="宋体" w:cs="宋体"/>
                <w:b w:val="0"/>
                <w:sz w:val="24"/>
                <w:szCs w:val="24"/>
              </w:rPr>
              <w:t>ATA27 飞控计算机（ELAC 1）故障(NEO for ALL,V2500 for B-6415, CFM56 for B-6903)</w:t>
            </w:r>
            <w:r>
              <w:rPr>
                <w:rFonts w:hint="eastAsia" w:ascii="宋体" w:hAnsi="宋体" w:eastAsia="宋体" w:cs="宋体"/>
                <w:b w:val="0"/>
                <w:sz w:val="24"/>
                <w:szCs w:val="24"/>
              </w:rPr>
              <w:br w:type="textWrapping"/>
            </w:r>
            <w:r>
              <w:rPr>
                <w:rFonts w:hint="eastAsia" w:ascii="宋体" w:hAnsi="宋体" w:eastAsia="宋体" w:cs="宋体"/>
                <w:b w:val="0"/>
                <w:sz w:val="24"/>
                <w:szCs w:val="24"/>
              </w:rPr>
              <w:t>ATA27 FLAP 1 FAULT的故障处理</w:t>
            </w:r>
            <w:r>
              <w:rPr>
                <w:rFonts w:hint="eastAsia" w:ascii="宋体" w:hAnsi="宋体" w:eastAsia="宋体" w:cs="宋体"/>
                <w:b w:val="0"/>
                <w:sz w:val="24"/>
                <w:szCs w:val="24"/>
              </w:rPr>
              <w:br w:type="textWrapping"/>
            </w:r>
            <w:r>
              <w:rPr>
                <w:rFonts w:hint="eastAsia" w:ascii="宋体" w:hAnsi="宋体" w:eastAsia="宋体" w:cs="宋体"/>
                <w:b w:val="0"/>
                <w:sz w:val="24"/>
                <w:szCs w:val="24"/>
              </w:rPr>
              <w:t>ATA28 中央油箱转换故障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ATA28 Fuel ManTransfer Systm Auto Control Failure</w:t>
            </w:r>
            <w:r>
              <w:rPr>
                <w:rFonts w:hint="eastAsia" w:ascii="宋体" w:hAnsi="宋体" w:eastAsia="宋体" w:cs="宋体"/>
                <w:b w:val="0"/>
                <w:sz w:val="24"/>
                <w:szCs w:val="24"/>
              </w:rPr>
              <w:br w:type="textWrapping"/>
            </w:r>
            <w:r>
              <w:rPr>
                <w:rFonts w:hint="eastAsia" w:ascii="宋体" w:hAnsi="宋体" w:eastAsia="宋体" w:cs="宋体"/>
                <w:b w:val="0"/>
                <w:sz w:val="24"/>
                <w:szCs w:val="24"/>
              </w:rPr>
              <w:t>ATA29 PTU故障1</w:t>
            </w:r>
            <w:r>
              <w:rPr>
                <w:rFonts w:hint="eastAsia" w:ascii="宋体" w:hAnsi="宋体" w:eastAsia="宋体" w:cs="宋体"/>
                <w:b w:val="0"/>
                <w:sz w:val="24"/>
                <w:szCs w:val="24"/>
              </w:rPr>
              <w:br w:type="textWrapping"/>
            </w:r>
            <w:r>
              <w:rPr>
                <w:rFonts w:hint="eastAsia" w:ascii="宋体" w:hAnsi="宋体" w:eastAsia="宋体" w:cs="宋体"/>
                <w:b w:val="0"/>
                <w:sz w:val="24"/>
                <w:szCs w:val="24"/>
              </w:rPr>
              <w:t>ATA29 蓝系统电动泵故障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ATA29 液压油箱气压低</w:t>
            </w:r>
            <w:r>
              <w:rPr>
                <w:rFonts w:hint="eastAsia" w:ascii="宋体" w:hAnsi="宋体" w:eastAsia="宋体" w:cs="宋体"/>
                <w:b w:val="0"/>
                <w:sz w:val="24"/>
                <w:szCs w:val="24"/>
              </w:rPr>
              <w:br w:type="textWrapping"/>
            </w:r>
            <w:r>
              <w:rPr>
                <w:rFonts w:hint="eastAsia" w:ascii="宋体" w:hAnsi="宋体" w:eastAsia="宋体" w:cs="宋体"/>
                <w:b w:val="0"/>
                <w:sz w:val="24"/>
                <w:szCs w:val="24"/>
              </w:rPr>
              <w:t>ATA29 PTU故障2</w:t>
            </w:r>
            <w:r>
              <w:rPr>
                <w:rFonts w:hint="eastAsia" w:ascii="宋体" w:hAnsi="宋体" w:eastAsia="宋体" w:cs="宋体"/>
                <w:b w:val="0"/>
                <w:sz w:val="24"/>
                <w:szCs w:val="24"/>
              </w:rPr>
              <w:br w:type="textWrapping"/>
            </w:r>
            <w:r>
              <w:rPr>
                <w:rFonts w:hint="eastAsia" w:ascii="宋体" w:hAnsi="宋体" w:eastAsia="宋体" w:cs="宋体"/>
                <w:b w:val="0"/>
                <w:sz w:val="24"/>
                <w:szCs w:val="24"/>
              </w:rPr>
              <w:t>ATA30 ENGINE ANTICE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ATA31 DU上显示INVAILID DISPLAY UNIT故障处理</w:t>
            </w:r>
            <w:r>
              <w:rPr>
                <w:rFonts w:hint="eastAsia" w:ascii="宋体" w:hAnsi="宋体" w:eastAsia="宋体" w:cs="宋体"/>
                <w:b w:val="0"/>
                <w:sz w:val="24"/>
                <w:szCs w:val="24"/>
              </w:rPr>
              <w:br w:type="textWrapping"/>
            </w:r>
            <w:r>
              <w:rPr>
                <w:rFonts w:hint="eastAsia" w:ascii="宋体" w:hAnsi="宋体" w:eastAsia="宋体" w:cs="宋体"/>
                <w:b w:val="0"/>
                <w:sz w:val="24"/>
                <w:szCs w:val="24"/>
              </w:rPr>
              <w:t>ATA31 SDAC2 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ATA31 DMC故障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ATA31 CFDIU故障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ATA31 FWC故障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ATA32 起落架舱门选择活门系统故障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ATA32 前起落架放下锁好临近传感器18GA故障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ATA34 左右高度和空速不一致的故障处理程序</w:t>
            </w:r>
            <w:r>
              <w:rPr>
                <w:rFonts w:hint="eastAsia" w:ascii="宋体" w:hAnsi="宋体" w:eastAsia="宋体" w:cs="宋体"/>
                <w:b w:val="0"/>
                <w:sz w:val="24"/>
                <w:szCs w:val="24"/>
              </w:rPr>
              <w:br w:type="textWrapping"/>
            </w:r>
            <w:r>
              <w:rPr>
                <w:rFonts w:hint="eastAsia" w:ascii="宋体" w:hAnsi="宋体" w:eastAsia="宋体" w:cs="宋体"/>
                <w:b w:val="0"/>
                <w:sz w:val="24"/>
                <w:szCs w:val="24"/>
              </w:rPr>
              <w:t>ATA34 TCAS故障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ATA34 EGPWS故障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ATA34 EGPWS故障（进阶）</w:t>
            </w:r>
            <w:r>
              <w:rPr>
                <w:rFonts w:hint="eastAsia" w:ascii="宋体" w:hAnsi="宋体" w:eastAsia="宋体" w:cs="宋体"/>
                <w:b w:val="0"/>
                <w:sz w:val="24"/>
                <w:szCs w:val="24"/>
              </w:rPr>
              <w:br w:type="textWrapping"/>
            </w:r>
            <w:r>
              <w:rPr>
                <w:rFonts w:hint="eastAsia" w:ascii="宋体" w:hAnsi="宋体" w:eastAsia="宋体" w:cs="宋体"/>
                <w:b w:val="0"/>
                <w:sz w:val="24"/>
                <w:szCs w:val="24"/>
              </w:rPr>
              <w:t>ATA34 ADIRU故障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ATA35 氧气压力指示低</w:t>
            </w:r>
            <w:r>
              <w:rPr>
                <w:rFonts w:hint="eastAsia" w:ascii="宋体" w:hAnsi="宋体" w:eastAsia="宋体" w:cs="宋体"/>
                <w:b w:val="0"/>
                <w:sz w:val="24"/>
                <w:szCs w:val="24"/>
              </w:rPr>
              <w:br w:type="textWrapping"/>
            </w:r>
            <w:r>
              <w:rPr>
                <w:rFonts w:hint="eastAsia" w:ascii="宋体" w:hAnsi="宋体" w:eastAsia="宋体" w:cs="宋体"/>
                <w:b w:val="0"/>
                <w:sz w:val="24"/>
                <w:szCs w:val="24"/>
              </w:rPr>
              <w:t>ATA36 AIR ENG1 HP VALVE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ATA36 BMC 1 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ATA38 废水箱传感器故障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ATA38 厕所组件故障快速判断</w:t>
            </w:r>
            <w:r>
              <w:rPr>
                <w:rFonts w:hint="eastAsia" w:ascii="宋体" w:hAnsi="宋体" w:eastAsia="宋体" w:cs="宋体"/>
                <w:b w:val="0"/>
                <w:sz w:val="24"/>
                <w:szCs w:val="24"/>
              </w:rPr>
              <w:br w:type="textWrapping"/>
            </w:r>
            <w:r>
              <w:rPr>
                <w:rFonts w:hint="eastAsia" w:ascii="宋体" w:hAnsi="宋体" w:eastAsia="宋体" w:cs="宋体"/>
                <w:b w:val="0"/>
                <w:sz w:val="24"/>
                <w:szCs w:val="24"/>
              </w:rPr>
              <w:t>ATA49 IGV作动器故障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ATA49 APU自动停车故障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ATA71 (PW)IIDG FOC DELTA P传感器故障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ATA71 (PW)HPC SVA1燃油泄漏</w:t>
            </w:r>
            <w:r>
              <w:rPr>
                <w:rFonts w:hint="eastAsia" w:ascii="宋体" w:hAnsi="宋体" w:eastAsia="宋体" w:cs="宋体"/>
                <w:b w:val="0"/>
                <w:sz w:val="24"/>
                <w:szCs w:val="24"/>
              </w:rPr>
              <w:br w:type="textWrapping"/>
            </w:r>
            <w:r>
              <w:rPr>
                <w:rFonts w:hint="eastAsia" w:ascii="宋体" w:hAnsi="宋体" w:eastAsia="宋体" w:cs="宋体"/>
                <w:b w:val="0"/>
                <w:sz w:val="24"/>
                <w:szCs w:val="24"/>
              </w:rPr>
              <w:t>ATA71 （LEAP）ENG 2 滑油渗漏</w:t>
            </w:r>
            <w:r>
              <w:rPr>
                <w:rFonts w:hint="eastAsia" w:ascii="宋体" w:hAnsi="宋体" w:eastAsia="宋体" w:cs="宋体"/>
                <w:b w:val="0"/>
                <w:sz w:val="24"/>
                <w:szCs w:val="24"/>
              </w:rPr>
              <w:br w:type="textWrapping"/>
            </w:r>
            <w:r>
              <w:rPr>
                <w:rFonts w:hint="eastAsia" w:ascii="宋体" w:hAnsi="宋体" w:eastAsia="宋体" w:cs="宋体"/>
                <w:b w:val="0"/>
                <w:sz w:val="24"/>
                <w:szCs w:val="24"/>
              </w:rPr>
              <w:t>ATA73 (PW)ENG 2 FADEC SYSTEM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ATA73 ECAM 警告：ENG1 FAN COWL NOT CLSD的故障处理</w:t>
            </w:r>
            <w:r>
              <w:rPr>
                <w:rFonts w:hint="eastAsia" w:ascii="宋体" w:hAnsi="宋体" w:eastAsia="宋体" w:cs="宋体"/>
                <w:b w:val="0"/>
                <w:sz w:val="24"/>
                <w:szCs w:val="24"/>
              </w:rPr>
              <w:br w:type="textWrapping"/>
            </w:r>
            <w:r>
              <w:rPr>
                <w:rFonts w:hint="eastAsia" w:ascii="宋体" w:hAnsi="宋体" w:eastAsia="宋体" w:cs="宋体"/>
                <w:b w:val="0"/>
                <w:sz w:val="24"/>
                <w:szCs w:val="24"/>
              </w:rPr>
              <w:t>ATA73 (LEAP)左发燃油流量传感器失效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ATA73 ECAM 警告：ENG1 FAN COWL NOT CLSD的故障处理</w:t>
            </w:r>
            <w:r>
              <w:rPr>
                <w:rFonts w:hint="eastAsia" w:ascii="宋体" w:hAnsi="宋体" w:eastAsia="宋体" w:cs="宋体"/>
                <w:b w:val="0"/>
                <w:sz w:val="24"/>
                <w:szCs w:val="24"/>
              </w:rPr>
              <w:br w:type="textWrapping"/>
            </w:r>
            <w:r>
              <w:rPr>
                <w:rFonts w:hint="eastAsia" w:ascii="宋体" w:hAnsi="宋体" w:eastAsia="宋体" w:cs="宋体"/>
                <w:b w:val="0"/>
                <w:sz w:val="24"/>
                <w:szCs w:val="24"/>
              </w:rPr>
              <w:t>ATA74 (LEAP)左发点火失效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ATA74 (LEAP)右发点火失效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ATA75 (PW)During T/O ECAM Warning -ENG1 COMPRESSOR VANE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ATA75 (LEAP)Fault of the Left and Right VSV Actuator(LVDT Sensor Signals Disagree) on ENG1</w:t>
            </w:r>
            <w:r>
              <w:rPr>
                <w:rFonts w:hint="eastAsia" w:ascii="宋体" w:hAnsi="宋体" w:eastAsia="宋体" w:cs="宋体"/>
                <w:b w:val="0"/>
                <w:sz w:val="24"/>
                <w:szCs w:val="24"/>
              </w:rPr>
              <w:br w:type="textWrapping"/>
            </w:r>
            <w:r>
              <w:rPr>
                <w:rFonts w:hint="eastAsia" w:ascii="宋体" w:hAnsi="宋体" w:eastAsia="宋体" w:cs="宋体"/>
                <w:b w:val="0"/>
                <w:sz w:val="24"/>
                <w:szCs w:val="24"/>
              </w:rPr>
              <w:t>ATA75 （LEAP）EEC冷却风扇故障</w:t>
            </w:r>
            <w:r>
              <w:rPr>
                <w:rFonts w:hint="eastAsia" w:ascii="宋体" w:hAnsi="宋体" w:eastAsia="宋体" w:cs="宋体"/>
                <w:b w:val="0"/>
                <w:sz w:val="24"/>
                <w:szCs w:val="24"/>
              </w:rPr>
              <w:br w:type="textWrapping"/>
            </w:r>
            <w:r>
              <w:rPr>
                <w:rFonts w:hint="eastAsia" w:ascii="宋体" w:hAnsi="宋体" w:eastAsia="宋体" w:cs="宋体"/>
                <w:b w:val="0"/>
                <w:sz w:val="24"/>
                <w:szCs w:val="24"/>
              </w:rPr>
              <w:t>ATA77 (PW)Eng # 1 FADEC SYSTEM FAULT IS INDICATED</w:t>
            </w:r>
            <w:r>
              <w:rPr>
                <w:rFonts w:hint="eastAsia" w:ascii="宋体" w:hAnsi="宋体" w:eastAsia="宋体" w:cs="宋体"/>
                <w:b w:val="0"/>
                <w:sz w:val="24"/>
                <w:szCs w:val="24"/>
              </w:rPr>
              <w:br w:type="textWrapping"/>
            </w:r>
            <w:r>
              <w:rPr>
                <w:rFonts w:hint="eastAsia" w:ascii="宋体" w:hAnsi="宋体" w:eastAsia="宋体" w:cs="宋体"/>
                <w:b w:val="0"/>
                <w:sz w:val="24"/>
                <w:szCs w:val="24"/>
              </w:rPr>
              <w:t>ATA78 (PW)During Reverser activation Eng 1 Reverser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ATA79 (LEAP)左发滑油压力传感器指示失效</w:t>
            </w:r>
            <w:r>
              <w:rPr>
                <w:rFonts w:hint="eastAsia" w:ascii="宋体" w:hAnsi="宋体" w:eastAsia="宋体" w:cs="宋体"/>
                <w:b w:val="0"/>
                <w:sz w:val="24"/>
                <w:szCs w:val="24"/>
              </w:rPr>
              <w:br w:type="textWrapping"/>
            </w:r>
            <w:r>
              <w:rPr>
                <w:rFonts w:hint="eastAsia" w:ascii="宋体" w:hAnsi="宋体" w:eastAsia="宋体" w:cs="宋体"/>
                <w:b w:val="0"/>
                <w:sz w:val="24"/>
                <w:szCs w:val="24"/>
              </w:rPr>
              <w:t>ATA80 (PW)At engine start #1 no start valve response and Start Valve Fault</w:t>
            </w:r>
            <w:r>
              <w:rPr>
                <w:rFonts w:hint="eastAsia" w:ascii="宋体" w:hAnsi="宋体" w:eastAsia="宋体" w:cs="宋体"/>
                <w:b w:val="0"/>
                <w:sz w:val="24"/>
                <w:szCs w:val="24"/>
              </w:rPr>
              <w:br w:type="textWrapping"/>
            </w:r>
            <w:r>
              <w:rPr>
                <w:rFonts w:hint="eastAsia" w:ascii="宋体" w:hAnsi="宋体" w:eastAsia="宋体" w:cs="宋体"/>
                <w:b w:val="0"/>
                <w:sz w:val="24"/>
                <w:szCs w:val="24"/>
              </w:rPr>
              <w:t>ATA80 (LEAP)左发起动活门故障；</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（投标文件中需提供系统功能界面清晰截图证明文件）</w:t>
            </w:r>
            <w:r>
              <w:rPr>
                <w:rFonts w:hint="eastAsia" w:ascii="宋体" w:hAnsi="宋体" w:eastAsia="宋体" w:cs="宋体"/>
                <w:b w:val="0"/>
                <w:sz w:val="24"/>
                <w:szCs w:val="24"/>
              </w:rPr>
              <w:br w:type="textWrapping"/>
            </w:r>
            <w:r>
              <w:rPr>
                <w:rFonts w:hint="eastAsia" w:ascii="宋体" w:hAnsi="宋体" w:eastAsia="宋体" w:cs="宋体"/>
                <w:b w:val="0"/>
                <w:sz w:val="24"/>
                <w:szCs w:val="24"/>
              </w:rPr>
              <w:t>（四）R44直升机机型。应当具备下列功能：</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1.具备虚拟驾驶舱，能够实现发动机试车等驾驶舱内操作，并且能够实现故障模拟功能，应当包含以下故障科目：慢车转速高、慢车转速低、旋翼转速表指示异常、汽缸头温度指示高、滑油温度指示高、主旋翼齿轮箱温度警告、一氧化碳指示灯亮、起动信号灯故障、尾旋翼齿轮箱金属屑超标、主油箱油量表传感器故障、辅助燃油泵故障、发动机火警、滑油压力高、滑油压力低、调速器故障、桨矩杆起动按钮故障、进气压力表故障、低油量传感器故障、警告灯断路器自动跳开、仪表指示断路器故障、着陆灯故障、航行灯故障、副油箱油量表传感器故障、主油箱漏油、副油箱漏油；</w:t>
            </w:r>
            <w:r>
              <w:rPr>
                <w:rFonts w:hint="eastAsia" w:ascii="宋体" w:hAnsi="宋体" w:eastAsia="宋体" w:cs="宋体"/>
                <w:sz w:val="24"/>
                <w:szCs w:val="24"/>
                <w:lang w:bidi="ar"/>
              </w:rPr>
              <w:t>（投标文件中需提供故障模拟界面清晰截图证明文件）</w:t>
            </w:r>
            <w:r>
              <w:rPr>
                <w:rFonts w:hint="eastAsia" w:ascii="宋体" w:hAnsi="宋体" w:eastAsia="宋体" w:cs="宋体"/>
                <w:b w:val="0"/>
                <w:sz w:val="24"/>
                <w:szCs w:val="24"/>
              </w:rPr>
              <w:br w:type="textWrapping"/>
            </w:r>
            <w:r>
              <w:rPr>
                <w:rFonts w:hint="eastAsia" w:ascii="宋体" w:hAnsi="宋体" w:eastAsia="宋体" w:cs="宋体"/>
                <w:b w:val="0"/>
                <w:sz w:val="24"/>
                <w:szCs w:val="24"/>
              </w:rPr>
              <w:t>2.具备三维虚拟直升机，可实现部件识别认知功能、且直升机旋翼可与驾驶舱试车操作实时联动；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3.具备系统设置和考核管理功能，具体应当包括以下内容：燃油量设置、滑油量设置、外界环境温度设置、地面电源连接设置、发动机试车考核、技术资料查阅；</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4.具备R44直升机全套教学课件，能够满足教师开展课堂教学的需求，内容应当覆盖R44直升机全部教学所需的章节。</w:t>
            </w:r>
            <w:r>
              <w:rPr>
                <w:rFonts w:hint="eastAsia" w:ascii="宋体" w:hAnsi="宋体" w:eastAsia="宋体" w:cs="宋体"/>
                <w:sz w:val="24"/>
                <w:szCs w:val="24"/>
                <w:lang w:bidi="ar"/>
              </w:rPr>
              <w:t>（投标文件中需提供CBT教学课件所有章节清晰的截图证明文件）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包括但不限于：检查、限寿部件、机体、起落架、动力装置及其相关系统、飞行操纵系统、旋翼系</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统、调整、追踪和平衡、加温和通风系统、燃油系统、仪表、电气和航空电子系统、座舱设备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需求供应商提供的产品应当是现有的成熟产品，产权清晰、不存在产权纠纷，采购人不承担任何纠纷事宜</w:t>
            </w:r>
            <w:r>
              <w:rPr>
                <w:rFonts w:hint="eastAsia" w:ascii="宋体" w:hAnsi="宋体" w:eastAsia="宋体" w:cs="宋体"/>
                <w:sz w:val="24"/>
                <w:szCs w:val="24"/>
              </w:rPr>
              <w:t>。（投标文件中需提交承诺函，格式自拟）</w:t>
            </w:r>
          </w:p>
        </w:tc>
        <w:tc>
          <w:tcPr>
            <w:tcW w:w="121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12套</w:t>
            </w:r>
          </w:p>
        </w:tc>
        <w:tc>
          <w:tcPr>
            <w:tcW w:w="822"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400" w:hRule="atLeast"/>
        </w:trPr>
        <w:tc>
          <w:tcPr>
            <w:tcW w:w="747"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4</w:t>
            </w:r>
          </w:p>
        </w:tc>
        <w:tc>
          <w:tcPr>
            <w:tcW w:w="1089"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飞机维护修理训练模拟实训系统训练处理工作站</w:t>
            </w:r>
          </w:p>
        </w:tc>
        <w:tc>
          <w:tcPr>
            <w:tcW w:w="554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一、工作站配置  1套</w:t>
            </w:r>
            <w:r>
              <w:rPr>
                <w:rFonts w:hint="eastAsia" w:ascii="宋体" w:hAnsi="宋体" w:eastAsia="宋体" w:cs="宋体"/>
                <w:b w:val="0"/>
                <w:sz w:val="24"/>
                <w:szCs w:val="24"/>
              </w:rPr>
              <w:br w:type="textWrapping"/>
            </w:r>
            <w:r>
              <w:rPr>
                <w:rFonts w:hint="eastAsia" w:ascii="宋体" w:hAnsi="宋体" w:eastAsia="宋体" w:cs="宋体"/>
                <w:b w:val="0"/>
                <w:sz w:val="24"/>
                <w:szCs w:val="24"/>
              </w:rPr>
              <w:t>1.CPU：≥Intel I5-12500处理器，核心数≥6，主频≥3.0GHz，三级缓存≥18M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2.主板芯片组：商用高性能≥ Q670 主板芯片组；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3.内存：≥16GB DDR4 3200MHz，≥4内存槽位；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4.硬盘：≥256G M.2 pcie 4.0 SSD，≥1TB SATA3 7200rpm HDD ；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5.音频：配置5.1声道(提供前2后3共5个音频接口，其中前置包含1个2合1接口)；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6.网卡：≥1千兆网卡；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7.插槽：≥1个PCI-E*16、≥2个PCI-E*4槽位；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8.端口：≥8个USB接口(其中至少2个USB 3.2 G2接口、1个type C接口 )、主板自带非转接（非显卡接口）≥3个视频输出接口</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9.显卡：独立显卡， 性能≥RX 550X，显存≥ 4G；显卡自带非转接接口：≥1个VGA接口，≥1个HDMI接口，≥1个DP接口；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10.输入设备：USB键盘鼠标；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11.电源：≥260W；</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12.系统：出厂预装 WIN11 正版操作系统；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13.机箱：机箱不大于14L，顶置提手，顶置电源开关键；</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二、显示器  3台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与主机同品牌 21.5"宽屏液晶显示器，分辨率支持 2160*1440、1920*1440、1920*1080；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三、带机柜的三屏幕结构训练桌 1台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1.尺寸165×70×100±10cm；后部有机柜，用于放置计算机等设备；</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2.显示虚拟座舱屏、虚拟飞机屏、训练控制屏器需采用内嵌式设计；</w:t>
            </w:r>
            <w:r>
              <w:rPr>
                <w:rFonts w:hint="eastAsia" w:ascii="宋体" w:hAnsi="宋体" w:eastAsia="宋体" w:cs="宋体"/>
                <w:b w:val="0"/>
                <w:sz w:val="24"/>
                <w:szCs w:val="24"/>
              </w:rPr>
              <w:br w:type="textWrapping"/>
            </w:r>
            <w:r>
              <w:rPr>
                <w:rFonts w:hint="eastAsia" w:ascii="宋体" w:hAnsi="宋体" w:eastAsia="宋体" w:cs="宋体"/>
                <w:b w:val="0"/>
                <w:sz w:val="24"/>
                <w:szCs w:val="24"/>
              </w:rPr>
              <w:t>四、耳机  2付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1.采用40mm驱动单元；</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2.可调节音量大小；</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3.耳机插头: 3.5mm圆插头；</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4.频响范围: 20-20000HZ。</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五、座椅  2张</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1.椅背：一体成型PP椅座，可拆装；</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2.椅架：12MM实心钢筋实心电镀弓形架；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3.脚垫：PA材质脚垫，软质材料，耐磨损，不伤地面；</w:t>
            </w:r>
            <w:r>
              <w:rPr>
                <w:rFonts w:hint="eastAsia" w:ascii="宋体" w:hAnsi="宋体" w:eastAsia="宋体" w:cs="宋体"/>
                <w:b w:val="0"/>
                <w:sz w:val="24"/>
                <w:szCs w:val="24"/>
              </w:rPr>
              <w:br w:type="textWrapping"/>
            </w:r>
            <w:r>
              <w:rPr>
                <w:rFonts w:hint="eastAsia" w:ascii="宋体" w:hAnsi="宋体" w:eastAsia="宋体" w:cs="宋体"/>
                <w:b w:val="0"/>
                <w:sz w:val="24"/>
                <w:szCs w:val="24"/>
              </w:rPr>
              <w:t>4.尺寸（宽*深*高）：490x570x790MM。</w:t>
            </w:r>
          </w:p>
        </w:tc>
        <w:tc>
          <w:tcPr>
            <w:tcW w:w="121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12套</w:t>
            </w:r>
          </w:p>
        </w:tc>
        <w:tc>
          <w:tcPr>
            <w:tcW w:w="822"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400" w:hRule="atLeast"/>
        </w:trPr>
        <w:tc>
          <w:tcPr>
            <w:tcW w:w="747"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5</w:t>
            </w:r>
          </w:p>
        </w:tc>
        <w:tc>
          <w:tcPr>
            <w:tcW w:w="1089"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网络交换机及机柜</w:t>
            </w:r>
          </w:p>
        </w:tc>
        <w:tc>
          <w:tcPr>
            <w:tcW w:w="554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一、交换机  1台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1.24个千兆光口，8个复用千兆电口，4个万兆SFP+光口，CONSOLE口≥1个；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2.交换容量≥336Gbps，包转发能力≥108Mpps；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3.支持802.1p，支持SP、WRR算法队列，支持802.3ad端口聚合每组最大8个；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4.支持通过云端远程、手机小程序实现便捷运维，并自动生成运维周报及运维月报；</w:t>
            </w:r>
            <w:r>
              <w:rPr>
                <w:rFonts w:hint="eastAsia" w:ascii="宋体" w:hAnsi="宋体" w:eastAsia="宋体" w:cs="宋体"/>
                <w:sz w:val="24"/>
                <w:szCs w:val="24"/>
                <w:lang w:bidi="ar"/>
              </w:rPr>
              <w:t>（投标文件中提供第三方有权检测机构出具的带有 CMA 或 CNAS 标识的检测报告扫描件）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5.支持IGMPv1/v2/v3、PIM-SM、PIM-DM，支持组播流量跨VLAN复制功能；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6.支持静态路由，rip/ospf动态路由，支持vrrp虚拟路由，支持802.1X/Radius认证；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7.支持自动生成全局可视化拓扑图，交换机运行状态可视化，链路流量及使用率可视化，端口信息可视化；</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8.支持IGMPv1/v2/v3、PIM-SM、PIM-DM、支持组播流量跨VLAN复制功能。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二、机柜  1台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1.尺寸:600*1150*600mm±5mm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2.标准配置:前门网门，后门网门，8位国标排插组件1套；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3.固定板1块，风扇组件1套，重型脚轮4只，方螺母螺钉40套，支脚4只；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4.符合ANSI/EIA RS-310-D、IEC297-2、DIN41491; PART1、DIN41494; PART7、 GB/T3047.2- 92标准;兼容ETSI标准；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5.可关闭的上部、下部多处走线通道，底部大走线孔尺寸可按需调整;</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6.承载:静载800KG；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7.防护等级:IP20；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8.主要材料:SPCC优质冷扎钢板制作；厚度：方孔条2.0mm，安装梁1.5mm，其它1.2mm；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9.表面处理:方孔条镀蓝锌；其余：脱脂、磷化、静电喷塑。</w:t>
            </w:r>
          </w:p>
        </w:tc>
        <w:tc>
          <w:tcPr>
            <w:tcW w:w="121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22"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400" w:hRule="atLeast"/>
        </w:trPr>
        <w:tc>
          <w:tcPr>
            <w:tcW w:w="747"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6</w:t>
            </w:r>
          </w:p>
        </w:tc>
        <w:tc>
          <w:tcPr>
            <w:tcW w:w="1089"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机务维修及模拟飞行模拟器</w:t>
            </w:r>
          </w:p>
        </w:tc>
        <w:tc>
          <w:tcPr>
            <w:tcW w:w="554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一、总体功能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1.按照B737NG飞机驾驶舱进行1:1仿制，舱内所有面板、杆舵手柄、座椅均需要采用实物仿真件的形式，不允许使用触摸屏显示器替代；</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rPr>
              <w:t>★</w:t>
            </w:r>
            <w:r>
              <w:rPr>
                <w:rFonts w:hint="eastAsia" w:ascii="宋体" w:hAnsi="宋体" w:eastAsia="宋体" w:cs="宋体"/>
                <w:b w:val="0"/>
                <w:sz w:val="24"/>
                <w:szCs w:val="24"/>
              </w:rPr>
              <w:t>2.仿真的部位包括：头顶板（含前、后顶板）、主仪表板、遮光罩设备、油门台、中控台、驾驶杆/脚蹬（双侧）、CDU设备（双侧）、座椅（双侧）、后壁板（正副驾驶座椅背后双侧）；上述仿真件上的所有电门、按钮、信号灯等零部件均应当具备数据接口；</w:t>
            </w:r>
            <w:r>
              <w:rPr>
                <w:rFonts w:hint="eastAsia" w:ascii="宋体" w:hAnsi="宋体" w:eastAsia="宋体" w:cs="宋体"/>
                <w:sz w:val="24"/>
                <w:szCs w:val="24"/>
                <w:lang w:bidi="ar"/>
              </w:rPr>
              <w:t>（投标文件中需提供B737NG模拟机驾驶舱硬件接口地址表，应列出每一路信号名称、接口地址，输入量不得少于1300路信号，输出量不得少于400路信号）</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3.为确保连接可靠性，数据接口总线应当采用网线或CAN总线连接到计算机上，需具备驱动程序，能够实时受控于配套仿真系统，不得使用USB等接口方式；</w:t>
            </w:r>
            <w:r>
              <w:rPr>
                <w:rFonts w:hint="eastAsia" w:ascii="宋体" w:hAnsi="宋体" w:eastAsia="宋体" w:cs="宋体"/>
                <w:b w:val="0"/>
                <w:sz w:val="24"/>
                <w:szCs w:val="24"/>
              </w:rPr>
              <w:br w:type="textWrapping"/>
            </w:r>
            <w:r>
              <w:rPr>
                <w:rFonts w:hint="eastAsia" w:ascii="宋体" w:hAnsi="宋体" w:eastAsia="宋体" w:cs="宋体"/>
                <w:b w:val="0"/>
                <w:sz w:val="24"/>
                <w:szCs w:val="24"/>
              </w:rPr>
              <w:t>4.仿真驾驶舱需采用全包围形式，含外壳和内饰壳，外壳使用玻璃钢，表面喷漆处理；内饰壳使用吸塑件；舱体结构包含舱体底座、舷窗框架、顶控托架、仪表板框架、中央操纵台框架、左、右前部操纵台框架、左、右后部储物箱框架、后部门框、视景框架、外壳底框和头部内框；设备外表面可根据实际需求标出采购单位的LOGO。</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除了能够实现地面机务训练外，飞机维修训练模拟器还应当能够实现飞行模拟功能，可通过教员控制台设置机场、天气、位置等信息，机头前方具备视景显示设备，能够逼真的模拟地面滑行、滑跑、起飞、爬升、巡航、进近、着陆等一系列飞行流程；</w:t>
            </w:r>
            <w:r>
              <w:rPr>
                <w:rFonts w:hint="eastAsia" w:ascii="宋体" w:hAnsi="宋体" w:eastAsia="宋体" w:cs="宋体"/>
                <w:b w:val="0"/>
                <w:sz w:val="24"/>
                <w:szCs w:val="24"/>
              </w:rPr>
              <w:br w:type="textWrapping"/>
            </w:r>
            <w:r>
              <w:rPr>
                <w:rFonts w:hint="eastAsia" w:ascii="宋体" w:hAnsi="宋体" w:eastAsia="宋体" w:cs="宋体"/>
                <w:b w:val="0"/>
                <w:sz w:val="24"/>
                <w:szCs w:val="24"/>
              </w:rPr>
              <w:t>6.B737NG飞机维修模拟训练器(3D应以 AC-14704R1 规章为基础，结合维修人员培训需要，满足维修人员发动机试车培训/复训，各类专项培训/复训、飞机系统工作的需求；</w:t>
            </w:r>
            <w:r>
              <w:rPr>
                <w:rFonts w:hint="eastAsia" w:ascii="宋体" w:hAnsi="宋体" w:eastAsia="宋体" w:cs="宋体"/>
                <w:b w:val="0"/>
                <w:sz w:val="24"/>
                <w:szCs w:val="24"/>
              </w:rPr>
              <w:br w:type="textWrapping"/>
            </w:r>
            <w:r>
              <w:rPr>
                <w:rFonts w:hint="eastAsia" w:ascii="宋体" w:hAnsi="宋体" w:eastAsia="宋体" w:cs="宋体"/>
                <w:b w:val="0"/>
                <w:sz w:val="24"/>
                <w:szCs w:val="24"/>
              </w:rPr>
              <w:t>7.需求模拟器可用于发动机试车，系统工作原理、驾驶舱效应、部件识别、故障排除和隔离、机上操作、常用工具设备/器材使用、机械/电子/电气部件拆装和检查、最低放飞标准训练、维修文件使用等科目的培训、练习和考核；</w:t>
            </w:r>
            <w:r>
              <w:rPr>
                <w:rFonts w:hint="eastAsia" w:ascii="宋体" w:hAnsi="宋体" w:eastAsia="宋体" w:cs="宋体"/>
                <w:b w:val="0"/>
                <w:sz w:val="24"/>
                <w:szCs w:val="24"/>
              </w:rPr>
              <w:br w:type="textWrapping"/>
            </w:r>
            <w:r>
              <w:rPr>
                <w:rFonts w:hint="eastAsia" w:ascii="宋体" w:hAnsi="宋体" w:eastAsia="宋体" w:cs="宋体"/>
                <w:b w:val="0"/>
                <w:sz w:val="24"/>
                <w:szCs w:val="24"/>
              </w:rPr>
              <w:t>需求供应商提供的产品应当是现有的成熟产品，产权清晰、不存在产权纠纷，采购人不承担任何纠纷事宜</w:t>
            </w:r>
            <w:r>
              <w:rPr>
                <w:rFonts w:hint="eastAsia" w:ascii="宋体" w:hAnsi="宋体" w:eastAsia="宋体" w:cs="宋体"/>
                <w:sz w:val="24"/>
                <w:szCs w:val="24"/>
                <w:lang w:bidi="ar"/>
              </w:rPr>
              <w:t>；（投标文件中需提交承诺函，格式自拟）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二、配置需求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机务维修及模拟飞行模拟器包括全实物仿真驾驶舱、教员控制台、机柜、数据采集及控制系统设备、电源设备、网络设备、电气附件等部分；</w:t>
            </w:r>
            <w:r>
              <w:rPr>
                <w:rFonts w:hint="eastAsia" w:ascii="宋体" w:hAnsi="宋体" w:eastAsia="宋体" w:cs="宋体"/>
                <w:b w:val="0"/>
                <w:sz w:val="24"/>
                <w:szCs w:val="24"/>
              </w:rPr>
              <w:br w:type="textWrapping"/>
            </w:r>
            <w:r>
              <w:rPr>
                <w:rFonts w:hint="eastAsia" w:ascii="宋体" w:hAnsi="宋体" w:eastAsia="宋体" w:cs="宋体"/>
                <w:b w:val="0"/>
                <w:sz w:val="24"/>
                <w:szCs w:val="24"/>
              </w:rPr>
              <w:t>部件包含：</w:t>
            </w:r>
            <w:r>
              <w:rPr>
                <w:rFonts w:hint="eastAsia" w:ascii="宋体" w:hAnsi="宋体" w:eastAsia="宋体" w:cs="宋体"/>
                <w:b w:val="0"/>
                <w:sz w:val="24"/>
                <w:szCs w:val="24"/>
              </w:rPr>
              <w:br w:type="textWrapping"/>
            </w:r>
            <w:r>
              <w:rPr>
                <w:rFonts w:hint="eastAsia" w:ascii="宋体" w:hAnsi="宋体" w:eastAsia="宋体" w:cs="宋体"/>
                <w:b w:val="0"/>
                <w:sz w:val="24"/>
                <w:szCs w:val="24"/>
              </w:rPr>
              <w:t>1.波音 737NG 飞机驾驶舱顶板模拟装置</w:t>
            </w:r>
            <w:r>
              <w:rPr>
                <w:rFonts w:hint="eastAsia" w:ascii="宋体" w:hAnsi="宋体" w:eastAsia="宋体" w:cs="宋体"/>
                <w:b w:val="0"/>
                <w:sz w:val="24"/>
                <w:szCs w:val="24"/>
              </w:rPr>
              <w:br w:type="textWrapping"/>
            </w:r>
            <w:r>
              <w:rPr>
                <w:rFonts w:hint="eastAsia" w:ascii="宋体" w:hAnsi="宋体" w:eastAsia="宋体" w:cs="宋体"/>
                <w:b w:val="0"/>
                <w:sz w:val="24"/>
                <w:szCs w:val="24"/>
              </w:rPr>
              <w:t>1）波音 737NG 飞机前顶板 1:1 尺寸和完整功能模拟；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2）波音 737NG 飞机后顶板 1:1 尺寸和完整功能模拟； </w:t>
            </w:r>
            <w:r>
              <w:rPr>
                <w:rFonts w:hint="eastAsia" w:ascii="宋体" w:hAnsi="宋体" w:eastAsia="宋体" w:cs="宋体"/>
                <w:b w:val="0"/>
                <w:sz w:val="24"/>
                <w:szCs w:val="24"/>
              </w:rPr>
              <w:br w:type="textWrapping"/>
            </w:r>
            <w:r>
              <w:rPr>
                <w:rFonts w:hint="eastAsia" w:ascii="宋体" w:hAnsi="宋体" w:eastAsia="宋体" w:cs="宋体"/>
                <w:b w:val="0"/>
                <w:sz w:val="24"/>
                <w:szCs w:val="24"/>
              </w:rPr>
              <w:t>3）各子面板的背光可以通过面板上旋钮统一调控，顶部两侧各安装一个照明灯，用于座舱照明；</w:t>
            </w:r>
            <w:r>
              <w:rPr>
                <w:rFonts w:hint="eastAsia" w:ascii="宋体" w:hAnsi="宋体" w:eastAsia="宋体" w:cs="宋体"/>
                <w:b w:val="0"/>
                <w:sz w:val="24"/>
                <w:szCs w:val="24"/>
              </w:rPr>
              <w:br w:type="textWrapping"/>
            </w:r>
            <w:r>
              <w:rPr>
                <w:rFonts w:hint="eastAsia" w:ascii="宋体" w:hAnsi="宋体" w:eastAsia="宋体" w:cs="宋体"/>
                <w:b w:val="0"/>
                <w:sz w:val="24"/>
                <w:szCs w:val="24"/>
              </w:rPr>
              <w:t>4）各仪表需求与真实飞机一致，能够独立正常工作；</w:t>
            </w:r>
            <w:r>
              <w:rPr>
                <w:rFonts w:hint="eastAsia" w:ascii="宋体" w:hAnsi="宋体" w:eastAsia="宋体" w:cs="宋体"/>
                <w:b w:val="0"/>
                <w:sz w:val="24"/>
                <w:szCs w:val="24"/>
              </w:rPr>
              <w:br w:type="textWrapping"/>
            </w:r>
            <w:r>
              <w:rPr>
                <w:rFonts w:hint="eastAsia" w:ascii="宋体" w:hAnsi="宋体" w:eastAsia="宋体" w:cs="宋体"/>
                <w:b w:val="0"/>
                <w:sz w:val="24"/>
                <w:szCs w:val="24"/>
              </w:rPr>
              <w:t>5）IRS 选择、燃油、液压、防冰、引气等面板开关须使用与真实飞机外观一致的限位开关；</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6）电源指示面板:字符显示端正，不倾斜，字体、字体大小，字体颜色均与真实飞机相当；</w:t>
            </w:r>
            <w:r>
              <w:rPr>
                <w:rFonts w:hint="eastAsia" w:ascii="宋体" w:hAnsi="宋体" w:eastAsia="宋体" w:cs="宋体"/>
                <w:b w:val="0"/>
                <w:sz w:val="24"/>
                <w:szCs w:val="24"/>
              </w:rPr>
              <w:br w:type="textWrapping"/>
            </w:r>
            <w:r>
              <w:rPr>
                <w:rFonts w:hint="eastAsia" w:ascii="宋体" w:hAnsi="宋体" w:eastAsia="宋体" w:cs="宋体"/>
                <w:b w:val="0"/>
                <w:sz w:val="24"/>
                <w:szCs w:val="24"/>
              </w:rPr>
              <w:t>2.波音 737NG 飞机驾驶舱中控模拟装置</w:t>
            </w:r>
            <w:r>
              <w:rPr>
                <w:rFonts w:hint="eastAsia" w:ascii="宋体" w:hAnsi="宋体" w:eastAsia="宋体" w:cs="宋体"/>
                <w:b w:val="0"/>
                <w:sz w:val="24"/>
                <w:szCs w:val="24"/>
              </w:rPr>
              <w:br w:type="textWrapping"/>
            </w:r>
            <w:r>
              <w:rPr>
                <w:rFonts w:hint="eastAsia" w:ascii="宋体" w:hAnsi="宋体" w:eastAsia="宋体" w:cs="宋体"/>
                <w:b w:val="0"/>
                <w:sz w:val="24"/>
                <w:szCs w:val="24"/>
              </w:rPr>
              <w:t>1）波音 737NG 飞机驾驶舱中控台 1:1 尺寸和完整功能模拟；</w:t>
            </w:r>
            <w:r>
              <w:rPr>
                <w:rFonts w:hint="eastAsia" w:ascii="宋体" w:hAnsi="宋体" w:eastAsia="宋体" w:cs="宋体"/>
                <w:b w:val="0"/>
                <w:sz w:val="24"/>
                <w:szCs w:val="24"/>
              </w:rPr>
              <w:br w:type="textWrapping"/>
            </w:r>
            <w:r>
              <w:rPr>
                <w:rFonts w:hint="eastAsia" w:ascii="宋体" w:hAnsi="宋体" w:eastAsia="宋体" w:cs="宋体"/>
                <w:b w:val="0"/>
                <w:sz w:val="24"/>
                <w:szCs w:val="24"/>
              </w:rPr>
              <w:t>2）具有良好的可维护性，控制盒可拆卸，各子面板的背光可以通过面板上旋钮统一调控；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3）面板上所有按键、开关、旋钮等操作信号能够被可靠的采集；</w:t>
            </w:r>
            <w:r>
              <w:rPr>
                <w:rFonts w:hint="eastAsia" w:ascii="宋体" w:hAnsi="宋体" w:eastAsia="宋体" w:cs="宋体"/>
                <w:b w:val="0"/>
                <w:sz w:val="24"/>
                <w:szCs w:val="24"/>
              </w:rPr>
              <w:br w:type="textWrapping"/>
            </w:r>
            <w:r>
              <w:rPr>
                <w:rFonts w:hint="eastAsia" w:ascii="宋体" w:hAnsi="宋体" w:eastAsia="宋体" w:cs="宋体"/>
                <w:b w:val="0"/>
                <w:sz w:val="24"/>
                <w:szCs w:val="24"/>
              </w:rPr>
              <w:t>4）油门与反推、扰流板、襟翼、刹车等手柄需求与真实飞机近似，手柄上有清晰的标识；</w:t>
            </w:r>
            <w:r>
              <w:rPr>
                <w:rFonts w:hint="eastAsia" w:ascii="宋体" w:hAnsi="宋体" w:eastAsia="宋体" w:cs="宋体"/>
                <w:b w:val="0"/>
                <w:sz w:val="24"/>
                <w:szCs w:val="24"/>
              </w:rPr>
              <w:br w:type="textWrapping"/>
            </w:r>
            <w:r>
              <w:rPr>
                <w:rFonts w:hint="eastAsia" w:ascii="宋体" w:hAnsi="宋体" w:eastAsia="宋体" w:cs="宋体"/>
                <w:b w:val="0"/>
                <w:sz w:val="24"/>
                <w:szCs w:val="24"/>
              </w:rPr>
              <w:t>5）油门手柄应由电机驱动实现自动油门功能；自动油门模式下可实现人工、自动模式无缝转换；</w:t>
            </w:r>
            <w:r>
              <w:rPr>
                <w:rFonts w:hint="eastAsia" w:ascii="宋体" w:hAnsi="宋体" w:eastAsia="宋体" w:cs="宋体"/>
                <w:b w:val="0"/>
                <w:sz w:val="24"/>
                <w:szCs w:val="24"/>
              </w:rPr>
              <w:br w:type="textWrapping"/>
            </w:r>
            <w:r>
              <w:rPr>
                <w:rFonts w:hint="eastAsia" w:ascii="宋体" w:hAnsi="宋体" w:eastAsia="宋体" w:cs="宋体"/>
                <w:b w:val="0"/>
                <w:sz w:val="24"/>
                <w:szCs w:val="24"/>
              </w:rPr>
              <w:t>6）动油门模式下左右油门杆可同步运动，运动轨迹平滑，不颤抖；带有位置自修正功能；</w:t>
            </w:r>
            <w:r>
              <w:rPr>
                <w:rFonts w:hint="eastAsia" w:ascii="宋体" w:hAnsi="宋体" w:eastAsia="宋体" w:cs="宋体"/>
                <w:b w:val="0"/>
                <w:sz w:val="24"/>
                <w:szCs w:val="24"/>
              </w:rPr>
              <w:br w:type="textWrapping"/>
            </w:r>
            <w:r>
              <w:rPr>
                <w:rFonts w:hint="eastAsia" w:ascii="宋体" w:hAnsi="宋体" w:eastAsia="宋体" w:cs="宋体"/>
                <w:b w:val="0"/>
                <w:sz w:val="24"/>
                <w:szCs w:val="24"/>
              </w:rPr>
              <w:t>7）扰流板手柄应具有自动提起机构，并且应由电机驱动实现自动扰流板功能；</w:t>
            </w:r>
            <w:r>
              <w:rPr>
                <w:rFonts w:hint="eastAsia" w:ascii="宋体" w:hAnsi="宋体" w:eastAsia="宋体" w:cs="宋体"/>
                <w:b w:val="0"/>
                <w:sz w:val="24"/>
                <w:szCs w:val="24"/>
              </w:rPr>
              <w:br w:type="textWrapping"/>
            </w:r>
            <w:r>
              <w:rPr>
                <w:rFonts w:hint="eastAsia" w:ascii="宋体" w:hAnsi="宋体" w:eastAsia="宋体" w:cs="宋体"/>
                <w:b w:val="0"/>
                <w:sz w:val="24"/>
                <w:szCs w:val="24"/>
              </w:rPr>
              <w:t>8）水平安定面手轮支持正反方向旋转，具有自动配平功能；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3.波音 737NG 飞机驾驶舱主仪表面板模拟装置</w:t>
            </w:r>
            <w:r>
              <w:rPr>
                <w:rFonts w:hint="eastAsia" w:ascii="宋体" w:hAnsi="宋体" w:eastAsia="宋体" w:cs="宋体"/>
                <w:b w:val="0"/>
                <w:sz w:val="24"/>
                <w:szCs w:val="24"/>
              </w:rPr>
              <w:br w:type="textWrapping"/>
            </w:r>
            <w:r>
              <w:rPr>
                <w:rFonts w:hint="eastAsia" w:ascii="宋体" w:hAnsi="宋体" w:eastAsia="宋体" w:cs="宋体"/>
                <w:b w:val="0"/>
                <w:sz w:val="24"/>
                <w:szCs w:val="24"/>
              </w:rPr>
              <w:t>1）包含遮光板、飞行仪表控制面板、CDU，其中 CDU 与波音737NG 飞机驾驶舱 CDU 组件 1:1 尺寸和完整功能模拟；</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2）CDU使用</w:t>
            </w:r>
            <w:r>
              <w:rPr>
                <w:rFonts w:hint="eastAsia" w:ascii="宋体" w:hAnsi="宋体" w:eastAsia="宋体" w:cs="宋体"/>
                <w:sz w:val="24"/>
                <w:szCs w:val="24"/>
              </w:rPr>
              <w:t>与真机一致尺寸</w:t>
            </w:r>
            <w:r>
              <w:rPr>
                <w:rFonts w:hint="eastAsia" w:ascii="宋体" w:hAnsi="宋体" w:eastAsia="宋体" w:cs="宋体"/>
                <w:b w:val="0"/>
                <w:sz w:val="24"/>
                <w:szCs w:val="24"/>
              </w:rPr>
              <w:t>显示屏，亮度可调，显示字体，字体大小，字体颜色均与飞机相当，数据整屏刷新无卡顿，应当具备机务维修全部测试功能，具体包括：</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（1）MAINT页面功能；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（2）MFCS BITE页面功能，至少包含下列子页面：INFLT FAULT、CDU TEST、SENSORS、DISCRTETS、FIXED OUTPUTS、FIXED OUTPUTS、MODEL/ENG、SW OPTIONS、PERF FACTR、IRS MONITR、LCD CDU；</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（3）DFCS BITE TEST交互式测试页面，至少包含下列子页面：LRU REPLACEMENT TEST、LAND VERIFY、FAULT REVIREW、EXTENDED MAINTENANCE、IDENTIFICATION AND CONFIGURATION；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（4）A/T BITE INDEX页面功能，至少包含下列子页面：CURRENT STATUS、INFLIGHT FAULTS、INTERACTIVE、INDENT/CONFIG；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（5）ADIRS BITE页面功能，至少包含下列子页面：ADIRS L、ADIRS R、ADIRS-IR L+R GND TEST、ADIRS-ADR L+R GND TEST、ADIRS MAINT CODE；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（6）CDS BITE INDEX页面功能，至少包含下列子页面：DEU1或DEU2的CURRENT STATUS、INFLIGHT FAULTS、GROUND TESTS（含SELF-TEST、LOOP TEST、OPTICAL TEST、WXR/TERR DISPLAY TEST）、IDENT/CONFIG、INPUT MONITORING DISCRETE STATUS；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（7）ENGINE/EXCEED BITE INDEX页面功能，至少包含下列子页面：ENGINE 1、ENGINE 2、ENGINE 1 CH A ONLY、ENGINE 2 CH A ONLY、ENGINE 1 EXCEEDANCES、ENGINE 2 EXCEEDANCES、RECENT FAULTS、FAULT HISTORY、IDENT/CONFIG、GROUND TEST、INPUT MONITORING；</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（8）APU BITE TEST MAINT MENU页面功能，至少包含下列子页面：CURRENT STATUS、FAULT HISTORY、MAINTENANCE HISTORY、IDENT/CONFIG、INPUT MONITORING、ONLY QUANTITY；</w:t>
            </w:r>
            <w:r>
              <w:rPr>
                <w:rFonts w:hint="eastAsia" w:ascii="宋体" w:hAnsi="宋体" w:eastAsia="宋体" w:cs="宋体"/>
                <w:b w:val="0"/>
                <w:sz w:val="24"/>
                <w:szCs w:val="24"/>
              </w:rPr>
              <w:br w:type="textWrapping"/>
            </w:r>
            <w:r>
              <w:rPr>
                <w:rFonts w:hint="eastAsia" w:ascii="宋体" w:hAnsi="宋体" w:eastAsia="宋体" w:cs="宋体"/>
                <w:b w:val="0"/>
                <w:sz w:val="24"/>
                <w:szCs w:val="24"/>
              </w:rPr>
              <w:t>3）波音 737NG 飞机驾驶舱 MCP 面板、机长 EFIS 面板和副驾驶 EFIS 面板 1:1 尺寸和完整功能模拟；</w:t>
            </w:r>
            <w:r>
              <w:rPr>
                <w:rFonts w:hint="eastAsia" w:ascii="宋体" w:hAnsi="宋体" w:eastAsia="宋体" w:cs="宋体"/>
                <w:b w:val="0"/>
                <w:sz w:val="24"/>
                <w:szCs w:val="24"/>
              </w:rPr>
              <w:br w:type="textWrapping"/>
            </w:r>
            <w:r>
              <w:rPr>
                <w:rFonts w:hint="eastAsia" w:ascii="宋体" w:hAnsi="宋体" w:eastAsia="宋体" w:cs="宋体"/>
                <w:b w:val="0"/>
                <w:sz w:val="24"/>
                <w:szCs w:val="24"/>
              </w:rPr>
              <w:t>4）MCP 及 EFIS 面板按键、开关具有去抖功能、采集可靠，具备窗口液晶显示，显示端正，字体大小、颜色均与真实飞机相当；各选择旋钮快速输入时识别仍稳定，正确；</w:t>
            </w:r>
            <w:r>
              <w:rPr>
                <w:rFonts w:hint="eastAsia" w:ascii="宋体" w:hAnsi="宋体" w:eastAsia="宋体" w:cs="宋体"/>
                <w:b w:val="0"/>
                <w:sz w:val="24"/>
                <w:szCs w:val="24"/>
              </w:rPr>
              <w:br w:type="textWrapping"/>
            </w:r>
            <w:r>
              <w:rPr>
                <w:rFonts w:hint="eastAsia" w:ascii="宋体" w:hAnsi="宋体" w:eastAsia="宋体" w:cs="宋体"/>
                <w:b w:val="0"/>
                <w:sz w:val="24"/>
                <w:szCs w:val="24"/>
              </w:rPr>
              <w:t>5）MCP 面板，EFIS 各拨段及自回位旋钮应与真实飞机功能一致，按键均为独立按键，按键字体能保持水平，不随按钮转动；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4.驾驶杆及脚蹬模拟装置</w:t>
            </w:r>
            <w:r>
              <w:rPr>
                <w:rFonts w:hint="eastAsia" w:ascii="宋体" w:hAnsi="宋体" w:eastAsia="宋体" w:cs="宋体"/>
                <w:b w:val="0"/>
                <w:sz w:val="24"/>
                <w:szCs w:val="24"/>
              </w:rPr>
              <w:br w:type="textWrapping"/>
            </w:r>
            <w:r>
              <w:rPr>
                <w:rFonts w:hint="eastAsia" w:ascii="宋体" w:hAnsi="宋体" w:eastAsia="宋体" w:cs="宋体"/>
                <w:b w:val="0"/>
                <w:sz w:val="24"/>
                <w:szCs w:val="24"/>
              </w:rPr>
              <w:t>波音 737NG 飞机 1:1 尺寸和完整功能模拟，外观与实际驾驶杆、脚蹬近似，具有左右联动功能；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5.视景系统：拼接屏结构视景，并列安装在外壳内部，能够覆盖正副驾驶员的飞行视角；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1)视景屏幕数量：不低于5个；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2)视景结构形式：横向并列；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3)单个视景显示分辨率：不低于1920×1080；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4)单个视景显示尺寸不低于43寸；</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5)视景水平视场角：不低于180°；</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6)视景垂直视场：覆盖正副驾驶的风挡、侧舷窗；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7)视景设备置于舱内，不影响舱体外形；</w:t>
            </w:r>
            <w:r>
              <w:rPr>
                <w:rFonts w:hint="eastAsia" w:ascii="宋体" w:hAnsi="宋体" w:eastAsia="宋体" w:cs="宋体"/>
                <w:b w:val="0"/>
                <w:sz w:val="24"/>
                <w:szCs w:val="24"/>
              </w:rPr>
              <w:br w:type="textWrapping"/>
            </w:r>
            <w:r>
              <w:rPr>
                <w:rFonts w:hint="eastAsia" w:ascii="宋体" w:hAnsi="宋体" w:eastAsia="宋体" w:cs="宋体"/>
                <w:b w:val="0"/>
                <w:sz w:val="24"/>
                <w:szCs w:val="24"/>
              </w:rPr>
              <w:t>6.座椅模拟装置</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座椅可上下电动调节，调节范围：100±10mm；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前后手动调节，调节范围：350±50mm；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座椅带靠背、头枕、扶手，扶手可放下；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三、仿真驾驶舱各部分组件参数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参考B737NG飞机手册数据，仿真驾驶舱各部分组件尺寸、接口信号数量应当与真实飞机一致，具体需求如下：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1.遮光罩</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1)主驾驶告警灯板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安装衬板1块，尺寸118×46mm；数据接口需求：DI信号3个，DO信号8个，信号转接；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2)主驾驶CDS-EFIS控制板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导光面板1块，尺寸120×70mm；安装衬板1块，尺寸123.5×83mm，数据接口需求：DI信号31个，AD信号2个，信号转接；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3)自动驾驶组件(CMP)控制板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安装衬板1块，尺寸471×83mm、导光面板1块，尺寸470×80mm；数据接口需求：DI信号24个，BMQ信号12个，DO信号26个，DOs信号9个，专用液晶屏3块；组件总线接口需求：CAN航插1个、电源航插1个、遮光罩导光航插1个；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4)副驾驶CDS-EFIS控制板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安装衬板1块，尺寸123.5×83mm、导光面板1块，尺寸120×70mm；数据接口需求：DI信号31个，AD信号2个，信号转接；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5)副驾驶告警灯板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安装衬板1块，尺寸118×46mm；数据接口需求：DI信号3个，DO信号8个，信号转接；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2.仪表板需具有左、中、右仪表板独立航插共8个、信号在中央仪表板集中采集；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1)航空时钟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导光面板1块，尺寸84.6×84.6mm；数据接口需求：DI信号7个，信号转接；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2)NOSE WHEEL STEERING控制板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导光面板1块，尺寸90×35mm；数据接口需求：DI信号1个，信号转接；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3)主自动飞行状态通告控制板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安装衬板1块，尺寸120×65mm；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导光面板1块，尺寸120×65mm；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数据接口需求：DI信号9个，DO信号1个，信号转接；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4)主检测电门控制板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安装衬板1块，尺寸84×42mm；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导光面板1块，尺寸80×38mm；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数据接口需求：DI信号10个，DO信号9个，信号转接；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5)机长空调出口控制板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安装衬板1块，尺寸186×91mm；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面板1块，尺寸96×74mm；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6)典型灯光控制板1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安装衬板1块，尺寸143×91mm；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导光面板1块，尺寸142×90mm；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数据接口需求：AD信号7个，信号转接；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7)典型灯光控制板2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安装衬板1块，尺寸169×91mm；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导光面板1块，尺寸142×90mm；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数据接口需求：AD信号2个，信号转接；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8)中央仪表板(镂空)</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偏航阻尼指示器：指示器面板1块，尺寸Ø38×Ø30mm镂空显示；</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备用地平仪指示器：指示器面板1块，尺寸80×80mm，数据接口需求：DI信号4个，BMQ信号2个，信号转接；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备用高度指示器：指示器面板1块，尺寸80×80mm，数据接口需求：BMQ信号2个，信号转接；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备用无线电罗盘指示器：指示器面板1块，尺寸80×80mm，数据接口需求：DI 信号4个，信号转接；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发动机显示控制板：导光面板1块，尺寸140×115mm，数据接口需求：DI信号25个，AD信号2个，DO信号4个，信号转接；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襟翼位置指示器：指示器面板1块，尺寸Ø50×Ø47mm镂空显示；</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起落架控制板：面板1块，尺寸230×60mm，数据接口需求：DI信号9个，DO信号6个，信号转接；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9)刹车压力指示器</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表盘导光面板1块，尺寸Ø20mm；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数据接口需求：电机信号1个，信号转接；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10)副检测电门控制板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安装衬板1块，尺寸84×42mm；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导光面板1块，尺寸80×38mm；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数据接口需求：DI信号7个，DO信号7个，信号转接；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11)副自动飞行状态通告控制板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安装衬板1块，尺寸120×65mm；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导光面板1块，尺寸120×65mm；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数据接口需求：DI信号8个，信号转接；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12)航空时钟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导光面板1块，尺寸84.6×84.6mm；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数据接口需求：DI信号7个，信号转接；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13)GROUND PROXIMITY控制板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安装衬板1块，尺寸169×91mm；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导光面板1块，尺寸142×90mm；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数据接口需求：DI信号5个，DO信号1个，信号转接；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14)灯光控制板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安装衬板1块，尺寸143×91mm；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导光面板1块，尺寸142×90mm；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数据接口需求：AD信号4个，信号转接；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15)副驾驶空调出口控制板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安装衬板1块，尺寸186×91mm；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面板1块，尺寸96×74mm；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数据接口需求：DI信号2个，信号转接；</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16)主驾驶CDU控制板(独立盒)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安装衬板1块，尺寸518×317.5mm三合一；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导光面板1块，尺寸223×145mm；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数据接口需求：DI信号69个，DO信号5个，AD信号1个；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17)副驾驶CDU控制板(独立盒)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安装衬板1块，尺寸518×317.5mm三合一；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导光面板1块，尺寸223×145mm；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数据接口需求：DI信号69个，DO信号5个，AD信号1个；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18)油门控制台(独立)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油门装置机构1套；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导光面板4块；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数据接口需求：DI信号25个，DO信号1个，继电器信号17个，AD信号1个；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3.中控台</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（1）过热/火警保护控制板(独立盒)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安装衬板1块，尺寸268×77mm；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导光面板2块，尺寸：左77×72mm/右161×72mm；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数据接口需求：DI信号31个，DO信号14个，继电器信号3个；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（2）无线电通讯1控制盒+无线电通讯2控制盒(共2套/独立盒)；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安装衬板1块，尺寸146×132.5mm二合一；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导光面板2块，尺寸145×65mm；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数据接口需求：DI信号11个，DO信号9个，BMQ信号10个，专用液晶屏4块；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（3）音频控制盒(共2套/独立盒)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安装衬板1块，尺寸146×132.5mm；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导光面板1块，尺寸145×65mm；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数据接口需求：DI信号29个，DO信号22个，AD信号14个；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（4）无线电通讯1控制盒+自动定向机控制盒(独立盒)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安装衬板1块，尺寸146×132.5mm二合一；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导光面板2块，尺寸145×65mm；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数据接口需求：DI信号37个，DO信号7个，BMQ信号6个，专用液晶屏4块；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（5）货舱防火控制板+气象雷达控制板+ATC/TCAS控制板+SELCAL选择呼叫控制板(独立盒)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安装衬板1块，尺寸146×227.5mm四合一；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导光面板4块，尺寸：货舱防火板145×65mm/气象雷达板145×65mm；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 ATC/TCAS板145×55.5mm/SELCAL呼叫板145×36.5mm；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数据接口需求：DI信号58个，DO信号20个，BMQ信号8个，DOs信号5个，AD信号2个；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（6）副翼、方向舵、配平控制盒+空板(独立盒)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安装衬板1块，尺寸146×240mm二合一；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导光面板2块，尺寸：上124×30.5mm/下145×62mm；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数据接口需求：DI信号6个，电机信号1个；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（7）打印机控制盒+安定面配平/超控/舱门控制盒+照明控制盒+台后断路器开关</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安装衬板2块，尺寸146×218mm二合一/146×56.5mm；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导光面板3块，尺寸：打印机盒145×151mm/安定面-舱门板145×55.5mm；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照明板125×55.5mm；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数据接口需求：DI信号16个，DO信号8个，转接航插1个；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4.左/右侧台及操纵机构</w:t>
            </w:r>
            <w:r>
              <w:rPr>
                <w:rFonts w:hint="eastAsia" w:ascii="宋体" w:hAnsi="宋体" w:eastAsia="宋体" w:cs="宋体"/>
                <w:sz w:val="24"/>
                <w:szCs w:val="24"/>
              </w:rPr>
              <w:t>（投标文件中需提供以下各组件的实物图和三维数模截图）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（1）左侧台-压力/图表调节板+氧气面罩控制盒+左操纵机构(前轮转弯/驾驶杆/脚蹬/断路器开关/手持话筒/应急放起落架)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安装衬板2块，尺寸：压力/图表板112×85mm/氧气面罩板146×116mm；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导光面板2块，尺寸：压力/图表板93×78.5mm/氧气面罩板145×115mm；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数据接口需求：DI信号26个，DO信号1个，继电器信号2个，AD信号8个；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2)右侧台-压力/图表调节板+氧气面罩控制盒+右操纵机构(驾驶杆/脚蹬/断路器开关/手持话筒)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安装衬板2块，尺寸：压力/图表板112×85mm/氧气面罩板146×116mm；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导光面板2块，尺寸：压力/图表板93×78.5mm/氧气面罩板145×115mm；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数据接口需求：DI信号21个，DO信号1个，继电器信号1个，AD信号4个；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5.左/右后壁开关板</w:t>
            </w:r>
            <w:r>
              <w:rPr>
                <w:rFonts w:hint="eastAsia" w:ascii="宋体" w:hAnsi="宋体" w:eastAsia="宋体" w:cs="宋体"/>
                <w:sz w:val="24"/>
                <w:szCs w:val="24"/>
              </w:rPr>
              <w:t>（投标文件中需提供以下各组件的实物图和三维数模截图）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1）左后壁上断路器板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安装衬板1块，尺寸250×160mm；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字符标牌6块；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数据接口需求：DI信号28个，DO继电器8个；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2）左后壁中、下断路器板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安装衬板2块；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字符标牌13块；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数据接口需求：DI信号107个，DO继电器8个；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3）右后壁断路器板1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字符标牌6块；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数据接口需求：DI信号44个，DO继电器8个；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4）右后壁断路器板2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字符标牌5块；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数据接口需求：DI信号74个，DO继电器8个；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5）右后壁断路器板3</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安装衬板2块；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字符标牌8块；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数据接口需求：DI信号92个，DO继电器8个；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6）右后壁断路器板4+过道(中央燃油自动关断控制板+数据选择控制板+数据装载机控制板)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安装衬板6块,过道尺寸150×56mm/150×125mm/150×120mm；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字符标牌12块+过道2块；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数据接口需求：DI信号90个，DO继电器8个，DO信号2个，DPTY信号16个；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6.顶部控制板</w:t>
            </w:r>
            <w:r>
              <w:rPr>
                <w:rFonts w:hint="eastAsia" w:ascii="宋体" w:hAnsi="宋体" w:eastAsia="宋体" w:cs="宋体"/>
                <w:sz w:val="24"/>
                <w:szCs w:val="24"/>
              </w:rPr>
              <w:t>（投标文件中需提供以下各组件的实物图和三维数模截图）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1)起动和外部灯光控制板+应急磁罗盘</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导光面板1块，尺寸585×87mm；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数据接口需求：DI信号21个，DO信号3个，舵机信号10个；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2)增压控制板+空调控制板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安装衬板1块，尺寸384×146mm二合一；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导光面板2块，尺寸：增压板125×145mm/空调板185×145mm；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数据接口需求：DI信号31个，BMQ信号4个，DO信号13个，DOs信号10个；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3)温度调节控制板（800型/独立盒）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安装衬板1块，尺寸205×146mm；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导光面板2块，尺寸：下150×145mm/上54×145mm；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数据接口需求：DI信号21个，AD信号3个，DO信号3个，电机信号1个；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4)液压控制板+呼叫/应急灯/电子设备/冷却综合控制盒+语音记录器控制板+压差/升降速度表控制板+呼叫/应急灯/电子设备冷却综合控制板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安装衬板2块，尺寸346×146mm四合一；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导光面板3+1块，尺寸：液压板38.5×145mm，语音记录板56×145mm，差-速度表板32×150mm，接板/呼叫-冷却板489.5×65mm；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数据接口需求：DI信号40个，AD信号2个，DO信号20个，转接航插1个；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5)风挡加温控制板+防冰控制板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安装衬板1块，尺寸243.5×146mm二合一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导光面板2块，尺寸：风挡加温板99×145mm/防冰板125×41mm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数据接口需求：DI信号33个，DO信号26个；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6)交流系统、发电机和APU组件控制板(独立盒)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安装衬板1块，尺寸230×146mm；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导光面板2块，尺寸：上110×145mm/下70×55mm；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数据接口需求：DI信号27个，DO信号12个；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7)燃油控制板(独立盒)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安装衬板1块，尺寸230×146mm；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导光面板1块，尺寸155×145mm；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数据接口需求：DI信号21个，DO信号18个；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8)发动机驱动和备用电源组件盒+电表、电瓶和厨房电源组件盒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安装衬板1块，尺寸360×146mm二合一；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导光面板2块，尺寸：发动机-备用电源板100×145mm，电表-厨房电源板195×145mm；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数据接口需求：DI信号29个，DO信号6个，DPTY信号24个；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9)导航源控制板+飞行控制和备用液压控制板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安装衬板1块，尺寸360×146mm二合一；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导光面板2块，尺寸：导航源板150×145mm/飞行-液压板208×145mm；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数据接口需求：DI信号31个，DO信号10个；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10)前源装置提示控制板+“全球救援”控制板+惯导控制盒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安装衬板1块，尺寸294×265.5mm三合一；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导光面板6块，尺寸：全球救援板55×145mm，前源板65×145mm，惯导板上显示板35×145mm/84×62mm/按键板84×82mm，惯导板下35×125mm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数据接口需求：DI信号40个，DO信号47个，AD信号1个；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11)勤务通话板+失速告警测试板+飞行数据记录板+氧气控制板+发动机控制板</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安装衬板1块，尺寸294.5×142.5mm五合一；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导光面板6块，尺寸：勤务通话板57×56mm；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失速告警板86×12mm无导光；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飞行记录板125×32mm/氧气板125×73mm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发动机板145×40mm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数据接口需求：DI信号20个，DO信号13个，AD信号1个；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12)观察员音频控制盒(独立盒)</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安装衬板1块，尺寸294.5×118.5mm；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导光面板1块，尺寸145×65mm；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数据接口需求：DI信号29个，DO信号22个，AD信号14个；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组件总线接口需求：电源航插1个，CAN航插1个；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四、教员控制台配置需求</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1、位于仿真座舱后部，具备台体、台面、显示装置和教员座椅。具备系统急停开关，可应急切断系统电源。</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2.智能评判系统，能够自动识别试车操作的全流程，并且自动找出操作过程中存在的问题。</w:t>
            </w:r>
            <w:r>
              <w:rPr>
                <w:rFonts w:hint="eastAsia" w:ascii="宋体" w:hAnsi="宋体" w:eastAsia="宋体" w:cs="宋体"/>
                <w:sz w:val="24"/>
                <w:szCs w:val="24"/>
                <w:lang w:bidi="ar"/>
              </w:rPr>
              <w:t>（投标文件中需提供模拟器整机测试软件界面软件截图，要求包含DI信号、DO信号、AD信号、仪表/步进信号、音频信号测试的具体内容。）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五、机柜及控制系统设备</w:t>
            </w:r>
            <w:r>
              <w:rPr>
                <w:rFonts w:hint="eastAsia" w:ascii="宋体" w:hAnsi="宋体" w:eastAsia="宋体" w:cs="宋体"/>
                <w:b w:val="0"/>
                <w:sz w:val="24"/>
                <w:szCs w:val="24"/>
              </w:rPr>
              <w:br w:type="textWrapping"/>
            </w:r>
            <w:r>
              <w:rPr>
                <w:rFonts w:hint="eastAsia" w:ascii="宋体" w:hAnsi="宋体" w:eastAsia="宋体" w:cs="宋体"/>
                <w:b w:val="0"/>
                <w:sz w:val="24"/>
                <w:szCs w:val="24"/>
              </w:rPr>
              <w:t>1.仿真控制计算机：标准4U工控机机箱，CPU主频不低于3.0GHz，具备6通道输出显示。</w:t>
            </w:r>
            <w:r>
              <w:rPr>
                <w:rFonts w:hint="eastAsia" w:ascii="宋体" w:hAnsi="宋体" w:eastAsia="宋体" w:cs="宋体"/>
                <w:b w:val="0"/>
                <w:sz w:val="24"/>
                <w:szCs w:val="24"/>
              </w:rPr>
              <w:br w:type="textWrapping"/>
            </w:r>
            <w:r>
              <w:rPr>
                <w:rFonts w:hint="eastAsia" w:ascii="宋体" w:hAnsi="宋体" w:eastAsia="宋体" w:cs="宋体"/>
                <w:b w:val="0"/>
                <w:sz w:val="24"/>
                <w:szCs w:val="24"/>
              </w:rPr>
              <w:t>2.机柜：标准机架设备，可移动。</w:t>
            </w:r>
            <w:r>
              <w:rPr>
                <w:rFonts w:hint="eastAsia" w:ascii="宋体" w:hAnsi="宋体" w:eastAsia="宋体" w:cs="宋体"/>
                <w:b w:val="0"/>
                <w:sz w:val="24"/>
                <w:szCs w:val="24"/>
              </w:rPr>
              <w:br w:type="textWrapping"/>
            </w:r>
            <w:r>
              <w:rPr>
                <w:rFonts w:hint="eastAsia" w:ascii="宋体" w:hAnsi="宋体" w:eastAsia="宋体" w:cs="宋体"/>
                <w:b w:val="0"/>
                <w:sz w:val="24"/>
                <w:szCs w:val="24"/>
              </w:rPr>
              <w:t>3.电源设备：600W集成稳压电源。</w:t>
            </w:r>
            <w:r>
              <w:rPr>
                <w:rFonts w:hint="eastAsia" w:ascii="宋体" w:hAnsi="宋体" w:eastAsia="宋体" w:cs="宋体"/>
                <w:b w:val="0"/>
                <w:sz w:val="24"/>
                <w:szCs w:val="24"/>
              </w:rPr>
              <w:br w:type="textWrapping"/>
            </w:r>
            <w:r>
              <w:rPr>
                <w:rFonts w:hint="eastAsia" w:ascii="宋体" w:hAnsi="宋体" w:eastAsia="宋体" w:cs="宋体"/>
                <w:b w:val="0"/>
                <w:sz w:val="24"/>
                <w:szCs w:val="24"/>
              </w:rPr>
              <w:t>4.网络设备：8口交换机1个。</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5.矩阵式音频盒：6入6出 1个。</w:t>
            </w:r>
            <w:r>
              <w:rPr>
                <w:rFonts w:hint="eastAsia" w:ascii="宋体" w:hAnsi="宋体" w:eastAsia="宋体" w:cs="宋体"/>
                <w:b w:val="0"/>
                <w:sz w:val="24"/>
                <w:szCs w:val="24"/>
              </w:rPr>
              <w:br w:type="textWrapping"/>
            </w:r>
            <w:r>
              <w:rPr>
                <w:rFonts w:hint="eastAsia" w:ascii="宋体" w:hAnsi="宋体" w:eastAsia="宋体" w:cs="宋体"/>
                <w:b w:val="0"/>
                <w:sz w:val="24"/>
                <w:szCs w:val="24"/>
              </w:rPr>
              <w:t>六、参数需求</w:t>
            </w:r>
            <w:r>
              <w:rPr>
                <w:rFonts w:hint="eastAsia" w:ascii="宋体" w:hAnsi="宋体" w:eastAsia="宋体" w:cs="宋体"/>
                <w:b w:val="0"/>
                <w:sz w:val="24"/>
                <w:szCs w:val="24"/>
              </w:rPr>
              <w:br w:type="textWrapping"/>
            </w:r>
            <w:r>
              <w:rPr>
                <w:rFonts w:hint="eastAsia" w:ascii="宋体" w:hAnsi="宋体" w:eastAsia="宋体" w:cs="宋体"/>
                <w:b w:val="0"/>
                <w:sz w:val="24"/>
                <w:szCs w:val="24"/>
              </w:rPr>
              <w:t>1.电源：220V±22V，50Hz±1Hz；</w:t>
            </w:r>
            <w:r>
              <w:rPr>
                <w:rFonts w:hint="eastAsia" w:ascii="宋体" w:hAnsi="宋体" w:eastAsia="宋体" w:cs="宋体"/>
                <w:b w:val="0"/>
                <w:sz w:val="24"/>
                <w:szCs w:val="24"/>
              </w:rPr>
              <w:br w:type="textWrapping"/>
            </w:r>
            <w:r>
              <w:rPr>
                <w:rFonts w:hint="eastAsia" w:ascii="宋体" w:hAnsi="宋体" w:eastAsia="宋体" w:cs="宋体"/>
                <w:b w:val="0"/>
                <w:sz w:val="24"/>
                <w:szCs w:val="24"/>
              </w:rPr>
              <w:t>2.整机功耗：1800±5W；</w:t>
            </w:r>
            <w:r>
              <w:rPr>
                <w:rFonts w:hint="eastAsia" w:ascii="宋体" w:hAnsi="宋体" w:eastAsia="宋体" w:cs="宋体"/>
                <w:b w:val="0"/>
                <w:sz w:val="24"/>
                <w:szCs w:val="24"/>
              </w:rPr>
              <w:br w:type="textWrapping"/>
            </w:r>
            <w:r>
              <w:rPr>
                <w:rFonts w:hint="eastAsia" w:ascii="宋体" w:hAnsi="宋体" w:eastAsia="宋体" w:cs="宋体"/>
                <w:b w:val="0"/>
                <w:sz w:val="24"/>
                <w:szCs w:val="24"/>
              </w:rPr>
              <w:t>3.工作温度：0℃～35℃；</w:t>
            </w:r>
            <w:r>
              <w:rPr>
                <w:rFonts w:hint="eastAsia" w:ascii="宋体" w:hAnsi="宋体" w:eastAsia="宋体" w:cs="宋体"/>
                <w:b w:val="0"/>
                <w:sz w:val="24"/>
                <w:szCs w:val="24"/>
              </w:rPr>
              <w:br w:type="textWrapping"/>
            </w:r>
            <w:r>
              <w:rPr>
                <w:rFonts w:hint="eastAsia" w:ascii="宋体" w:hAnsi="宋体" w:eastAsia="宋体" w:cs="宋体"/>
                <w:b w:val="0"/>
                <w:sz w:val="24"/>
                <w:szCs w:val="24"/>
              </w:rPr>
              <w:t>4.工作湿度：≯80%；</w:t>
            </w:r>
            <w:r>
              <w:rPr>
                <w:rFonts w:hint="eastAsia" w:ascii="宋体" w:hAnsi="宋体" w:eastAsia="宋体" w:cs="宋体"/>
                <w:b w:val="0"/>
                <w:sz w:val="24"/>
                <w:szCs w:val="24"/>
              </w:rPr>
              <w:br w:type="textWrapping"/>
            </w:r>
            <w:r>
              <w:rPr>
                <w:rFonts w:hint="eastAsia" w:ascii="宋体" w:hAnsi="宋体" w:eastAsia="宋体" w:cs="宋体"/>
                <w:b w:val="0"/>
                <w:sz w:val="24"/>
                <w:szCs w:val="24"/>
              </w:rPr>
              <w:t>5.仿真驾驶舱几何尺寸：4400×3300×2600±50mm；</w:t>
            </w:r>
            <w:r>
              <w:rPr>
                <w:rFonts w:hint="eastAsia" w:ascii="宋体" w:hAnsi="宋体" w:eastAsia="宋体" w:cs="宋体"/>
                <w:b w:val="0"/>
                <w:sz w:val="24"/>
                <w:szCs w:val="24"/>
              </w:rPr>
              <w:br w:type="textWrapping"/>
            </w:r>
            <w:r>
              <w:rPr>
                <w:rFonts w:hint="eastAsia" w:ascii="宋体" w:hAnsi="宋体" w:eastAsia="宋体" w:cs="宋体"/>
                <w:b w:val="0"/>
                <w:sz w:val="24"/>
                <w:szCs w:val="24"/>
              </w:rPr>
              <w:t>6.控制机柜：1200×600×600±20mm。</w:t>
            </w:r>
          </w:p>
        </w:tc>
        <w:tc>
          <w:tcPr>
            <w:tcW w:w="121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22"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400" w:hRule="atLeast"/>
        </w:trPr>
        <w:tc>
          <w:tcPr>
            <w:tcW w:w="747"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7</w:t>
            </w:r>
          </w:p>
        </w:tc>
        <w:tc>
          <w:tcPr>
            <w:tcW w:w="1089"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机务维修及模拟飞行实训系统</w:t>
            </w:r>
          </w:p>
        </w:tc>
        <w:tc>
          <w:tcPr>
            <w:tcW w:w="554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一、波音 737NG 仿真模拟基础平台</w:t>
            </w:r>
            <w:r>
              <w:rPr>
                <w:rFonts w:hint="eastAsia" w:ascii="宋体" w:hAnsi="宋体" w:eastAsia="宋体" w:cs="宋体"/>
                <w:b w:val="0"/>
                <w:sz w:val="24"/>
                <w:szCs w:val="24"/>
              </w:rPr>
              <w:br w:type="textWrapping"/>
            </w:r>
            <w:r>
              <w:rPr>
                <w:rFonts w:hint="eastAsia" w:ascii="宋体" w:hAnsi="宋体" w:eastAsia="宋体" w:cs="宋体"/>
                <w:b w:val="0"/>
                <w:sz w:val="24"/>
                <w:szCs w:val="24"/>
              </w:rPr>
              <w:t>1.737NG 仿真平台可支持 32bit/64bit 运行环境，对 737NG飞机进行了完整的模拟仿真。其中基础平台主要对飞行功能进行仿真，其中包括所有的驾驶舱仪表、虚拟驾驶舱、飞机的外部模型等；</w:t>
            </w:r>
            <w:r>
              <w:rPr>
                <w:rFonts w:hint="eastAsia" w:ascii="宋体" w:hAnsi="宋体" w:eastAsia="宋体" w:cs="宋体"/>
                <w:b w:val="0"/>
                <w:sz w:val="24"/>
                <w:szCs w:val="24"/>
              </w:rPr>
              <w:br w:type="textWrapping"/>
            </w:r>
            <w:r>
              <w:rPr>
                <w:rFonts w:hint="eastAsia" w:ascii="宋体" w:hAnsi="宋体" w:eastAsia="宋体" w:cs="宋体"/>
                <w:b w:val="0"/>
                <w:sz w:val="24"/>
                <w:szCs w:val="24"/>
              </w:rPr>
              <w:t>2.虚拟飞行部分系统能够提供机长视角主仪表、副驾驶视角主仪表，前顶板、后顶板、油门面板、无线电面板等功能区块的独立操作面板。通过操作各个面板上的电门、旋钮，可实现完整，可完整模拟推出、滑行、起飞、爬升、巡航、下降、着陆、复飞等所有飞行阶段；</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3.各面板均有快捷按键，可快速打开或关闭；可移动到屏幕任意位置。面板上的所有元件结构、操作均与虚拟驾驶舱保持一致，即操作 2D 面板上任意元件，虚拟驾驶舱内相对应元件同步变换；所有开关、旋钮、警告灯光等均可与虚拟驾驶舱同步操作；</w:t>
            </w:r>
            <w:r>
              <w:rPr>
                <w:rFonts w:hint="eastAsia" w:ascii="宋体" w:hAnsi="宋体" w:eastAsia="宋体" w:cs="宋体"/>
                <w:b w:val="0"/>
                <w:sz w:val="24"/>
                <w:szCs w:val="24"/>
              </w:rPr>
              <w:br w:type="textWrapping"/>
            </w:r>
            <w:r>
              <w:rPr>
                <w:rFonts w:hint="eastAsia" w:ascii="宋体" w:hAnsi="宋体" w:eastAsia="宋体" w:cs="宋体"/>
                <w:b w:val="0"/>
                <w:sz w:val="24"/>
                <w:szCs w:val="24"/>
              </w:rPr>
              <w:t>4.交互式虚拟驾驶舱-可以通过键盘或鼠标方便的自由切换视角，实现对驾驶舱头顶板、主仪表板/中控台、后壁板的切换显示。虚拟驾驶舱布局与真飞机一致；</w:t>
            </w:r>
            <w:r>
              <w:rPr>
                <w:rFonts w:hint="eastAsia" w:ascii="宋体" w:hAnsi="宋体" w:eastAsia="宋体" w:cs="宋体"/>
                <w:b w:val="0"/>
                <w:sz w:val="24"/>
                <w:szCs w:val="24"/>
              </w:rPr>
              <w:br w:type="textWrapping"/>
            </w:r>
            <w:r>
              <w:rPr>
                <w:rFonts w:hint="eastAsia" w:ascii="宋体" w:hAnsi="宋体" w:eastAsia="宋体" w:cs="宋体"/>
                <w:b w:val="0"/>
                <w:sz w:val="24"/>
                <w:szCs w:val="24"/>
              </w:rPr>
              <w:t>5.平面化 2D 驾驶舱面板-737NG 仿真模拟平台提供了完整的2D 驾驶舱面板；所有面板可以通过快捷键任意打开；所有面板可以自由拖动到屏幕任何位置，也可以移动在不同显示器上用于扩展显示；2D 驾驶舱面板构型与虚拟驾驶舱完全一致，两者操作均实时同步；</w:t>
            </w:r>
            <w:r>
              <w:rPr>
                <w:rFonts w:hint="eastAsia" w:ascii="宋体" w:hAnsi="宋体" w:eastAsia="宋体" w:cs="宋体"/>
                <w:b w:val="0"/>
                <w:sz w:val="24"/>
                <w:szCs w:val="24"/>
              </w:rPr>
              <w:br w:type="textWrapping"/>
            </w:r>
            <w:r>
              <w:rPr>
                <w:rFonts w:hint="eastAsia" w:ascii="宋体" w:hAnsi="宋体" w:eastAsia="宋体" w:cs="宋体"/>
                <w:b w:val="0"/>
                <w:sz w:val="24"/>
                <w:szCs w:val="24"/>
              </w:rPr>
              <w:t>6.气动仿真-系统提供完整的飞行仿真功能，飞行气动仿真合理，飞行动力学模型将对飞机的飞行特性、姿态变化、加减速效应、起飞离地过程进行逼真的模型；系统接收来自飞行控制系统的操作输入信号、来自发动机系统的推力信号、来自综合控制管理系统的控制信号，综合计算出飞机的加速度、角速度、姿态、速度、位置、角度等数据，输出给航电系统和各种机载系统等；</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7.虚拟驾驶舱提供700和800两种仪表构型的切换功能，为参训人员提供相应的仪表配置方案；</w:t>
            </w:r>
            <w:r>
              <w:rPr>
                <w:rFonts w:hint="eastAsia" w:ascii="宋体" w:hAnsi="宋体" w:eastAsia="宋体" w:cs="宋体"/>
                <w:b w:val="0"/>
                <w:sz w:val="24"/>
                <w:szCs w:val="24"/>
              </w:rPr>
              <w:br w:type="textWrapping"/>
            </w:r>
            <w:r>
              <w:rPr>
                <w:rFonts w:hint="eastAsia" w:ascii="宋体" w:hAnsi="宋体" w:eastAsia="宋体" w:cs="宋体"/>
                <w:b w:val="0"/>
                <w:sz w:val="24"/>
                <w:szCs w:val="24"/>
              </w:rPr>
              <w:t>二、飞行管理系统（FMS）模拟平台</w:t>
            </w:r>
            <w:r>
              <w:rPr>
                <w:rFonts w:hint="eastAsia" w:ascii="宋体" w:hAnsi="宋体" w:eastAsia="宋体" w:cs="宋体"/>
                <w:b w:val="0"/>
                <w:sz w:val="24"/>
                <w:szCs w:val="24"/>
              </w:rPr>
              <w:br w:type="textWrapping"/>
            </w:r>
            <w:r>
              <w:rPr>
                <w:rFonts w:hint="eastAsia" w:ascii="宋体" w:hAnsi="宋体" w:eastAsia="宋体" w:cs="宋体"/>
                <w:b w:val="0"/>
                <w:sz w:val="24"/>
                <w:szCs w:val="24"/>
              </w:rPr>
              <w:t>具备外部数据接口、SDK、文档，拥有完整的系统接口，具备升级拓展功能，为后续可能得升级提供条件；</w:t>
            </w:r>
            <w:r>
              <w:rPr>
                <w:rFonts w:hint="eastAsia" w:ascii="宋体" w:hAnsi="宋体" w:eastAsia="宋体" w:cs="宋体"/>
                <w:b w:val="0"/>
                <w:sz w:val="24"/>
                <w:szCs w:val="24"/>
              </w:rPr>
              <w:br w:type="textWrapping"/>
            </w:r>
            <w:r>
              <w:rPr>
                <w:rFonts w:hint="eastAsia" w:ascii="宋体" w:hAnsi="宋体" w:eastAsia="宋体" w:cs="宋体"/>
                <w:b w:val="0"/>
                <w:sz w:val="24"/>
                <w:szCs w:val="24"/>
              </w:rPr>
              <w:t>三、飞机维护教学模拟平台</w:t>
            </w:r>
            <w:r>
              <w:rPr>
                <w:rFonts w:hint="eastAsia" w:ascii="宋体" w:hAnsi="宋体" w:eastAsia="宋体" w:cs="宋体"/>
                <w:b w:val="0"/>
                <w:sz w:val="24"/>
                <w:szCs w:val="24"/>
              </w:rPr>
              <w:br w:type="textWrapping"/>
            </w:r>
            <w:r>
              <w:rPr>
                <w:rFonts w:hint="eastAsia" w:ascii="宋体" w:hAnsi="宋体" w:eastAsia="宋体" w:cs="宋体"/>
                <w:b w:val="0"/>
                <w:sz w:val="24"/>
                <w:szCs w:val="24"/>
              </w:rPr>
              <w:t>1.可提供虚拟LRU 拆卸、安装、修复-提供完整的 LRU 拆装三维动画；</w:t>
            </w:r>
            <w:r>
              <w:rPr>
                <w:rFonts w:hint="eastAsia" w:ascii="宋体" w:hAnsi="宋体" w:eastAsia="宋体" w:cs="宋体"/>
                <w:b w:val="0"/>
                <w:sz w:val="24"/>
                <w:szCs w:val="24"/>
              </w:rPr>
              <w:br w:type="textWrapping"/>
            </w:r>
            <w:r>
              <w:rPr>
                <w:rFonts w:hint="eastAsia" w:ascii="宋体" w:hAnsi="宋体" w:eastAsia="宋体" w:cs="宋体"/>
                <w:b w:val="0"/>
                <w:sz w:val="24"/>
                <w:szCs w:val="24"/>
              </w:rPr>
              <w:t>2.多视角功能-提供多视角能力。可以在多个屏幕上同时显示飞机外部视角和驾驶舱内部视角，并且可对视角进行切换操作；</w:t>
            </w:r>
            <w:r>
              <w:rPr>
                <w:rFonts w:hint="eastAsia" w:ascii="宋体" w:hAnsi="宋体" w:eastAsia="宋体" w:cs="宋体"/>
                <w:b w:val="0"/>
                <w:sz w:val="24"/>
                <w:szCs w:val="24"/>
              </w:rPr>
              <w:br w:type="textWrapping"/>
            </w:r>
            <w:r>
              <w:rPr>
                <w:rFonts w:hint="eastAsia" w:ascii="宋体" w:hAnsi="宋体" w:eastAsia="宋体" w:cs="宋体"/>
                <w:b w:val="0"/>
                <w:sz w:val="24"/>
                <w:szCs w:val="24"/>
              </w:rPr>
              <w:t>3.虚拟排故系统-维护模拟器带有虚拟故障排故系统；参训人员可按照 FIM、AMM 相关工卡，完整的完成相应的排故流程；</w:t>
            </w:r>
            <w:r>
              <w:rPr>
                <w:rFonts w:hint="eastAsia" w:ascii="宋体" w:hAnsi="宋体" w:eastAsia="宋体" w:cs="宋体"/>
                <w:b w:val="0"/>
                <w:sz w:val="24"/>
                <w:szCs w:val="24"/>
              </w:rPr>
              <w:br w:type="textWrapping"/>
            </w:r>
            <w:r>
              <w:rPr>
                <w:rFonts w:hint="eastAsia" w:ascii="宋体" w:hAnsi="宋体" w:eastAsia="宋体" w:cs="宋体"/>
                <w:b w:val="0"/>
                <w:sz w:val="24"/>
                <w:szCs w:val="24"/>
              </w:rPr>
              <w:t>四、波音 737NG 飞机动态原理图模块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1.需满足ATA 22、24、27、28、29、31、32、34、49、70 等章节的动态系统逻辑图，可自由切换显示任何一个逻辑图；</w:t>
            </w:r>
            <w:r>
              <w:rPr>
                <w:rFonts w:hint="eastAsia" w:ascii="宋体" w:hAnsi="宋体" w:eastAsia="宋体" w:cs="宋体"/>
                <w:b w:val="0"/>
                <w:sz w:val="24"/>
                <w:szCs w:val="24"/>
              </w:rPr>
              <w:br w:type="textWrapping"/>
            </w:r>
            <w:r>
              <w:rPr>
                <w:rFonts w:hint="eastAsia" w:ascii="宋体" w:hAnsi="宋体" w:eastAsia="宋体" w:cs="宋体"/>
                <w:b w:val="0"/>
                <w:sz w:val="24"/>
                <w:szCs w:val="24"/>
              </w:rPr>
              <w:t>2.系统逻辑图的显示与飞机驾驶舱内当前的系统逻辑一致。逻辑图中的主要要素（线路、管路、组件等）可动态变化，演示飞机相应系统的工作过程；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波音 737NG 飞机手册模块可加载指定的各类飞机飞行、维护手册，按照 Boeing统一的命名规则加载并显示各类 PDF 手册；</w:t>
            </w:r>
            <w:r>
              <w:rPr>
                <w:rFonts w:hint="eastAsia" w:ascii="宋体" w:hAnsi="宋体" w:eastAsia="宋体" w:cs="宋体"/>
                <w:b w:val="0"/>
                <w:sz w:val="24"/>
                <w:szCs w:val="24"/>
              </w:rPr>
              <w:br w:type="textWrapping"/>
            </w:r>
            <w:r>
              <w:rPr>
                <w:rFonts w:hint="eastAsia" w:ascii="宋体" w:hAnsi="宋体" w:eastAsia="宋体" w:cs="宋体"/>
                <w:b w:val="0"/>
                <w:sz w:val="24"/>
                <w:szCs w:val="24"/>
              </w:rPr>
              <w:t>五、网络系统模块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1.远程控制系统可以通过网络，显示对教室内学生机和教师机的联网；教师机可以对任意一台学生机进行远程控制；</w:t>
            </w:r>
            <w:r>
              <w:rPr>
                <w:rFonts w:hint="eastAsia" w:ascii="宋体" w:hAnsi="宋体" w:eastAsia="宋体" w:cs="宋体"/>
                <w:b w:val="0"/>
                <w:sz w:val="24"/>
                <w:szCs w:val="24"/>
              </w:rPr>
              <w:br w:type="textWrapping"/>
            </w:r>
            <w:r>
              <w:rPr>
                <w:rFonts w:hint="eastAsia" w:ascii="宋体" w:hAnsi="宋体" w:eastAsia="宋体" w:cs="宋体"/>
                <w:b w:val="0"/>
                <w:sz w:val="24"/>
                <w:szCs w:val="24"/>
              </w:rPr>
              <w:t>2.根据 737NG 实际情况，并且结合机务教学的需要，增加发动机试车，准备，启动，故障、应急情况及处置项目，飞机系统专项培训/复训/考核：排故、测试、拆装、勤务、 MEL、部件识别培训和考核项目及功能；</w:t>
            </w:r>
            <w:r>
              <w:rPr>
                <w:rFonts w:hint="eastAsia" w:ascii="宋体" w:hAnsi="宋体" w:eastAsia="宋体" w:cs="宋体"/>
                <w:b w:val="0"/>
                <w:sz w:val="24"/>
                <w:szCs w:val="24"/>
              </w:rPr>
              <w:br w:type="textWrapping"/>
            </w:r>
            <w:r>
              <w:rPr>
                <w:rFonts w:hint="eastAsia" w:ascii="宋体" w:hAnsi="宋体" w:eastAsia="宋体" w:cs="宋体"/>
                <w:b w:val="0"/>
                <w:sz w:val="24"/>
                <w:szCs w:val="24"/>
              </w:rPr>
              <w:t>3.学生数据监控，通过网络连接，教师控制端系统可以连接任何一个学生机，实时查看学生机上当前的操作状态；</w:t>
            </w:r>
            <w:r>
              <w:rPr>
                <w:rFonts w:hint="eastAsia" w:ascii="宋体" w:hAnsi="宋体" w:eastAsia="宋体" w:cs="宋体"/>
                <w:b w:val="0"/>
                <w:sz w:val="24"/>
                <w:szCs w:val="24"/>
              </w:rPr>
              <w:br w:type="textWrapping"/>
            </w:r>
            <w:r>
              <w:rPr>
                <w:rFonts w:hint="eastAsia" w:ascii="宋体" w:hAnsi="宋体" w:eastAsia="宋体" w:cs="宋体"/>
                <w:b w:val="0"/>
                <w:sz w:val="24"/>
                <w:szCs w:val="24"/>
              </w:rPr>
              <w:t>六、常用航线维护设备仿真模块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1.测试设备的模拟仿真；提供完整的设备操作界面，可实现对 737NG 仿真平台的交互测试；</w:t>
            </w:r>
            <w:r>
              <w:rPr>
                <w:rFonts w:hint="eastAsia" w:ascii="宋体" w:hAnsi="宋体" w:eastAsia="宋体" w:cs="宋体"/>
                <w:b w:val="0"/>
                <w:sz w:val="24"/>
                <w:szCs w:val="24"/>
              </w:rPr>
              <w:br w:type="textWrapping"/>
            </w:r>
            <w:r>
              <w:rPr>
                <w:rFonts w:hint="eastAsia" w:ascii="宋体" w:hAnsi="宋体" w:eastAsia="宋体" w:cs="宋体"/>
                <w:b w:val="0"/>
                <w:sz w:val="24"/>
                <w:szCs w:val="24"/>
              </w:rPr>
              <w:t>2.电子电气测量设备的模拟仿真-提供民航机务常用电子电气测量设备的模拟仿真，可实现与 737NG 虚拟驾驶舱的交互测试；</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3.排故案例-所有提供的测试设备，均有完整的模型仿真;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4.仿真模拟系统提供需要这些虚拟维修测量工具进行操作的排故案例；可按照 FIM、AMM 手册对 737NG 仿真系统进行完整的排故流程模拟；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七、常用航线维护设备设置模块</w:t>
            </w:r>
            <w:r>
              <w:rPr>
                <w:rFonts w:hint="eastAsia" w:ascii="宋体" w:hAnsi="宋体" w:eastAsia="宋体" w:cs="宋体"/>
                <w:b w:val="0"/>
                <w:sz w:val="24"/>
                <w:szCs w:val="24"/>
              </w:rPr>
              <w:br w:type="textWrapping"/>
            </w:r>
            <w:r>
              <w:rPr>
                <w:rFonts w:hint="eastAsia" w:ascii="宋体" w:hAnsi="宋体" w:eastAsia="宋体" w:cs="宋体"/>
                <w:sz w:val="24"/>
                <w:szCs w:val="24"/>
                <w:lang w:bidi="ar"/>
              </w:rPr>
              <w:t>★</w:t>
            </w:r>
            <w:r>
              <w:rPr>
                <w:rFonts w:hint="eastAsia" w:ascii="宋体" w:hAnsi="宋体" w:eastAsia="宋体" w:cs="宋体"/>
                <w:b w:val="0"/>
                <w:sz w:val="24"/>
                <w:szCs w:val="24"/>
              </w:rPr>
              <w:t>1.能够通过教员台设置并模拟故障，故障模式分：为直接触发和延时触发两种模式；</w:t>
            </w:r>
            <w:r>
              <w:rPr>
                <w:rFonts w:hint="eastAsia" w:ascii="宋体" w:hAnsi="宋体" w:eastAsia="宋体" w:cs="宋体"/>
                <w:sz w:val="24"/>
                <w:szCs w:val="24"/>
                <w:lang w:bidi="ar"/>
              </w:rPr>
              <w:t>（投标文件中需提供直接触发和延时触发两种模式截图）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2.教员台应当具备控制系统复位的功能；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3.通过教员台，应当能够设置并模拟以下发动机试车相关的特情，并且能够查看所有故障的信息：</w:t>
            </w:r>
            <w:r>
              <w:rPr>
                <w:rFonts w:hint="eastAsia" w:ascii="宋体" w:hAnsi="宋体" w:eastAsia="宋体" w:cs="宋体"/>
                <w:sz w:val="24"/>
                <w:szCs w:val="24"/>
                <w:lang w:bidi="ar"/>
              </w:rPr>
              <w:t>（投标文件中需逐一提供软件中下列故障信息的截图）</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1)ENG 1 COMPRESSOR STALL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2)ENG 2 COMPRESSOR STALL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3)ENG 1 OVERSPEED</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4)ENG 2 OVERSPEED</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5)ENG 1 FUEL FLOW INDICATOR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6)ENG 2 FUEL FLOW INDICATOR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7)ENG 1 FLAME OUT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8)ENG 2 FLAME OUT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9)ENG 1 HIGH FAN VIBRATION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10)ENG 2 HIGH FAN VIBRATION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11)ENG 1 HIGH OIL TEMPERATURE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12)ENG 2 HIGH OIL TEMPERATURE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13)ENG 1 EEC MAIN MODE FAILURE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14)ENG 2 EEC MAIN MODE FAILURE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15)ENG 1 REV ISOLATION VALVE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16)ENG 2 REV ISOLATION VALVE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17)ENG 1 SEIZURE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18)ENG 2 SEIZURE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19)ENG 1 N1 TRANSMITTER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20)ENG 2 N1 TRANSMITTER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21)ENG 1 N2 TRANSMITTER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22)ENG 2 N2 TRANSMITTER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23)ENG 1 OIL FILTER BYPASS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24)ENG 2 OIL FILTER BYPASS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25)ENG 1 INDICATED EGT (VARY)</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26)ENG 2 INDICATED EGT (VARY)</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27)ENG 1 ENGINE OIL PRESSURE VARY</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28)ENG 2 ENGINE OIL PRESSURE VARY</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29)ENG 1 OIL LEAK (VARY)</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30)ENG 2 OIL LEAK (VARY)</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31)ENG 1 High EGT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32)ENG 2 High EGT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33)ENG 1 Reverser LT on-false warn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34)ENG 2 Reverser LT on-false warn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35)ENG 1 HOT START (RAPID)</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36)ENG 2 HOT START (RAPID)</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37)ENG 1 HUNG START (FUEL)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38)ENG 2 HUNG START (FUEL)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39)ENG 1 IGNITION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40)ENG 2 IGNITION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41)ENG 1 NO STARTER CUTOUT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42)ENG 2 NO STARTER CUTOUT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43)ENG 1 START VALVE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44)ENG 2 START VALVE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45)ENG 1 N1 ROTOR SEIZED ON START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46)ENG 2 N1 ROTOR SEIZED ON START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47)ENG 1 start lever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48)ENG 2 start lever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49)APU BLEED AIR VALVE FAILS INPOSITION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50)APU HUNG START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51)APU LOW OIL PRESSURE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52)APU OVERSPEED</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53)APU LOW AIR SUPPLY</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54)APU FUEL PUMP FAILS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55)APU START SWITCH 'OFF' INOP</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56)APU MAINT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57)BLEED TRIP (HIGH PRESS) -L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58)BLEED TRIP (HIGH PRESS) -R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59)BLEED VALVE FAIL -L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60)BLEED VALVE FAIL -R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61)WING BODY OVERHEAT -L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62)WING BODY OVERHEAT -R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63)WING BODY OVERHEAT -APU</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64)LEFT BUS TRANSFER FAIL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65)RIGHT BUS TRANSFER FAIL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66)LEFT GEN DRIVE LOW OIL PRESSURE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67)RIGHT GEN DRIVE LOW OIL PRESSURE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68)APU GEN FAIL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69)115V AC STBY BUS FAIL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70)IDG 1 SHAFT SHEAR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71)IDG 2 SHAFT SHEAR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72)GENERATOR 1 FAIL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73)GENERATOR 2 FAIL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74)BATTERY CHARGER FAIL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75)BATTERY LOW VOLTAGE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76)TR1 UNIT FAIL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 xml:space="preserve">77)TR3 UNIT FAIL </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78)LEFT ENGINE OVERHEAT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79)RIGHT ENGINE OVERHEAT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80)LEFT ENG FIRE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81)RIGHT ENG FIRE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82)FWD CARGO  WELL FIRE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83)AFT CARGO WELL FIRE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84)APU FIRE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85)FIRE DET INOP-APU</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86)LOOP A FIRE DET FAULT-1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87)LOOP B FIRE DET FAULT-2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88)OVERHEAT DET INOP-1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89)WHEEL WELL FIRE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90)CARGO FIRE DET LOOP FAULT-FWD A</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91)CARGO FIRE DET LOOP FAULT-FWD B</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92)FUEL QUANTITY IND FAIL-1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93)FUEL QUANTITY IND FAIL-CTR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94)FUEL QUANTITY IND FAIL-2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95)PUMP FAIL -L CTR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96)PUMP FAIL -L AFT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97)PUMP FAIL -R FWD</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98)FUEL SPAR VALVE FAIL IN POSITION-ENG 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99)FUEL SPAR VALVE FAIL IN POSITION-ENG 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100)FUEL FILTER BYPASS-L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101)FUEL FILTER BYPASS-R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102)CROSSFEED VALVE FAIL IN POSITION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103)ENG 1 HYDRAULIC PUMP LOW PRESSURE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104)ENG 2 HYDRAULIC PUMP LOW PRESSURE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105)ELEC 1 HYDRAULIC PUMP LOW PRESSURE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106)ELEC 2 HYDRAULIC PUMP LOW PRESSURE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107)ELEC 1 HYDRAULIC PUMP OVERHEAT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108)ELEC 2 HYDRAULIC PUMP OVERHEAT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109)COWL A/I OVER PRESSURE -ENG 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110)COWL A/I OVER PRESSURE -ENG 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111)COWL A/I VALVE -ENG 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112)COWL A/I VALVE -ENG 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113)WING A/I VALVE FAIL -L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114)WING A/I VALVE FAIL -R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115)PITOT HEAT FAIL -CAPT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116)ELEV PITOT HEAT FAIL -L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117)LEFT PACK TRIP OFF</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118)RIGHT PACK TRIP OFF</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119)CABIN PRESSURE CONTROL FAIL-AUTO</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120)EQUIP COOL NORMAL FAN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121)DUCT TEMPERATURE (VARY)  -L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122)DUCT TEMPERATURE (VARY)  -R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123)DOOR OPEN</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124)EQUIPMENT DOOR SWITCH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125)ENTRY DOOR SWITCH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126)CAPT'S O/B DISPLAY UNIT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127)F/O'S O/B DISPLAY UNIT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128)CAPT'S I/B DISPLAY UNIT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129)F/O'S I/B DISPLAY UNIT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130)CTR UPPER DISPLAY UNIT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131)CTR LOWER DISPLAY UNIT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132)DEU1 115V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133)DEU2 115V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134)FMC MCDU FAIL (1)</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135)FMC MCDU FAIL (2)</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136)RAD ALT POWER FAIL (L)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137)RAD ALT POWER FAIL (R)</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138)VOR1 RECEIVER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139)VOR2 RECEIVER FAIL</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140)L LG FAIL DURING MOVEMENT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141)NOSE LG FAIL DURING MOVEMENT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142)R LG FAIL DURING MOVEMENT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143)ELEVATOR FEEL DIFF LOW PRESSURE</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144)FLT CTRL A LOW PRESS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145)FLT CTRL B LOW PRESS</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146)STICK SHAKER FAIL(CAPT)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147)STICK SHAKER FAIL(F/O)</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148)STAB TRIM INOP(CAPT)</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149)STAB TRIM INOP(F/O)</w:t>
            </w:r>
            <w:r>
              <w:rPr>
                <w:rFonts w:hint="eastAsia" w:ascii="宋体" w:hAnsi="宋体" w:eastAsia="宋体" w:cs="宋体"/>
                <w:b w:val="0"/>
                <w:sz w:val="24"/>
                <w:szCs w:val="24"/>
              </w:rPr>
              <w:br w:type="textWrapping"/>
            </w:r>
            <w:r>
              <w:rPr>
                <w:rFonts w:hint="eastAsia" w:ascii="宋体" w:hAnsi="宋体" w:eastAsia="宋体" w:cs="宋体"/>
                <w:b w:val="0"/>
                <w:sz w:val="24"/>
                <w:szCs w:val="24"/>
              </w:rPr>
              <w:t>八、教员整机测试系统</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1.模拟器应当具备整机测试功能，可通过教员台调用该功能;</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2.测试内容应当覆盖所有驾驶舱数据接口，类型涵盖：DI信号、DO信号、AD信号、仪表/步进信号、音频信号。</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九、航线检查仿真模块</w:t>
            </w:r>
            <w:r>
              <w:rPr>
                <w:rFonts w:hint="eastAsia" w:ascii="宋体" w:hAnsi="宋体" w:eastAsia="宋体" w:cs="宋体"/>
                <w:b w:val="0"/>
                <w:sz w:val="24"/>
                <w:szCs w:val="24"/>
              </w:rPr>
              <w:br w:type="textWrapping"/>
            </w:r>
            <w:r>
              <w:rPr>
                <w:rFonts w:hint="eastAsia" w:ascii="宋体" w:hAnsi="宋体" w:eastAsia="宋体" w:cs="宋体"/>
                <w:b w:val="0"/>
                <w:sz w:val="24"/>
                <w:szCs w:val="24"/>
              </w:rPr>
              <w:t>1.虚拟绕机检查系统-维护模拟器带有虚拟绕机检查系统；可按照相关工卡，通过交互式飞机模型系统，完成相关绕机检查；可以提供交互式菜单系统引导完整绕机检查；也可以设置屏蔽菜单系统，用于考核或其他使用状态；</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2.外部照片显示-系统提供加载外部照片的功能；通过在飞机内部或外部漫游，点击相关部件，系统可以加载并显示预设的照片，提供更好的交互体验；</w:t>
            </w:r>
            <w:r>
              <w:rPr>
                <w:rFonts w:hint="eastAsia" w:ascii="宋体" w:hAnsi="宋体" w:eastAsia="宋体" w:cs="宋体"/>
                <w:b w:val="0"/>
                <w:sz w:val="24"/>
                <w:szCs w:val="24"/>
              </w:rPr>
              <w:br w:type="textWrapping"/>
            </w:r>
            <w:r>
              <w:rPr>
                <w:rFonts w:hint="eastAsia" w:ascii="宋体" w:hAnsi="宋体" w:eastAsia="宋体" w:cs="宋体"/>
                <w:b w:val="0"/>
                <w:sz w:val="24"/>
                <w:szCs w:val="24"/>
              </w:rPr>
              <w:t>3.绕机检查流程演示-可按照相关工卡，通过交互式飞机模型系统，完成相关绕机检查工作。</w:t>
            </w:r>
          </w:p>
        </w:tc>
        <w:tc>
          <w:tcPr>
            <w:tcW w:w="121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22"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400" w:hRule="atLeast"/>
        </w:trPr>
        <w:tc>
          <w:tcPr>
            <w:tcW w:w="747"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8</w:t>
            </w:r>
          </w:p>
        </w:tc>
        <w:tc>
          <w:tcPr>
            <w:tcW w:w="1089"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实训室文化建设</w:t>
            </w:r>
          </w:p>
        </w:tc>
        <w:tc>
          <w:tcPr>
            <w:tcW w:w="554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1.根据民航维修行业特点，模拟真实生产环境，设计学院民航维修系维修实训场地的标识系统，建设符合民航行业规范的实训环境标识体系；</w:t>
            </w:r>
            <w:r>
              <w:rPr>
                <w:rFonts w:hint="eastAsia" w:ascii="宋体" w:hAnsi="宋体" w:eastAsia="宋体" w:cs="宋体"/>
                <w:b w:val="0"/>
                <w:sz w:val="24"/>
                <w:szCs w:val="24"/>
              </w:rPr>
              <w:br w:type="textWrapping"/>
            </w:r>
            <w:r>
              <w:rPr>
                <w:rFonts w:hint="eastAsia" w:ascii="宋体" w:hAnsi="宋体" w:eastAsia="宋体" w:cs="宋体"/>
                <w:b w:val="0"/>
                <w:sz w:val="24"/>
                <w:szCs w:val="24"/>
              </w:rPr>
              <w:t>2.包含虚拟仿真实训室整体特点，含制度章程 6块、实验室管理流程 6块、工作流程 6块等。</w:t>
            </w:r>
          </w:p>
        </w:tc>
        <w:tc>
          <w:tcPr>
            <w:tcW w:w="121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1套</w:t>
            </w:r>
          </w:p>
        </w:tc>
        <w:tc>
          <w:tcPr>
            <w:tcW w:w="822"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r>
        <w:tblPrEx>
          <w:tblCellMar>
            <w:top w:w="0" w:type="dxa"/>
            <w:left w:w="108" w:type="dxa"/>
            <w:bottom w:w="0" w:type="dxa"/>
            <w:right w:w="108" w:type="dxa"/>
          </w:tblCellMar>
        </w:tblPrEx>
        <w:trPr>
          <w:trHeight w:val="400" w:hRule="atLeast"/>
        </w:trPr>
        <w:tc>
          <w:tcPr>
            <w:tcW w:w="747"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9</w:t>
            </w:r>
          </w:p>
        </w:tc>
        <w:tc>
          <w:tcPr>
            <w:tcW w:w="1089"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现场安装辅助布电施工</w:t>
            </w:r>
          </w:p>
        </w:tc>
        <w:tc>
          <w:tcPr>
            <w:tcW w:w="5545"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一、根据现场布置静电地板等安装辅材</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全钢化防静电地板。防火性能A级,全钢外壳结构，底在采用拉伸板，表面选用硬质钢板，四周导电嵌条解镶边,支座使用钢板模压成型，丝杆可任意调节，横梁选用方管制作，600mm*600mm*35mm;GB8624-2006建设材料及制品燃烧性能分级；</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2.钢板厚度：上为0.5mm下为0.4mm，支架采用1.0mm加厚支架，支架地面到板面20cm；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sz w:val="24"/>
                <w:szCs w:val="24"/>
                <w:lang w:bidi="ar"/>
              </w:rPr>
              <w:t>■</w:t>
            </w:r>
            <w:r>
              <w:rPr>
                <w:rFonts w:hint="eastAsia" w:ascii="宋体" w:hAnsi="宋体" w:eastAsia="宋体" w:cs="宋体"/>
                <w:b w:val="0"/>
                <w:sz w:val="24"/>
                <w:szCs w:val="24"/>
              </w:rPr>
              <w:t>3.对地电阻符合GB/T 36340-2018导静电型:</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1.0x1042~1.0x1062静电耗散型:1.0x102~1.0x10%；</w:t>
            </w:r>
            <w:r>
              <w:rPr>
                <w:rFonts w:hint="eastAsia" w:ascii="宋体" w:hAnsi="宋体" w:eastAsia="宋体" w:cs="宋体"/>
                <w:sz w:val="24"/>
                <w:szCs w:val="24"/>
                <w:lang w:bidi="ar"/>
              </w:rPr>
              <w:t>（投标文件中提供第三方有权检测机构出具的带有CMA或CNAS标识的检测报告扫描件）</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4.具有防滑、耐磨、易清洁等，适用于实验室防静电的场所；</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5.面积约100平方米；</w:t>
            </w:r>
            <w:r>
              <w:rPr>
                <w:rFonts w:hint="eastAsia" w:ascii="宋体" w:hAnsi="宋体" w:eastAsia="宋体" w:cs="宋体"/>
                <w:b w:val="0"/>
                <w:sz w:val="24"/>
                <w:szCs w:val="24"/>
              </w:rPr>
              <w:br w:type="textWrapping"/>
            </w:r>
            <w:r>
              <w:rPr>
                <w:rFonts w:hint="eastAsia" w:ascii="宋体" w:hAnsi="宋体" w:eastAsia="宋体" w:cs="宋体"/>
                <w:b w:val="0"/>
                <w:sz w:val="24"/>
                <w:szCs w:val="24"/>
              </w:rPr>
              <w:t>二、根据实训室教室设计布局安装及电缆布置，根据设备需求布置220V/380V,满足实验室设备正常运行；</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三、投影墙面处理 1项</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1.墙面采用全白乳胶漆处理；</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2.处理面积约9*4m；</w:t>
            </w:r>
          </w:p>
          <w:p>
            <w:pPr>
              <w:pStyle w:val="33"/>
              <w:widowControl w:val="0"/>
              <w:spacing w:before="0" w:beforeAutospacing="0" w:after="0" w:afterAutospacing="0" w:line="360" w:lineRule="auto"/>
              <w:jc w:val="left"/>
              <w:rPr>
                <w:rFonts w:ascii="宋体" w:hAnsi="宋体" w:eastAsia="宋体" w:cs="宋体"/>
                <w:b w:val="0"/>
                <w:sz w:val="24"/>
                <w:szCs w:val="24"/>
              </w:rPr>
            </w:pPr>
            <w:r>
              <w:rPr>
                <w:rFonts w:hint="eastAsia" w:ascii="宋体" w:hAnsi="宋体" w:eastAsia="宋体" w:cs="宋体"/>
                <w:b w:val="0"/>
                <w:sz w:val="24"/>
                <w:szCs w:val="24"/>
              </w:rPr>
              <w:t>3.环保需求主要</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"http://www.so.com/s?q=%E6%B1%A1%E6%9F%93%E7%89%A9&amp;ie=utf-8&amp;src=internal_wenda_recommend_textn" \t "https://wenda.so.com/q/_blank" </w:instrText>
            </w:r>
            <w:r>
              <w:rPr>
                <w:rFonts w:hint="eastAsia" w:ascii="宋体" w:hAnsi="宋体" w:eastAsia="宋体" w:cs="宋体"/>
                <w:sz w:val="24"/>
                <w:szCs w:val="24"/>
              </w:rPr>
              <w:fldChar w:fldCharType="separate"/>
            </w:r>
            <w:r>
              <w:rPr>
                <w:rFonts w:hint="eastAsia" w:ascii="宋体" w:hAnsi="宋体" w:eastAsia="宋体" w:cs="宋体"/>
                <w:b w:val="0"/>
                <w:sz w:val="24"/>
                <w:szCs w:val="24"/>
              </w:rPr>
              <w:t>污染物</w:t>
            </w:r>
            <w:r>
              <w:rPr>
                <w:rFonts w:hint="eastAsia" w:ascii="宋体" w:hAnsi="宋体" w:eastAsia="宋体" w:cs="宋体"/>
                <w:b w:val="0"/>
                <w:sz w:val="24"/>
                <w:szCs w:val="24"/>
              </w:rPr>
              <w:fldChar w:fldCharType="end"/>
            </w:r>
            <w:r>
              <w:rPr>
                <w:rFonts w:hint="eastAsia" w:ascii="宋体" w:hAnsi="宋体" w:eastAsia="宋体" w:cs="宋体"/>
                <w:b w:val="0"/>
                <w:sz w:val="24"/>
                <w:szCs w:val="24"/>
              </w:rPr>
              <w:t>:内墙乳胶漆国标为VOC应小于200g/L；</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"http://www.so.com/s?q=%E5%86%85%E5%A2%99%E6%B6%82%E6%96%99&amp;ie=utf-8&amp;src=internal_wenda_recommend_textn" \t "https://wenda.so.com/q/_blank" </w:instrText>
            </w:r>
            <w:r>
              <w:rPr>
                <w:rFonts w:hint="eastAsia" w:ascii="宋体" w:hAnsi="宋体" w:eastAsia="宋体" w:cs="宋体"/>
                <w:sz w:val="24"/>
                <w:szCs w:val="24"/>
              </w:rPr>
              <w:fldChar w:fldCharType="separate"/>
            </w:r>
            <w:r>
              <w:rPr>
                <w:rFonts w:hint="eastAsia" w:ascii="宋体" w:hAnsi="宋体" w:eastAsia="宋体" w:cs="宋体"/>
                <w:b w:val="0"/>
                <w:sz w:val="24"/>
                <w:szCs w:val="24"/>
              </w:rPr>
              <w:t>内墙涂料</w:t>
            </w:r>
            <w:r>
              <w:rPr>
                <w:rFonts w:hint="eastAsia" w:ascii="宋体" w:hAnsi="宋体" w:eastAsia="宋体" w:cs="宋体"/>
                <w:b w:val="0"/>
                <w:sz w:val="24"/>
                <w:szCs w:val="24"/>
              </w:rPr>
              <w:fldChar w:fldCharType="end"/>
            </w:r>
            <w:r>
              <w:rPr>
                <w:rFonts w:hint="eastAsia" w:ascii="宋体" w:hAnsi="宋体" w:eastAsia="宋体" w:cs="宋体"/>
                <w:b w:val="0"/>
                <w:sz w:val="24"/>
                <w:szCs w:val="24"/>
              </w:rPr>
              <w:t>游离甲醛含量应小于0.01g/kg；内墙涂料中可溶性铅、镉、铬、汞分别小于90、75、60、60mg/kg。</w:t>
            </w:r>
          </w:p>
        </w:tc>
        <w:tc>
          <w:tcPr>
            <w:tcW w:w="1211"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r>
              <w:rPr>
                <w:rFonts w:hint="eastAsia" w:ascii="宋体" w:hAnsi="宋体" w:eastAsia="宋体" w:cs="宋体"/>
                <w:b w:val="0"/>
                <w:sz w:val="24"/>
                <w:szCs w:val="24"/>
              </w:rPr>
              <w:t>1项</w:t>
            </w:r>
          </w:p>
        </w:tc>
        <w:tc>
          <w:tcPr>
            <w:tcW w:w="822" w:type="dxa"/>
            <w:tcBorders>
              <w:top w:val="single" w:color="000000" w:sz="4" w:space="0"/>
              <w:left w:val="single" w:color="000000" w:sz="4" w:space="0"/>
              <w:bottom w:val="single" w:color="000000" w:sz="4" w:space="0"/>
              <w:right w:val="single" w:color="000000" w:sz="4" w:space="0"/>
            </w:tcBorders>
            <w:vAlign w:val="center"/>
          </w:tcPr>
          <w:p>
            <w:pPr>
              <w:pStyle w:val="33"/>
              <w:widowControl w:val="0"/>
              <w:spacing w:before="0" w:beforeAutospacing="0" w:after="0" w:afterAutospacing="0" w:line="360" w:lineRule="auto"/>
              <w:rPr>
                <w:rFonts w:ascii="宋体" w:hAnsi="宋体" w:eastAsia="宋体" w:cs="宋体"/>
                <w:b w:val="0"/>
                <w:sz w:val="24"/>
                <w:szCs w:val="24"/>
              </w:rPr>
            </w:pPr>
          </w:p>
        </w:tc>
      </w:tr>
    </w:tbl>
    <w:p>
      <w:pPr>
        <w:pStyle w:val="33"/>
        <w:widowControl w:val="0"/>
        <w:spacing w:before="0" w:beforeAutospacing="0" w:after="0" w:afterAutospacing="0" w:line="360" w:lineRule="auto"/>
        <w:jc w:val="both"/>
        <w:rPr>
          <w:rFonts w:ascii="宋体" w:hAnsi="宋体" w:eastAsia="宋体"/>
          <w:b w:val="0"/>
          <w:sz w:val="24"/>
        </w:rPr>
        <w:sectPr>
          <w:footerReference r:id="rId6" w:type="default"/>
          <w:pgSz w:w="11906" w:h="16838"/>
          <w:pgMar w:top="1440" w:right="1800" w:bottom="1440" w:left="1800" w:header="851" w:footer="992" w:gutter="0"/>
          <w:cols w:space="425" w:num="1"/>
          <w:docGrid w:type="lines" w:linePitch="312" w:charSpace="0"/>
        </w:sectPr>
      </w:pPr>
    </w:p>
    <w:p>
      <w:pPr>
        <w:rPr>
          <w:rFonts w:ascii="宋体" w:hAnsi="宋体" w:eastAsia="宋体"/>
          <w:b/>
          <w:bCs/>
          <w:sz w:val="24"/>
          <w:szCs w:val="18"/>
        </w:rPr>
      </w:pPr>
    </w:p>
    <w:p>
      <w:pPr>
        <w:spacing w:line="360" w:lineRule="auto"/>
        <w:ind w:firstLine="437"/>
        <w:rPr>
          <w:rFonts w:ascii="宋体" w:hAnsi="宋体" w:eastAsia="宋体"/>
          <w:b/>
          <w:bCs/>
          <w:sz w:val="24"/>
          <w:szCs w:val="18"/>
        </w:rPr>
      </w:pPr>
      <w:r>
        <w:rPr>
          <w:rFonts w:hint="eastAsia" w:ascii="宋体" w:hAnsi="宋体" w:eastAsia="宋体"/>
          <w:b/>
          <w:bCs/>
          <w:sz w:val="24"/>
          <w:szCs w:val="18"/>
        </w:rPr>
        <w:t>三、报价要求</w:t>
      </w:r>
    </w:p>
    <w:p>
      <w:pPr>
        <w:spacing w:line="360" w:lineRule="auto"/>
        <w:ind w:firstLine="437"/>
        <w:rPr>
          <w:rFonts w:ascii="宋体" w:hAnsi="宋体" w:eastAsia="宋体"/>
          <w:sz w:val="24"/>
          <w:szCs w:val="18"/>
        </w:rPr>
      </w:pPr>
      <w:r>
        <w:rPr>
          <w:rFonts w:ascii="宋体" w:hAnsi="宋体" w:eastAsia="宋体"/>
          <w:sz w:val="24"/>
          <w:szCs w:val="18"/>
        </w:rPr>
        <w:t>本项目总价包干，报价包含完成本项目所需的一切费用，采购人后期不再追</w:t>
      </w:r>
    </w:p>
    <w:p>
      <w:pPr>
        <w:spacing w:line="360" w:lineRule="auto"/>
        <w:rPr>
          <w:rFonts w:ascii="宋体" w:hAnsi="宋体" w:eastAsia="宋体"/>
          <w:sz w:val="24"/>
          <w:szCs w:val="18"/>
        </w:rPr>
      </w:pPr>
      <w:r>
        <w:rPr>
          <w:rFonts w:ascii="宋体" w:hAnsi="宋体" w:eastAsia="宋体"/>
          <w:sz w:val="24"/>
          <w:szCs w:val="18"/>
        </w:rPr>
        <w:t>加任何费用。</w:t>
      </w:r>
    </w:p>
    <w:p>
      <w:pPr>
        <w:spacing w:line="360" w:lineRule="auto"/>
        <w:rPr>
          <w:rFonts w:ascii="宋体" w:hAnsi="宋体" w:eastAsia="宋体"/>
          <w:sz w:val="24"/>
          <w:szCs w:val="18"/>
        </w:rPr>
      </w:pPr>
    </w:p>
    <w:p>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1"/>
        <w:rPr>
          <w:rFonts w:asciiTheme="minorEastAsia" w:hAnsiTheme="minorEastAsia" w:eastAsiaTheme="minorEastAsia"/>
          <w:b/>
          <w:sz w:val="28"/>
        </w:rPr>
      </w:pPr>
      <w:bookmarkStart w:id="50" w:name="_Toc60582627"/>
      <w:r>
        <w:rPr>
          <w:rFonts w:hint="eastAsia" w:asciiTheme="minorEastAsia" w:hAnsiTheme="minorEastAsia" w:eastAsiaTheme="minorEastAsia"/>
          <w:b/>
          <w:sz w:val="28"/>
        </w:rPr>
        <w:t>第四章  评标方法和标准（综合评分法）</w:t>
      </w:r>
      <w:bookmarkEnd w:id="50"/>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一、总则</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本项目将按照招标文件第二章 投标人须知的相关要求</w:t>
      </w:r>
      <w:r>
        <w:rPr>
          <w:rFonts w:asciiTheme="minorEastAsia" w:hAnsiTheme="minorEastAsia" w:eastAsiaTheme="minorEastAsia"/>
          <w:sz w:val="24"/>
        </w:rPr>
        <w:t>及本章的规定评标。</w:t>
      </w:r>
    </w:p>
    <w:p>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二、评标方法</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2.1资格审查</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依据政府采购相关法律法规规定</w:t>
      </w:r>
      <w:r>
        <w:rPr>
          <w:rFonts w:asciiTheme="minorEastAsia" w:hAnsiTheme="minorEastAsia" w:eastAsiaTheme="minorEastAsia"/>
          <w:sz w:val="24"/>
        </w:rPr>
        <w:t>,由采购人或采购代理机构对</w:t>
      </w:r>
      <w:r>
        <w:rPr>
          <w:rFonts w:hint="eastAsia" w:asciiTheme="minorEastAsia" w:hAnsiTheme="minorEastAsia" w:eastAsiaTheme="minorEastAsia"/>
          <w:sz w:val="24"/>
        </w:rPr>
        <w:t>投标人进行资格审查</w:t>
      </w:r>
      <w:r>
        <w:rPr>
          <w:rFonts w:asciiTheme="minorEastAsia" w:hAnsiTheme="minorEastAsia" w:eastAsiaTheme="minorEastAsia"/>
          <w:sz w:val="24"/>
        </w:rPr>
        <w:t>。资格审查表如下：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725"/>
        <w:gridCol w:w="2263"/>
        <w:gridCol w:w="3818"/>
        <w:gridCol w:w="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22" w:type="dxa"/>
            <w:gridSpan w:val="5"/>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b/>
                <w:sz w:val="24"/>
                <w:szCs w:val="22"/>
              </w:rPr>
              <w:t>资格审查表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694"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序号</w:t>
            </w:r>
          </w:p>
        </w:tc>
        <w:tc>
          <w:tcPr>
            <w:tcW w:w="1725" w:type="dxa"/>
            <w:tcBorders>
              <w:bottom w:val="single" w:color="auto" w:sz="4" w:space="0"/>
            </w:tcBorders>
            <w:vAlign w:val="center"/>
          </w:tcPr>
          <w:p>
            <w:pPr>
              <w:pStyle w:val="34"/>
              <w:pBdr>
                <w:bottom w:val="none" w:color="auto" w:sz="0" w:space="0"/>
              </w:pBdr>
              <w:tabs>
                <w:tab w:val="clear" w:pos="4153"/>
                <w:tab w:val="clear" w:pos="8306"/>
              </w:tabs>
              <w:snapToGrid w:val="0"/>
              <w:spacing w:line="360" w:lineRule="auto"/>
              <w:ind w:right="-10"/>
              <w:textAlignment w:val="auto"/>
              <w:rPr>
                <w:rFonts w:ascii="宋体" w:hAnsi="宋体" w:eastAsia="宋体"/>
                <w:kern w:val="2"/>
                <w:szCs w:val="24"/>
              </w:rPr>
            </w:pPr>
            <w:r>
              <w:rPr>
                <w:rFonts w:hint="eastAsia" w:ascii="宋体" w:hAnsi="宋体" w:eastAsia="宋体"/>
                <w:kern w:val="2"/>
                <w:szCs w:val="24"/>
              </w:rPr>
              <w:t>评审指标</w:t>
            </w:r>
          </w:p>
        </w:tc>
        <w:tc>
          <w:tcPr>
            <w:tcW w:w="2263"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评审标准</w:t>
            </w:r>
          </w:p>
        </w:tc>
        <w:tc>
          <w:tcPr>
            <w:tcW w:w="3818"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1835" w:hRule="atLeast"/>
          <w:jc w:val="center"/>
        </w:trPr>
        <w:tc>
          <w:tcPr>
            <w:tcW w:w="694"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1</w:t>
            </w:r>
          </w:p>
        </w:tc>
        <w:tc>
          <w:tcPr>
            <w:tcW w:w="1725"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营业执照</w:t>
            </w:r>
          </w:p>
        </w:tc>
        <w:tc>
          <w:tcPr>
            <w:tcW w:w="2263"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合法有效</w:t>
            </w:r>
          </w:p>
        </w:tc>
        <w:tc>
          <w:tcPr>
            <w:tcW w:w="3818" w:type="dxa"/>
            <w:vMerge w:val="restart"/>
            <w:vAlign w:val="center"/>
          </w:tcPr>
          <w:p>
            <w:pPr>
              <w:spacing w:line="360" w:lineRule="auto"/>
              <w:jc w:val="left"/>
              <w:rPr>
                <w:rFonts w:ascii="宋体" w:hAnsi="宋体" w:eastAsia="宋体"/>
                <w:sz w:val="24"/>
              </w:rPr>
            </w:pPr>
            <w:r>
              <w:rPr>
                <w:rFonts w:hint="eastAsia" w:ascii="宋体" w:hAnsi="宋体" w:eastAsia="宋体"/>
                <w:sz w:val="24"/>
              </w:rPr>
              <w:t>提供有效的投标人营业执照（或事业单位法人登记证书）和税务登记证的扫描件，应完整的体现出营业执照（或事业单位法人登记证书）和税务登记证的全部内容。已办理“三证合一”登记的，投标文件中提供营业执照（或事业单位法人登记证书）扫描件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694"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2</w:t>
            </w:r>
          </w:p>
        </w:tc>
        <w:tc>
          <w:tcPr>
            <w:tcW w:w="1725"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税务登记证</w:t>
            </w:r>
          </w:p>
        </w:tc>
        <w:tc>
          <w:tcPr>
            <w:tcW w:w="2263"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合法有效</w:t>
            </w:r>
          </w:p>
        </w:tc>
        <w:tc>
          <w:tcPr>
            <w:tcW w:w="3818" w:type="dxa"/>
            <w:vMerge w:val="continue"/>
            <w:tcBorders>
              <w:bottom w:val="single" w:color="auto" w:sz="4" w:space="0"/>
            </w:tcBorders>
            <w:vAlign w:val="center"/>
          </w:tcPr>
          <w:p>
            <w:pPr>
              <w:adjustRightInd w:val="0"/>
              <w:snapToGrid w:val="0"/>
              <w:spacing w:line="360" w:lineRule="auto"/>
              <w:ind w:right="-10"/>
              <w:jc w:val="left"/>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694"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3</w:t>
            </w:r>
          </w:p>
        </w:tc>
        <w:tc>
          <w:tcPr>
            <w:tcW w:w="1725"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18"/>
              </w:rPr>
              <w:t>不良信用记录查询</w:t>
            </w:r>
          </w:p>
        </w:tc>
        <w:tc>
          <w:tcPr>
            <w:tcW w:w="2263"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投标人不得存在投标人</w:t>
            </w:r>
            <w:r>
              <w:rPr>
                <w:rFonts w:hint="eastAsia" w:ascii="宋体" w:hAnsi="宋体" w:eastAsia="宋体"/>
                <w:sz w:val="24"/>
              </w:rPr>
              <w:t>须知正文第1</w:t>
            </w:r>
            <w:r>
              <w:rPr>
                <w:rFonts w:ascii="宋体" w:hAnsi="宋体" w:eastAsia="宋体"/>
                <w:sz w:val="24"/>
              </w:rPr>
              <w:t>9.2.1</w:t>
            </w:r>
            <w:r>
              <w:rPr>
                <w:rFonts w:hint="eastAsia" w:ascii="宋体" w:hAnsi="宋体" w:eastAsia="宋体"/>
                <w:sz w:val="24"/>
              </w:rPr>
              <w:t>条</w:t>
            </w:r>
            <w:r>
              <w:rPr>
                <w:rFonts w:hint="eastAsia" w:ascii="宋体" w:hAnsi="宋体" w:eastAsia="宋体"/>
                <w:sz w:val="24"/>
                <w:szCs w:val="28"/>
              </w:rPr>
              <w:t>中的</w:t>
            </w:r>
            <w:r>
              <w:rPr>
                <w:rFonts w:hint="eastAsia" w:ascii="宋体" w:hAnsi="宋体" w:eastAsia="宋体"/>
                <w:sz w:val="24"/>
                <w:szCs w:val="18"/>
              </w:rPr>
              <w:t>不良信用记录情形</w:t>
            </w:r>
          </w:p>
        </w:tc>
        <w:tc>
          <w:tcPr>
            <w:tcW w:w="3818" w:type="dxa"/>
            <w:tcBorders>
              <w:bottom w:val="single" w:color="auto" w:sz="4" w:space="0"/>
            </w:tcBorders>
            <w:vAlign w:val="center"/>
          </w:tcPr>
          <w:p>
            <w:pPr>
              <w:adjustRightInd w:val="0"/>
              <w:snapToGrid w:val="0"/>
              <w:spacing w:line="360" w:lineRule="auto"/>
              <w:ind w:right="-10"/>
              <w:jc w:val="left"/>
              <w:rPr>
                <w:rFonts w:ascii="宋体" w:hAnsi="宋体" w:eastAsia="宋体"/>
                <w:sz w:val="24"/>
              </w:rPr>
            </w:pPr>
            <w:r>
              <w:rPr>
                <w:rFonts w:hint="eastAsia" w:ascii="宋体" w:hAnsi="宋体" w:eastAsia="宋体"/>
                <w:sz w:val="24"/>
              </w:rPr>
              <w:t>详见投标人须知正文第1</w:t>
            </w:r>
            <w:r>
              <w:rPr>
                <w:rFonts w:ascii="宋体" w:hAnsi="宋体" w:eastAsia="宋体"/>
                <w:sz w:val="24"/>
              </w:rPr>
              <w:t>9.2</w:t>
            </w:r>
            <w:r>
              <w:rPr>
                <w:rFonts w:hint="eastAsia" w:ascii="宋体" w:hAnsi="宋体" w:eastAsia="宋体"/>
                <w:sz w:val="24"/>
              </w:rPr>
              <w:t>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694"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4</w:t>
            </w:r>
          </w:p>
        </w:tc>
        <w:tc>
          <w:tcPr>
            <w:tcW w:w="1725" w:type="dxa"/>
            <w:tcBorders>
              <w:bottom w:val="single" w:color="auto" w:sz="4" w:space="0"/>
            </w:tcBorders>
            <w:vAlign w:val="center"/>
          </w:tcPr>
          <w:p>
            <w:pPr>
              <w:spacing w:after="50" w:line="360" w:lineRule="auto"/>
              <w:ind w:right="-10"/>
              <w:jc w:val="center"/>
              <w:rPr>
                <w:rFonts w:ascii="宋体" w:hAnsi="宋体" w:eastAsia="宋体"/>
                <w:sz w:val="24"/>
                <w:szCs w:val="18"/>
              </w:rPr>
            </w:pPr>
            <w:r>
              <w:rPr>
                <w:rFonts w:hint="eastAsia" w:ascii="宋体" w:hAnsi="宋体" w:eastAsia="宋体"/>
                <w:sz w:val="24"/>
                <w:szCs w:val="28"/>
              </w:rPr>
              <w:t>无重大违法记录声明函、无不良信用记录声明函</w:t>
            </w:r>
          </w:p>
        </w:tc>
        <w:tc>
          <w:tcPr>
            <w:tcW w:w="2263" w:type="dxa"/>
            <w:tcBorders>
              <w:bottom w:val="single" w:color="auto" w:sz="4" w:space="0"/>
            </w:tcBorders>
            <w:vAlign w:val="center"/>
          </w:tcPr>
          <w:p>
            <w:pPr>
              <w:spacing w:after="50" w:line="360" w:lineRule="auto"/>
              <w:ind w:right="-10"/>
              <w:jc w:val="center"/>
              <w:rPr>
                <w:rFonts w:ascii="宋体" w:hAnsi="宋体" w:eastAsia="宋体"/>
                <w:sz w:val="24"/>
                <w:szCs w:val="28"/>
              </w:rPr>
            </w:pPr>
            <w:r>
              <w:rPr>
                <w:rFonts w:hint="eastAsia" w:ascii="宋体" w:hAnsi="宋体" w:eastAsia="宋体"/>
                <w:sz w:val="24"/>
                <w:szCs w:val="28"/>
              </w:rPr>
              <w:t>格式、填写要求符合招标文件规定并加盖投标人电子签章</w:t>
            </w:r>
          </w:p>
        </w:tc>
        <w:tc>
          <w:tcPr>
            <w:tcW w:w="3818" w:type="dxa"/>
            <w:tcBorders>
              <w:bottom w:val="single" w:color="auto" w:sz="4" w:space="0"/>
            </w:tcBorders>
            <w:vAlign w:val="center"/>
          </w:tcPr>
          <w:p>
            <w:pPr>
              <w:adjustRightInd w:val="0"/>
              <w:snapToGrid w:val="0"/>
              <w:spacing w:line="360" w:lineRule="auto"/>
              <w:ind w:right="-10"/>
              <w:jc w:val="left"/>
              <w:rPr>
                <w:rFonts w:ascii="宋体" w:hAnsi="宋体" w:eastAsia="宋体"/>
                <w:sz w:val="24"/>
              </w:rPr>
            </w:pPr>
            <w:r>
              <w:rPr>
                <w:rFonts w:hint="eastAsia" w:ascii="宋体" w:hAnsi="宋体" w:eastAsia="宋体"/>
                <w:sz w:val="24"/>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694"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5</w:t>
            </w:r>
          </w:p>
        </w:tc>
        <w:tc>
          <w:tcPr>
            <w:tcW w:w="1725" w:type="dxa"/>
            <w:tcBorders>
              <w:bottom w:val="single" w:color="auto" w:sz="4" w:space="0"/>
            </w:tcBorders>
            <w:vAlign w:val="center"/>
          </w:tcPr>
          <w:p>
            <w:pPr>
              <w:spacing w:after="50" w:line="360" w:lineRule="auto"/>
              <w:ind w:right="-10"/>
              <w:jc w:val="center"/>
              <w:rPr>
                <w:rFonts w:ascii="宋体" w:hAnsi="宋体" w:eastAsia="宋体"/>
                <w:sz w:val="24"/>
                <w:szCs w:val="18"/>
              </w:rPr>
            </w:pPr>
            <w:r>
              <w:rPr>
                <w:rFonts w:hint="eastAsia" w:ascii="宋体" w:hAnsi="宋体" w:eastAsia="宋体"/>
                <w:sz w:val="24"/>
                <w:szCs w:val="18"/>
              </w:rPr>
              <w:t>中小企业、监狱企业或残疾人福利性单位声明函</w:t>
            </w:r>
          </w:p>
        </w:tc>
        <w:tc>
          <w:tcPr>
            <w:tcW w:w="2263" w:type="dxa"/>
            <w:tcBorders>
              <w:bottom w:val="single" w:color="auto" w:sz="4" w:space="0"/>
            </w:tcBorders>
            <w:vAlign w:val="center"/>
          </w:tcPr>
          <w:p>
            <w:pPr>
              <w:spacing w:after="50" w:line="360" w:lineRule="auto"/>
              <w:ind w:right="-10"/>
              <w:jc w:val="center"/>
              <w:rPr>
                <w:rFonts w:ascii="宋体" w:hAnsi="宋体" w:eastAsia="宋体"/>
                <w:sz w:val="24"/>
                <w:szCs w:val="18"/>
              </w:rPr>
            </w:pPr>
            <w:r>
              <w:rPr>
                <w:rFonts w:hint="eastAsia" w:ascii="宋体" w:hAnsi="宋体" w:eastAsia="宋体"/>
                <w:sz w:val="24"/>
                <w:szCs w:val="18"/>
              </w:rPr>
              <w:t>符合投标人资格中落实政府采购政策需满足的资格要求</w:t>
            </w:r>
          </w:p>
        </w:tc>
        <w:tc>
          <w:tcPr>
            <w:tcW w:w="3818" w:type="dxa"/>
            <w:tcBorders>
              <w:bottom w:val="single" w:color="auto" w:sz="4" w:space="0"/>
            </w:tcBorders>
            <w:vAlign w:val="center"/>
          </w:tcPr>
          <w:p>
            <w:pPr>
              <w:adjustRightInd w:val="0"/>
              <w:snapToGrid w:val="0"/>
              <w:spacing w:line="360" w:lineRule="auto"/>
              <w:ind w:right="-10"/>
              <w:jc w:val="left"/>
              <w:rPr>
                <w:rFonts w:ascii="宋体" w:hAnsi="宋体" w:eastAsia="宋体"/>
                <w:sz w:val="24"/>
              </w:rPr>
            </w:pPr>
            <w:r>
              <w:rPr>
                <w:rFonts w:hint="eastAsia" w:ascii="宋体" w:hAnsi="宋体" w:eastAsia="宋体"/>
                <w:sz w:val="24"/>
                <w:szCs w:val="24"/>
              </w:rPr>
              <w:t>详见投标文件格式</w:t>
            </w:r>
          </w:p>
        </w:tc>
      </w:tr>
    </w:tbl>
    <w:p>
      <w:pPr>
        <w:spacing w:line="360" w:lineRule="auto"/>
        <w:ind w:firstLine="435"/>
        <w:rPr>
          <w:rFonts w:asciiTheme="minorEastAsia" w:hAnsiTheme="minorEastAsia" w:eastAsiaTheme="minorEastAsia"/>
          <w:sz w:val="24"/>
        </w:rPr>
      </w:pPr>
      <w:r>
        <w:rPr>
          <w:rFonts w:hint="eastAsia" w:ascii="宋体" w:hAnsi="宋体" w:eastAsia="宋体"/>
          <w:b/>
          <w:bCs/>
          <w:sz w:val="24"/>
        </w:rPr>
        <w:t>资格审查指标通过标准：</w:t>
      </w:r>
      <w:r>
        <w:rPr>
          <w:rFonts w:hint="eastAsia" w:ascii="宋体" w:hAnsi="宋体" w:eastAsia="宋体"/>
          <w:sz w:val="24"/>
        </w:rPr>
        <w:t>投标人必须通过资格审查表中的全部评审指标。</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2.2符合性审查</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评标委员会对通过资格审查的投标人的投标文件进行符合性审查，以确定其是否满足招标文件的实质性要求。符合性审查表如下：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117"/>
        <w:gridCol w:w="3254"/>
        <w:gridCol w:w="2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22" w:type="dxa"/>
            <w:gridSpan w:val="4"/>
            <w:tcBorders>
              <w:bottom w:val="single" w:color="auto" w:sz="4" w:space="0"/>
            </w:tcBorders>
            <w:vAlign w:val="center"/>
          </w:tcPr>
          <w:p>
            <w:pPr>
              <w:adjustRightInd w:val="0"/>
              <w:snapToGrid w:val="0"/>
              <w:spacing w:line="360" w:lineRule="auto"/>
              <w:ind w:right="-10"/>
              <w:jc w:val="center"/>
              <w:rPr>
                <w:rFonts w:ascii="宋体" w:hAnsi="宋体" w:eastAsia="宋体"/>
                <w:b/>
                <w:bCs/>
                <w:sz w:val="24"/>
              </w:rPr>
            </w:pPr>
            <w:r>
              <w:rPr>
                <w:rFonts w:hint="eastAsia" w:ascii="宋体" w:hAnsi="宋体" w:eastAsia="宋体"/>
                <w:b/>
                <w:bCs/>
                <w:sz w:val="24"/>
              </w:rPr>
              <w:t>符合性审查表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3"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序号</w:t>
            </w:r>
          </w:p>
        </w:tc>
        <w:tc>
          <w:tcPr>
            <w:tcW w:w="2117" w:type="dxa"/>
            <w:tcBorders>
              <w:bottom w:val="single" w:color="auto" w:sz="4" w:space="0"/>
            </w:tcBorders>
            <w:vAlign w:val="center"/>
          </w:tcPr>
          <w:p>
            <w:pPr>
              <w:pStyle w:val="34"/>
              <w:pBdr>
                <w:bottom w:val="none" w:color="auto" w:sz="0" w:space="0"/>
              </w:pBdr>
              <w:tabs>
                <w:tab w:val="clear" w:pos="4153"/>
                <w:tab w:val="clear" w:pos="8306"/>
              </w:tabs>
              <w:snapToGrid w:val="0"/>
              <w:spacing w:line="360" w:lineRule="auto"/>
              <w:ind w:right="-10"/>
              <w:textAlignment w:val="auto"/>
              <w:rPr>
                <w:rFonts w:ascii="宋体" w:hAnsi="宋体" w:eastAsia="宋体"/>
                <w:kern w:val="2"/>
                <w:szCs w:val="24"/>
              </w:rPr>
            </w:pPr>
            <w:r>
              <w:rPr>
                <w:rFonts w:hint="eastAsia" w:ascii="宋体" w:hAnsi="宋体" w:eastAsia="宋体"/>
                <w:kern w:val="2"/>
                <w:szCs w:val="24"/>
              </w:rPr>
              <w:t>评审指标</w:t>
            </w:r>
          </w:p>
        </w:tc>
        <w:tc>
          <w:tcPr>
            <w:tcW w:w="3254"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评审标准</w:t>
            </w:r>
          </w:p>
        </w:tc>
        <w:tc>
          <w:tcPr>
            <w:tcW w:w="2388" w:type="dxa"/>
            <w:tcBorders>
              <w:bottom w:val="single" w:color="auto" w:sz="4" w:space="0"/>
            </w:tcBorders>
            <w:vAlign w:val="center"/>
          </w:tcPr>
          <w:p>
            <w:pPr>
              <w:adjustRightInd w:val="0"/>
              <w:snapToGrid w:val="0"/>
              <w:spacing w:line="360" w:lineRule="auto"/>
              <w:ind w:right="-10"/>
              <w:jc w:val="center"/>
              <w:rPr>
                <w:rFonts w:ascii="宋体" w:hAnsi="宋体" w:eastAsia="宋体"/>
                <w:sz w:val="24"/>
              </w:rPr>
            </w:pPr>
            <w:r>
              <w:rPr>
                <w:rFonts w:hint="eastAsia" w:ascii="宋体" w:hAnsi="宋体" w:eastAsia="宋体"/>
                <w:sz w:val="24"/>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3"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117"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rPr>
              <w:t>开标一览表</w:t>
            </w:r>
          </w:p>
        </w:tc>
        <w:tc>
          <w:tcPr>
            <w:tcW w:w="3254"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格式、填写要求符合招标文件规定并加盖投标人电子签章</w:t>
            </w:r>
          </w:p>
        </w:tc>
        <w:tc>
          <w:tcPr>
            <w:tcW w:w="2388"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3"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117"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投标函</w:t>
            </w:r>
          </w:p>
        </w:tc>
        <w:tc>
          <w:tcPr>
            <w:tcW w:w="3254"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格式、填写要求符合招标文件规定并加盖投标人电子签章</w:t>
            </w:r>
          </w:p>
        </w:tc>
        <w:tc>
          <w:tcPr>
            <w:tcW w:w="2388"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3" w:type="dxa"/>
            <w:vAlign w:val="center"/>
          </w:tcPr>
          <w:p>
            <w:pPr>
              <w:adjustRightInd w:val="0"/>
              <w:snapToGrid w:val="0"/>
              <w:spacing w:line="360" w:lineRule="auto"/>
              <w:ind w:right="-10"/>
              <w:jc w:val="center"/>
              <w:rPr>
                <w:rFonts w:asciiTheme="minorEastAsia" w:hAnsiTheme="minorEastAsia" w:eastAsiaTheme="minorEastAsia"/>
                <w:sz w:val="24"/>
              </w:rPr>
            </w:pPr>
            <w:r>
              <w:rPr>
                <w:rFonts w:asciiTheme="minorEastAsia" w:hAnsiTheme="minorEastAsia" w:eastAsiaTheme="minorEastAsia"/>
                <w:sz w:val="24"/>
              </w:rPr>
              <w:t>3</w:t>
            </w:r>
          </w:p>
        </w:tc>
        <w:tc>
          <w:tcPr>
            <w:tcW w:w="2117"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授权书</w:t>
            </w:r>
          </w:p>
        </w:tc>
        <w:tc>
          <w:tcPr>
            <w:tcW w:w="3254"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格式、填写要求符合招标文件规定并加盖投标人电子签章</w:t>
            </w:r>
          </w:p>
        </w:tc>
        <w:tc>
          <w:tcPr>
            <w:tcW w:w="2388"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法定代表人参加投标的无需此件，提供身份证明即可。详见第六章投标文件格式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3"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2117"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投标报价</w:t>
            </w:r>
          </w:p>
        </w:tc>
        <w:tc>
          <w:tcPr>
            <w:tcW w:w="3254"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w:t>
            </w:r>
            <w:r>
              <w:rPr>
                <w:rFonts w:hint="eastAsia" w:asciiTheme="minorEastAsia" w:hAnsiTheme="minorEastAsia" w:eastAsiaTheme="minorEastAsia"/>
                <w:sz w:val="24"/>
              </w:rPr>
              <w:t>招标文件投标人须知正文第1</w:t>
            </w:r>
            <w:r>
              <w:rPr>
                <w:rFonts w:asciiTheme="minorEastAsia" w:hAnsiTheme="minorEastAsia" w:eastAsiaTheme="minorEastAsia"/>
                <w:sz w:val="24"/>
              </w:rPr>
              <w:t>2</w:t>
            </w:r>
            <w:r>
              <w:rPr>
                <w:rFonts w:hint="eastAsia" w:asciiTheme="minorEastAsia" w:hAnsiTheme="minorEastAsia" w:eastAsiaTheme="minorEastAsia"/>
                <w:sz w:val="24"/>
              </w:rPr>
              <w:t>条要求</w:t>
            </w:r>
          </w:p>
        </w:tc>
        <w:tc>
          <w:tcPr>
            <w:tcW w:w="2388"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3"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5</w:t>
            </w:r>
          </w:p>
        </w:tc>
        <w:tc>
          <w:tcPr>
            <w:tcW w:w="2117"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投标文件特征码检查</w:t>
            </w:r>
          </w:p>
        </w:tc>
        <w:tc>
          <w:tcPr>
            <w:tcW w:w="3254"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不同投标人的投标文件特征码不得全部相同</w:t>
            </w:r>
          </w:p>
        </w:tc>
        <w:tc>
          <w:tcPr>
            <w:tcW w:w="2388" w:type="dxa"/>
            <w:vAlign w:val="center"/>
          </w:tcPr>
          <w:p>
            <w:pPr>
              <w:adjustRightInd w:val="0"/>
              <w:snapToGrid w:val="0"/>
              <w:spacing w:line="360" w:lineRule="auto"/>
              <w:ind w:right="-10"/>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3"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6</w:t>
            </w:r>
          </w:p>
        </w:tc>
        <w:tc>
          <w:tcPr>
            <w:tcW w:w="2117"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招标文件获取情况</w:t>
            </w:r>
          </w:p>
        </w:tc>
        <w:tc>
          <w:tcPr>
            <w:tcW w:w="3254"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在招标文件获取截止时间前完成招标文件获取</w:t>
            </w:r>
          </w:p>
        </w:tc>
        <w:tc>
          <w:tcPr>
            <w:tcW w:w="2388" w:type="dxa"/>
            <w:vAlign w:val="center"/>
          </w:tcPr>
          <w:p>
            <w:pPr>
              <w:adjustRightInd w:val="0"/>
              <w:snapToGrid w:val="0"/>
              <w:spacing w:line="360" w:lineRule="auto"/>
              <w:ind w:right="-10"/>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3"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7</w:t>
            </w:r>
          </w:p>
        </w:tc>
        <w:tc>
          <w:tcPr>
            <w:tcW w:w="2117"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商务响应情况</w:t>
            </w:r>
          </w:p>
        </w:tc>
        <w:tc>
          <w:tcPr>
            <w:tcW w:w="3254"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符合招标文件采购需求中对付款方式、供货及安装期限、供货及安装地点、免费质保期的要求</w:t>
            </w:r>
          </w:p>
        </w:tc>
        <w:tc>
          <w:tcPr>
            <w:tcW w:w="2388"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详见第六章投标文件格式（商务响应表）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3"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8</w:t>
            </w:r>
          </w:p>
        </w:tc>
        <w:tc>
          <w:tcPr>
            <w:tcW w:w="2117"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技术响应情况</w:t>
            </w:r>
          </w:p>
        </w:tc>
        <w:tc>
          <w:tcPr>
            <w:tcW w:w="3254" w:type="dxa"/>
            <w:vAlign w:val="center"/>
          </w:tcPr>
          <w:p>
            <w:pPr>
              <w:spacing w:after="50" w:line="360" w:lineRule="auto"/>
              <w:ind w:right="-10"/>
              <w:jc w:val="center"/>
              <w:rPr>
                <w:rFonts w:hint="eastAsia" w:asciiTheme="minorEastAsia" w:hAnsiTheme="minorEastAsia" w:eastAsiaTheme="minorEastAsia"/>
                <w:sz w:val="24"/>
                <w:szCs w:val="28"/>
                <w:lang w:eastAsia="zh-CN"/>
              </w:rPr>
            </w:pPr>
            <w:r>
              <w:rPr>
                <w:rFonts w:hint="eastAsia" w:asciiTheme="minorEastAsia" w:hAnsiTheme="minorEastAsia" w:eastAsiaTheme="minorEastAsia"/>
                <w:sz w:val="24"/>
                <w:szCs w:val="28"/>
              </w:rPr>
              <w:t>符合招标文件采购需求中货物技术参数及要求</w:t>
            </w:r>
          </w:p>
        </w:tc>
        <w:tc>
          <w:tcPr>
            <w:tcW w:w="2388"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详见第六章投标文件格式（技术响应表）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3" w:type="dxa"/>
            <w:vAlign w:val="center"/>
          </w:tcPr>
          <w:p>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9</w:t>
            </w:r>
          </w:p>
        </w:tc>
        <w:tc>
          <w:tcPr>
            <w:tcW w:w="2117"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其他要求</w:t>
            </w:r>
          </w:p>
        </w:tc>
        <w:tc>
          <w:tcPr>
            <w:tcW w:w="3254" w:type="dxa"/>
            <w:vAlign w:val="center"/>
          </w:tcPr>
          <w:p>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符合法律、行政法规规定的其他条件或招标文件列明的其他要求</w:t>
            </w:r>
          </w:p>
        </w:tc>
        <w:tc>
          <w:tcPr>
            <w:tcW w:w="2388" w:type="dxa"/>
            <w:vAlign w:val="center"/>
          </w:tcPr>
          <w:p>
            <w:pPr>
              <w:adjustRightInd w:val="0"/>
              <w:snapToGrid w:val="0"/>
              <w:spacing w:line="360" w:lineRule="auto"/>
              <w:ind w:right="-10"/>
              <w:jc w:val="center"/>
              <w:rPr>
                <w:rFonts w:asciiTheme="minorEastAsia" w:hAnsiTheme="minorEastAsia" w:eastAsiaTheme="minorEastAsia"/>
                <w:sz w:val="24"/>
              </w:rPr>
            </w:pPr>
          </w:p>
        </w:tc>
      </w:tr>
    </w:tbl>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b/>
          <w:bCs/>
          <w:sz w:val="24"/>
        </w:rPr>
        <w:t>符合性审查指标通过标准：</w:t>
      </w:r>
      <w:r>
        <w:rPr>
          <w:rFonts w:hint="eastAsia" w:asciiTheme="minorEastAsia" w:hAnsiTheme="minorEastAsia" w:eastAsiaTheme="minorEastAsia"/>
          <w:sz w:val="24"/>
        </w:rPr>
        <w:t>投标人必须通过符合性审查表中的全部评审指标。</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2.3详细审查</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.3.1</w:t>
      </w:r>
      <w:r>
        <w:rPr>
          <w:rFonts w:hint="eastAsia" w:asciiTheme="minorEastAsia" w:hAnsiTheme="minorEastAsia" w:eastAsiaTheme="minorEastAsia"/>
          <w:sz w:val="24"/>
        </w:rPr>
        <w:t>评标委员会按照下表对投标文件进行详细审查和评分。</w:t>
      </w:r>
    </w:p>
    <w:p>
      <w:pPr>
        <w:spacing w:line="360" w:lineRule="auto"/>
        <w:ind w:firstLine="435"/>
      </w:pPr>
      <w:r>
        <w:rPr>
          <w:rFonts w:hint="eastAsia" w:asciiTheme="minorEastAsia" w:hAnsiTheme="minorEastAsia" w:eastAsiaTheme="minorEastAsia"/>
          <w:sz w:val="24"/>
        </w:rPr>
        <w:t>2</w:t>
      </w:r>
      <w:r>
        <w:rPr>
          <w:rFonts w:asciiTheme="minorEastAsia" w:hAnsiTheme="minorEastAsia" w:eastAsiaTheme="minorEastAsia"/>
          <w:sz w:val="24"/>
        </w:rPr>
        <w:t>.3.2</w:t>
      </w:r>
      <w:r>
        <w:rPr>
          <w:rFonts w:hint="eastAsia" w:asciiTheme="minorEastAsia" w:hAnsiTheme="minorEastAsia" w:eastAsiaTheme="minorEastAsia"/>
          <w:sz w:val="24"/>
        </w:rPr>
        <w:t>本项目综合评分满分为1</w:t>
      </w:r>
      <w:r>
        <w:rPr>
          <w:rFonts w:asciiTheme="minorEastAsia" w:hAnsiTheme="minorEastAsia" w:eastAsiaTheme="minorEastAsia"/>
          <w:sz w:val="24"/>
        </w:rPr>
        <w:t>00</w:t>
      </w:r>
      <w:r>
        <w:rPr>
          <w:rFonts w:hint="eastAsia" w:asciiTheme="minorEastAsia" w:hAnsiTheme="minorEastAsia" w:eastAsiaTheme="minorEastAsia"/>
          <w:sz w:val="24"/>
        </w:rPr>
        <w:t>分，其中：技术资信分值占总分值的权重为</w:t>
      </w:r>
      <w:r>
        <w:rPr>
          <w:rFonts w:hint="eastAsia" w:asciiTheme="minorEastAsia" w:hAnsiTheme="minorEastAsia" w:eastAsiaTheme="minorEastAsia"/>
          <w:sz w:val="24"/>
          <w:u w:val="single"/>
        </w:rPr>
        <w:t>70</w:t>
      </w:r>
      <w:r>
        <w:rPr>
          <w:rFonts w:asciiTheme="minorEastAsia" w:hAnsiTheme="minorEastAsia" w:eastAsiaTheme="minorEastAsia"/>
          <w:sz w:val="24"/>
        </w:rPr>
        <w:t>%，价格分值占总分值的权重为</w:t>
      </w:r>
      <w:r>
        <w:rPr>
          <w:rFonts w:hint="eastAsia" w:asciiTheme="minorEastAsia" w:hAnsiTheme="minorEastAsia" w:eastAsiaTheme="minorEastAsia"/>
          <w:sz w:val="24"/>
          <w:u w:val="single"/>
        </w:rPr>
        <w:t>30</w:t>
      </w:r>
      <w:r>
        <w:rPr>
          <w:rFonts w:asciiTheme="minorEastAsia" w:hAnsiTheme="minorEastAsia" w:eastAsiaTheme="minorEastAsia"/>
          <w:sz w:val="24"/>
        </w:rPr>
        <w:t>%。具体评分细则如下：</w:t>
      </w:r>
    </w:p>
    <w:p>
      <w:pPr>
        <w:pStyle w:val="3"/>
        <w:spacing w:line="240" w:lineRule="auto"/>
        <w:jc w:val="center"/>
        <w:rPr>
          <w:rFonts w:ascii="宋体" w:hAnsi="宋体" w:eastAsia="宋体" w:cs="宋体"/>
          <w:sz w:val="24"/>
          <w:szCs w:val="24"/>
        </w:rPr>
      </w:pPr>
      <w:r>
        <w:rPr>
          <w:rFonts w:hint="eastAsia" w:ascii="宋体" w:hAnsi="宋体" w:eastAsia="宋体" w:cs="宋体"/>
          <w:sz w:val="24"/>
          <w:szCs w:val="24"/>
        </w:rPr>
        <w:t>产教融合实训基地建设项目（第一、二包）（第一包）评标标准</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12"/>
        <w:gridCol w:w="4801"/>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类别</w:t>
            </w: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评分项目</w:t>
            </w:r>
          </w:p>
        </w:tc>
        <w:tc>
          <w:tcPr>
            <w:tcW w:w="48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评分内容及标准</w:t>
            </w:r>
          </w:p>
        </w:tc>
        <w:tc>
          <w:tcPr>
            <w:tcW w:w="12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技术资信分</w:t>
            </w:r>
          </w:p>
          <w:p>
            <w:pPr>
              <w:spacing w:line="360" w:lineRule="auto"/>
              <w:jc w:val="center"/>
              <w:rPr>
                <w:rFonts w:ascii="宋体" w:hAnsi="宋体" w:eastAsia="宋体" w:cs="宋体"/>
                <w:b/>
                <w:bCs/>
                <w:sz w:val="24"/>
                <w:szCs w:val="24"/>
              </w:rPr>
            </w:pPr>
            <w:r>
              <w:rPr>
                <w:rFonts w:hint="eastAsia" w:ascii="宋体" w:hAnsi="宋体" w:eastAsia="宋体" w:cs="宋体"/>
                <w:sz w:val="24"/>
                <w:szCs w:val="24"/>
              </w:rPr>
              <w:t>（</w:t>
            </w:r>
            <w:r>
              <w:rPr>
                <w:rFonts w:hint="eastAsia" w:ascii="宋体" w:hAnsi="宋体" w:eastAsia="宋体" w:cs="宋体"/>
                <w:sz w:val="24"/>
                <w:szCs w:val="24"/>
                <w:u w:val="single"/>
              </w:rPr>
              <w:t xml:space="preserve"> 70  </w:t>
            </w:r>
            <w:r>
              <w:rPr>
                <w:rFonts w:hint="eastAsia" w:ascii="宋体" w:hAnsi="宋体" w:eastAsia="宋体" w:cs="宋体"/>
                <w:sz w:val="24"/>
                <w:szCs w:val="24"/>
              </w:rPr>
              <w:t>分）</w:t>
            </w: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技术参数响应情况</w:t>
            </w:r>
          </w:p>
        </w:tc>
        <w:tc>
          <w:tcPr>
            <w:tcW w:w="4801" w:type="dxa"/>
            <w:tcBorders>
              <w:top w:val="single" w:color="auto" w:sz="4" w:space="0"/>
              <w:left w:val="single" w:color="auto" w:sz="4" w:space="0"/>
              <w:bottom w:val="single" w:color="auto" w:sz="4" w:space="0"/>
              <w:right w:val="single" w:color="auto" w:sz="4" w:space="0"/>
            </w:tcBorders>
            <w:vAlign w:val="center"/>
          </w:tcPr>
          <w:p>
            <w:pPr>
              <w:pStyle w:val="8"/>
              <w:spacing w:line="360" w:lineRule="auto"/>
              <w:rPr>
                <w:rFonts w:ascii="宋体" w:hAnsi="宋体" w:eastAsia="宋体" w:cs="宋体"/>
                <w:sz w:val="24"/>
                <w:szCs w:val="24"/>
              </w:rPr>
            </w:pPr>
            <w:r>
              <w:rPr>
                <w:rFonts w:hint="eastAsia" w:ascii="宋体" w:hAnsi="宋体" w:eastAsia="宋体" w:cs="宋体"/>
                <w:sz w:val="24"/>
                <w:szCs w:val="24"/>
              </w:rPr>
              <w:t xml:space="preserve">1、标注“★”的技术参数，代表重要指标，满足或优于该项指标， 得1.5分，共20项，共计30分； </w:t>
            </w:r>
          </w:p>
          <w:p>
            <w:pPr>
              <w:widowControl/>
              <w:spacing w:line="360" w:lineRule="auto"/>
              <w:jc w:val="left"/>
              <w:rPr>
                <w:rFonts w:ascii="宋体" w:hAnsi="宋体" w:eastAsia="宋体" w:cs="宋体"/>
                <w:sz w:val="24"/>
                <w:szCs w:val="24"/>
              </w:rPr>
            </w:pPr>
            <w:r>
              <w:rPr>
                <w:rFonts w:hint="eastAsia" w:ascii="宋体" w:hAnsi="宋体" w:eastAsia="宋体" w:cs="宋体"/>
                <w:sz w:val="24"/>
                <w:szCs w:val="24"/>
              </w:rPr>
              <w:t xml:space="preserve">2、标注“■”的技术参数，代表一般指标，满足或优于该项指标， 得1分，共17项，共计17分； </w:t>
            </w:r>
          </w:p>
          <w:p>
            <w:pPr>
              <w:pStyle w:val="8"/>
              <w:spacing w:line="360" w:lineRule="auto"/>
              <w:jc w:val="both"/>
              <w:rPr>
                <w:rFonts w:ascii="宋体" w:hAnsi="宋体" w:eastAsia="宋体" w:cs="宋体"/>
                <w:b/>
                <w:bCs/>
                <w:sz w:val="24"/>
                <w:szCs w:val="24"/>
              </w:rPr>
            </w:pPr>
            <w:r>
              <w:rPr>
                <w:rFonts w:hint="eastAsia" w:ascii="宋体" w:hAnsi="宋体" w:eastAsia="宋体" w:cs="宋体"/>
                <w:b/>
                <w:bCs/>
                <w:sz w:val="24"/>
                <w:szCs w:val="24"/>
              </w:rPr>
              <w:t>注：1、如某项标识中包含多条技术参数或要求，则该项标识所含内容均需满足或优于招标文件要求，否则不予认可。</w:t>
            </w:r>
          </w:p>
          <w:p>
            <w:pPr>
              <w:pStyle w:val="8"/>
              <w:spacing w:line="360" w:lineRule="auto"/>
              <w:jc w:val="both"/>
              <w:rPr>
                <w:rFonts w:ascii="宋体" w:hAnsi="宋体" w:eastAsia="宋体" w:cs="宋体"/>
                <w:b/>
                <w:bCs/>
                <w:sz w:val="24"/>
                <w:szCs w:val="24"/>
              </w:rPr>
            </w:pPr>
            <w:r>
              <w:rPr>
                <w:rFonts w:hint="eastAsia" w:ascii="宋体" w:hAnsi="宋体" w:eastAsia="宋体" w:cs="宋体"/>
                <w:b/>
                <w:bCs/>
                <w:sz w:val="24"/>
                <w:szCs w:val="24"/>
              </w:rPr>
              <w:t>2、以投标响应表和“货物需求表”中证明材料（如有要求）作为评审依据。</w:t>
            </w:r>
          </w:p>
          <w:p>
            <w:pPr>
              <w:pStyle w:val="8"/>
              <w:spacing w:line="360" w:lineRule="auto"/>
              <w:jc w:val="both"/>
              <w:rPr>
                <w:rFonts w:ascii="宋体" w:hAnsi="宋体" w:eastAsia="宋体" w:cs="宋体"/>
                <w:sz w:val="24"/>
                <w:szCs w:val="24"/>
              </w:rPr>
            </w:pPr>
            <w:r>
              <w:rPr>
                <w:rFonts w:hint="eastAsia" w:ascii="宋体" w:hAnsi="宋体" w:eastAsia="宋体" w:cs="宋体"/>
                <w:b/>
                <w:bCs/>
                <w:sz w:val="24"/>
                <w:szCs w:val="24"/>
              </w:rPr>
              <w:t>3、带★项技术参数负偏离数量大于10项，技术参数得分为0分。</w:t>
            </w:r>
          </w:p>
        </w:tc>
        <w:tc>
          <w:tcPr>
            <w:tcW w:w="12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0-47分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jc w:val="center"/>
              <w:rPr>
                <w:rFonts w:ascii="宋体" w:hAnsi="宋体" w:eastAsia="宋体" w:cs="宋体"/>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项目实施方案</w:t>
            </w:r>
          </w:p>
        </w:tc>
        <w:tc>
          <w:tcPr>
            <w:tcW w:w="4801"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投标供应商需针对方案进行阐述整个投标的项目方案以及实施计划，由评标委员会酌情评分：</w:t>
            </w:r>
          </w:p>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1.方案内容完整详细，合理性和可行性利于项目实施的，得6分；</w:t>
            </w:r>
          </w:p>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2.方案内容较完整，合理性和可行性基本满足项目所需的，得4分；</w:t>
            </w:r>
          </w:p>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3.方案内容较简单，合理性和可行性有待提升的，得2分；</w:t>
            </w:r>
          </w:p>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4.差或未提供方案内容的不得分。</w:t>
            </w:r>
          </w:p>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方案内容包括但不限于：</w:t>
            </w:r>
          </w:p>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①设备的安装、调试和试运行等设计、安装、系统集成、维保方案合理可行性；</w:t>
            </w:r>
          </w:p>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②供货安装调试方案设计的科学可行性；</w:t>
            </w:r>
          </w:p>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③安装施工质量保证及质量控制方案的科学可行性；</w:t>
            </w:r>
          </w:p>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④运行调试、验收方案的科学可行性；</w:t>
            </w:r>
          </w:p>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⑤技术资料交付承诺的完整性。</w:t>
            </w:r>
          </w:p>
        </w:tc>
        <w:tc>
          <w:tcPr>
            <w:tcW w:w="12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
                <w:bCs/>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售后服务方案</w:t>
            </w:r>
          </w:p>
        </w:tc>
        <w:tc>
          <w:tcPr>
            <w:tcW w:w="480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宋体"/>
                <w:sz w:val="24"/>
                <w:szCs w:val="24"/>
              </w:rPr>
            </w:pPr>
            <w:r>
              <w:rPr>
                <w:rFonts w:hint="eastAsia" w:ascii="宋体" w:hAnsi="宋体" w:eastAsia="宋体" w:cs="宋体"/>
                <w:sz w:val="24"/>
                <w:szCs w:val="24"/>
              </w:rPr>
              <w:t>根据投标人售后服务及维保体系（体系完备、制度健全、合同甲方反映较好，有持续的备品备件供应）、售后服务承诺、售后响应时间、保修期、保修内容及优惠条件等情况，由评标委员会酌情评分：</w:t>
            </w:r>
          </w:p>
          <w:p>
            <w:pPr>
              <w:spacing w:line="360" w:lineRule="auto"/>
              <w:jc w:val="left"/>
              <w:rPr>
                <w:rFonts w:ascii="宋体" w:hAnsi="宋体" w:eastAsia="宋体" w:cs="宋体"/>
                <w:sz w:val="24"/>
                <w:szCs w:val="24"/>
              </w:rPr>
            </w:pPr>
            <w:r>
              <w:rPr>
                <w:rFonts w:hint="eastAsia" w:ascii="宋体" w:hAnsi="宋体" w:eastAsia="宋体" w:cs="宋体"/>
                <w:sz w:val="24"/>
                <w:szCs w:val="24"/>
              </w:rPr>
              <w:t>1.体系完整，内容全面的，得5分；</w:t>
            </w:r>
          </w:p>
          <w:p>
            <w:pPr>
              <w:spacing w:line="360" w:lineRule="auto"/>
              <w:jc w:val="left"/>
              <w:rPr>
                <w:rFonts w:ascii="宋体" w:hAnsi="宋体" w:eastAsia="宋体" w:cs="宋体"/>
                <w:sz w:val="24"/>
                <w:szCs w:val="24"/>
              </w:rPr>
            </w:pPr>
            <w:r>
              <w:rPr>
                <w:rFonts w:hint="eastAsia" w:ascii="宋体" w:hAnsi="宋体" w:eastAsia="宋体" w:cs="宋体"/>
                <w:sz w:val="24"/>
                <w:szCs w:val="24"/>
              </w:rPr>
              <w:t>2.体系较完整，方案较全面的，得3分；</w:t>
            </w:r>
          </w:p>
          <w:p>
            <w:pPr>
              <w:spacing w:line="360" w:lineRule="auto"/>
              <w:jc w:val="left"/>
              <w:rPr>
                <w:rFonts w:ascii="宋体" w:hAnsi="宋体" w:eastAsia="宋体" w:cs="宋体"/>
                <w:sz w:val="24"/>
                <w:szCs w:val="24"/>
              </w:rPr>
            </w:pPr>
            <w:r>
              <w:rPr>
                <w:rFonts w:hint="eastAsia" w:ascii="宋体" w:hAnsi="宋体" w:eastAsia="宋体" w:cs="宋体"/>
                <w:sz w:val="24"/>
                <w:szCs w:val="24"/>
              </w:rPr>
              <w:t>3.体系简单有待完善的，得1分；</w:t>
            </w:r>
          </w:p>
          <w:p>
            <w:pPr>
              <w:widowControl/>
              <w:spacing w:line="360" w:lineRule="auto"/>
              <w:rPr>
                <w:rFonts w:ascii="宋体" w:hAnsi="宋体" w:eastAsia="宋体" w:cs="宋体"/>
                <w:sz w:val="24"/>
                <w:szCs w:val="24"/>
              </w:rPr>
            </w:pPr>
            <w:r>
              <w:rPr>
                <w:rFonts w:hint="eastAsia" w:ascii="宋体" w:hAnsi="宋体" w:eastAsia="宋体" w:cs="宋体"/>
                <w:sz w:val="24"/>
                <w:szCs w:val="24"/>
              </w:rPr>
              <w:t>4.差或未提供的不得分。</w:t>
            </w:r>
          </w:p>
        </w:tc>
        <w:tc>
          <w:tcPr>
            <w:tcW w:w="12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
                <w:bCs/>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napToGrid w:val="0"/>
                <w:sz w:val="24"/>
                <w:szCs w:val="24"/>
              </w:rPr>
              <w:t>免费升级、免费质保期限承诺</w:t>
            </w:r>
          </w:p>
        </w:tc>
        <w:tc>
          <w:tcPr>
            <w:tcW w:w="4801"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在满足本包别招标文件要求的免费质保期的基础上，投标人承诺针对所有产品每增加一年免费质保期（附赠免费升级）的加1分，增加不足1年的部分不加分，本项最高得2分。</w:t>
            </w:r>
          </w:p>
          <w:p>
            <w:pPr>
              <w:widowControl/>
              <w:spacing w:line="360" w:lineRule="auto"/>
              <w:rPr>
                <w:rFonts w:ascii="宋体" w:hAnsi="宋体" w:eastAsia="宋体" w:cs="宋体"/>
                <w:sz w:val="24"/>
                <w:szCs w:val="24"/>
              </w:rPr>
            </w:pPr>
            <w:r>
              <w:rPr>
                <w:rFonts w:hint="eastAsia" w:ascii="宋体" w:hAnsi="宋体" w:eastAsia="宋体" w:cs="宋体"/>
                <w:b/>
                <w:bCs/>
                <w:snapToGrid w:val="0"/>
                <w:sz w:val="24"/>
                <w:szCs w:val="24"/>
              </w:rPr>
              <w:t>注：投标响应表中投标人承诺的免费质保期作为评审依据</w:t>
            </w:r>
            <w:r>
              <w:rPr>
                <w:rFonts w:hint="eastAsia" w:ascii="宋体" w:hAnsi="宋体" w:eastAsia="宋体" w:cs="宋体"/>
                <w:snapToGrid w:val="0"/>
                <w:sz w:val="24"/>
                <w:szCs w:val="24"/>
              </w:rPr>
              <w:t>。</w:t>
            </w:r>
          </w:p>
        </w:tc>
        <w:tc>
          <w:tcPr>
            <w:tcW w:w="12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
                <w:bCs/>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综合培训方案</w:t>
            </w:r>
          </w:p>
        </w:tc>
        <w:tc>
          <w:tcPr>
            <w:tcW w:w="4801" w:type="dxa"/>
            <w:tcBorders>
              <w:top w:val="single" w:color="auto" w:sz="4" w:space="0"/>
              <w:left w:val="single" w:color="auto" w:sz="4" w:space="0"/>
              <w:bottom w:val="single" w:color="auto" w:sz="4" w:space="0"/>
              <w:right w:val="single" w:color="auto" w:sz="4" w:space="0"/>
            </w:tcBorders>
            <w:vAlign w:val="center"/>
          </w:tcPr>
          <w:p>
            <w:pPr>
              <w:widowControl/>
              <w:spacing w:line="360" w:lineRule="auto"/>
              <w:textAlignment w:val="center"/>
              <w:rPr>
                <w:rFonts w:ascii="宋体" w:hAnsi="宋体" w:eastAsia="宋体" w:cs="宋体"/>
                <w:kern w:val="0"/>
                <w:sz w:val="24"/>
                <w:szCs w:val="24"/>
                <w:lang w:bidi="ar"/>
              </w:rPr>
            </w:pPr>
            <w:r>
              <w:rPr>
                <w:rFonts w:hint="eastAsia" w:ascii="宋体" w:hAnsi="宋体" w:eastAsia="宋体" w:cs="宋体"/>
                <w:kern w:val="0"/>
                <w:sz w:val="24"/>
                <w:szCs w:val="24"/>
                <w:lang w:bidi="ar"/>
              </w:rPr>
              <w:t>根据投标人提供的现场技术培训方案进行综合评分，包含培训内容及培训时间：</w:t>
            </w:r>
          </w:p>
          <w:p>
            <w:pPr>
              <w:widowControl/>
              <w:spacing w:line="360" w:lineRule="auto"/>
              <w:textAlignment w:val="center"/>
              <w:rPr>
                <w:rFonts w:ascii="宋体" w:hAnsi="宋体" w:eastAsia="宋体" w:cs="宋体"/>
                <w:kern w:val="0"/>
                <w:sz w:val="24"/>
                <w:szCs w:val="24"/>
                <w:lang w:bidi="ar"/>
              </w:rPr>
            </w:pPr>
            <w:r>
              <w:rPr>
                <w:rFonts w:hint="eastAsia" w:ascii="宋体" w:hAnsi="宋体" w:eastAsia="宋体" w:cs="宋体"/>
                <w:kern w:val="0"/>
                <w:sz w:val="24"/>
                <w:szCs w:val="24"/>
                <w:lang w:bidi="ar"/>
              </w:rPr>
              <w:t>1、方案科学、合理、可行性强的得5分；</w:t>
            </w:r>
          </w:p>
          <w:p>
            <w:pPr>
              <w:widowControl/>
              <w:spacing w:line="360" w:lineRule="auto"/>
              <w:textAlignment w:val="center"/>
              <w:rPr>
                <w:rFonts w:ascii="宋体" w:hAnsi="宋体" w:eastAsia="宋体" w:cs="宋体"/>
                <w:kern w:val="0"/>
                <w:sz w:val="24"/>
                <w:szCs w:val="24"/>
                <w:lang w:bidi="ar"/>
              </w:rPr>
            </w:pPr>
            <w:r>
              <w:rPr>
                <w:rFonts w:hint="eastAsia" w:ascii="宋体" w:hAnsi="宋体" w:eastAsia="宋体" w:cs="宋体"/>
                <w:kern w:val="0"/>
                <w:sz w:val="24"/>
                <w:szCs w:val="24"/>
                <w:lang w:bidi="ar"/>
              </w:rPr>
              <w:t>2、方案较科学、较合理、可行性较强的得3分；</w:t>
            </w:r>
          </w:p>
          <w:p>
            <w:pPr>
              <w:widowControl/>
              <w:spacing w:line="360" w:lineRule="auto"/>
              <w:textAlignment w:val="center"/>
              <w:rPr>
                <w:rFonts w:ascii="宋体" w:hAnsi="宋体" w:eastAsia="宋体" w:cs="宋体"/>
                <w:kern w:val="0"/>
                <w:sz w:val="24"/>
                <w:szCs w:val="24"/>
                <w:lang w:bidi="ar"/>
              </w:rPr>
            </w:pPr>
            <w:r>
              <w:rPr>
                <w:rFonts w:hint="eastAsia" w:ascii="宋体" w:hAnsi="宋体" w:eastAsia="宋体" w:cs="宋体"/>
                <w:kern w:val="0"/>
                <w:sz w:val="24"/>
                <w:szCs w:val="24"/>
                <w:lang w:bidi="ar"/>
              </w:rPr>
              <w:t>3、方案科学性、合理性、可行性有待提升的得1分；</w:t>
            </w:r>
          </w:p>
          <w:p>
            <w:pPr>
              <w:widowControl/>
              <w:spacing w:line="360" w:lineRule="auto"/>
              <w:textAlignment w:val="center"/>
              <w:rPr>
                <w:rFonts w:ascii="宋体" w:hAnsi="宋体" w:eastAsia="宋体" w:cs="宋体"/>
                <w:sz w:val="24"/>
                <w:szCs w:val="24"/>
              </w:rPr>
            </w:pPr>
            <w:r>
              <w:rPr>
                <w:rFonts w:hint="eastAsia" w:ascii="宋体" w:hAnsi="宋体" w:eastAsia="宋体" w:cs="宋体"/>
                <w:kern w:val="0"/>
                <w:sz w:val="24"/>
                <w:szCs w:val="24"/>
                <w:lang w:bidi="ar"/>
              </w:rPr>
              <w:t>4、方案差或未提供方案的不得分。</w:t>
            </w:r>
          </w:p>
        </w:tc>
        <w:tc>
          <w:tcPr>
            <w:tcW w:w="12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
                <w:bCs/>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pStyle w:val="61"/>
              <w:spacing w:line="360" w:lineRule="auto"/>
              <w:ind w:right="96"/>
              <w:jc w:val="center"/>
              <w:rPr>
                <w:snapToGrid w:val="0"/>
                <w:sz w:val="24"/>
                <w:szCs w:val="24"/>
                <w:lang w:val="en-US" w:bidi="ar-SA"/>
              </w:rPr>
            </w:pPr>
            <w:r>
              <w:rPr>
                <w:rFonts w:hint="eastAsia"/>
                <w:snapToGrid w:val="0"/>
                <w:sz w:val="24"/>
                <w:szCs w:val="24"/>
                <w:lang w:val="en-US" w:bidi="ar-SA"/>
              </w:rPr>
              <w:t>投标人实力</w:t>
            </w:r>
          </w:p>
        </w:tc>
        <w:tc>
          <w:tcPr>
            <w:tcW w:w="4801" w:type="dxa"/>
            <w:tcBorders>
              <w:top w:val="single" w:color="auto" w:sz="4" w:space="0"/>
              <w:left w:val="single" w:color="auto" w:sz="4" w:space="0"/>
              <w:bottom w:val="single" w:color="auto" w:sz="4" w:space="0"/>
              <w:right w:val="single" w:color="auto" w:sz="4" w:space="0"/>
            </w:tcBorders>
            <w:vAlign w:val="center"/>
          </w:tcPr>
          <w:p>
            <w:pPr>
              <w:pStyle w:val="61"/>
              <w:spacing w:line="360" w:lineRule="auto"/>
              <w:rPr>
                <w:snapToGrid w:val="0"/>
                <w:sz w:val="24"/>
                <w:szCs w:val="24"/>
                <w:lang w:val="en-US" w:bidi="ar-SA"/>
              </w:rPr>
            </w:pPr>
            <w:r>
              <w:rPr>
                <w:rFonts w:hint="eastAsia"/>
                <w:snapToGrid w:val="0"/>
                <w:sz w:val="24"/>
                <w:szCs w:val="24"/>
                <w:lang w:val="en-US" w:bidi="ar-SA"/>
              </w:rPr>
              <w:t>投标人具有中国国家认证认可监督管理委员会认证认可的机构颁发的有效的质量管理体系认证、环境管理体系认证、职业健康安全管理体系认证，每提供1项认证得1分，满分3分。</w:t>
            </w:r>
          </w:p>
          <w:p>
            <w:pPr>
              <w:pStyle w:val="61"/>
              <w:spacing w:line="360" w:lineRule="auto"/>
              <w:rPr>
                <w:sz w:val="24"/>
                <w:szCs w:val="24"/>
                <w:lang w:val="en-US" w:bidi="ar-SA"/>
              </w:rPr>
            </w:pPr>
            <w:r>
              <w:rPr>
                <w:rFonts w:hint="eastAsia"/>
                <w:b/>
                <w:bCs/>
                <w:snapToGrid w:val="0"/>
                <w:sz w:val="24"/>
                <w:szCs w:val="24"/>
                <w:lang w:val="en-US" w:bidi="ar-SA"/>
              </w:rPr>
              <w:t>注：投标文件中提供全国认证认可信息公共服务平台网站认证信息查询截图。</w:t>
            </w:r>
          </w:p>
        </w:tc>
        <w:tc>
          <w:tcPr>
            <w:tcW w:w="1237" w:type="dxa"/>
            <w:tcBorders>
              <w:top w:val="single" w:color="auto" w:sz="4" w:space="0"/>
              <w:left w:val="single" w:color="auto" w:sz="4" w:space="0"/>
              <w:bottom w:val="single" w:color="auto" w:sz="4" w:space="0"/>
              <w:right w:val="single" w:color="auto" w:sz="4" w:space="0"/>
            </w:tcBorders>
            <w:vAlign w:val="center"/>
          </w:tcPr>
          <w:p>
            <w:pPr>
              <w:spacing w:line="360" w:lineRule="auto"/>
              <w:ind w:right="96"/>
              <w:jc w:val="center"/>
              <w:rPr>
                <w:rFonts w:ascii="宋体" w:hAnsi="宋体" w:eastAsia="宋体" w:cs="宋体"/>
                <w:sz w:val="24"/>
                <w:szCs w:val="24"/>
              </w:rPr>
            </w:pPr>
            <w:r>
              <w:rPr>
                <w:rFonts w:hint="eastAsia" w:ascii="宋体" w:hAnsi="宋体" w:eastAsia="宋体" w:cs="宋体"/>
                <w:sz w:val="24"/>
                <w:szCs w:val="24"/>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
                <w:bCs/>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pStyle w:val="61"/>
              <w:spacing w:line="360" w:lineRule="auto"/>
              <w:ind w:right="96"/>
              <w:jc w:val="center"/>
              <w:rPr>
                <w:snapToGrid w:val="0"/>
                <w:sz w:val="24"/>
                <w:szCs w:val="24"/>
                <w:lang w:val="en-US" w:bidi="ar-SA"/>
              </w:rPr>
            </w:pPr>
            <w:r>
              <w:rPr>
                <w:rFonts w:hint="eastAsia"/>
                <w:snapToGrid w:val="0"/>
                <w:sz w:val="24"/>
                <w:szCs w:val="24"/>
                <w:lang w:val="en-US" w:bidi="ar-SA"/>
              </w:rPr>
              <w:t>业绩</w:t>
            </w:r>
          </w:p>
        </w:tc>
        <w:tc>
          <w:tcPr>
            <w:tcW w:w="4801" w:type="dxa"/>
            <w:tcBorders>
              <w:top w:val="single" w:color="auto" w:sz="4" w:space="0"/>
              <w:left w:val="single" w:color="auto" w:sz="4" w:space="0"/>
              <w:bottom w:val="single" w:color="auto" w:sz="4" w:space="0"/>
              <w:right w:val="single" w:color="auto" w:sz="4" w:space="0"/>
            </w:tcBorders>
            <w:vAlign w:val="center"/>
          </w:tcPr>
          <w:p>
            <w:pPr>
              <w:spacing w:after="50" w:line="360" w:lineRule="auto"/>
              <w:ind w:right="-10"/>
              <w:jc w:val="left"/>
              <w:rPr>
                <w:rFonts w:asciiTheme="minorEastAsia" w:hAnsiTheme="minorEastAsia" w:eastAsiaTheme="minorEastAsia"/>
                <w:sz w:val="24"/>
                <w:szCs w:val="28"/>
              </w:rPr>
            </w:pPr>
            <w:r>
              <w:rPr>
                <w:rFonts w:hint="eastAsia" w:asciiTheme="minorEastAsia" w:hAnsiTheme="minorEastAsia" w:eastAsiaTheme="minorEastAsia"/>
                <w:sz w:val="24"/>
                <w:szCs w:val="28"/>
              </w:rPr>
              <w:t>自2020年1月1日以来（以合同签订时间为准），</w:t>
            </w:r>
            <w:r>
              <w:rPr>
                <w:rFonts w:ascii="宋体" w:hAnsi="宋体" w:eastAsia="宋体" w:cs="宋体"/>
                <w:sz w:val="24"/>
                <w:szCs w:val="24"/>
              </w:rPr>
              <w:t>投标人具有</w:t>
            </w:r>
            <w:r>
              <w:rPr>
                <w:rFonts w:hint="eastAsia" w:asciiTheme="minorEastAsia" w:hAnsiTheme="minorEastAsia" w:eastAsiaTheme="minorEastAsia"/>
                <w:sz w:val="24"/>
                <w:szCs w:val="24"/>
              </w:rPr>
              <w:t>高等</w:t>
            </w:r>
            <w:r>
              <w:rPr>
                <w:rFonts w:hint="eastAsia" w:ascii="宋体" w:hAnsi="宋体" w:eastAsia="宋体" w:cs="宋体"/>
                <w:snapToGrid w:val="0"/>
                <w:sz w:val="24"/>
                <w:szCs w:val="24"/>
              </w:rPr>
              <w:t>院校</w:t>
            </w:r>
            <w:r>
              <w:rPr>
                <w:rFonts w:ascii="宋体" w:hAnsi="宋体" w:eastAsia="宋体" w:cs="宋体"/>
                <w:sz w:val="24"/>
                <w:szCs w:val="24"/>
              </w:rPr>
              <w:t>实训室建设或实训室设备供货安装项目业绩的</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8"/>
              </w:rPr>
              <w:t>每个业绩得1分，满分2分。</w:t>
            </w:r>
          </w:p>
          <w:p>
            <w:pPr>
              <w:spacing w:line="360" w:lineRule="auto"/>
              <w:rPr>
                <w:rFonts w:ascii="宋体" w:hAnsi="宋体" w:eastAsia="宋体" w:cs="宋体"/>
                <w:sz w:val="24"/>
                <w:szCs w:val="24"/>
              </w:rPr>
            </w:pPr>
            <w:r>
              <w:rPr>
                <w:rFonts w:hint="eastAsia" w:asciiTheme="minorEastAsia" w:hAnsiTheme="minorEastAsia" w:eastAsiaTheme="minorEastAsia"/>
                <w:b/>
                <w:bCs/>
                <w:sz w:val="24"/>
                <w:szCs w:val="28"/>
              </w:rPr>
              <w:t>注：投标文件中同时提供中标通知书、合同及验收证明材料（如验收报告等）扫描件。如提供的上述材料无法体现业绩类别、合同签订时间等关键信息的，须另附业主单位（合同甲方）提供的相关证明材料，且该证明材料须经评标委员会认可，否则不予计分。</w:t>
            </w:r>
            <w:r>
              <w:rPr>
                <w:rFonts w:hint="eastAsia" w:ascii="宋体" w:hAnsi="宋体" w:eastAsia="宋体" w:cs="宋体"/>
                <w:b/>
                <w:bCs/>
                <w:snapToGrid w:val="0"/>
                <w:sz w:val="24"/>
                <w:szCs w:val="24"/>
              </w:rPr>
              <w:t>合同签订前需原件审核。</w:t>
            </w:r>
          </w:p>
        </w:tc>
        <w:tc>
          <w:tcPr>
            <w:tcW w:w="1237" w:type="dxa"/>
            <w:tcBorders>
              <w:top w:val="single" w:color="auto" w:sz="4" w:space="0"/>
              <w:left w:val="single" w:color="auto" w:sz="4" w:space="0"/>
              <w:bottom w:val="single" w:color="auto" w:sz="4" w:space="0"/>
              <w:right w:val="single" w:color="auto" w:sz="4" w:space="0"/>
            </w:tcBorders>
            <w:vAlign w:val="center"/>
          </w:tcPr>
          <w:p>
            <w:pPr>
              <w:spacing w:line="360" w:lineRule="auto"/>
              <w:ind w:right="96"/>
              <w:jc w:val="center"/>
              <w:rPr>
                <w:rFonts w:ascii="宋体" w:hAnsi="宋体" w:eastAsia="宋体" w:cs="宋体"/>
                <w:sz w:val="24"/>
                <w:szCs w:val="24"/>
              </w:rPr>
            </w:pPr>
            <w:r>
              <w:rPr>
                <w:rFonts w:hint="eastAsia" w:ascii="宋体" w:hAnsi="宋体" w:eastAsia="宋体" w:cs="宋体"/>
                <w:sz w:val="24"/>
                <w:szCs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Borders>
              <w:left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价格分</w:t>
            </w:r>
          </w:p>
          <w:p>
            <w:pPr>
              <w:spacing w:line="360" w:lineRule="auto"/>
              <w:jc w:val="center"/>
              <w:rPr>
                <w:rFonts w:ascii="宋体" w:hAnsi="宋体" w:eastAsia="宋体" w:cs="宋体"/>
                <w:b/>
                <w:bCs/>
                <w:sz w:val="24"/>
                <w:szCs w:val="24"/>
              </w:rPr>
            </w:pPr>
            <w:r>
              <w:rPr>
                <w:rFonts w:hint="eastAsia" w:ascii="宋体" w:hAnsi="宋体" w:eastAsia="宋体" w:cs="宋体"/>
                <w:sz w:val="24"/>
                <w:szCs w:val="24"/>
              </w:rPr>
              <w:t>（</w:t>
            </w:r>
            <w:r>
              <w:rPr>
                <w:rFonts w:hint="eastAsia" w:ascii="宋体" w:hAnsi="宋体" w:eastAsia="宋体" w:cs="宋体"/>
                <w:sz w:val="24"/>
                <w:szCs w:val="24"/>
                <w:u w:val="single"/>
              </w:rPr>
              <w:t xml:space="preserve"> 30  </w:t>
            </w:r>
            <w:r>
              <w:rPr>
                <w:rFonts w:hint="eastAsia" w:ascii="宋体" w:hAnsi="宋体" w:eastAsia="宋体" w:cs="宋体"/>
                <w:sz w:val="24"/>
                <w:szCs w:val="24"/>
              </w:rPr>
              <w:t>分）</w:t>
            </w:r>
          </w:p>
        </w:tc>
        <w:tc>
          <w:tcPr>
            <w:tcW w:w="755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b/>
                <w:bCs/>
                <w:sz w:val="24"/>
              </w:rPr>
            </w:pPr>
            <w:r>
              <w:rPr>
                <w:rFonts w:hint="eastAsia" w:asciiTheme="minorEastAsia" w:hAnsiTheme="minorEastAsia" w:eastAsiaTheme="minorEastAsia"/>
                <w:b/>
                <w:bCs/>
                <w:sz w:val="24"/>
              </w:rPr>
              <w:t>价格分统一采用低价优先法，即满足招标文件要求且投标价格最低的投标报价为评标基准价，其价格分为满分</w:t>
            </w:r>
            <w:r>
              <w:rPr>
                <w:rFonts w:hint="eastAsia" w:asciiTheme="minorEastAsia" w:hAnsiTheme="minorEastAsia" w:eastAsiaTheme="minorEastAsia"/>
                <w:b/>
                <w:bCs/>
                <w:sz w:val="24"/>
                <w:u w:val="single"/>
              </w:rPr>
              <w:t>30</w:t>
            </w:r>
            <w:r>
              <w:rPr>
                <w:rFonts w:hint="eastAsia" w:asciiTheme="minorEastAsia" w:hAnsiTheme="minorEastAsia" w:eastAsiaTheme="minorEastAsia"/>
                <w:b/>
                <w:bCs/>
                <w:sz w:val="24"/>
              </w:rPr>
              <w:t>分。其他投标人的价格分统一按照下列公式计算：</w:t>
            </w:r>
          </w:p>
          <w:p>
            <w:pPr>
              <w:spacing w:line="360" w:lineRule="auto"/>
              <w:rPr>
                <w:rFonts w:ascii="宋体" w:hAnsi="宋体" w:eastAsia="宋体" w:cs="宋体"/>
                <w:b/>
                <w:bCs/>
                <w:sz w:val="24"/>
                <w:szCs w:val="24"/>
              </w:rPr>
            </w:pPr>
            <w:r>
              <w:rPr>
                <w:rFonts w:hint="eastAsia" w:asciiTheme="minorEastAsia" w:hAnsiTheme="minorEastAsia" w:eastAsiaTheme="minorEastAsia"/>
                <w:b/>
                <w:bCs/>
                <w:sz w:val="24"/>
              </w:rPr>
              <w:t>投标报价得分＝（评标基准价/投标报价）×</w:t>
            </w:r>
            <w:r>
              <w:rPr>
                <w:rFonts w:hint="eastAsia" w:asciiTheme="minorEastAsia" w:hAnsiTheme="minorEastAsia" w:eastAsiaTheme="minorEastAsia"/>
                <w:b/>
                <w:bCs/>
                <w:sz w:val="24"/>
                <w:u w:val="single"/>
              </w:rPr>
              <w:t>30</w:t>
            </w:r>
            <w:r>
              <w:rPr>
                <w:rFonts w:hint="eastAsia" w:asciiTheme="minorEastAsia" w:hAnsiTheme="minorEastAsia" w:eastAsiaTheme="minorEastAsia"/>
                <w:b/>
                <w:bCs/>
                <w:sz w:val="24"/>
              </w:rPr>
              <w:t>％×100</w:t>
            </w:r>
          </w:p>
        </w:tc>
      </w:tr>
    </w:tbl>
    <w:p>
      <w:pPr>
        <w:pStyle w:val="3"/>
        <w:spacing w:line="240" w:lineRule="auto"/>
        <w:jc w:val="center"/>
        <w:rPr>
          <w:rFonts w:ascii="宋体" w:hAnsi="宋体" w:eastAsia="宋体" w:cs="宋体"/>
          <w:sz w:val="24"/>
          <w:szCs w:val="24"/>
        </w:rPr>
      </w:pPr>
      <w:r>
        <w:rPr>
          <w:rFonts w:hint="eastAsia" w:ascii="宋体" w:hAnsi="宋体" w:eastAsia="宋体" w:cs="宋体"/>
          <w:sz w:val="24"/>
          <w:szCs w:val="24"/>
        </w:rPr>
        <w:t>产教融合实训基地建设项目（第一、二包）（第二包）评标标准</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12"/>
        <w:gridCol w:w="4800"/>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类别</w:t>
            </w: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评分项目</w:t>
            </w:r>
          </w:p>
        </w:tc>
        <w:tc>
          <w:tcPr>
            <w:tcW w:w="48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评分内容及标准</w:t>
            </w:r>
          </w:p>
        </w:tc>
        <w:tc>
          <w:tcPr>
            <w:tcW w:w="123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技术资信分</w:t>
            </w:r>
          </w:p>
          <w:p>
            <w:pPr>
              <w:spacing w:line="360" w:lineRule="auto"/>
              <w:jc w:val="center"/>
              <w:rPr>
                <w:rFonts w:ascii="宋体" w:hAnsi="宋体" w:eastAsia="宋体" w:cs="宋体"/>
                <w:b/>
                <w:bCs/>
                <w:sz w:val="24"/>
                <w:szCs w:val="24"/>
              </w:rPr>
            </w:pPr>
            <w:r>
              <w:rPr>
                <w:rFonts w:hint="eastAsia" w:ascii="宋体" w:hAnsi="宋体" w:eastAsia="宋体" w:cs="宋体"/>
                <w:sz w:val="24"/>
                <w:szCs w:val="24"/>
              </w:rPr>
              <w:t>（</w:t>
            </w:r>
            <w:r>
              <w:rPr>
                <w:rFonts w:hint="eastAsia" w:ascii="宋体" w:hAnsi="宋体" w:eastAsia="宋体" w:cs="宋体"/>
                <w:sz w:val="24"/>
                <w:szCs w:val="24"/>
                <w:u w:val="single"/>
              </w:rPr>
              <w:t xml:space="preserve"> 70  </w:t>
            </w:r>
            <w:r>
              <w:rPr>
                <w:rFonts w:hint="eastAsia" w:ascii="宋体" w:hAnsi="宋体" w:eastAsia="宋体" w:cs="宋体"/>
                <w:sz w:val="24"/>
                <w:szCs w:val="24"/>
              </w:rPr>
              <w:t>分）</w:t>
            </w: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技术参数响应情况</w:t>
            </w:r>
          </w:p>
        </w:tc>
        <w:tc>
          <w:tcPr>
            <w:tcW w:w="4800" w:type="dxa"/>
            <w:tcBorders>
              <w:top w:val="single" w:color="auto" w:sz="4" w:space="0"/>
              <w:left w:val="single" w:color="auto" w:sz="4" w:space="0"/>
              <w:bottom w:val="single" w:color="auto" w:sz="4" w:space="0"/>
              <w:right w:val="single" w:color="auto" w:sz="4" w:space="0"/>
            </w:tcBorders>
            <w:vAlign w:val="center"/>
          </w:tcPr>
          <w:p>
            <w:pPr>
              <w:pStyle w:val="8"/>
              <w:spacing w:line="360" w:lineRule="auto"/>
              <w:rPr>
                <w:rFonts w:ascii="宋体" w:hAnsi="宋体" w:eastAsia="宋体" w:cs="宋体"/>
                <w:sz w:val="24"/>
                <w:szCs w:val="24"/>
              </w:rPr>
            </w:pPr>
            <w:r>
              <w:rPr>
                <w:rFonts w:hint="eastAsia" w:ascii="宋体" w:hAnsi="宋体" w:eastAsia="宋体" w:cs="宋体"/>
                <w:sz w:val="24"/>
                <w:szCs w:val="24"/>
              </w:rPr>
              <w:t xml:space="preserve">1、标注“★”的技术参数，代表重要指标，满足或优于该项指标， 得1.5分，共20项，共计30分； </w:t>
            </w:r>
          </w:p>
          <w:p>
            <w:pPr>
              <w:widowControl/>
              <w:spacing w:line="360" w:lineRule="auto"/>
              <w:jc w:val="left"/>
              <w:rPr>
                <w:rFonts w:ascii="宋体" w:hAnsi="宋体" w:eastAsia="宋体" w:cs="宋体"/>
                <w:sz w:val="24"/>
                <w:szCs w:val="24"/>
              </w:rPr>
            </w:pPr>
            <w:r>
              <w:rPr>
                <w:rFonts w:hint="eastAsia" w:ascii="宋体" w:hAnsi="宋体" w:eastAsia="宋体" w:cs="宋体"/>
                <w:sz w:val="24"/>
                <w:szCs w:val="24"/>
              </w:rPr>
              <w:t>2、标注“</w:t>
            </w:r>
            <w:r>
              <w:rPr>
                <w:rFonts w:hint="eastAsia" w:ascii="宋体" w:hAnsi="宋体" w:eastAsia="宋体" w:cs="宋体"/>
                <w:kern w:val="0"/>
                <w:sz w:val="24"/>
                <w:szCs w:val="24"/>
                <w:lang w:bidi="ar"/>
              </w:rPr>
              <w:t>■</w:t>
            </w:r>
            <w:r>
              <w:rPr>
                <w:rFonts w:hint="eastAsia" w:ascii="宋体" w:hAnsi="宋体" w:eastAsia="宋体" w:cs="宋体"/>
                <w:sz w:val="24"/>
                <w:szCs w:val="24"/>
              </w:rPr>
              <w:t>”的技术参数，代表一般指标，满足或优于该项指标， 得1分，共14项，共计14分；</w:t>
            </w:r>
          </w:p>
          <w:p>
            <w:pPr>
              <w:pStyle w:val="8"/>
              <w:spacing w:line="360" w:lineRule="auto"/>
              <w:rPr>
                <w:rFonts w:ascii="宋体" w:hAnsi="宋体" w:eastAsia="宋体" w:cs="宋体"/>
                <w:sz w:val="24"/>
                <w:szCs w:val="24"/>
              </w:rPr>
            </w:pPr>
            <w:r>
              <w:rPr>
                <w:rFonts w:hint="eastAsia" w:ascii="宋体" w:hAnsi="宋体" w:eastAsia="宋体" w:cs="宋体"/>
                <w:sz w:val="24"/>
                <w:szCs w:val="24"/>
              </w:rPr>
              <w:t>带★项技术参数负偏离数量大于10项，技术参数得分为0分。</w:t>
            </w:r>
          </w:p>
          <w:p>
            <w:pPr>
              <w:pStyle w:val="8"/>
              <w:spacing w:line="360" w:lineRule="auto"/>
              <w:rPr>
                <w:rFonts w:ascii="宋体" w:hAnsi="宋体" w:eastAsia="宋体" w:cs="宋体"/>
                <w:b/>
                <w:sz w:val="24"/>
                <w:szCs w:val="24"/>
              </w:rPr>
            </w:pPr>
            <w:r>
              <w:rPr>
                <w:rFonts w:hint="eastAsia" w:ascii="宋体" w:hAnsi="宋体" w:eastAsia="宋体" w:cs="宋体"/>
                <w:b/>
                <w:sz w:val="24"/>
                <w:szCs w:val="24"/>
              </w:rPr>
              <w:t>注：以投标响应表和“货物需求表”中需求的证明材料需求作为评审依据。</w:t>
            </w:r>
          </w:p>
        </w:tc>
        <w:tc>
          <w:tcPr>
            <w:tcW w:w="123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0-44分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jc w:val="center"/>
              <w:rPr>
                <w:rFonts w:ascii="宋体" w:hAnsi="宋体" w:eastAsia="宋体" w:cs="宋体"/>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设备演示</w:t>
            </w:r>
          </w:p>
        </w:tc>
        <w:tc>
          <w:tcPr>
            <w:tcW w:w="48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textAlignment w:val="center"/>
              <w:rPr>
                <w:rFonts w:ascii="宋体" w:hAnsi="宋体" w:eastAsia="宋体" w:cs="宋体"/>
                <w:sz w:val="24"/>
                <w:szCs w:val="24"/>
              </w:rPr>
            </w:pPr>
            <w:r>
              <w:rPr>
                <w:rFonts w:hint="eastAsia" w:ascii="宋体" w:hAnsi="宋体" w:eastAsia="宋体" w:cs="宋体"/>
                <w:sz w:val="24"/>
                <w:szCs w:val="24"/>
              </w:rPr>
              <w:t>评审委员根据投标供应商所投产品的演示完整进行综合评分，包含产品架构完整、功能全面性、界面友好性：</w:t>
            </w:r>
          </w:p>
          <w:p>
            <w:pPr>
              <w:widowControl/>
              <w:spacing w:line="360" w:lineRule="auto"/>
              <w:jc w:val="left"/>
              <w:textAlignment w:val="center"/>
              <w:rPr>
                <w:rFonts w:ascii="宋体" w:hAnsi="宋体" w:eastAsia="宋体" w:cs="宋体"/>
                <w:sz w:val="24"/>
                <w:szCs w:val="24"/>
                <w:lang w:bidi="ar"/>
              </w:rPr>
            </w:pPr>
            <w:r>
              <w:rPr>
                <w:rFonts w:hint="eastAsia" w:ascii="宋体" w:hAnsi="宋体" w:eastAsia="宋体" w:cs="宋体"/>
                <w:sz w:val="24"/>
                <w:szCs w:val="24"/>
              </w:rPr>
              <w:t>1、采购需求中“</w:t>
            </w:r>
            <w:r>
              <w:rPr>
                <w:rFonts w:hint="eastAsia" w:ascii="宋体" w:hAnsi="宋体" w:eastAsia="宋体" w:cs="宋体"/>
                <w:sz w:val="24"/>
                <w:szCs w:val="24"/>
                <w:lang w:bidi="ar"/>
              </w:rPr>
              <w:t>飞机维护修理训练模拟实训系统-教师端</w:t>
            </w:r>
            <w:r>
              <w:rPr>
                <w:rFonts w:hint="eastAsia" w:ascii="宋体" w:hAnsi="宋体" w:eastAsia="宋体" w:cs="宋体"/>
                <w:sz w:val="24"/>
                <w:szCs w:val="24"/>
              </w:rPr>
              <w:t>”中“</w:t>
            </w:r>
            <w:r>
              <w:rPr>
                <w:rFonts w:hint="eastAsia" w:ascii="宋体" w:hAnsi="宋体" w:eastAsia="宋体" w:cs="宋体"/>
                <w:kern w:val="0"/>
                <w:sz w:val="24"/>
                <w:szCs w:val="24"/>
                <w:lang w:bidi="ar"/>
              </w:rPr>
              <w:t>●</w:t>
            </w:r>
            <w:r>
              <w:rPr>
                <w:rFonts w:hint="eastAsia" w:ascii="宋体" w:hAnsi="宋体" w:eastAsia="宋体" w:cs="宋体"/>
                <w:sz w:val="24"/>
                <w:szCs w:val="24"/>
                <w:lang w:bidi="ar"/>
              </w:rPr>
              <w:t>4.飞机维护修理训练模拟实训系统为一个通用的多机型平台，至少包括民航飞机机型B737CL、B737NG、B787、B737MAX、A320NEO、A320、A350、C919和通航R44直升机机型共计九种机型，平台功能需满足：</w:t>
            </w:r>
          </w:p>
          <w:p>
            <w:pPr>
              <w:widowControl/>
              <w:spacing w:line="360" w:lineRule="auto"/>
              <w:jc w:val="left"/>
              <w:textAlignment w:val="center"/>
              <w:rPr>
                <w:rFonts w:ascii="宋体" w:hAnsi="宋体" w:eastAsia="宋体" w:cs="宋体"/>
                <w:sz w:val="24"/>
                <w:szCs w:val="24"/>
              </w:rPr>
            </w:pPr>
            <w:r>
              <w:rPr>
                <w:rFonts w:hint="eastAsia" w:ascii="宋体" w:hAnsi="宋体" w:eastAsia="宋体" w:cs="宋体"/>
                <w:sz w:val="24"/>
                <w:szCs w:val="24"/>
                <w:lang w:bidi="ar"/>
              </w:rPr>
              <w:t>（1）教</w:t>
            </w:r>
            <w:r>
              <w:rPr>
                <w:rFonts w:hint="eastAsia" w:ascii="宋体" w:hAnsi="宋体" w:eastAsia="宋体" w:cs="宋体"/>
                <w:sz w:val="24"/>
                <w:szCs w:val="24"/>
              </w:rPr>
              <w:t>师端九种机型应当能够实时自由切换，切换时间不应超过30秒；</w:t>
            </w:r>
            <w:r>
              <w:rPr>
                <w:rFonts w:hint="eastAsia" w:ascii="宋体" w:hAnsi="宋体" w:eastAsia="宋体" w:cs="宋体"/>
                <w:sz w:val="24"/>
                <w:szCs w:val="24"/>
              </w:rPr>
              <w:br w:type="textWrapping"/>
            </w:r>
            <w:r>
              <w:rPr>
                <w:rFonts w:hint="eastAsia" w:ascii="宋体" w:hAnsi="宋体" w:eastAsia="宋体" w:cs="宋体"/>
                <w:sz w:val="24"/>
                <w:szCs w:val="24"/>
              </w:rPr>
              <w:t>（2）机型系统需为自由操作（FreePlay）模式，驾驶舱所有面板和部件可能够自由操作，不受科目限制；</w:t>
            </w:r>
            <w:r>
              <w:rPr>
                <w:rFonts w:hint="eastAsia" w:ascii="宋体" w:hAnsi="宋体" w:eastAsia="宋体" w:cs="宋体"/>
                <w:sz w:val="24"/>
                <w:szCs w:val="24"/>
              </w:rPr>
              <w:br w:type="textWrapping"/>
            </w:r>
            <w:r>
              <w:rPr>
                <w:rFonts w:hint="eastAsia" w:ascii="宋体" w:hAnsi="宋体" w:eastAsia="宋体" w:cs="宋体"/>
                <w:sz w:val="24"/>
                <w:szCs w:val="24"/>
              </w:rPr>
              <w:t>（3）通电测试（FOT）：需实现驾驶舱通电测试功能，具备设备面板操作、MCDU测试操作，操作模拟；</w:t>
            </w:r>
          </w:p>
          <w:p>
            <w:pPr>
              <w:widowControl/>
              <w:spacing w:line="360" w:lineRule="auto"/>
              <w:jc w:val="left"/>
              <w:textAlignment w:val="center"/>
              <w:rPr>
                <w:rFonts w:ascii="宋体" w:hAnsi="宋体" w:eastAsia="宋体" w:cs="宋体"/>
                <w:sz w:val="24"/>
                <w:szCs w:val="24"/>
              </w:rPr>
            </w:pPr>
            <w:r>
              <w:rPr>
                <w:rFonts w:hint="eastAsia" w:ascii="宋体" w:hAnsi="宋体" w:eastAsia="宋体" w:cs="宋体"/>
                <w:sz w:val="24"/>
                <w:szCs w:val="24"/>
              </w:rPr>
              <w:t>（4）系统显示分别为虚拟座舱屏、虚拟飞机屏、训练控制屏，界面需为全屏模式，适配分辨率1920*1080；</w:t>
            </w:r>
          </w:p>
          <w:p>
            <w:pPr>
              <w:widowControl/>
              <w:spacing w:line="360" w:lineRule="auto"/>
              <w:jc w:val="left"/>
              <w:rPr>
                <w:rFonts w:ascii="宋体" w:hAnsi="宋体" w:eastAsia="宋体" w:cs="宋体"/>
                <w:sz w:val="24"/>
                <w:szCs w:val="24"/>
              </w:rPr>
            </w:pPr>
            <w:r>
              <w:rPr>
                <w:rFonts w:hint="eastAsia" w:ascii="宋体" w:hAnsi="宋体" w:eastAsia="宋体" w:cs="宋体"/>
                <w:sz w:val="24"/>
                <w:szCs w:val="24"/>
              </w:rPr>
              <w:t>（5）C919机型为全三维虚拟飞机实训系统；”</w:t>
            </w:r>
          </w:p>
          <w:p>
            <w:pPr>
              <w:widowControl/>
              <w:spacing w:line="360" w:lineRule="auto"/>
              <w:jc w:val="left"/>
              <w:rPr>
                <w:rFonts w:ascii="宋体" w:hAnsi="宋体" w:eastAsia="宋体" w:cs="宋体"/>
                <w:b/>
                <w:bCs/>
                <w:sz w:val="24"/>
                <w:szCs w:val="24"/>
              </w:rPr>
            </w:pPr>
            <w:r>
              <w:rPr>
                <w:rFonts w:hint="eastAsia" w:ascii="宋体" w:hAnsi="宋体" w:eastAsia="宋体" w:cs="宋体"/>
                <w:b/>
                <w:bCs/>
                <w:kern w:val="0"/>
                <w:sz w:val="24"/>
                <w:szCs w:val="24"/>
                <w:lang w:bidi="ar"/>
              </w:rPr>
              <w:t>全部演示完成的，得 3分，否则不得分；</w:t>
            </w:r>
          </w:p>
          <w:p>
            <w:pPr>
              <w:widowControl/>
              <w:spacing w:line="360" w:lineRule="auto"/>
              <w:jc w:val="left"/>
              <w:rPr>
                <w:rFonts w:ascii="宋体" w:hAnsi="宋体" w:eastAsia="宋体" w:cs="宋体"/>
                <w:sz w:val="24"/>
                <w:szCs w:val="24"/>
              </w:rPr>
            </w:pPr>
            <w:r>
              <w:rPr>
                <w:rFonts w:hint="eastAsia" w:ascii="宋体" w:hAnsi="宋体" w:eastAsia="宋体" w:cs="宋体"/>
                <w:b/>
                <w:bCs/>
                <w:kern w:val="0"/>
                <w:sz w:val="24"/>
                <w:szCs w:val="24"/>
                <w:lang w:bidi="ar"/>
              </w:rPr>
              <w:t>2、</w:t>
            </w:r>
            <w:r>
              <w:rPr>
                <w:rFonts w:hint="eastAsia" w:ascii="宋体" w:hAnsi="宋体" w:eastAsia="宋体" w:cs="宋体"/>
                <w:sz w:val="24"/>
                <w:szCs w:val="24"/>
              </w:rPr>
              <w:t>采购需求中“</w:t>
            </w:r>
            <w:r>
              <w:rPr>
                <w:rFonts w:hint="eastAsia" w:ascii="宋体" w:hAnsi="宋体" w:eastAsia="宋体" w:cs="宋体"/>
                <w:sz w:val="24"/>
                <w:szCs w:val="24"/>
                <w:lang w:bidi="ar"/>
              </w:rPr>
              <w:t>机务维修及模拟飞行模拟器</w:t>
            </w:r>
            <w:r>
              <w:rPr>
                <w:rFonts w:hint="eastAsia" w:ascii="宋体" w:hAnsi="宋体" w:eastAsia="宋体" w:cs="宋体"/>
                <w:sz w:val="24"/>
                <w:szCs w:val="24"/>
              </w:rPr>
              <w:t>”中“</w:t>
            </w:r>
            <w:r>
              <w:rPr>
                <w:rFonts w:hint="eastAsia" w:ascii="宋体" w:hAnsi="宋体" w:eastAsia="宋体" w:cs="宋体"/>
                <w:kern w:val="0"/>
                <w:sz w:val="24"/>
                <w:szCs w:val="24"/>
                <w:lang w:bidi="ar"/>
              </w:rPr>
              <w:t>●</w:t>
            </w:r>
            <w:r>
              <w:rPr>
                <w:rFonts w:hint="eastAsia" w:ascii="宋体" w:hAnsi="宋体" w:eastAsia="宋体" w:cs="宋体"/>
                <w:sz w:val="24"/>
                <w:szCs w:val="24"/>
                <w:lang w:bidi="ar"/>
              </w:rPr>
              <w:t>2）CDU使用</w:t>
            </w:r>
            <w:r>
              <w:rPr>
                <w:rFonts w:hint="eastAsia" w:ascii="宋体" w:hAnsi="宋体" w:eastAsia="宋体" w:cs="宋体"/>
                <w:sz w:val="24"/>
                <w:szCs w:val="24"/>
              </w:rPr>
              <w:t>与真机一致尺寸</w:t>
            </w:r>
            <w:r>
              <w:rPr>
                <w:rFonts w:hint="eastAsia" w:ascii="宋体" w:hAnsi="宋体" w:eastAsia="宋体" w:cs="宋体"/>
                <w:sz w:val="24"/>
                <w:szCs w:val="24"/>
                <w:lang w:bidi="ar"/>
              </w:rPr>
              <w:t>显示屏，</w:t>
            </w:r>
            <w:r>
              <w:rPr>
                <w:rFonts w:hint="eastAsia" w:ascii="宋体" w:hAnsi="宋体" w:eastAsia="宋体" w:cs="宋体"/>
                <w:sz w:val="24"/>
                <w:szCs w:val="24"/>
              </w:rPr>
              <w:t>亮度可调，显示字体，字体大小，字体颜色均与飞机相当，数据整屏刷新无卡顿，</w:t>
            </w:r>
            <w:r>
              <w:rPr>
                <w:rFonts w:hint="eastAsia" w:ascii="宋体" w:hAnsi="宋体" w:eastAsia="宋体" w:cs="宋体"/>
                <w:sz w:val="24"/>
                <w:szCs w:val="24"/>
                <w:lang w:bidi="ar"/>
              </w:rPr>
              <w:t>应当具备机务维修全部测试功能，具体包括：（1）-（8）页面功能</w:t>
            </w:r>
            <w:r>
              <w:rPr>
                <w:rFonts w:hint="eastAsia" w:ascii="宋体" w:hAnsi="宋体" w:eastAsia="宋体" w:cs="宋体"/>
                <w:sz w:val="24"/>
                <w:szCs w:val="24"/>
              </w:rPr>
              <w:t>”</w:t>
            </w:r>
          </w:p>
          <w:p>
            <w:pPr>
              <w:widowControl/>
              <w:spacing w:line="360" w:lineRule="auto"/>
              <w:jc w:val="left"/>
              <w:rPr>
                <w:rFonts w:ascii="宋体" w:hAnsi="宋体" w:eastAsia="宋体" w:cs="宋体"/>
                <w:sz w:val="24"/>
                <w:szCs w:val="24"/>
                <w:lang w:bidi="ar"/>
              </w:rPr>
            </w:pPr>
            <w:r>
              <w:rPr>
                <w:rFonts w:hint="eastAsia" w:ascii="宋体" w:hAnsi="宋体" w:eastAsia="宋体" w:cs="宋体"/>
                <w:b/>
                <w:bCs/>
                <w:kern w:val="0"/>
                <w:sz w:val="24"/>
                <w:szCs w:val="24"/>
                <w:lang w:bidi="ar"/>
              </w:rPr>
              <w:t>全部演示完成的，得 2 分，否则不得分；</w:t>
            </w:r>
            <w:r>
              <w:rPr>
                <w:rFonts w:hint="eastAsia" w:ascii="宋体" w:hAnsi="宋体" w:eastAsia="宋体" w:cs="宋体"/>
                <w:sz w:val="24"/>
                <w:szCs w:val="24"/>
              </w:rPr>
              <w:br w:type="textWrapping"/>
            </w:r>
            <w:r>
              <w:rPr>
                <w:rFonts w:hint="eastAsia" w:ascii="宋体" w:hAnsi="宋体" w:eastAsia="宋体" w:cs="宋体"/>
                <w:sz w:val="24"/>
                <w:szCs w:val="24"/>
              </w:rPr>
              <w:t>3、采购需求中“</w:t>
            </w:r>
            <w:r>
              <w:rPr>
                <w:rFonts w:hint="eastAsia" w:ascii="宋体" w:hAnsi="宋体" w:eastAsia="宋体" w:cs="宋体"/>
                <w:sz w:val="24"/>
                <w:szCs w:val="24"/>
                <w:lang w:bidi="ar"/>
              </w:rPr>
              <w:t>机务维修及模拟飞行模拟器</w:t>
            </w:r>
            <w:r>
              <w:rPr>
                <w:rFonts w:hint="eastAsia" w:ascii="宋体" w:hAnsi="宋体" w:eastAsia="宋体" w:cs="宋体"/>
                <w:sz w:val="24"/>
                <w:szCs w:val="24"/>
              </w:rPr>
              <w:t>”中“</w:t>
            </w:r>
            <w:r>
              <w:rPr>
                <w:rFonts w:hint="eastAsia" w:ascii="宋体" w:hAnsi="宋体" w:eastAsia="宋体" w:cs="宋体"/>
                <w:kern w:val="0"/>
                <w:sz w:val="24"/>
                <w:szCs w:val="24"/>
                <w:lang w:bidi="ar"/>
              </w:rPr>
              <w:t>●</w:t>
            </w:r>
            <w:r>
              <w:rPr>
                <w:rFonts w:hint="eastAsia" w:ascii="宋体" w:hAnsi="宋体" w:eastAsia="宋体" w:cs="宋体"/>
                <w:sz w:val="24"/>
                <w:szCs w:val="24"/>
                <w:lang w:bidi="ar"/>
              </w:rPr>
              <w:t>5.</w:t>
            </w:r>
            <w:r>
              <w:rPr>
                <w:rFonts w:hint="eastAsia" w:ascii="宋体" w:hAnsi="宋体" w:eastAsia="宋体" w:cs="宋体"/>
                <w:sz w:val="24"/>
                <w:szCs w:val="24"/>
              </w:rPr>
              <w:t>视景系统：拼接屏结构视景，并列安装在外壳内部，能够覆盖正副驾驶员的飞行视角</w:t>
            </w:r>
            <w:r>
              <w:rPr>
                <w:rFonts w:hint="eastAsia" w:ascii="宋体" w:hAnsi="宋体" w:eastAsia="宋体" w:cs="宋体"/>
                <w:sz w:val="24"/>
                <w:szCs w:val="24"/>
                <w:lang w:bidi="ar"/>
              </w:rPr>
              <w:t>；</w:t>
            </w:r>
          </w:p>
          <w:p>
            <w:pPr>
              <w:widowControl/>
              <w:spacing w:line="360" w:lineRule="auto"/>
              <w:jc w:val="left"/>
              <w:rPr>
                <w:rFonts w:ascii="宋体" w:hAnsi="宋体" w:eastAsia="宋体" w:cs="宋体"/>
                <w:sz w:val="24"/>
                <w:szCs w:val="24"/>
                <w:lang w:bidi="ar"/>
              </w:rPr>
            </w:pPr>
            <w:r>
              <w:rPr>
                <w:rFonts w:hint="eastAsia" w:ascii="宋体" w:hAnsi="宋体" w:eastAsia="宋体" w:cs="宋体"/>
                <w:sz w:val="24"/>
                <w:szCs w:val="24"/>
                <w:lang w:bidi="ar"/>
              </w:rPr>
              <w:t>1)视景屏幕数量：不低于5个；</w:t>
            </w:r>
          </w:p>
          <w:p>
            <w:pPr>
              <w:widowControl/>
              <w:spacing w:line="360" w:lineRule="auto"/>
              <w:jc w:val="left"/>
              <w:rPr>
                <w:rFonts w:ascii="宋体" w:hAnsi="宋体" w:eastAsia="宋体" w:cs="宋体"/>
                <w:sz w:val="24"/>
                <w:szCs w:val="24"/>
                <w:lang w:bidi="ar"/>
              </w:rPr>
            </w:pPr>
            <w:r>
              <w:rPr>
                <w:rFonts w:hint="eastAsia" w:ascii="宋体" w:hAnsi="宋体" w:eastAsia="宋体" w:cs="宋体"/>
                <w:sz w:val="24"/>
                <w:szCs w:val="24"/>
                <w:lang w:bidi="ar"/>
              </w:rPr>
              <w:t>2)视景结构形式：横向并列；</w:t>
            </w:r>
          </w:p>
          <w:p>
            <w:pPr>
              <w:widowControl/>
              <w:spacing w:line="360" w:lineRule="auto"/>
              <w:jc w:val="left"/>
              <w:rPr>
                <w:rFonts w:ascii="宋体" w:hAnsi="宋体" w:eastAsia="宋体" w:cs="宋体"/>
                <w:sz w:val="24"/>
                <w:szCs w:val="24"/>
                <w:lang w:bidi="ar"/>
              </w:rPr>
            </w:pPr>
            <w:r>
              <w:rPr>
                <w:rFonts w:hint="eastAsia" w:ascii="宋体" w:hAnsi="宋体" w:eastAsia="宋体" w:cs="宋体"/>
                <w:sz w:val="24"/>
                <w:szCs w:val="24"/>
                <w:lang w:bidi="ar"/>
              </w:rPr>
              <w:t>3)单个视景显示分辨率：不低于1920×1080；</w:t>
            </w:r>
          </w:p>
          <w:p>
            <w:pPr>
              <w:widowControl/>
              <w:spacing w:line="360" w:lineRule="auto"/>
              <w:jc w:val="left"/>
              <w:rPr>
                <w:rFonts w:ascii="宋体" w:hAnsi="宋体" w:eastAsia="宋体" w:cs="宋体"/>
                <w:sz w:val="24"/>
                <w:szCs w:val="24"/>
                <w:lang w:bidi="ar"/>
              </w:rPr>
            </w:pPr>
            <w:r>
              <w:rPr>
                <w:rFonts w:hint="eastAsia" w:ascii="宋体" w:hAnsi="宋体" w:eastAsia="宋体" w:cs="宋体"/>
                <w:sz w:val="24"/>
                <w:szCs w:val="24"/>
                <w:lang w:bidi="ar"/>
              </w:rPr>
              <w:t>4)单个视景显示尺寸不低于43寸；</w:t>
            </w:r>
          </w:p>
          <w:p>
            <w:pPr>
              <w:widowControl/>
              <w:spacing w:line="360" w:lineRule="auto"/>
              <w:jc w:val="left"/>
              <w:rPr>
                <w:rFonts w:ascii="宋体" w:hAnsi="宋体" w:eastAsia="宋体" w:cs="宋体"/>
                <w:sz w:val="24"/>
                <w:szCs w:val="24"/>
                <w:lang w:bidi="ar"/>
              </w:rPr>
            </w:pPr>
            <w:r>
              <w:rPr>
                <w:rFonts w:hint="eastAsia" w:ascii="宋体" w:hAnsi="宋体" w:eastAsia="宋体" w:cs="宋体"/>
                <w:sz w:val="24"/>
                <w:szCs w:val="24"/>
                <w:lang w:bidi="ar"/>
              </w:rPr>
              <w:t>5)视景水平视场角：不低于180°；</w:t>
            </w:r>
          </w:p>
          <w:p>
            <w:pPr>
              <w:widowControl/>
              <w:spacing w:line="360" w:lineRule="auto"/>
              <w:jc w:val="left"/>
              <w:rPr>
                <w:rFonts w:ascii="宋体" w:hAnsi="宋体" w:eastAsia="宋体" w:cs="宋体"/>
                <w:sz w:val="24"/>
                <w:szCs w:val="24"/>
                <w:lang w:bidi="ar"/>
              </w:rPr>
            </w:pPr>
            <w:r>
              <w:rPr>
                <w:rFonts w:hint="eastAsia" w:ascii="宋体" w:hAnsi="宋体" w:eastAsia="宋体" w:cs="宋体"/>
                <w:sz w:val="24"/>
                <w:szCs w:val="24"/>
                <w:lang w:bidi="ar"/>
              </w:rPr>
              <w:t>6)视景垂直视场：覆盖正副驾驶的风挡、侧舷窗；</w:t>
            </w:r>
          </w:p>
          <w:p>
            <w:pPr>
              <w:widowControl/>
              <w:spacing w:line="360" w:lineRule="auto"/>
              <w:jc w:val="left"/>
              <w:rPr>
                <w:rFonts w:ascii="宋体" w:hAnsi="宋体" w:eastAsia="宋体" w:cs="宋体"/>
                <w:sz w:val="24"/>
                <w:szCs w:val="24"/>
              </w:rPr>
            </w:pPr>
            <w:r>
              <w:rPr>
                <w:rFonts w:hint="eastAsia" w:ascii="宋体" w:hAnsi="宋体" w:eastAsia="宋体" w:cs="宋体"/>
                <w:sz w:val="24"/>
                <w:szCs w:val="24"/>
                <w:lang w:bidi="ar"/>
              </w:rPr>
              <w:t>7)视景设备置于舱内，不影响舱体外形；</w:t>
            </w:r>
            <w:r>
              <w:rPr>
                <w:rFonts w:hint="eastAsia" w:ascii="宋体" w:hAnsi="宋体" w:eastAsia="宋体" w:cs="宋体"/>
                <w:sz w:val="24"/>
                <w:szCs w:val="24"/>
              </w:rPr>
              <w:t>”</w:t>
            </w:r>
          </w:p>
          <w:p>
            <w:pPr>
              <w:widowControl/>
              <w:spacing w:line="360" w:lineRule="auto"/>
              <w:jc w:val="left"/>
              <w:rPr>
                <w:rFonts w:ascii="宋体" w:hAnsi="宋体" w:eastAsia="宋体" w:cs="宋体"/>
                <w:b/>
                <w:bCs/>
                <w:sz w:val="24"/>
                <w:szCs w:val="24"/>
              </w:rPr>
            </w:pPr>
            <w:r>
              <w:rPr>
                <w:rFonts w:hint="eastAsia" w:ascii="宋体" w:hAnsi="宋体" w:eastAsia="宋体" w:cs="宋体"/>
                <w:b/>
                <w:bCs/>
                <w:kern w:val="0"/>
                <w:sz w:val="24"/>
                <w:szCs w:val="24"/>
                <w:lang w:bidi="ar"/>
              </w:rPr>
              <w:t>全部演示完成的，得 1 分，否则不得分；</w:t>
            </w:r>
          </w:p>
          <w:p>
            <w:pPr>
              <w:widowControl/>
              <w:spacing w:line="360" w:lineRule="auto"/>
              <w:jc w:val="left"/>
              <w:textAlignment w:val="center"/>
              <w:rPr>
                <w:rFonts w:ascii="宋体" w:hAnsi="宋体" w:eastAsia="宋体" w:cs="宋体"/>
                <w:sz w:val="24"/>
                <w:szCs w:val="24"/>
              </w:rPr>
            </w:pPr>
            <w:r>
              <w:rPr>
                <w:rFonts w:hint="eastAsia" w:ascii="宋体" w:hAnsi="宋体" w:eastAsia="宋体" w:cs="宋体"/>
                <w:sz w:val="24"/>
                <w:szCs w:val="24"/>
              </w:rPr>
              <w:t>4、采购需求中“</w:t>
            </w:r>
            <w:r>
              <w:rPr>
                <w:rFonts w:hint="eastAsia" w:ascii="宋体" w:hAnsi="宋体" w:eastAsia="宋体" w:cs="宋体"/>
                <w:sz w:val="24"/>
                <w:szCs w:val="24"/>
                <w:lang w:bidi="ar"/>
              </w:rPr>
              <w:t>机务维修及模拟飞行模拟器</w:t>
            </w:r>
            <w:r>
              <w:rPr>
                <w:rFonts w:hint="eastAsia" w:ascii="宋体" w:hAnsi="宋体" w:eastAsia="宋体" w:cs="宋体"/>
                <w:sz w:val="24"/>
                <w:szCs w:val="24"/>
              </w:rPr>
              <w:t>”中“</w:t>
            </w:r>
            <w:r>
              <w:rPr>
                <w:rFonts w:hint="eastAsia" w:ascii="宋体" w:hAnsi="宋体" w:eastAsia="宋体" w:cs="宋体"/>
                <w:kern w:val="0"/>
                <w:sz w:val="24"/>
                <w:szCs w:val="24"/>
                <w:lang w:bidi="ar"/>
              </w:rPr>
              <w:t>●</w:t>
            </w:r>
            <w:r>
              <w:rPr>
                <w:rFonts w:hint="eastAsia" w:ascii="宋体" w:hAnsi="宋体" w:eastAsia="宋体" w:cs="宋体"/>
                <w:sz w:val="24"/>
                <w:szCs w:val="24"/>
              </w:rPr>
              <w:t>1.遮光罩（1)-（5）具体功能；</w:t>
            </w:r>
            <w:r>
              <w:rPr>
                <w:rFonts w:hint="eastAsia" w:ascii="宋体" w:hAnsi="宋体" w:eastAsia="宋体" w:cs="宋体"/>
                <w:kern w:val="0"/>
                <w:sz w:val="24"/>
                <w:szCs w:val="24"/>
                <w:lang w:bidi="ar"/>
              </w:rPr>
              <w:t>●</w:t>
            </w:r>
            <w:r>
              <w:rPr>
                <w:rFonts w:hint="eastAsia" w:ascii="宋体" w:hAnsi="宋体" w:eastAsia="宋体" w:cs="宋体"/>
                <w:sz w:val="24"/>
                <w:szCs w:val="24"/>
              </w:rPr>
              <w:t>2.仪表板需具有左、中、右仪表板独立航插共8个、信号在中央仪表板集中采集（1）-（18）具体功能；</w:t>
            </w:r>
            <w:r>
              <w:rPr>
                <w:rFonts w:hint="eastAsia" w:ascii="宋体" w:hAnsi="宋体" w:eastAsia="宋体" w:cs="宋体"/>
                <w:kern w:val="0"/>
                <w:sz w:val="24"/>
                <w:szCs w:val="24"/>
                <w:lang w:bidi="ar"/>
              </w:rPr>
              <w:t>●</w:t>
            </w:r>
            <w:r>
              <w:rPr>
                <w:rFonts w:hint="eastAsia" w:ascii="宋体" w:hAnsi="宋体" w:eastAsia="宋体" w:cs="宋体"/>
                <w:sz w:val="24"/>
                <w:szCs w:val="24"/>
              </w:rPr>
              <w:t>3.中控台（1）-（7）具体功能；</w:t>
            </w:r>
          </w:p>
          <w:p>
            <w:pPr>
              <w:widowControl/>
              <w:spacing w:line="360" w:lineRule="auto"/>
              <w:jc w:val="left"/>
              <w:rPr>
                <w:rFonts w:ascii="宋体" w:hAnsi="宋体" w:eastAsia="宋体" w:cs="宋体"/>
                <w:sz w:val="24"/>
                <w:szCs w:val="24"/>
              </w:rPr>
            </w:pPr>
            <w:r>
              <w:rPr>
                <w:rFonts w:hint="eastAsia" w:ascii="宋体" w:hAnsi="宋体" w:eastAsia="宋体" w:cs="宋体"/>
                <w:b/>
                <w:bCs/>
                <w:kern w:val="0"/>
                <w:sz w:val="24"/>
                <w:szCs w:val="24"/>
                <w:lang w:bidi="ar"/>
              </w:rPr>
              <w:t>每演示完成1项得1分，满分 3 分；</w:t>
            </w:r>
          </w:p>
          <w:p>
            <w:pPr>
              <w:widowControl/>
              <w:spacing w:line="360" w:lineRule="auto"/>
              <w:jc w:val="left"/>
              <w:rPr>
                <w:rFonts w:ascii="宋体" w:hAnsi="宋体" w:eastAsia="宋体" w:cs="宋体"/>
                <w:sz w:val="24"/>
                <w:szCs w:val="24"/>
              </w:rPr>
            </w:pPr>
            <w:r>
              <w:rPr>
                <w:rFonts w:hint="eastAsia" w:ascii="宋体" w:hAnsi="宋体" w:eastAsia="宋体" w:cs="宋体"/>
                <w:sz w:val="24"/>
                <w:szCs w:val="24"/>
              </w:rPr>
              <w:t>5、采购需求中“</w:t>
            </w:r>
            <w:r>
              <w:rPr>
                <w:rFonts w:hint="eastAsia" w:ascii="宋体" w:hAnsi="宋体" w:eastAsia="宋体" w:cs="宋体"/>
                <w:sz w:val="24"/>
                <w:szCs w:val="24"/>
                <w:lang w:bidi="ar"/>
              </w:rPr>
              <w:t>机务维修及模拟飞行实训系统</w:t>
            </w:r>
            <w:r>
              <w:rPr>
                <w:rFonts w:hint="eastAsia" w:ascii="宋体" w:hAnsi="宋体" w:eastAsia="宋体" w:cs="宋体"/>
                <w:sz w:val="24"/>
                <w:szCs w:val="24"/>
              </w:rPr>
              <w:t>”中“</w:t>
            </w:r>
            <w:r>
              <w:rPr>
                <w:rFonts w:hint="eastAsia" w:ascii="宋体" w:hAnsi="宋体" w:eastAsia="宋体" w:cs="宋体"/>
                <w:kern w:val="0"/>
                <w:sz w:val="24"/>
                <w:szCs w:val="24"/>
                <w:lang w:bidi="ar"/>
              </w:rPr>
              <w:t>●</w:t>
            </w:r>
            <w:r>
              <w:rPr>
                <w:rFonts w:hint="eastAsia" w:ascii="宋体" w:hAnsi="宋体" w:eastAsia="宋体" w:cs="宋体"/>
                <w:sz w:val="24"/>
                <w:szCs w:val="24"/>
                <w:lang w:bidi="ar"/>
              </w:rPr>
              <w:t>7.虚拟驾驶舱提供700和800两种仪表构型的切换功能，为参训人员提供相应的仪表配置方案；</w:t>
            </w:r>
            <w:r>
              <w:rPr>
                <w:rFonts w:hint="eastAsia" w:ascii="宋体" w:hAnsi="宋体" w:eastAsia="宋体" w:cs="宋体"/>
                <w:sz w:val="24"/>
                <w:szCs w:val="24"/>
              </w:rPr>
              <w:t>”</w:t>
            </w:r>
          </w:p>
          <w:p>
            <w:pPr>
              <w:widowControl/>
              <w:spacing w:line="360" w:lineRule="auto"/>
              <w:jc w:val="left"/>
              <w:rPr>
                <w:rFonts w:ascii="宋体" w:hAnsi="宋体" w:eastAsia="宋体" w:cs="宋体"/>
                <w:sz w:val="24"/>
                <w:szCs w:val="24"/>
              </w:rPr>
            </w:pPr>
            <w:r>
              <w:rPr>
                <w:rFonts w:hint="eastAsia" w:ascii="宋体" w:hAnsi="宋体" w:eastAsia="宋体" w:cs="宋体"/>
                <w:b/>
                <w:bCs/>
                <w:kern w:val="0"/>
                <w:sz w:val="24"/>
                <w:szCs w:val="24"/>
                <w:lang w:bidi="ar"/>
              </w:rPr>
              <w:t>全部演示完成的，得 1 分，否则不得分；</w:t>
            </w:r>
          </w:p>
          <w:p>
            <w:pPr>
              <w:widowControl/>
              <w:spacing w:line="360" w:lineRule="auto"/>
              <w:jc w:val="left"/>
              <w:rPr>
                <w:rFonts w:ascii="宋体" w:hAnsi="宋体" w:eastAsia="宋体" w:cs="宋体"/>
                <w:b/>
                <w:bCs/>
                <w:sz w:val="24"/>
                <w:szCs w:val="24"/>
              </w:rPr>
            </w:pPr>
            <w:r>
              <w:rPr>
                <w:rFonts w:hint="eastAsia" w:ascii="宋体" w:hAnsi="宋体" w:eastAsia="宋体" w:cs="宋体"/>
                <w:sz w:val="24"/>
                <w:szCs w:val="24"/>
              </w:rPr>
              <w:t xml:space="preserve"> </w:t>
            </w:r>
            <w:r>
              <w:rPr>
                <w:rFonts w:hint="eastAsia" w:ascii="宋体" w:hAnsi="宋体" w:eastAsia="宋体" w:cs="宋体"/>
                <w:b/>
                <w:bCs/>
                <w:sz w:val="24"/>
                <w:szCs w:val="24"/>
              </w:rPr>
              <w:t xml:space="preserve">注：1、本次功能演示采用现场演示，投标人自行录制功能演示视频并拷贝 U 盘。 </w:t>
            </w:r>
          </w:p>
          <w:p>
            <w:pPr>
              <w:widowControl/>
              <w:spacing w:line="360" w:lineRule="auto"/>
              <w:jc w:val="left"/>
              <w:rPr>
                <w:rFonts w:ascii="宋体" w:hAnsi="宋体" w:eastAsia="宋体" w:cs="宋体"/>
                <w:b/>
                <w:bCs/>
                <w:sz w:val="24"/>
                <w:szCs w:val="24"/>
              </w:rPr>
            </w:pPr>
            <w:r>
              <w:rPr>
                <w:rFonts w:hint="eastAsia" w:ascii="宋体" w:hAnsi="宋体" w:eastAsia="宋体" w:cs="宋体"/>
                <w:b/>
                <w:bCs/>
                <w:sz w:val="24"/>
                <w:szCs w:val="24"/>
              </w:rPr>
              <w:t xml:space="preserve">2、 关于功能演示：功能演示可自行录制演示视频拷贝 U 盘（功能演示须采用真实环境、真实案例产品进行演示，演示视频应包含画面和声音,采用 PPT 或原型 Demo 或截图等其他形式演示的不得分）。 </w:t>
            </w:r>
          </w:p>
          <w:p>
            <w:pPr>
              <w:widowControl/>
              <w:spacing w:line="360" w:lineRule="auto"/>
              <w:jc w:val="left"/>
              <w:rPr>
                <w:rFonts w:ascii="宋体" w:hAnsi="宋体" w:eastAsia="宋体" w:cs="宋体"/>
                <w:b/>
                <w:bCs/>
                <w:sz w:val="24"/>
                <w:szCs w:val="24"/>
              </w:rPr>
            </w:pPr>
            <w:r>
              <w:rPr>
                <w:rFonts w:hint="eastAsia" w:ascii="宋体" w:hAnsi="宋体" w:eastAsia="宋体" w:cs="宋体"/>
                <w:b/>
                <w:bCs/>
                <w:sz w:val="24"/>
                <w:szCs w:val="24"/>
              </w:rPr>
              <w:t xml:space="preserve">3、功能演示总视频时长不得超过 20 分钟。 </w:t>
            </w:r>
          </w:p>
          <w:p>
            <w:pPr>
              <w:widowControl/>
              <w:spacing w:line="360" w:lineRule="auto"/>
              <w:jc w:val="left"/>
              <w:rPr>
                <w:rFonts w:ascii="宋体" w:hAnsi="宋体" w:eastAsia="宋体" w:cs="宋体"/>
                <w:b/>
                <w:bCs/>
                <w:sz w:val="24"/>
                <w:szCs w:val="24"/>
              </w:rPr>
            </w:pPr>
            <w:r>
              <w:rPr>
                <w:rFonts w:hint="eastAsia" w:ascii="宋体" w:hAnsi="宋体" w:eastAsia="宋体" w:cs="宋体"/>
                <w:b/>
                <w:bCs/>
                <w:sz w:val="24"/>
                <w:szCs w:val="24"/>
              </w:rPr>
              <w:t>4、功能演示资料须以U盘为载体在开标时间（投标文件提交截止时间）前递交至安徽中技工程咨询有限公司，可现场递交，也可通过邮寄方式递交，邮寄信息：安徽省合肥市蜀山区合作化南路27号安徽中技，王工，18756962615，以快递签收时间为准。若因运输过程中U盘损坏或投标人自身原因，以致视频样本文件无法打开，投标人自行承担责任。</w:t>
            </w:r>
          </w:p>
          <w:p>
            <w:pPr>
              <w:widowControl/>
              <w:spacing w:line="360" w:lineRule="auto"/>
              <w:jc w:val="left"/>
              <w:rPr>
                <w:rFonts w:ascii="宋体" w:hAnsi="宋体" w:eastAsia="宋体" w:cs="宋体"/>
                <w:sz w:val="24"/>
                <w:szCs w:val="24"/>
              </w:rPr>
            </w:pPr>
            <w:r>
              <w:rPr>
                <w:rFonts w:hint="eastAsia" w:ascii="宋体" w:hAnsi="宋体" w:eastAsia="宋体" w:cs="宋体"/>
                <w:b/>
                <w:bCs/>
                <w:sz w:val="24"/>
                <w:szCs w:val="24"/>
              </w:rPr>
              <w:t>功能演示资料（U 盘）密封后最外层包装须注明：“安徽交通职业技术学院产教融合实训基地建设项目（第一、二包）（第二包）项目”项目演示材料。评审现场由监督在检查资料密封性后拆封。</w:t>
            </w:r>
          </w:p>
        </w:tc>
        <w:tc>
          <w:tcPr>
            <w:tcW w:w="123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jc w:val="center"/>
              <w:rPr>
                <w:rFonts w:ascii="宋体" w:hAnsi="宋体" w:eastAsia="宋体" w:cs="宋体"/>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方案实施</w:t>
            </w:r>
          </w:p>
        </w:tc>
        <w:tc>
          <w:tcPr>
            <w:tcW w:w="48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eastAsia="宋体" w:cs="宋体"/>
                <w:sz w:val="24"/>
                <w:szCs w:val="24"/>
              </w:rPr>
            </w:pPr>
            <w:r>
              <w:rPr>
                <w:rFonts w:hint="eastAsia" w:ascii="宋体" w:hAnsi="宋体" w:eastAsia="宋体" w:cs="宋体"/>
                <w:kern w:val="0"/>
                <w:sz w:val="24"/>
                <w:szCs w:val="24"/>
                <w:lang w:bidi="ar"/>
              </w:rPr>
              <w:t xml:space="preserve">投标人应提供详细的针对本项目具体的组织实施、技术能力、安装调试以及详细的人员配备等项目实施方案，评标委员会针对整个方案的完整性，全面性，优的得3分，良的得2分，一般的得1分，差的得 0 分，未提供不得分。 </w:t>
            </w:r>
          </w:p>
        </w:tc>
        <w:tc>
          <w:tcPr>
            <w:tcW w:w="123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jc w:val="center"/>
              <w:rPr>
                <w:rFonts w:ascii="宋体" w:hAnsi="宋体" w:eastAsia="宋体" w:cs="宋体"/>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napToGrid w:val="0"/>
                <w:sz w:val="24"/>
                <w:szCs w:val="24"/>
              </w:rPr>
              <w:t>免费升级、免费质保期限承诺</w:t>
            </w:r>
          </w:p>
        </w:tc>
        <w:tc>
          <w:tcPr>
            <w:tcW w:w="48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在满足本包别招标文件要求的免费质保期的基础上，投标人承诺针对所有产品每增加一年免费质保期（附赠免费升级）的加1分，增加不足1年的部分不加分，本项最高得2分。</w:t>
            </w:r>
          </w:p>
          <w:p>
            <w:pPr>
              <w:widowControl/>
              <w:spacing w:line="360" w:lineRule="auto"/>
              <w:rPr>
                <w:rFonts w:ascii="宋体" w:hAnsi="宋体" w:eastAsia="宋体" w:cs="宋体"/>
                <w:sz w:val="24"/>
                <w:szCs w:val="24"/>
              </w:rPr>
            </w:pPr>
            <w:r>
              <w:rPr>
                <w:rFonts w:hint="eastAsia" w:ascii="宋体" w:hAnsi="宋体" w:eastAsia="宋体" w:cs="宋体"/>
                <w:b/>
                <w:bCs/>
                <w:snapToGrid w:val="0"/>
                <w:sz w:val="24"/>
                <w:szCs w:val="24"/>
              </w:rPr>
              <w:t>注：投标响应表中投标人承诺的免费质保期作为评审依据</w:t>
            </w:r>
            <w:r>
              <w:rPr>
                <w:rFonts w:hint="eastAsia" w:ascii="宋体" w:hAnsi="宋体" w:eastAsia="宋体" w:cs="宋体"/>
                <w:snapToGrid w:val="0"/>
                <w:sz w:val="24"/>
                <w:szCs w:val="24"/>
              </w:rPr>
              <w:t>。</w:t>
            </w:r>
          </w:p>
        </w:tc>
        <w:tc>
          <w:tcPr>
            <w:tcW w:w="123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jc w:val="center"/>
              <w:rPr>
                <w:rFonts w:ascii="宋体" w:hAnsi="宋体" w:eastAsia="宋体" w:cs="宋体"/>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综合培训方案</w:t>
            </w:r>
          </w:p>
        </w:tc>
        <w:tc>
          <w:tcPr>
            <w:tcW w:w="48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textAlignment w:val="center"/>
              <w:rPr>
                <w:rFonts w:ascii="宋体" w:hAnsi="宋体" w:eastAsia="宋体" w:cs="宋体"/>
                <w:kern w:val="0"/>
                <w:sz w:val="24"/>
                <w:szCs w:val="24"/>
                <w:lang w:bidi="ar"/>
              </w:rPr>
            </w:pPr>
            <w:r>
              <w:rPr>
                <w:rFonts w:hint="eastAsia" w:ascii="宋体" w:hAnsi="宋体" w:eastAsia="宋体" w:cs="宋体"/>
                <w:kern w:val="0"/>
                <w:sz w:val="24"/>
                <w:szCs w:val="24"/>
                <w:lang w:bidi="ar"/>
              </w:rPr>
              <w:t>根据投标人提供的现场技术培训方案进行综合评分，包含培训内容、培训时间、培训人员等：</w:t>
            </w:r>
          </w:p>
          <w:p>
            <w:pPr>
              <w:widowControl/>
              <w:spacing w:line="360" w:lineRule="auto"/>
              <w:jc w:val="left"/>
              <w:textAlignment w:val="center"/>
              <w:rPr>
                <w:rFonts w:ascii="宋体" w:hAnsi="宋体" w:eastAsia="宋体" w:cs="宋体"/>
                <w:kern w:val="0"/>
                <w:sz w:val="24"/>
                <w:szCs w:val="24"/>
                <w:lang w:bidi="ar"/>
              </w:rPr>
            </w:pPr>
            <w:r>
              <w:rPr>
                <w:rFonts w:hint="eastAsia" w:ascii="宋体" w:hAnsi="宋体" w:eastAsia="宋体" w:cs="宋体"/>
                <w:kern w:val="0"/>
                <w:sz w:val="24"/>
                <w:szCs w:val="24"/>
                <w:lang w:bidi="ar"/>
              </w:rPr>
              <w:t>1、方案科学、合理、可行性强的得3分；</w:t>
            </w:r>
          </w:p>
          <w:p>
            <w:pPr>
              <w:widowControl/>
              <w:spacing w:line="360" w:lineRule="auto"/>
              <w:jc w:val="left"/>
              <w:textAlignment w:val="center"/>
              <w:rPr>
                <w:rFonts w:ascii="宋体" w:hAnsi="宋体" w:eastAsia="宋体" w:cs="宋体"/>
                <w:kern w:val="0"/>
                <w:sz w:val="24"/>
                <w:szCs w:val="24"/>
                <w:lang w:bidi="ar"/>
              </w:rPr>
            </w:pPr>
            <w:r>
              <w:rPr>
                <w:rFonts w:hint="eastAsia" w:ascii="宋体" w:hAnsi="宋体" w:eastAsia="宋体" w:cs="宋体"/>
                <w:kern w:val="0"/>
                <w:sz w:val="24"/>
                <w:szCs w:val="24"/>
                <w:lang w:bidi="ar"/>
              </w:rPr>
              <w:t>2、方案较科学、较合理、可行性较强的得2分；</w:t>
            </w:r>
          </w:p>
          <w:p>
            <w:pPr>
              <w:widowControl/>
              <w:spacing w:line="360" w:lineRule="auto"/>
              <w:jc w:val="left"/>
              <w:textAlignment w:val="center"/>
              <w:rPr>
                <w:rFonts w:ascii="宋体" w:hAnsi="宋体" w:eastAsia="宋体" w:cs="宋体"/>
                <w:kern w:val="0"/>
                <w:sz w:val="24"/>
                <w:szCs w:val="24"/>
                <w:lang w:bidi="ar"/>
              </w:rPr>
            </w:pPr>
            <w:r>
              <w:rPr>
                <w:rFonts w:hint="eastAsia" w:ascii="宋体" w:hAnsi="宋体" w:eastAsia="宋体" w:cs="宋体"/>
                <w:kern w:val="0"/>
                <w:sz w:val="24"/>
                <w:szCs w:val="24"/>
                <w:lang w:bidi="ar"/>
              </w:rPr>
              <w:t>3、方案科学性、合理性、可行性有待提升的得1分；</w:t>
            </w:r>
          </w:p>
          <w:p>
            <w:pPr>
              <w:widowControl/>
              <w:spacing w:line="360" w:lineRule="auto"/>
              <w:jc w:val="left"/>
              <w:textAlignment w:val="center"/>
              <w:rPr>
                <w:rFonts w:ascii="宋体" w:hAnsi="宋体" w:eastAsia="宋体" w:cs="宋体"/>
                <w:sz w:val="24"/>
                <w:szCs w:val="24"/>
              </w:rPr>
            </w:pPr>
            <w:r>
              <w:rPr>
                <w:rFonts w:hint="eastAsia" w:ascii="宋体" w:hAnsi="宋体" w:eastAsia="宋体" w:cs="宋体"/>
                <w:kern w:val="0"/>
                <w:sz w:val="24"/>
                <w:szCs w:val="24"/>
                <w:lang w:bidi="ar"/>
              </w:rPr>
              <w:t>4、方案差或未提供方案的不得分。</w:t>
            </w:r>
          </w:p>
        </w:tc>
        <w:tc>
          <w:tcPr>
            <w:tcW w:w="123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
                <w:bCs/>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售后服务方案</w:t>
            </w:r>
          </w:p>
        </w:tc>
        <w:tc>
          <w:tcPr>
            <w:tcW w:w="48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eastAsia="宋体" w:cs="宋体"/>
                <w:snapToGrid w:val="0"/>
                <w:sz w:val="24"/>
                <w:szCs w:val="24"/>
              </w:rPr>
            </w:pPr>
            <w:r>
              <w:rPr>
                <w:rFonts w:hint="eastAsia" w:ascii="宋体" w:hAnsi="宋体" w:eastAsia="宋体" w:cs="宋体"/>
                <w:snapToGrid w:val="0"/>
                <w:sz w:val="24"/>
                <w:szCs w:val="24"/>
              </w:rPr>
              <w:t>根据投标人提供的售后服务与维保方案内容进行综合评分，包括但不限于以下内容：到达故障现场时间、故障解决方案、免费保修期外维修方案等。</w:t>
            </w:r>
          </w:p>
          <w:p>
            <w:pPr>
              <w:widowControl/>
              <w:spacing w:line="360" w:lineRule="auto"/>
              <w:jc w:val="left"/>
              <w:rPr>
                <w:rFonts w:ascii="宋体" w:hAnsi="宋体" w:eastAsia="宋体" w:cs="宋体"/>
                <w:snapToGrid w:val="0"/>
                <w:sz w:val="24"/>
                <w:szCs w:val="24"/>
              </w:rPr>
            </w:pPr>
            <w:r>
              <w:rPr>
                <w:rFonts w:hint="eastAsia" w:ascii="宋体" w:hAnsi="宋体" w:eastAsia="宋体" w:cs="宋体"/>
                <w:snapToGrid w:val="0"/>
                <w:sz w:val="24"/>
                <w:szCs w:val="24"/>
              </w:rPr>
              <w:t>1、方案内容详细合理，到达故障现场迅速，故障解决方案可行，免费维修期外维修方案符合实际的，得3分；</w:t>
            </w:r>
          </w:p>
          <w:p>
            <w:pPr>
              <w:widowControl/>
              <w:spacing w:line="360" w:lineRule="auto"/>
              <w:jc w:val="left"/>
              <w:rPr>
                <w:rFonts w:ascii="宋体" w:hAnsi="宋体" w:eastAsia="宋体" w:cs="宋体"/>
                <w:snapToGrid w:val="0"/>
                <w:sz w:val="24"/>
                <w:szCs w:val="24"/>
              </w:rPr>
            </w:pPr>
            <w:r>
              <w:rPr>
                <w:rFonts w:hint="eastAsia" w:ascii="宋体" w:hAnsi="宋体" w:eastAsia="宋体" w:cs="宋体"/>
                <w:snapToGrid w:val="0"/>
                <w:sz w:val="24"/>
                <w:szCs w:val="24"/>
              </w:rPr>
              <w:t>2、方案内容较详细较合理，到达故障现场较迅速，故障解决方案较可行，免费维修期外维修方案较符合实际的，得2分；</w:t>
            </w:r>
          </w:p>
          <w:p>
            <w:pPr>
              <w:spacing w:line="360" w:lineRule="auto"/>
              <w:rPr>
                <w:rFonts w:ascii="宋体" w:hAnsi="宋体" w:eastAsia="宋体" w:cs="宋体"/>
                <w:snapToGrid w:val="0"/>
                <w:sz w:val="24"/>
                <w:szCs w:val="24"/>
              </w:rPr>
            </w:pPr>
            <w:r>
              <w:rPr>
                <w:rFonts w:hint="eastAsia" w:ascii="宋体" w:hAnsi="宋体" w:eastAsia="宋体" w:cs="宋体"/>
                <w:snapToGrid w:val="0"/>
                <w:sz w:val="24"/>
                <w:szCs w:val="24"/>
              </w:rPr>
              <w:t>3、方案内容待完善，到达故障现场待提升，免费维修期外维修方案可行性不强的，得1分；</w:t>
            </w:r>
          </w:p>
          <w:p>
            <w:pPr>
              <w:widowControl/>
              <w:spacing w:line="360" w:lineRule="auto"/>
              <w:jc w:val="left"/>
              <w:rPr>
                <w:rFonts w:ascii="宋体" w:hAnsi="宋体" w:eastAsia="宋体" w:cs="宋体"/>
                <w:sz w:val="24"/>
                <w:szCs w:val="24"/>
              </w:rPr>
            </w:pPr>
            <w:r>
              <w:rPr>
                <w:rFonts w:hint="eastAsia" w:ascii="宋体" w:hAnsi="宋体" w:eastAsia="宋体" w:cs="宋体"/>
                <w:snapToGrid w:val="0"/>
                <w:sz w:val="24"/>
                <w:szCs w:val="24"/>
              </w:rPr>
              <w:t>4、差或未提供相关内容的不得分。</w:t>
            </w:r>
          </w:p>
        </w:tc>
        <w:tc>
          <w:tcPr>
            <w:tcW w:w="123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
                <w:bCs/>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pStyle w:val="61"/>
              <w:spacing w:line="360" w:lineRule="auto"/>
              <w:ind w:right="96"/>
              <w:jc w:val="center"/>
              <w:rPr>
                <w:snapToGrid w:val="0"/>
                <w:sz w:val="24"/>
                <w:szCs w:val="24"/>
                <w:lang w:val="en-US" w:bidi="ar-SA"/>
              </w:rPr>
            </w:pPr>
            <w:r>
              <w:rPr>
                <w:rFonts w:hint="eastAsia"/>
                <w:snapToGrid w:val="0"/>
                <w:sz w:val="24"/>
                <w:szCs w:val="24"/>
                <w:lang w:val="en-US" w:bidi="ar-SA"/>
              </w:rPr>
              <w:t>投标人实力</w:t>
            </w:r>
          </w:p>
        </w:tc>
        <w:tc>
          <w:tcPr>
            <w:tcW w:w="4800" w:type="dxa"/>
            <w:tcBorders>
              <w:top w:val="single" w:color="auto" w:sz="4" w:space="0"/>
              <w:left w:val="single" w:color="auto" w:sz="4" w:space="0"/>
              <w:bottom w:val="single" w:color="auto" w:sz="4" w:space="0"/>
              <w:right w:val="single" w:color="auto" w:sz="4" w:space="0"/>
            </w:tcBorders>
            <w:vAlign w:val="center"/>
          </w:tcPr>
          <w:p>
            <w:pPr>
              <w:pStyle w:val="61"/>
              <w:spacing w:line="360" w:lineRule="auto"/>
              <w:rPr>
                <w:snapToGrid w:val="0"/>
                <w:sz w:val="24"/>
                <w:szCs w:val="24"/>
                <w:lang w:val="en-US" w:bidi="ar-SA"/>
              </w:rPr>
            </w:pPr>
            <w:r>
              <w:rPr>
                <w:rFonts w:hint="eastAsia"/>
                <w:snapToGrid w:val="0"/>
                <w:sz w:val="24"/>
                <w:szCs w:val="24"/>
                <w:lang w:val="en-US" w:bidi="ar-SA"/>
              </w:rPr>
              <w:t>1、投标人具有有效的ISO9001质量管理体系认证（中国国家认证认可监督管理委员会认证认可的机构颁发）或有效的GJB9001C质量管理体系证书；每提供一个证书得1分，最高得1分；</w:t>
            </w:r>
          </w:p>
          <w:p>
            <w:pPr>
              <w:pStyle w:val="61"/>
              <w:spacing w:line="360" w:lineRule="auto"/>
              <w:rPr>
                <w:b/>
                <w:bCs/>
                <w:sz w:val="24"/>
                <w:szCs w:val="24"/>
                <w:lang w:val="en-US"/>
              </w:rPr>
            </w:pPr>
            <w:r>
              <w:rPr>
                <w:rFonts w:hint="eastAsia"/>
                <w:snapToGrid w:val="0"/>
                <w:sz w:val="24"/>
                <w:szCs w:val="24"/>
                <w:lang w:val="en-US" w:bidi="ar-SA"/>
              </w:rPr>
              <w:t>2、投标人具有省级或以上政府批准的高新技术企业证书，每提供一个证书得1分，最高得1分，不提供或提供不全不得分。</w:t>
            </w:r>
          </w:p>
          <w:p>
            <w:pPr>
              <w:pStyle w:val="61"/>
              <w:spacing w:line="360" w:lineRule="auto"/>
              <w:rPr>
                <w:b/>
                <w:bCs/>
                <w:snapToGrid w:val="0"/>
                <w:sz w:val="24"/>
                <w:szCs w:val="24"/>
                <w:lang w:val="en-US" w:bidi="ar-SA"/>
              </w:rPr>
            </w:pPr>
            <w:r>
              <w:rPr>
                <w:rFonts w:hint="eastAsia"/>
                <w:b/>
                <w:bCs/>
                <w:snapToGrid w:val="0"/>
                <w:sz w:val="24"/>
                <w:szCs w:val="24"/>
                <w:lang w:val="en-US" w:bidi="ar-SA"/>
              </w:rPr>
              <w:t>注：投标文件中提供证书原件扫描件。</w:t>
            </w:r>
          </w:p>
        </w:tc>
        <w:tc>
          <w:tcPr>
            <w:tcW w:w="1238" w:type="dxa"/>
            <w:tcBorders>
              <w:top w:val="single" w:color="auto" w:sz="4" w:space="0"/>
              <w:left w:val="single" w:color="auto" w:sz="4" w:space="0"/>
              <w:bottom w:val="single" w:color="auto" w:sz="4" w:space="0"/>
              <w:right w:val="single" w:color="auto" w:sz="4" w:space="0"/>
            </w:tcBorders>
            <w:vAlign w:val="center"/>
          </w:tcPr>
          <w:p>
            <w:pPr>
              <w:spacing w:line="360" w:lineRule="auto"/>
              <w:ind w:right="96"/>
              <w:jc w:val="center"/>
              <w:rPr>
                <w:rFonts w:ascii="宋体" w:hAnsi="宋体" w:eastAsia="宋体" w:cs="宋体"/>
                <w:sz w:val="24"/>
                <w:szCs w:val="24"/>
              </w:rPr>
            </w:pPr>
            <w:r>
              <w:rPr>
                <w:rFonts w:hint="eastAsia" w:ascii="宋体" w:hAnsi="宋体" w:eastAsia="宋体" w:cs="宋体"/>
                <w:sz w:val="24"/>
                <w:szCs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cs="宋体"/>
                <w:b/>
                <w:bCs/>
                <w:sz w:val="24"/>
                <w:szCs w:val="24"/>
              </w:rPr>
            </w:pPr>
          </w:p>
        </w:tc>
        <w:tc>
          <w:tcPr>
            <w:tcW w:w="1512" w:type="dxa"/>
            <w:tcBorders>
              <w:top w:val="single" w:color="auto" w:sz="4" w:space="0"/>
              <w:left w:val="single" w:color="auto" w:sz="4" w:space="0"/>
              <w:bottom w:val="single" w:color="auto" w:sz="4" w:space="0"/>
              <w:right w:val="single" w:color="auto" w:sz="4" w:space="0"/>
            </w:tcBorders>
            <w:vAlign w:val="center"/>
          </w:tcPr>
          <w:p>
            <w:pPr>
              <w:pStyle w:val="61"/>
              <w:spacing w:line="360" w:lineRule="auto"/>
              <w:ind w:right="96"/>
              <w:jc w:val="center"/>
              <w:rPr>
                <w:snapToGrid w:val="0"/>
                <w:sz w:val="24"/>
                <w:szCs w:val="24"/>
                <w:lang w:val="en-US" w:bidi="ar-SA"/>
              </w:rPr>
            </w:pPr>
            <w:r>
              <w:rPr>
                <w:rFonts w:hint="eastAsia"/>
                <w:snapToGrid w:val="0"/>
                <w:sz w:val="24"/>
                <w:szCs w:val="24"/>
                <w:lang w:val="en-US" w:bidi="ar-SA"/>
              </w:rPr>
              <w:t>业绩</w:t>
            </w:r>
          </w:p>
        </w:tc>
        <w:tc>
          <w:tcPr>
            <w:tcW w:w="4800" w:type="dxa"/>
            <w:tcBorders>
              <w:top w:val="single" w:color="auto" w:sz="4" w:space="0"/>
              <w:left w:val="single" w:color="auto" w:sz="4" w:space="0"/>
              <w:bottom w:val="single" w:color="auto" w:sz="4" w:space="0"/>
              <w:right w:val="single" w:color="auto" w:sz="4" w:space="0"/>
            </w:tcBorders>
            <w:vAlign w:val="center"/>
          </w:tcPr>
          <w:p>
            <w:pPr>
              <w:pStyle w:val="61"/>
              <w:spacing w:line="360" w:lineRule="auto"/>
              <w:rPr>
                <w:snapToGrid w:val="0"/>
                <w:sz w:val="24"/>
                <w:szCs w:val="24"/>
                <w:lang w:val="en-US" w:bidi="ar-SA"/>
              </w:rPr>
            </w:pPr>
            <w:r>
              <w:rPr>
                <w:rFonts w:hint="eastAsia"/>
                <w:snapToGrid w:val="0"/>
                <w:sz w:val="24"/>
                <w:szCs w:val="24"/>
                <w:lang w:val="en-US" w:bidi="ar-SA"/>
              </w:rPr>
              <w:t>投标人近年(2020年1月1日至今，以合同签订时间为准)须具有高等院校类似项目业绩材料扫描件,每提供1份供货合同得1分，最多得3分。</w:t>
            </w:r>
          </w:p>
          <w:p>
            <w:pPr>
              <w:spacing w:line="360" w:lineRule="auto"/>
              <w:rPr>
                <w:rFonts w:ascii="宋体" w:hAnsi="宋体" w:eastAsia="宋体" w:cs="宋体"/>
                <w:sz w:val="24"/>
                <w:szCs w:val="24"/>
              </w:rPr>
            </w:pPr>
            <w:r>
              <w:rPr>
                <w:rFonts w:hint="eastAsia" w:ascii="宋体" w:hAnsi="宋体" w:eastAsia="宋体" w:cs="宋体"/>
                <w:b/>
                <w:bCs/>
                <w:snapToGrid w:val="0"/>
                <w:sz w:val="24"/>
                <w:szCs w:val="24"/>
              </w:rPr>
              <w:t>注：须提供合同、中标通知书、验收证明文件、用户联系人、联系电话以及项目简介，以便在评标过程中进行审查。若合同无法体现合同签订时间</w:t>
            </w:r>
            <w:r>
              <w:rPr>
                <w:rFonts w:hint="eastAsia" w:ascii="宋体" w:hAnsi="宋体" w:eastAsia="宋体" w:cs="宋体"/>
                <w:b/>
                <w:bCs/>
                <w:snapToGrid w:val="0"/>
                <w:color w:val="FF0000"/>
                <w:sz w:val="24"/>
                <w:szCs w:val="24"/>
              </w:rPr>
              <w:t>、</w:t>
            </w:r>
            <w:r>
              <w:rPr>
                <w:rFonts w:hint="eastAsia" w:ascii="宋体" w:hAnsi="宋体" w:eastAsia="宋体" w:cs="宋体"/>
                <w:b/>
                <w:bCs/>
                <w:snapToGrid w:val="0"/>
                <w:sz w:val="24"/>
                <w:szCs w:val="24"/>
              </w:rPr>
              <w:t>供货内容等关键评审信息的，须另附业主单位出具的证明材料</w:t>
            </w:r>
            <w:r>
              <w:rPr>
                <w:rFonts w:hint="eastAsia" w:ascii="宋体" w:hAnsi="宋体" w:eastAsia="宋体" w:cs="宋体"/>
                <w:b/>
                <w:bCs/>
                <w:snapToGrid w:val="0"/>
                <w:color w:val="FF0000"/>
                <w:sz w:val="24"/>
                <w:szCs w:val="24"/>
              </w:rPr>
              <w:t>。</w:t>
            </w:r>
            <w:r>
              <w:rPr>
                <w:rFonts w:hint="eastAsia" w:ascii="宋体" w:hAnsi="宋体" w:eastAsia="宋体" w:cs="宋体"/>
                <w:b/>
                <w:bCs/>
                <w:snapToGrid w:val="0"/>
                <w:sz w:val="24"/>
                <w:szCs w:val="24"/>
              </w:rPr>
              <w:t>合同签订前需原件审核。</w:t>
            </w:r>
          </w:p>
        </w:tc>
        <w:tc>
          <w:tcPr>
            <w:tcW w:w="1238" w:type="dxa"/>
            <w:tcBorders>
              <w:top w:val="single" w:color="auto" w:sz="4" w:space="0"/>
              <w:left w:val="single" w:color="auto" w:sz="4" w:space="0"/>
              <w:bottom w:val="single" w:color="auto" w:sz="4" w:space="0"/>
              <w:right w:val="single" w:color="auto" w:sz="4" w:space="0"/>
            </w:tcBorders>
            <w:vAlign w:val="center"/>
          </w:tcPr>
          <w:p>
            <w:pPr>
              <w:spacing w:line="360" w:lineRule="auto"/>
              <w:ind w:right="96"/>
              <w:jc w:val="center"/>
              <w:rPr>
                <w:rFonts w:ascii="宋体" w:hAnsi="宋体" w:eastAsia="宋体" w:cs="宋体"/>
                <w:sz w:val="24"/>
                <w:szCs w:val="24"/>
              </w:rPr>
            </w:pPr>
            <w:r>
              <w:rPr>
                <w:rFonts w:hint="eastAsia" w:ascii="宋体" w:hAnsi="宋体" w:eastAsia="宋体" w:cs="宋体"/>
                <w:sz w:val="24"/>
                <w:szCs w:val="24"/>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 w:type="dxa"/>
            <w:tcBorders>
              <w:left w:val="single" w:color="auto" w:sz="4" w:space="0"/>
              <w:right w:val="single" w:color="auto" w:sz="4" w:space="0"/>
            </w:tcBorders>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价格分</w:t>
            </w:r>
          </w:p>
          <w:p>
            <w:pPr>
              <w:spacing w:line="360" w:lineRule="auto"/>
              <w:jc w:val="center"/>
              <w:rPr>
                <w:rFonts w:ascii="宋体" w:hAnsi="宋体" w:eastAsia="宋体" w:cs="宋体"/>
                <w:b/>
                <w:bCs/>
                <w:sz w:val="24"/>
                <w:szCs w:val="24"/>
              </w:rPr>
            </w:pPr>
            <w:r>
              <w:rPr>
                <w:rFonts w:hint="eastAsia" w:ascii="宋体" w:hAnsi="宋体" w:eastAsia="宋体" w:cs="宋体"/>
                <w:sz w:val="24"/>
                <w:szCs w:val="24"/>
              </w:rPr>
              <w:t>（</w:t>
            </w:r>
            <w:r>
              <w:rPr>
                <w:rFonts w:hint="eastAsia" w:ascii="宋体" w:hAnsi="宋体" w:eastAsia="宋体" w:cs="宋体"/>
                <w:sz w:val="24"/>
                <w:szCs w:val="24"/>
                <w:u w:val="single"/>
              </w:rPr>
              <w:t xml:space="preserve"> 30  </w:t>
            </w:r>
            <w:r>
              <w:rPr>
                <w:rFonts w:hint="eastAsia" w:ascii="宋体" w:hAnsi="宋体" w:eastAsia="宋体" w:cs="宋体"/>
                <w:sz w:val="24"/>
                <w:szCs w:val="24"/>
              </w:rPr>
              <w:t>分）</w:t>
            </w:r>
          </w:p>
        </w:tc>
        <w:tc>
          <w:tcPr>
            <w:tcW w:w="7550"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b/>
                <w:bCs/>
                <w:sz w:val="24"/>
              </w:rPr>
            </w:pPr>
            <w:r>
              <w:rPr>
                <w:rFonts w:hint="eastAsia" w:asciiTheme="minorEastAsia" w:hAnsiTheme="minorEastAsia" w:eastAsiaTheme="minorEastAsia"/>
                <w:b/>
                <w:bCs/>
                <w:sz w:val="24"/>
              </w:rPr>
              <w:t>价格分统一采用低价优先法，即满足招标文件要求且投标价格最低的投标报价为评标基准价，其价格分为满分</w:t>
            </w:r>
            <w:r>
              <w:rPr>
                <w:rFonts w:hint="eastAsia" w:asciiTheme="minorEastAsia" w:hAnsiTheme="minorEastAsia" w:eastAsiaTheme="minorEastAsia"/>
                <w:b/>
                <w:bCs/>
                <w:sz w:val="24"/>
                <w:u w:val="single"/>
              </w:rPr>
              <w:t>30</w:t>
            </w:r>
            <w:r>
              <w:rPr>
                <w:rFonts w:hint="eastAsia" w:asciiTheme="minorEastAsia" w:hAnsiTheme="minorEastAsia" w:eastAsiaTheme="minorEastAsia"/>
                <w:b/>
                <w:bCs/>
                <w:sz w:val="24"/>
              </w:rPr>
              <w:t>分。其他投标人的价格分统一按照下列公式计算：</w:t>
            </w:r>
          </w:p>
          <w:p>
            <w:pPr>
              <w:spacing w:line="360" w:lineRule="auto"/>
              <w:rPr>
                <w:rFonts w:ascii="宋体" w:hAnsi="宋体" w:eastAsia="宋体" w:cs="宋体"/>
                <w:b/>
                <w:bCs/>
                <w:sz w:val="24"/>
                <w:szCs w:val="24"/>
              </w:rPr>
            </w:pPr>
            <w:r>
              <w:rPr>
                <w:rFonts w:hint="eastAsia" w:asciiTheme="minorEastAsia" w:hAnsiTheme="minorEastAsia" w:eastAsiaTheme="minorEastAsia"/>
                <w:b/>
                <w:bCs/>
                <w:sz w:val="24"/>
              </w:rPr>
              <w:t>投标报价得分＝（评标基准价/投标报价）×</w:t>
            </w:r>
            <w:r>
              <w:rPr>
                <w:rFonts w:hint="eastAsia" w:asciiTheme="minorEastAsia" w:hAnsiTheme="minorEastAsia" w:eastAsiaTheme="minorEastAsia"/>
                <w:b/>
                <w:bCs/>
                <w:sz w:val="24"/>
                <w:u w:val="single"/>
              </w:rPr>
              <w:t>30</w:t>
            </w:r>
            <w:r>
              <w:rPr>
                <w:rFonts w:hint="eastAsia" w:asciiTheme="minorEastAsia" w:hAnsiTheme="minorEastAsia" w:eastAsiaTheme="minorEastAsia"/>
                <w:b/>
                <w:bCs/>
                <w:sz w:val="24"/>
              </w:rPr>
              <w:t>％×100</w:t>
            </w:r>
          </w:p>
        </w:tc>
      </w:tr>
    </w:tbl>
    <w:p>
      <w:pPr>
        <w:rPr>
          <w:rFonts w:ascii="宋体" w:hAnsi="宋体" w:eastAsia="宋体" w:cs="宋体"/>
          <w:sz w:val="24"/>
          <w:szCs w:val="24"/>
        </w:rPr>
      </w:pP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.3.3</w:t>
      </w:r>
      <w:r>
        <w:rPr>
          <w:rFonts w:hint="eastAsia" w:asciiTheme="minorEastAsia" w:hAnsiTheme="minorEastAsia" w:eastAsiaTheme="minorEastAsia"/>
          <w:sz w:val="24"/>
        </w:rPr>
        <w:t>分值汇总</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评标委员会各成员应当独立对每个</w:t>
      </w:r>
      <w:r>
        <w:rPr>
          <w:rFonts w:hint="eastAsia" w:asciiTheme="minorEastAsia" w:hAnsiTheme="minorEastAsia" w:eastAsiaTheme="minorEastAsia"/>
          <w:sz w:val="24"/>
        </w:rPr>
        <w:t>有效</w:t>
      </w:r>
      <w:r>
        <w:rPr>
          <w:rFonts w:asciiTheme="minorEastAsia" w:hAnsiTheme="minorEastAsia" w:eastAsiaTheme="minorEastAsia"/>
          <w:sz w:val="24"/>
        </w:rPr>
        <w:t>投标人的投标文件进行评</w:t>
      </w:r>
      <w:r>
        <w:rPr>
          <w:rFonts w:hint="eastAsia" w:asciiTheme="minorEastAsia" w:hAnsiTheme="minorEastAsia" w:eastAsiaTheme="minorEastAsia"/>
          <w:sz w:val="24"/>
        </w:rPr>
        <w:t>分</w:t>
      </w:r>
      <w:r>
        <w:rPr>
          <w:rFonts w:asciiTheme="minorEastAsia" w:hAnsiTheme="minorEastAsia" w:eastAsiaTheme="minorEastAsia"/>
          <w:sz w:val="24"/>
        </w:rPr>
        <w:t>，并汇总每个投</w:t>
      </w:r>
      <w:r>
        <w:rPr>
          <w:rFonts w:hint="eastAsia" w:asciiTheme="minorEastAsia" w:hAnsiTheme="minorEastAsia" w:eastAsiaTheme="minorEastAsia"/>
          <w:sz w:val="24"/>
        </w:rPr>
        <w:t>标人的得分。取各位评委评分之平均值，四舍五入保留至小数点后两位数，</w:t>
      </w:r>
      <w:r>
        <w:rPr>
          <w:rFonts w:asciiTheme="minorEastAsia" w:hAnsiTheme="minorEastAsia" w:eastAsiaTheme="minorEastAsia"/>
          <w:sz w:val="24"/>
        </w:rPr>
        <w:t>得到该投标</w:t>
      </w:r>
      <w:r>
        <w:rPr>
          <w:rFonts w:hint="eastAsia" w:asciiTheme="minorEastAsia" w:hAnsiTheme="minorEastAsia" w:eastAsiaTheme="minorEastAsia"/>
          <w:sz w:val="24"/>
        </w:rPr>
        <w:t>人</w:t>
      </w:r>
      <w:r>
        <w:rPr>
          <w:rFonts w:asciiTheme="minorEastAsia" w:hAnsiTheme="minorEastAsia" w:eastAsiaTheme="minorEastAsia"/>
          <w:sz w:val="24"/>
        </w:rPr>
        <w:t>的技术资信分</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将投标</w:t>
      </w:r>
      <w:r>
        <w:rPr>
          <w:rFonts w:hint="eastAsia" w:asciiTheme="minorEastAsia" w:hAnsiTheme="minorEastAsia" w:eastAsiaTheme="minorEastAsia"/>
          <w:sz w:val="24"/>
        </w:rPr>
        <w:t>人</w:t>
      </w:r>
      <w:r>
        <w:rPr>
          <w:rFonts w:asciiTheme="minorEastAsia" w:hAnsiTheme="minorEastAsia" w:eastAsiaTheme="minorEastAsia"/>
          <w:sz w:val="24"/>
        </w:rPr>
        <w:t>的技术资信分加上根据上述标准计算出的价格分，即为该投标</w:t>
      </w:r>
      <w:r>
        <w:rPr>
          <w:rFonts w:hint="eastAsia" w:asciiTheme="minorEastAsia" w:hAnsiTheme="minorEastAsia" w:eastAsiaTheme="minorEastAsia"/>
          <w:sz w:val="24"/>
        </w:rPr>
        <w:t>人</w:t>
      </w:r>
      <w:r>
        <w:rPr>
          <w:rFonts w:asciiTheme="minorEastAsia" w:hAnsiTheme="minorEastAsia" w:eastAsiaTheme="minorEastAsia"/>
          <w:sz w:val="24"/>
        </w:rPr>
        <w:t>的综合总得分。</w:t>
      </w:r>
      <w:r>
        <w:rPr>
          <w:rFonts w:asciiTheme="minorEastAsia" w:hAnsiTheme="minorEastAsia" w:eastAsiaTheme="minorEastAsia"/>
          <w:sz w:val="24"/>
        </w:rPr>
        <w:br w:type="page"/>
      </w:r>
    </w:p>
    <w:p>
      <w:pPr>
        <w:spacing w:line="360" w:lineRule="auto"/>
        <w:jc w:val="center"/>
        <w:outlineLvl w:val="1"/>
        <w:rPr>
          <w:rFonts w:asciiTheme="minorEastAsia" w:hAnsiTheme="minorEastAsia" w:eastAsiaTheme="minorEastAsia"/>
          <w:b/>
          <w:sz w:val="28"/>
        </w:rPr>
      </w:pPr>
      <w:bookmarkStart w:id="51" w:name="_Toc60582628"/>
      <w:r>
        <w:rPr>
          <w:rFonts w:hint="eastAsia" w:asciiTheme="minorEastAsia" w:hAnsiTheme="minorEastAsia" w:eastAsiaTheme="minorEastAsia"/>
          <w:b/>
          <w:sz w:val="28"/>
        </w:rPr>
        <w:t xml:space="preserve">第五章  </w:t>
      </w:r>
      <w:r>
        <w:rPr>
          <w:rFonts w:asciiTheme="minorEastAsia" w:hAnsiTheme="minorEastAsia" w:eastAsiaTheme="minorEastAsia"/>
          <w:b/>
          <w:sz w:val="28"/>
        </w:rPr>
        <w:t>政府采购合同</w:t>
      </w:r>
      <w:bookmarkEnd w:id="51"/>
    </w:p>
    <w:p>
      <w:pPr>
        <w:spacing w:line="480" w:lineRule="auto"/>
        <w:jc w:val="center"/>
        <w:rPr>
          <w:rFonts w:cs="Times New Roman" w:asciiTheme="minorEastAsia" w:hAnsiTheme="minorEastAsia" w:eastAsiaTheme="minorEastAsia"/>
          <w:b/>
          <w:sz w:val="24"/>
          <w:szCs w:val="24"/>
        </w:rPr>
      </w:pPr>
      <w:bookmarkStart w:id="52" w:name="_Hlk11711914"/>
      <w:r>
        <w:rPr>
          <w:rFonts w:hint="eastAsia" w:cs="Times New Roman" w:asciiTheme="minorEastAsia" w:hAnsiTheme="minorEastAsia" w:eastAsiaTheme="minorEastAsia"/>
          <w:b/>
          <w:sz w:val="24"/>
          <w:szCs w:val="24"/>
        </w:rPr>
        <w:t>（具体按采购人要求，双方自行拟定，仅供参考）</w:t>
      </w:r>
    </w:p>
    <w:p>
      <w:pPr>
        <w:spacing w:line="480" w:lineRule="auto"/>
        <w:jc w:val="center"/>
        <w:rPr>
          <w:rFonts w:cs="Times New Roman" w:asciiTheme="minorEastAsia" w:hAnsiTheme="minorEastAsia" w:eastAsiaTheme="minorEastAsia"/>
          <w:b/>
          <w:sz w:val="24"/>
          <w:szCs w:val="24"/>
        </w:rPr>
      </w:pPr>
    </w:p>
    <w:p>
      <w:pPr>
        <w:spacing w:line="480" w:lineRule="auto"/>
        <w:jc w:val="center"/>
        <w:rPr>
          <w:rFonts w:cs="Times New Roman" w:asciiTheme="minorEastAsia" w:hAnsiTheme="minorEastAsia" w:eastAsiaTheme="minorEastAsia"/>
          <w:b/>
          <w:sz w:val="24"/>
          <w:szCs w:val="24"/>
        </w:rPr>
      </w:pPr>
    </w:p>
    <w:p>
      <w:pPr>
        <w:spacing w:line="480" w:lineRule="auto"/>
        <w:jc w:val="center"/>
        <w:rPr>
          <w:rFonts w:cs="Times New Roman" w:asciiTheme="minorEastAsia" w:hAnsiTheme="minorEastAsia" w:eastAsiaTheme="minorEastAsia"/>
          <w:b/>
          <w:sz w:val="32"/>
          <w:szCs w:val="32"/>
        </w:rPr>
      </w:pPr>
      <w:r>
        <w:rPr>
          <w:rFonts w:hint="eastAsia" w:cs="Times New Roman" w:asciiTheme="minorEastAsia" w:hAnsiTheme="minorEastAsia" w:eastAsiaTheme="minorEastAsia"/>
          <w:b/>
          <w:sz w:val="32"/>
          <w:szCs w:val="32"/>
        </w:rPr>
        <w:t>合肥市</w:t>
      </w:r>
      <w:r>
        <w:rPr>
          <w:rFonts w:cs="Times New Roman" w:asciiTheme="minorEastAsia" w:hAnsiTheme="minorEastAsia" w:eastAsiaTheme="minorEastAsia"/>
          <w:b/>
          <w:sz w:val="32"/>
          <w:szCs w:val="32"/>
        </w:rPr>
        <w:t>政府采购合同</w:t>
      </w:r>
      <w:r>
        <w:rPr>
          <w:rFonts w:hint="eastAsia" w:cs="Times New Roman" w:asciiTheme="minorEastAsia" w:hAnsiTheme="minorEastAsia" w:eastAsiaTheme="minorEastAsia"/>
          <w:b/>
          <w:sz w:val="32"/>
          <w:szCs w:val="32"/>
        </w:rPr>
        <w:t>参考范本</w:t>
      </w:r>
    </w:p>
    <w:p>
      <w:pPr>
        <w:spacing w:line="480" w:lineRule="auto"/>
        <w:jc w:val="center"/>
        <w:rPr>
          <w:rFonts w:cs="Times New Roman" w:asciiTheme="minorEastAsia" w:hAnsiTheme="minorEastAsia" w:eastAsiaTheme="minorEastAsia"/>
          <w:b/>
          <w:sz w:val="32"/>
          <w:szCs w:val="32"/>
        </w:rPr>
      </w:pPr>
      <w:r>
        <w:rPr>
          <w:rFonts w:hint="eastAsia" w:cs="Times New Roman" w:asciiTheme="minorEastAsia" w:hAnsiTheme="minorEastAsia" w:eastAsiaTheme="minorEastAsia"/>
          <w:b/>
          <w:sz w:val="32"/>
          <w:szCs w:val="32"/>
        </w:rPr>
        <w:t>（货物类）</w:t>
      </w:r>
    </w:p>
    <w:p>
      <w:pPr>
        <w:spacing w:line="480" w:lineRule="auto"/>
        <w:jc w:val="center"/>
        <w:rPr>
          <w:rFonts w:cs="Times New Roman" w:asciiTheme="minorEastAsia" w:hAnsiTheme="minorEastAsia" w:eastAsiaTheme="minorEastAsia"/>
          <w:b/>
          <w:sz w:val="24"/>
          <w:szCs w:val="24"/>
        </w:rPr>
      </w:pPr>
    </w:p>
    <w:p>
      <w:pPr>
        <w:spacing w:line="480" w:lineRule="auto"/>
        <w:jc w:val="center"/>
        <w:rPr>
          <w:rFonts w:cs="Times New Roman" w:asciiTheme="minorEastAsia" w:hAnsiTheme="minorEastAsia" w:eastAsiaTheme="minorEastAsia"/>
          <w:b/>
          <w:sz w:val="24"/>
          <w:szCs w:val="24"/>
        </w:rPr>
      </w:pPr>
    </w:p>
    <w:p>
      <w:pPr>
        <w:spacing w:line="480" w:lineRule="auto"/>
        <w:jc w:val="center"/>
        <w:rPr>
          <w:rFonts w:cs="Times New Roman" w:asciiTheme="minorEastAsia" w:hAnsiTheme="minorEastAsia" w:eastAsiaTheme="minorEastAsia"/>
          <w:b/>
          <w:sz w:val="24"/>
          <w:szCs w:val="24"/>
        </w:rPr>
      </w:pP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第一部分 合同书</w:t>
      </w:r>
    </w:p>
    <w:p>
      <w:pPr>
        <w:spacing w:line="480" w:lineRule="auto"/>
        <w:jc w:val="center"/>
        <w:rPr>
          <w:rFonts w:cs="Times New Roman" w:asciiTheme="minorEastAsia" w:hAnsiTheme="minorEastAsia" w:eastAsiaTheme="minorEastAsia"/>
          <w:b/>
          <w:sz w:val="24"/>
          <w:szCs w:val="24"/>
        </w:rPr>
      </w:pPr>
    </w:p>
    <w:p>
      <w:pPr>
        <w:spacing w:line="480" w:lineRule="auto"/>
        <w:jc w:val="center"/>
        <w:rPr>
          <w:rFonts w:cs="Times New Roman" w:asciiTheme="minorEastAsia" w:hAnsiTheme="minorEastAsia" w:eastAsiaTheme="minorEastAsia"/>
          <w:b/>
          <w:sz w:val="24"/>
          <w:szCs w:val="24"/>
        </w:rPr>
      </w:pPr>
    </w:p>
    <w:p>
      <w:pPr>
        <w:spacing w:line="480" w:lineRule="auto"/>
        <w:jc w:val="center"/>
        <w:rPr>
          <w:rFonts w:cs="Times New Roman" w:asciiTheme="minorEastAsia" w:hAnsiTheme="minorEastAsia" w:eastAsiaTheme="minorEastAsia"/>
          <w:b/>
          <w:sz w:val="24"/>
          <w:szCs w:val="24"/>
        </w:rPr>
      </w:pPr>
    </w:p>
    <w:p>
      <w:pPr>
        <w:spacing w:before="120" w:line="480" w:lineRule="auto"/>
        <w:ind w:left="960"/>
        <w:rPr>
          <w:rFonts w:cs="Times New Roman" w:asciiTheme="minorEastAsia" w:hAnsiTheme="minorEastAsia" w:eastAsiaTheme="minorEastAsia"/>
          <w:sz w:val="24"/>
          <w:szCs w:val="24"/>
          <w:u w:val="single"/>
        </w:rPr>
      </w:pPr>
      <w:r>
        <w:rPr>
          <w:rFonts w:hint="eastAsia" w:cs="Times New Roman" w:asciiTheme="minorEastAsia" w:hAnsiTheme="minorEastAsia" w:eastAsiaTheme="minorEastAsia"/>
          <w:sz w:val="24"/>
          <w:szCs w:val="24"/>
        </w:rPr>
        <w:t>项目名称：</w:t>
      </w:r>
      <w:r>
        <w:rPr>
          <w:rFonts w:hint="eastAsia" w:cs="Times New Roman" w:asciiTheme="minorEastAsia" w:hAnsiTheme="minorEastAsia" w:eastAsiaTheme="minorEastAsia"/>
          <w:sz w:val="24"/>
          <w:szCs w:val="24"/>
          <w:u w:val="single"/>
        </w:rPr>
        <w:t>安徽交通职业技术学院产教融合实训基地建设项目（第一、二包）</w:t>
      </w:r>
    </w:p>
    <w:p>
      <w:pPr>
        <w:spacing w:before="120" w:line="480" w:lineRule="auto"/>
        <w:ind w:left="96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项目编号：</w:t>
      </w:r>
      <w:r>
        <w:rPr>
          <w:rFonts w:hint="eastAsia" w:cs="Times New Roman" w:asciiTheme="minorEastAsia" w:hAnsiTheme="minorEastAsia" w:eastAsiaTheme="minorEastAsia"/>
          <w:sz w:val="24"/>
          <w:szCs w:val="24"/>
          <w:u w:val="single"/>
        </w:rPr>
        <w:t>AHZJ-202319601535</w:t>
      </w:r>
    </w:p>
    <w:p>
      <w:pPr>
        <w:spacing w:before="120" w:line="480" w:lineRule="auto"/>
        <w:ind w:left="960"/>
        <w:rPr>
          <w:rFonts w:cs="Times New Roman" w:asciiTheme="minorEastAsia" w:hAnsiTheme="minorEastAsia" w:eastAsiaTheme="minorEastAsia"/>
          <w:sz w:val="24"/>
          <w:szCs w:val="24"/>
          <w:u w:val="single"/>
        </w:rPr>
      </w:pPr>
      <w:r>
        <w:rPr>
          <w:rFonts w:hint="eastAsia" w:cs="Times New Roman" w:asciiTheme="minorEastAsia" w:hAnsiTheme="minorEastAsia" w:eastAsiaTheme="minorEastAsia"/>
          <w:sz w:val="24"/>
          <w:szCs w:val="24"/>
        </w:rPr>
        <w:t>甲方（采购人）：</w:t>
      </w:r>
      <w:r>
        <w:rPr>
          <w:rFonts w:hint="eastAsia" w:cs="Times New Roman" w:asciiTheme="minorEastAsia" w:hAnsiTheme="minorEastAsia" w:eastAsiaTheme="minorEastAsia"/>
          <w:sz w:val="24"/>
          <w:szCs w:val="24"/>
          <w:u w:val="single"/>
        </w:rPr>
        <w:t>安徽交通职业技术学院</w:t>
      </w:r>
    </w:p>
    <w:p>
      <w:pPr>
        <w:spacing w:before="120" w:line="480" w:lineRule="auto"/>
        <w:ind w:left="960"/>
        <w:rPr>
          <w:rFonts w:cs="Times New Roman" w:asciiTheme="minorEastAsia" w:hAnsiTheme="minorEastAsia" w:eastAsiaTheme="minorEastAsia"/>
          <w:sz w:val="24"/>
          <w:szCs w:val="24"/>
          <w:u w:val="single"/>
        </w:rPr>
      </w:pPr>
      <w:r>
        <w:rPr>
          <w:rFonts w:hint="eastAsia" w:cs="Times New Roman" w:asciiTheme="minorEastAsia" w:hAnsiTheme="minorEastAsia" w:eastAsiaTheme="minorEastAsia"/>
          <w:sz w:val="24"/>
          <w:szCs w:val="24"/>
        </w:rPr>
        <w:t>乙方（中标人）：</w:t>
      </w:r>
      <w:r>
        <w:rPr>
          <w:rFonts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u w:val="single"/>
        </w:rPr>
        <w:t xml:space="preserve"> </w:t>
      </w:r>
      <w:r>
        <w:rPr>
          <w:rFonts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u w:val="single"/>
        </w:rPr>
        <w:t xml:space="preserve">                  </w:t>
      </w:r>
    </w:p>
    <w:p>
      <w:pPr>
        <w:spacing w:before="120" w:line="480" w:lineRule="auto"/>
        <w:ind w:firstLine="960" w:firstLineChars="400"/>
        <w:rPr>
          <w:rFonts w:cs="Times New Roman" w:asciiTheme="minorEastAsia" w:hAnsiTheme="minorEastAsia" w:eastAsiaTheme="minorEastAsia"/>
          <w:sz w:val="24"/>
          <w:szCs w:val="24"/>
          <w:u w:val="single"/>
        </w:rPr>
      </w:pPr>
      <w:r>
        <w:rPr>
          <w:rFonts w:hint="eastAsia" w:cs="Times New Roman" w:asciiTheme="minorEastAsia" w:hAnsiTheme="minorEastAsia" w:eastAsiaTheme="minorEastAsia"/>
          <w:sz w:val="24"/>
          <w:szCs w:val="24"/>
        </w:rPr>
        <w:t>签订地：</w:t>
      </w:r>
      <w:r>
        <w:rPr>
          <w:rFonts w:hint="eastAsia" w:cs="Times New Roman" w:asciiTheme="minorEastAsia" w:hAnsiTheme="minorEastAsia" w:eastAsiaTheme="minorEastAsia"/>
          <w:sz w:val="24"/>
          <w:szCs w:val="24"/>
          <w:u w:val="single"/>
        </w:rPr>
        <w:t xml:space="preserve">                                     </w:t>
      </w:r>
    </w:p>
    <w:p>
      <w:pPr>
        <w:spacing w:before="120" w:line="480" w:lineRule="auto"/>
        <w:ind w:firstLine="960" w:firstLineChars="400"/>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签订日期：</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年</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月</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日</w:t>
      </w:r>
    </w:p>
    <w:p>
      <w:pPr>
        <w:widowControl/>
        <w:jc w:val="left"/>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br w:type="page"/>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u w:val="single"/>
        </w:rPr>
        <w:t>安徽交通职业技术学院</w:t>
      </w:r>
      <w:r>
        <w:rPr>
          <w:rFonts w:hint="eastAsia" w:asciiTheme="minorEastAsia" w:hAnsiTheme="minorEastAsia" w:eastAsiaTheme="minorEastAsia"/>
          <w:sz w:val="24"/>
        </w:rPr>
        <w:t>（</w:t>
      </w:r>
      <w:r>
        <w:rPr>
          <w:rFonts w:hint="eastAsia" w:cs="Times New Roman" w:asciiTheme="minorEastAsia" w:hAnsiTheme="minorEastAsia" w:eastAsiaTheme="minorEastAsia"/>
          <w:sz w:val="24"/>
          <w:szCs w:val="24"/>
          <w:lang w:val="zh-CN"/>
        </w:rPr>
        <w:t>以下简称：甲方</w:t>
      </w:r>
      <w:r>
        <w:rPr>
          <w:rFonts w:hint="eastAsia" w:asciiTheme="minorEastAsia" w:hAnsiTheme="minorEastAsia" w:eastAsiaTheme="minorEastAsia"/>
          <w:sz w:val="24"/>
        </w:rPr>
        <w:t>）通过</w:t>
      </w:r>
      <w:r>
        <w:rPr>
          <w:rFonts w:hint="eastAsia" w:asciiTheme="minorEastAsia" w:hAnsiTheme="minorEastAsia" w:eastAsiaTheme="minorEastAsia"/>
          <w:sz w:val="24"/>
          <w:u w:val="single"/>
        </w:rPr>
        <w:t>安徽中技工程咨询有限公司</w:t>
      </w:r>
      <w:r>
        <w:rPr>
          <w:rFonts w:hint="eastAsia" w:asciiTheme="minorEastAsia" w:hAnsiTheme="minorEastAsia" w:eastAsiaTheme="minorEastAsia"/>
          <w:sz w:val="24"/>
        </w:rPr>
        <w:t>组织的</w:t>
      </w:r>
      <w:r>
        <w:rPr>
          <w:rFonts w:hint="eastAsia" w:asciiTheme="minorEastAsia" w:hAnsiTheme="minorEastAsia" w:eastAsiaTheme="minorEastAsia"/>
          <w:sz w:val="24"/>
          <w:u w:val="single"/>
        </w:rPr>
        <w:t>公开招标</w:t>
      </w:r>
      <w:r>
        <w:rPr>
          <w:rFonts w:hint="eastAsia" w:asciiTheme="minorEastAsia" w:hAnsiTheme="minorEastAsia" w:eastAsiaTheme="minorEastAsia"/>
          <w:sz w:val="24"/>
        </w:rPr>
        <w:t>方式采购活动，经</w:t>
      </w:r>
      <w:r>
        <w:rPr>
          <w:rFonts w:hint="eastAsia" w:asciiTheme="minorEastAsia" w:hAnsiTheme="minorEastAsia" w:eastAsiaTheme="minorEastAsia"/>
          <w:sz w:val="24"/>
          <w:u w:val="single"/>
        </w:rPr>
        <w:t>评标委员会</w:t>
      </w:r>
      <w:r>
        <w:rPr>
          <w:rFonts w:hint="eastAsia" w:asciiTheme="minorEastAsia" w:hAnsiTheme="minorEastAsia" w:eastAsiaTheme="minorEastAsia"/>
          <w:sz w:val="24"/>
        </w:rPr>
        <w:t>评定，</w:t>
      </w:r>
      <w:r>
        <w:rPr>
          <w:rFonts w:hint="eastAsia" w:cs="Times New Roman" w:asciiTheme="minorEastAsia" w:hAnsiTheme="minorEastAsia" w:eastAsiaTheme="minorEastAsia"/>
          <w:i/>
          <w:iCs/>
          <w:sz w:val="24"/>
          <w:szCs w:val="24"/>
          <w:u w:val="single"/>
        </w:rPr>
        <w:t>（中标人名称）</w:t>
      </w:r>
      <w:r>
        <w:rPr>
          <w:rFonts w:hint="eastAsia" w:asciiTheme="minorEastAsia" w:hAnsiTheme="minorEastAsia" w:eastAsiaTheme="minorEastAsia"/>
          <w:sz w:val="24"/>
        </w:rPr>
        <w:t>（</w:t>
      </w:r>
      <w:r>
        <w:rPr>
          <w:rFonts w:hint="eastAsia" w:cs="Times New Roman" w:asciiTheme="minorEastAsia" w:hAnsiTheme="minorEastAsia" w:eastAsiaTheme="minorEastAsia"/>
          <w:sz w:val="24"/>
          <w:szCs w:val="24"/>
          <w:lang w:val="zh-CN"/>
        </w:rPr>
        <w:t>以下简称：乙方</w:t>
      </w:r>
      <w:r>
        <w:rPr>
          <w:rFonts w:hint="eastAsia" w:asciiTheme="minorEastAsia" w:hAnsiTheme="minorEastAsia" w:eastAsiaTheme="minorEastAsia"/>
          <w:sz w:val="24"/>
        </w:rPr>
        <w:t>）为本项目中标人，现</w:t>
      </w:r>
      <w:r>
        <w:rPr>
          <w:rFonts w:hint="eastAsia" w:cs="Times New Roman" w:asciiTheme="minorEastAsia" w:hAnsiTheme="minorEastAsia" w:eastAsiaTheme="minorEastAsia"/>
          <w:sz w:val="24"/>
          <w:szCs w:val="24"/>
        </w:rPr>
        <w:t>按照采购文件确定的事项签订本合同。</w:t>
      </w:r>
    </w:p>
    <w:p>
      <w:pPr>
        <w:spacing w:line="360" w:lineRule="auto"/>
        <w:ind w:firstLine="435"/>
        <w:rPr>
          <w:rFonts w:cs="Times New Roman" w:asciiTheme="minorEastAsia" w:hAnsiTheme="minorEastAsia" w:eastAsiaTheme="minorEastAsia"/>
          <w:sz w:val="24"/>
          <w:szCs w:val="24"/>
          <w:lang w:val="zh-CN"/>
        </w:rPr>
      </w:pPr>
      <w:r>
        <w:rPr>
          <w:rFonts w:hint="eastAsia" w:asciiTheme="minorEastAsia" w:hAnsiTheme="minorEastAsia" w:eastAsiaTheme="minorEastAsia"/>
          <w:sz w:val="24"/>
        </w:rPr>
        <w:t>根据《中华人民共和国民法典》、《中华人民共和国政府采购法》等相关法律法规之规定，按照平等、自愿、公平和诚实信用的原则，经甲方和乙方协商一致，约定以下合同条款，以兹共同遵守、全面履行。</w:t>
      </w:r>
    </w:p>
    <w:p>
      <w:pPr>
        <w:spacing w:line="360" w:lineRule="auto"/>
        <w:ind w:firstLine="437"/>
        <w:outlineLvl w:val="3"/>
        <w:rPr>
          <w:rFonts w:cs="Times New Roman" w:asciiTheme="minorEastAsia" w:hAnsiTheme="minorEastAsia" w:eastAsiaTheme="minorEastAsia"/>
          <w:b/>
          <w:bCs/>
          <w:sz w:val="24"/>
          <w:szCs w:val="24"/>
          <w:lang w:val="zh-CN"/>
        </w:rPr>
      </w:pPr>
      <w:bookmarkStart w:id="53" w:name="_Toc24059"/>
      <w:bookmarkStart w:id="54" w:name="_Toc2232"/>
      <w:bookmarkStart w:id="55" w:name="_Toc3029"/>
      <w:r>
        <w:rPr>
          <w:rFonts w:hint="eastAsia" w:cs="Times New Roman" w:asciiTheme="minorEastAsia" w:hAnsiTheme="minorEastAsia" w:eastAsiaTheme="minorEastAsia"/>
          <w:b/>
          <w:bCs/>
          <w:sz w:val="24"/>
          <w:szCs w:val="24"/>
          <w:lang w:val="zh-CN"/>
        </w:rPr>
        <w:t>1.1</w:t>
      </w:r>
      <w:r>
        <w:rPr>
          <w:rFonts w:cs="Times New Roman" w:asciiTheme="minorEastAsia" w:hAnsiTheme="minorEastAsia" w:eastAsiaTheme="minorEastAsia"/>
          <w:b/>
          <w:bCs/>
          <w:sz w:val="24"/>
          <w:szCs w:val="24"/>
          <w:lang w:val="zh-CN"/>
        </w:rPr>
        <w:t xml:space="preserve"> </w:t>
      </w:r>
      <w:r>
        <w:rPr>
          <w:rFonts w:hint="eastAsia" w:cs="Times New Roman" w:asciiTheme="minorEastAsia" w:hAnsiTheme="minorEastAsia" w:eastAsiaTheme="minorEastAsia"/>
          <w:b/>
          <w:bCs/>
          <w:sz w:val="24"/>
          <w:szCs w:val="24"/>
          <w:lang w:val="zh-CN"/>
        </w:rPr>
        <w:t>合同组成部分</w:t>
      </w:r>
      <w:bookmarkEnd w:id="53"/>
      <w:bookmarkEnd w:id="54"/>
      <w:bookmarkEnd w:id="55"/>
    </w:p>
    <w:p>
      <w:pPr>
        <w:spacing w:line="360" w:lineRule="auto"/>
        <w:ind w:firstLine="435"/>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pPr>
        <w:spacing w:line="360" w:lineRule="auto"/>
        <w:ind w:firstLine="435"/>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1.1.1本合同及其补充合同、变更协议；</w:t>
      </w:r>
    </w:p>
    <w:p>
      <w:pPr>
        <w:spacing w:line="360" w:lineRule="auto"/>
        <w:ind w:firstLine="435"/>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1.1.2中标通知书；</w:t>
      </w:r>
    </w:p>
    <w:p>
      <w:pPr>
        <w:spacing w:line="360" w:lineRule="auto"/>
        <w:ind w:firstLine="435"/>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1.1.3投标文件（含澄清或者说明文件）；</w:t>
      </w:r>
    </w:p>
    <w:p>
      <w:pPr>
        <w:spacing w:line="360" w:lineRule="auto"/>
        <w:ind w:firstLine="435"/>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1.1.4招标文件（含澄清或者修改文件）；</w:t>
      </w:r>
    </w:p>
    <w:p>
      <w:pPr>
        <w:spacing w:line="360" w:lineRule="auto"/>
        <w:ind w:firstLine="435"/>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1.1.5其他相关采购文件。</w:t>
      </w:r>
    </w:p>
    <w:p>
      <w:pPr>
        <w:spacing w:line="360" w:lineRule="auto"/>
        <w:ind w:firstLine="437"/>
        <w:outlineLvl w:val="3"/>
        <w:rPr>
          <w:rFonts w:cs="Times New Roman" w:asciiTheme="minorEastAsia" w:hAnsiTheme="minorEastAsia" w:eastAsiaTheme="minorEastAsia"/>
          <w:b/>
          <w:bCs/>
          <w:sz w:val="24"/>
          <w:szCs w:val="24"/>
          <w:lang w:val="zh-CN"/>
        </w:rPr>
      </w:pPr>
      <w:bookmarkStart w:id="56" w:name="_Toc27126"/>
      <w:bookmarkStart w:id="57" w:name="_Toc24300"/>
      <w:bookmarkStart w:id="58" w:name="_Toc21295"/>
      <w:r>
        <w:rPr>
          <w:rFonts w:hint="eastAsia" w:cs="Times New Roman" w:asciiTheme="minorEastAsia" w:hAnsiTheme="minorEastAsia" w:eastAsiaTheme="minorEastAsia"/>
          <w:b/>
          <w:bCs/>
          <w:sz w:val="24"/>
          <w:szCs w:val="24"/>
          <w:lang w:val="zh-CN"/>
        </w:rPr>
        <w:t>1.2</w:t>
      </w:r>
      <w:r>
        <w:rPr>
          <w:rFonts w:cs="Times New Roman" w:asciiTheme="minorEastAsia" w:hAnsiTheme="minorEastAsia" w:eastAsiaTheme="minorEastAsia"/>
          <w:b/>
          <w:bCs/>
          <w:sz w:val="24"/>
          <w:szCs w:val="24"/>
          <w:lang w:val="zh-CN"/>
        </w:rPr>
        <w:t xml:space="preserve"> </w:t>
      </w:r>
      <w:r>
        <w:rPr>
          <w:rFonts w:hint="eastAsia" w:cs="Times New Roman" w:asciiTheme="minorEastAsia" w:hAnsiTheme="minorEastAsia" w:eastAsiaTheme="minorEastAsia"/>
          <w:b/>
          <w:bCs/>
          <w:sz w:val="24"/>
          <w:szCs w:val="24"/>
          <w:lang w:val="zh-CN"/>
        </w:rPr>
        <w:t>货物</w:t>
      </w:r>
      <w:bookmarkEnd w:id="56"/>
      <w:bookmarkEnd w:id="57"/>
      <w:bookmarkEnd w:id="58"/>
    </w:p>
    <w:tbl>
      <w:tblPr>
        <w:tblStyle w:val="5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15"/>
        <w:gridCol w:w="1515"/>
        <w:gridCol w:w="1512"/>
        <w:gridCol w:w="1512"/>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序号</w:t>
            </w:r>
          </w:p>
        </w:tc>
        <w:tc>
          <w:tcPr>
            <w:tcW w:w="1515" w:type="dxa"/>
            <w:vAlign w:val="center"/>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货物名称</w:t>
            </w:r>
          </w:p>
        </w:tc>
        <w:tc>
          <w:tcPr>
            <w:tcW w:w="1515" w:type="dxa"/>
            <w:vAlign w:val="center"/>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规格型号</w:t>
            </w:r>
          </w:p>
        </w:tc>
        <w:tc>
          <w:tcPr>
            <w:tcW w:w="1512" w:type="dxa"/>
            <w:vAlign w:val="center"/>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单位</w:t>
            </w:r>
          </w:p>
        </w:tc>
        <w:tc>
          <w:tcPr>
            <w:tcW w:w="1512" w:type="dxa"/>
            <w:vAlign w:val="center"/>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数量</w:t>
            </w:r>
          </w:p>
        </w:tc>
        <w:tc>
          <w:tcPr>
            <w:tcW w:w="1508" w:type="dxa"/>
            <w:vAlign w:val="center"/>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生产厂商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1</w:t>
            </w:r>
          </w:p>
        </w:tc>
        <w:tc>
          <w:tcPr>
            <w:tcW w:w="1515" w:type="dxa"/>
            <w:vAlign w:val="center"/>
          </w:tcPr>
          <w:p>
            <w:pPr>
              <w:jc w:val="center"/>
              <w:rPr>
                <w:rFonts w:cs="Times New Roman" w:asciiTheme="minorEastAsia" w:hAnsiTheme="minorEastAsia" w:eastAsiaTheme="minorEastAsia"/>
                <w:sz w:val="24"/>
                <w:szCs w:val="24"/>
                <w:lang w:val="zh-CN"/>
              </w:rPr>
            </w:pPr>
          </w:p>
        </w:tc>
        <w:tc>
          <w:tcPr>
            <w:tcW w:w="1515" w:type="dxa"/>
            <w:vAlign w:val="center"/>
          </w:tcPr>
          <w:p>
            <w:pPr>
              <w:jc w:val="center"/>
              <w:rPr>
                <w:rFonts w:cs="Times New Roman" w:asciiTheme="minorEastAsia" w:hAnsiTheme="minorEastAsia" w:eastAsiaTheme="minorEastAsia"/>
                <w:sz w:val="24"/>
                <w:szCs w:val="24"/>
                <w:lang w:val="zh-CN"/>
              </w:rPr>
            </w:pPr>
          </w:p>
        </w:tc>
        <w:tc>
          <w:tcPr>
            <w:tcW w:w="1512" w:type="dxa"/>
            <w:vAlign w:val="center"/>
          </w:tcPr>
          <w:p>
            <w:pPr>
              <w:jc w:val="center"/>
              <w:rPr>
                <w:rFonts w:cs="Times New Roman" w:asciiTheme="minorEastAsia" w:hAnsiTheme="minorEastAsia" w:eastAsiaTheme="minorEastAsia"/>
                <w:sz w:val="24"/>
                <w:szCs w:val="24"/>
                <w:lang w:val="zh-CN"/>
              </w:rPr>
            </w:pPr>
          </w:p>
        </w:tc>
        <w:tc>
          <w:tcPr>
            <w:tcW w:w="1512" w:type="dxa"/>
            <w:vAlign w:val="center"/>
          </w:tcPr>
          <w:p>
            <w:pPr>
              <w:jc w:val="center"/>
              <w:rPr>
                <w:rFonts w:cs="Times New Roman" w:asciiTheme="minorEastAsia" w:hAnsiTheme="minorEastAsia" w:eastAsiaTheme="minorEastAsia"/>
                <w:sz w:val="24"/>
                <w:szCs w:val="24"/>
                <w:lang w:val="zh-CN"/>
              </w:rPr>
            </w:pPr>
          </w:p>
        </w:tc>
        <w:tc>
          <w:tcPr>
            <w:tcW w:w="1508" w:type="dxa"/>
            <w:vAlign w:val="center"/>
          </w:tcPr>
          <w:p>
            <w:pPr>
              <w:jc w:val="center"/>
              <w:rPr>
                <w:rFonts w:cs="Times New Roman" w:asciiTheme="minorEastAsia" w:hAnsiTheme="minorEastAsia" w:eastAsiaTheme="minorEastAsia"/>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2</w:t>
            </w:r>
          </w:p>
        </w:tc>
        <w:tc>
          <w:tcPr>
            <w:tcW w:w="1515" w:type="dxa"/>
            <w:vAlign w:val="center"/>
          </w:tcPr>
          <w:p>
            <w:pPr>
              <w:jc w:val="center"/>
              <w:rPr>
                <w:rFonts w:cs="Times New Roman" w:asciiTheme="minorEastAsia" w:hAnsiTheme="minorEastAsia" w:eastAsiaTheme="minorEastAsia"/>
                <w:sz w:val="24"/>
                <w:szCs w:val="24"/>
                <w:lang w:val="zh-CN"/>
              </w:rPr>
            </w:pPr>
          </w:p>
        </w:tc>
        <w:tc>
          <w:tcPr>
            <w:tcW w:w="1515" w:type="dxa"/>
            <w:vAlign w:val="center"/>
          </w:tcPr>
          <w:p>
            <w:pPr>
              <w:jc w:val="center"/>
              <w:rPr>
                <w:rFonts w:cs="Times New Roman" w:asciiTheme="minorEastAsia" w:hAnsiTheme="minorEastAsia" w:eastAsiaTheme="minorEastAsia"/>
                <w:sz w:val="24"/>
                <w:szCs w:val="24"/>
                <w:lang w:val="zh-CN"/>
              </w:rPr>
            </w:pPr>
          </w:p>
        </w:tc>
        <w:tc>
          <w:tcPr>
            <w:tcW w:w="1512" w:type="dxa"/>
            <w:vAlign w:val="center"/>
          </w:tcPr>
          <w:p>
            <w:pPr>
              <w:jc w:val="center"/>
              <w:rPr>
                <w:rFonts w:cs="Times New Roman" w:asciiTheme="minorEastAsia" w:hAnsiTheme="minorEastAsia" w:eastAsiaTheme="minorEastAsia"/>
                <w:sz w:val="24"/>
                <w:szCs w:val="24"/>
                <w:lang w:val="zh-CN"/>
              </w:rPr>
            </w:pPr>
          </w:p>
        </w:tc>
        <w:tc>
          <w:tcPr>
            <w:tcW w:w="1512" w:type="dxa"/>
            <w:vAlign w:val="center"/>
          </w:tcPr>
          <w:p>
            <w:pPr>
              <w:jc w:val="center"/>
              <w:rPr>
                <w:rFonts w:cs="Times New Roman" w:asciiTheme="minorEastAsia" w:hAnsiTheme="minorEastAsia" w:eastAsiaTheme="minorEastAsia"/>
                <w:sz w:val="24"/>
                <w:szCs w:val="24"/>
                <w:lang w:val="zh-CN"/>
              </w:rPr>
            </w:pPr>
          </w:p>
        </w:tc>
        <w:tc>
          <w:tcPr>
            <w:tcW w:w="1508" w:type="dxa"/>
            <w:vAlign w:val="center"/>
          </w:tcPr>
          <w:p>
            <w:pPr>
              <w:jc w:val="center"/>
              <w:rPr>
                <w:rFonts w:cs="Times New Roman" w:asciiTheme="minorEastAsia" w:hAnsiTheme="minorEastAsia" w:eastAsiaTheme="minorEastAsia"/>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pPr>
              <w:jc w:val="center"/>
              <w:rPr>
                <w:rFonts w:cs="Times New Roman" w:asciiTheme="minorEastAsia" w:hAnsiTheme="minorEastAsia" w:eastAsiaTheme="minorEastAsia"/>
                <w:sz w:val="24"/>
                <w:szCs w:val="24"/>
                <w:lang w:val="zh-CN"/>
              </w:rPr>
            </w:pPr>
            <w:r>
              <w:rPr>
                <w:rFonts w:cs="Times New Roman" w:asciiTheme="minorEastAsia" w:hAnsiTheme="minorEastAsia" w:eastAsiaTheme="minorEastAsia"/>
                <w:sz w:val="24"/>
                <w:szCs w:val="24"/>
                <w:lang w:val="zh-CN"/>
              </w:rPr>
              <w:t>3</w:t>
            </w:r>
          </w:p>
        </w:tc>
        <w:tc>
          <w:tcPr>
            <w:tcW w:w="1515" w:type="dxa"/>
            <w:vAlign w:val="center"/>
          </w:tcPr>
          <w:p>
            <w:pPr>
              <w:jc w:val="center"/>
              <w:rPr>
                <w:rFonts w:cs="Times New Roman" w:asciiTheme="minorEastAsia" w:hAnsiTheme="minorEastAsia" w:eastAsiaTheme="minorEastAsia"/>
                <w:sz w:val="24"/>
                <w:szCs w:val="24"/>
                <w:lang w:val="zh-CN"/>
              </w:rPr>
            </w:pPr>
          </w:p>
        </w:tc>
        <w:tc>
          <w:tcPr>
            <w:tcW w:w="1515" w:type="dxa"/>
            <w:vAlign w:val="center"/>
          </w:tcPr>
          <w:p>
            <w:pPr>
              <w:jc w:val="center"/>
              <w:rPr>
                <w:rFonts w:cs="Times New Roman" w:asciiTheme="minorEastAsia" w:hAnsiTheme="minorEastAsia" w:eastAsiaTheme="minorEastAsia"/>
                <w:sz w:val="24"/>
                <w:szCs w:val="24"/>
                <w:lang w:val="zh-CN"/>
              </w:rPr>
            </w:pPr>
          </w:p>
        </w:tc>
        <w:tc>
          <w:tcPr>
            <w:tcW w:w="1512" w:type="dxa"/>
            <w:vAlign w:val="center"/>
          </w:tcPr>
          <w:p>
            <w:pPr>
              <w:jc w:val="center"/>
              <w:rPr>
                <w:rFonts w:cs="Times New Roman" w:asciiTheme="minorEastAsia" w:hAnsiTheme="minorEastAsia" w:eastAsiaTheme="minorEastAsia"/>
                <w:sz w:val="24"/>
                <w:szCs w:val="24"/>
                <w:lang w:val="zh-CN"/>
              </w:rPr>
            </w:pPr>
          </w:p>
        </w:tc>
        <w:tc>
          <w:tcPr>
            <w:tcW w:w="1512" w:type="dxa"/>
            <w:vAlign w:val="center"/>
          </w:tcPr>
          <w:p>
            <w:pPr>
              <w:jc w:val="center"/>
              <w:rPr>
                <w:rFonts w:cs="Times New Roman" w:asciiTheme="minorEastAsia" w:hAnsiTheme="minorEastAsia" w:eastAsiaTheme="minorEastAsia"/>
                <w:sz w:val="24"/>
                <w:szCs w:val="24"/>
                <w:lang w:val="zh-CN"/>
              </w:rPr>
            </w:pPr>
          </w:p>
        </w:tc>
        <w:tc>
          <w:tcPr>
            <w:tcW w:w="1508" w:type="dxa"/>
            <w:vAlign w:val="center"/>
          </w:tcPr>
          <w:p>
            <w:pPr>
              <w:jc w:val="center"/>
              <w:rPr>
                <w:rFonts w:cs="Times New Roman" w:asciiTheme="minorEastAsia" w:hAnsiTheme="minorEastAsia" w:eastAsiaTheme="minorEastAsia"/>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w:t>
            </w:r>
          </w:p>
        </w:tc>
        <w:tc>
          <w:tcPr>
            <w:tcW w:w="1515" w:type="dxa"/>
            <w:vAlign w:val="center"/>
          </w:tcPr>
          <w:p>
            <w:pPr>
              <w:jc w:val="center"/>
              <w:rPr>
                <w:rFonts w:cs="Times New Roman" w:asciiTheme="minorEastAsia" w:hAnsiTheme="minorEastAsia" w:eastAsiaTheme="minorEastAsia"/>
                <w:sz w:val="24"/>
                <w:szCs w:val="24"/>
                <w:lang w:val="zh-CN"/>
              </w:rPr>
            </w:pPr>
          </w:p>
        </w:tc>
        <w:tc>
          <w:tcPr>
            <w:tcW w:w="1515" w:type="dxa"/>
            <w:vAlign w:val="center"/>
          </w:tcPr>
          <w:p>
            <w:pPr>
              <w:jc w:val="center"/>
              <w:rPr>
                <w:rFonts w:cs="Times New Roman" w:asciiTheme="minorEastAsia" w:hAnsiTheme="minorEastAsia" w:eastAsiaTheme="minorEastAsia"/>
                <w:sz w:val="24"/>
                <w:szCs w:val="24"/>
                <w:lang w:val="zh-CN"/>
              </w:rPr>
            </w:pPr>
          </w:p>
        </w:tc>
        <w:tc>
          <w:tcPr>
            <w:tcW w:w="1512" w:type="dxa"/>
            <w:vAlign w:val="center"/>
          </w:tcPr>
          <w:p>
            <w:pPr>
              <w:jc w:val="center"/>
              <w:rPr>
                <w:rFonts w:cs="Times New Roman" w:asciiTheme="minorEastAsia" w:hAnsiTheme="minorEastAsia" w:eastAsiaTheme="minorEastAsia"/>
                <w:sz w:val="24"/>
                <w:szCs w:val="24"/>
                <w:lang w:val="zh-CN"/>
              </w:rPr>
            </w:pPr>
          </w:p>
        </w:tc>
        <w:tc>
          <w:tcPr>
            <w:tcW w:w="1512" w:type="dxa"/>
            <w:vAlign w:val="center"/>
          </w:tcPr>
          <w:p>
            <w:pPr>
              <w:jc w:val="center"/>
              <w:rPr>
                <w:rFonts w:cs="Times New Roman" w:asciiTheme="minorEastAsia" w:hAnsiTheme="minorEastAsia" w:eastAsiaTheme="minorEastAsia"/>
                <w:sz w:val="24"/>
                <w:szCs w:val="24"/>
                <w:lang w:val="zh-CN"/>
              </w:rPr>
            </w:pPr>
          </w:p>
        </w:tc>
        <w:tc>
          <w:tcPr>
            <w:tcW w:w="1508" w:type="dxa"/>
            <w:vAlign w:val="center"/>
          </w:tcPr>
          <w:p>
            <w:pPr>
              <w:jc w:val="center"/>
              <w:rPr>
                <w:rFonts w:cs="Times New Roman" w:asciiTheme="minorEastAsia" w:hAnsiTheme="minorEastAsia" w:eastAsiaTheme="minorEastAsia"/>
                <w:sz w:val="24"/>
                <w:szCs w:val="24"/>
                <w:lang w:val="zh-CN"/>
              </w:rPr>
            </w:pPr>
          </w:p>
        </w:tc>
      </w:tr>
    </w:tbl>
    <w:p>
      <w:pPr>
        <w:spacing w:line="360" w:lineRule="auto"/>
        <w:ind w:firstLine="437"/>
        <w:outlineLvl w:val="3"/>
        <w:rPr>
          <w:rFonts w:cs="Times New Roman" w:asciiTheme="minorEastAsia" w:hAnsiTheme="minorEastAsia" w:eastAsiaTheme="minorEastAsia"/>
          <w:b/>
          <w:bCs/>
          <w:sz w:val="24"/>
          <w:szCs w:val="24"/>
          <w:lang w:val="zh-CN"/>
        </w:rPr>
      </w:pPr>
      <w:bookmarkStart w:id="59" w:name="_Toc21551"/>
      <w:bookmarkStart w:id="60" w:name="_Toc23292"/>
      <w:bookmarkStart w:id="61" w:name="_Toc21631"/>
      <w:r>
        <w:rPr>
          <w:rFonts w:hint="eastAsia" w:cs="Times New Roman" w:asciiTheme="minorEastAsia" w:hAnsiTheme="minorEastAsia" w:eastAsiaTheme="minorEastAsia"/>
          <w:b/>
          <w:bCs/>
          <w:sz w:val="24"/>
          <w:szCs w:val="24"/>
          <w:lang w:val="zh-CN"/>
        </w:rPr>
        <w:t>1.</w:t>
      </w:r>
      <w:r>
        <w:rPr>
          <w:rFonts w:cs="Times New Roman" w:asciiTheme="minorEastAsia" w:hAnsiTheme="minorEastAsia" w:eastAsiaTheme="minorEastAsia"/>
          <w:b/>
          <w:bCs/>
          <w:sz w:val="24"/>
          <w:szCs w:val="24"/>
          <w:lang w:val="zh-CN"/>
        </w:rPr>
        <w:t xml:space="preserve">3 </w:t>
      </w:r>
      <w:r>
        <w:rPr>
          <w:rFonts w:hint="eastAsia" w:cs="Times New Roman" w:asciiTheme="minorEastAsia" w:hAnsiTheme="minorEastAsia" w:eastAsiaTheme="minorEastAsia"/>
          <w:b/>
          <w:bCs/>
          <w:sz w:val="24"/>
          <w:szCs w:val="24"/>
          <w:lang w:val="zh-CN"/>
        </w:rPr>
        <w:t>价款</w:t>
      </w:r>
      <w:bookmarkEnd w:id="59"/>
      <w:bookmarkEnd w:id="60"/>
      <w:bookmarkEnd w:id="61"/>
    </w:p>
    <w:p>
      <w:pPr>
        <w:spacing w:line="360" w:lineRule="auto"/>
        <w:ind w:firstLine="435"/>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本合同总价为</w:t>
      </w:r>
      <w:r>
        <w:rPr>
          <w:rFonts w:hint="eastAsia" w:cs="Times New Roman" w:asciiTheme="minorEastAsia" w:hAnsiTheme="minorEastAsia" w:eastAsiaTheme="minorEastAsia"/>
          <w:sz w:val="24"/>
          <w:szCs w:val="24"/>
        </w:rPr>
        <w:t>：￥</w:t>
      </w:r>
      <w:r>
        <w:rPr>
          <w:rFonts w:hint="eastAsia" w:cs="Times New Roman" w:asciiTheme="minorEastAsia" w:hAnsiTheme="minorEastAsia" w:eastAsiaTheme="minorEastAsia"/>
          <w:sz w:val="24"/>
          <w:szCs w:val="24"/>
          <w:u w:val="single"/>
        </w:rPr>
        <w:t xml:space="preserve">           </w:t>
      </w:r>
      <w:r>
        <w:rPr>
          <w:rFonts w:cs="Times New Roman" w:asciiTheme="minorEastAsia" w:hAnsiTheme="minorEastAsia" w:eastAsiaTheme="minorEastAsia"/>
          <w:sz w:val="24"/>
          <w:szCs w:val="24"/>
        </w:rPr>
        <w:t>元</w:t>
      </w:r>
      <w:r>
        <w:rPr>
          <w:rFonts w:hint="eastAsia" w:cs="Times New Roman" w:asciiTheme="minorEastAsia" w:hAnsiTheme="minorEastAsia" w:eastAsiaTheme="minorEastAsia"/>
          <w:sz w:val="24"/>
          <w:szCs w:val="24"/>
        </w:rPr>
        <w:t>（大写：人民币</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元）</w:t>
      </w:r>
      <w:r>
        <w:rPr>
          <w:rFonts w:cs="Times New Roman" w:asciiTheme="minorEastAsia" w:hAnsiTheme="minorEastAsia" w:eastAsiaTheme="minorEastAsia"/>
          <w:sz w:val="24"/>
          <w:szCs w:val="24"/>
        </w:rPr>
        <w:t>。</w:t>
      </w:r>
    </w:p>
    <w:p>
      <w:pPr>
        <w:spacing w:line="360" w:lineRule="auto"/>
        <w:ind w:firstLine="435"/>
        <w:rPr>
          <w:rFonts w:cs="Times New Roman" w:asciiTheme="minorEastAsia" w:hAnsiTheme="minorEastAsia" w:eastAsiaTheme="minorEastAsia"/>
          <w:sz w:val="24"/>
          <w:szCs w:val="24"/>
          <w:u w:val="single"/>
        </w:rPr>
      </w:pPr>
      <w:r>
        <w:rPr>
          <w:rFonts w:cs="Times New Roman" w:asciiTheme="minorEastAsia" w:hAnsiTheme="minorEastAsia" w:eastAsiaTheme="minorEastAsia"/>
          <w:sz w:val="24"/>
          <w:szCs w:val="24"/>
        </w:rPr>
        <w:t>分项价格：</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pPr>
              <w:jc w:val="center"/>
              <w:rPr>
                <w:rFonts w:cs="Times New Roman" w:asciiTheme="minorEastAsia" w:hAnsiTheme="minorEastAsia" w:eastAsiaTheme="minorEastAsia"/>
                <w:sz w:val="24"/>
                <w:szCs w:val="24"/>
                <w:lang w:val="zh-CN"/>
              </w:rPr>
            </w:pPr>
            <w:r>
              <w:rPr>
                <w:rFonts w:cs="Times New Roman" w:asciiTheme="minorEastAsia" w:hAnsiTheme="minorEastAsia" w:eastAsiaTheme="minorEastAsia"/>
                <w:sz w:val="24"/>
                <w:szCs w:val="24"/>
                <w:lang w:val="zh-CN"/>
              </w:rPr>
              <w:t>序号</w:t>
            </w:r>
          </w:p>
        </w:tc>
        <w:tc>
          <w:tcPr>
            <w:tcW w:w="4316" w:type="dxa"/>
            <w:vAlign w:val="center"/>
          </w:tcPr>
          <w:p>
            <w:pPr>
              <w:ind w:firstLine="20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分项名称</w:t>
            </w:r>
          </w:p>
        </w:tc>
        <w:tc>
          <w:tcPr>
            <w:tcW w:w="3237" w:type="dxa"/>
            <w:gridSpan w:val="2"/>
            <w:vAlign w:val="center"/>
          </w:tcPr>
          <w:p>
            <w:pPr>
              <w:jc w:val="center"/>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1</w:t>
            </w:r>
          </w:p>
        </w:tc>
        <w:tc>
          <w:tcPr>
            <w:tcW w:w="4316" w:type="dxa"/>
            <w:vAlign w:val="center"/>
          </w:tcPr>
          <w:p>
            <w:pPr>
              <w:ind w:firstLine="200"/>
              <w:jc w:val="center"/>
              <w:rPr>
                <w:rFonts w:cs="Times New Roman" w:asciiTheme="minorEastAsia" w:hAnsiTheme="minorEastAsia" w:eastAsiaTheme="minorEastAsia"/>
                <w:sz w:val="24"/>
                <w:szCs w:val="24"/>
              </w:rPr>
            </w:pPr>
          </w:p>
        </w:tc>
        <w:tc>
          <w:tcPr>
            <w:tcW w:w="3237" w:type="dxa"/>
            <w:gridSpan w:val="2"/>
            <w:vAlign w:val="center"/>
          </w:tcPr>
          <w:p>
            <w:pPr>
              <w:ind w:firstLine="200"/>
              <w:jc w:val="center"/>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2</w:t>
            </w:r>
          </w:p>
        </w:tc>
        <w:tc>
          <w:tcPr>
            <w:tcW w:w="4316" w:type="dxa"/>
            <w:vAlign w:val="center"/>
          </w:tcPr>
          <w:p>
            <w:pPr>
              <w:ind w:firstLine="200"/>
              <w:jc w:val="center"/>
              <w:rPr>
                <w:rFonts w:cs="Times New Roman" w:asciiTheme="minorEastAsia" w:hAnsiTheme="minorEastAsia" w:eastAsiaTheme="minorEastAsia"/>
                <w:sz w:val="24"/>
                <w:szCs w:val="24"/>
              </w:rPr>
            </w:pPr>
          </w:p>
        </w:tc>
        <w:tc>
          <w:tcPr>
            <w:tcW w:w="3237" w:type="dxa"/>
            <w:gridSpan w:val="2"/>
            <w:vAlign w:val="center"/>
          </w:tcPr>
          <w:p>
            <w:pPr>
              <w:ind w:firstLine="200"/>
              <w:jc w:val="center"/>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sz w:val="24"/>
                <w:szCs w:val="24"/>
                <w:lang w:val="zh-CN"/>
              </w:rPr>
            </w:pPr>
            <w:r>
              <w:rPr>
                <w:rFonts w:cs="Times New Roman" w:asciiTheme="minorEastAsia" w:hAnsiTheme="minorEastAsia" w:eastAsiaTheme="minorEastAsia"/>
                <w:sz w:val="24"/>
                <w:szCs w:val="24"/>
                <w:lang w:val="zh-CN"/>
              </w:rPr>
              <w:t>3</w:t>
            </w:r>
          </w:p>
        </w:tc>
        <w:tc>
          <w:tcPr>
            <w:tcW w:w="4316" w:type="dxa"/>
            <w:vAlign w:val="center"/>
          </w:tcPr>
          <w:p>
            <w:pPr>
              <w:ind w:firstLine="200"/>
              <w:jc w:val="center"/>
              <w:rPr>
                <w:rFonts w:cs="Times New Roman" w:asciiTheme="minorEastAsia" w:hAnsiTheme="minorEastAsia" w:eastAsiaTheme="minorEastAsia"/>
                <w:sz w:val="24"/>
                <w:szCs w:val="24"/>
              </w:rPr>
            </w:pPr>
          </w:p>
        </w:tc>
        <w:tc>
          <w:tcPr>
            <w:tcW w:w="3237" w:type="dxa"/>
            <w:gridSpan w:val="2"/>
            <w:vAlign w:val="center"/>
          </w:tcPr>
          <w:p>
            <w:pPr>
              <w:ind w:firstLine="200"/>
              <w:jc w:val="center"/>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w:t>
            </w:r>
          </w:p>
        </w:tc>
        <w:tc>
          <w:tcPr>
            <w:tcW w:w="4316" w:type="dxa"/>
            <w:vAlign w:val="center"/>
          </w:tcPr>
          <w:p>
            <w:pPr>
              <w:ind w:firstLine="200"/>
              <w:jc w:val="center"/>
              <w:rPr>
                <w:rFonts w:cs="Times New Roman" w:asciiTheme="minorEastAsia" w:hAnsiTheme="minorEastAsia" w:eastAsiaTheme="minorEastAsia"/>
                <w:sz w:val="24"/>
                <w:szCs w:val="24"/>
              </w:rPr>
            </w:pPr>
          </w:p>
        </w:tc>
        <w:tc>
          <w:tcPr>
            <w:tcW w:w="3237" w:type="dxa"/>
            <w:gridSpan w:val="2"/>
            <w:vAlign w:val="center"/>
          </w:tcPr>
          <w:p>
            <w:pPr>
              <w:ind w:firstLine="200"/>
              <w:jc w:val="center"/>
              <w:rPr>
                <w:rFonts w:cs="Times New Roman"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pPr>
              <w:ind w:firstLine="20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总价</w:t>
            </w:r>
          </w:p>
        </w:tc>
        <w:tc>
          <w:tcPr>
            <w:tcW w:w="3237" w:type="dxa"/>
            <w:gridSpan w:val="2"/>
            <w:vAlign w:val="center"/>
          </w:tcPr>
          <w:p>
            <w:pPr>
              <w:ind w:firstLine="200"/>
              <w:jc w:val="center"/>
              <w:rPr>
                <w:rFonts w:cs="Times New Roman" w:asciiTheme="minorEastAsia" w:hAnsiTheme="minorEastAsia" w:eastAsiaTheme="minorEastAsia"/>
                <w:sz w:val="24"/>
                <w:szCs w:val="24"/>
              </w:rPr>
            </w:pPr>
          </w:p>
        </w:tc>
      </w:tr>
    </w:tbl>
    <w:p>
      <w:pPr>
        <w:spacing w:line="360" w:lineRule="auto"/>
        <w:ind w:firstLine="437"/>
        <w:outlineLvl w:val="3"/>
        <w:rPr>
          <w:rFonts w:cs="Times New Roman" w:asciiTheme="minorEastAsia" w:hAnsiTheme="minorEastAsia" w:eastAsiaTheme="minorEastAsia"/>
          <w:b/>
          <w:bCs/>
          <w:sz w:val="24"/>
          <w:szCs w:val="24"/>
          <w:lang w:val="zh-CN"/>
        </w:rPr>
      </w:pPr>
      <w:bookmarkStart w:id="62" w:name="_Toc22618"/>
      <w:bookmarkStart w:id="63" w:name="_Toc1814"/>
      <w:bookmarkStart w:id="64" w:name="_Toc10340"/>
      <w:r>
        <w:rPr>
          <w:rFonts w:hint="eastAsia" w:cs="Times New Roman" w:asciiTheme="minorEastAsia" w:hAnsiTheme="minorEastAsia" w:eastAsiaTheme="minorEastAsia"/>
          <w:b/>
          <w:bCs/>
          <w:sz w:val="24"/>
          <w:szCs w:val="24"/>
          <w:lang w:val="zh-CN"/>
        </w:rPr>
        <w:t>1.</w:t>
      </w:r>
      <w:r>
        <w:rPr>
          <w:rFonts w:cs="Times New Roman" w:asciiTheme="minorEastAsia" w:hAnsiTheme="minorEastAsia" w:eastAsiaTheme="minorEastAsia"/>
          <w:b/>
          <w:bCs/>
          <w:sz w:val="24"/>
          <w:szCs w:val="24"/>
          <w:lang w:val="zh-CN"/>
        </w:rPr>
        <w:t>4 付款方式和发票开具方式</w:t>
      </w:r>
      <w:bookmarkEnd w:id="62"/>
      <w:bookmarkEnd w:id="63"/>
      <w:bookmarkEnd w:id="64"/>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1.4.1</w:t>
      </w:r>
      <w:r>
        <w:rPr>
          <w:rFonts w:cs="Times New Roman" w:asciiTheme="minorEastAsia" w:hAnsiTheme="minorEastAsia" w:eastAsiaTheme="minorEastAsia"/>
          <w:sz w:val="24"/>
          <w:szCs w:val="24"/>
        </w:rPr>
        <w:t>付款方式：</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1.4.2发票开具方式：</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w:t>
      </w:r>
    </w:p>
    <w:p>
      <w:pPr>
        <w:spacing w:line="360" w:lineRule="auto"/>
        <w:ind w:firstLine="437"/>
        <w:outlineLvl w:val="3"/>
        <w:rPr>
          <w:rFonts w:cs="Times New Roman" w:asciiTheme="minorEastAsia" w:hAnsiTheme="minorEastAsia" w:eastAsiaTheme="minorEastAsia"/>
          <w:b/>
          <w:bCs/>
          <w:sz w:val="24"/>
          <w:szCs w:val="24"/>
          <w:lang w:val="zh-CN"/>
        </w:rPr>
      </w:pPr>
      <w:bookmarkStart w:id="65" w:name="_Toc32071"/>
      <w:bookmarkStart w:id="66" w:name="_Toc19304"/>
      <w:bookmarkStart w:id="67" w:name="_Toc2846"/>
      <w:r>
        <w:rPr>
          <w:rFonts w:hint="eastAsia" w:cs="Times New Roman" w:asciiTheme="minorEastAsia" w:hAnsiTheme="minorEastAsia" w:eastAsiaTheme="minorEastAsia"/>
          <w:b/>
          <w:bCs/>
          <w:sz w:val="24"/>
          <w:szCs w:val="24"/>
          <w:lang w:val="zh-CN"/>
        </w:rPr>
        <w:t>1.</w:t>
      </w:r>
      <w:r>
        <w:rPr>
          <w:rFonts w:cs="Times New Roman" w:asciiTheme="minorEastAsia" w:hAnsiTheme="minorEastAsia" w:eastAsiaTheme="minorEastAsia"/>
          <w:b/>
          <w:bCs/>
          <w:sz w:val="24"/>
          <w:szCs w:val="24"/>
          <w:lang w:val="zh-CN"/>
        </w:rPr>
        <w:t>5 货物交付期限</w:t>
      </w:r>
      <w:r>
        <w:rPr>
          <w:rFonts w:hint="eastAsia" w:cs="Times New Roman" w:asciiTheme="minorEastAsia" w:hAnsiTheme="minorEastAsia" w:eastAsiaTheme="minorEastAsia"/>
          <w:b/>
          <w:bCs/>
          <w:sz w:val="24"/>
          <w:szCs w:val="24"/>
          <w:lang w:val="zh-CN"/>
        </w:rPr>
        <w:t>、地点和方式</w:t>
      </w:r>
      <w:bookmarkEnd w:id="65"/>
      <w:bookmarkEnd w:id="66"/>
      <w:bookmarkEnd w:id="67"/>
    </w:p>
    <w:p>
      <w:pPr>
        <w:spacing w:line="360" w:lineRule="auto"/>
        <w:ind w:firstLine="435"/>
        <w:rPr>
          <w:rFonts w:cs="Times New Roman" w:asciiTheme="minorEastAsia" w:hAnsiTheme="minorEastAsia" w:eastAsiaTheme="minorEastAsia"/>
          <w:sz w:val="24"/>
          <w:szCs w:val="24"/>
          <w:u w:val="single"/>
        </w:rPr>
      </w:pPr>
      <w:r>
        <w:rPr>
          <w:rFonts w:hint="eastAsia" w:cs="Times New Roman" w:asciiTheme="minorEastAsia" w:hAnsiTheme="minorEastAsia" w:eastAsiaTheme="minorEastAsia"/>
          <w:sz w:val="24"/>
          <w:szCs w:val="24"/>
        </w:rPr>
        <w:t>1.5.1交付期限</w:t>
      </w:r>
      <w:r>
        <w:rPr>
          <w:rFonts w:cs="Times New Roman" w:asciiTheme="minorEastAsia" w:hAnsiTheme="minorEastAsia" w:eastAsiaTheme="minorEastAsia"/>
          <w:sz w:val="24"/>
          <w:szCs w:val="24"/>
        </w:rPr>
        <w:t>：</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1.5.2交付地点</w:t>
      </w:r>
      <w:r>
        <w:rPr>
          <w:rFonts w:cs="Times New Roman" w:asciiTheme="minorEastAsia" w:hAnsiTheme="minorEastAsia" w:eastAsiaTheme="minorEastAsia"/>
          <w:sz w:val="24"/>
          <w:szCs w:val="24"/>
        </w:rPr>
        <w:t>：</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1.5.3交付方式：</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w:t>
      </w:r>
    </w:p>
    <w:p>
      <w:pPr>
        <w:spacing w:line="360" w:lineRule="auto"/>
        <w:ind w:firstLine="437"/>
        <w:outlineLvl w:val="3"/>
        <w:rPr>
          <w:rFonts w:cs="Times New Roman" w:asciiTheme="minorEastAsia" w:hAnsiTheme="minorEastAsia" w:eastAsiaTheme="minorEastAsia"/>
          <w:b/>
          <w:bCs/>
          <w:sz w:val="24"/>
          <w:szCs w:val="24"/>
          <w:lang w:val="zh-CN"/>
        </w:rPr>
      </w:pPr>
      <w:bookmarkStart w:id="68" w:name="_Toc21423"/>
      <w:bookmarkStart w:id="69" w:name="_Toc19554"/>
      <w:bookmarkStart w:id="70" w:name="_Toc27250"/>
      <w:r>
        <w:rPr>
          <w:rFonts w:hint="eastAsia" w:cs="Times New Roman" w:asciiTheme="minorEastAsia" w:hAnsiTheme="minorEastAsia" w:eastAsiaTheme="minorEastAsia"/>
          <w:b/>
          <w:bCs/>
          <w:sz w:val="24"/>
          <w:szCs w:val="24"/>
          <w:lang w:val="zh-CN"/>
        </w:rPr>
        <w:t>1.6 违约责任</w:t>
      </w:r>
      <w:bookmarkEnd w:id="68"/>
      <w:bookmarkEnd w:id="69"/>
      <w:bookmarkEnd w:id="70"/>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1.6.1</w:t>
      </w:r>
      <w:r>
        <w:rPr>
          <w:rFonts w:cs="Times New Roman" w:asciiTheme="minorEastAsia" w:hAnsiTheme="minorEastAsia" w:eastAsiaTheme="minorEastAsia"/>
          <w:sz w:val="24"/>
          <w:szCs w:val="24"/>
        </w:rPr>
        <w:t>除不可抗力外，如果乙方没有按照本合同约定的期限</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地点和方式交付货物，那么甲方可要求乙方支付违约金</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违约金按每迟延交付货物一日的应交付而未交付货物价格的</w:t>
      </w:r>
      <w:r>
        <w:rPr>
          <w:rFonts w:hint="eastAsia" w:cs="Times New Roman" w:asciiTheme="minorEastAsia" w:hAnsiTheme="minorEastAsia" w:eastAsiaTheme="minorEastAsia"/>
          <w:sz w:val="24"/>
          <w:szCs w:val="24"/>
          <w:u w:val="single"/>
        </w:rPr>
        <w:t xml:space="preserve">    </w:t>
      </w:r>
      <w:r>
        <w:rPr>
          <w:rFonts w:cs="Times New Roman" w:asciiTheme="minorEastAsia" w:hAnsiTheme="minorEastAsia" w:eastAsiaTheme="minorEastAsia"/>
          <w:sz w:val="24"/>
          <w:szCs w:val="24"/>
        </w:rPr>
        <w:t>%计算</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最高限额为</w:t>
      </w:r>
      <w:r>
        <w:rPr>
          <w:rFonts w:hint="eastAsia" w:cs="Times New Roman" w:asciiTheme="minorEastAsia" w:hAnsiTheme="minorEastAsia" w:eastAsiaTheme="minorEastAsia"/>
          <w:sz w:val="24"/>
          <w:szCs w:val="24"/>
        </w:rPr>
        <w:t>本</w:t>
      </w:r>
      <w:r>
        <w:rPr>
          <w:rFonts w:cs="Times New Roman" w:asciiTheme="minorEastAsia" w:hAnsiTheme="minorEastAsia" w:eastAsiaTheme="minorEastAsia"/>
          <w:sz w:val="24"/>
          <w:szCs w:val="24"/>
        </w:rPr>
        <w:t>合同总价的</w:t>
      </w:r>
      <w:r>
        <w:rPr>
          <w:rFonts w:hint="eastAsia" w:cs="Times New Roman" w:asciiTheme="minorEastAsia" w:hAnsiTheme="minorEastAsia" w:eastAsiaTheme="minorEastAsia"/>
          <w:sz w:val="24"/>
          <w:szCs w:val="24"/>
          <w:u w:val="single"/>
        </w:rPr>
        <w:t xml:space="preserve">     </w:t>
      </w:r>
      <w:r>
        <w:rPr>
          <w:rFonts w:cs="Times New Roman" w:asciiTheme="minorEastAsia" w:hAnsiTheme="minorEastAsia" w:eastAsiaTheme="minorEastAsia"/>
          <w:sz w:val="24"/>
          <w:szCs w:val="24"/>
        </w:rPr>
        <w:t>%</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迟延交付货物的违约金计算数额达到前述最高限额之日起</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甲方有权在要求乙方支付违约金的同时</w:t>
      </w:r>
      <w:r>
        <w:rPr>
          <w:rFonts w:hint="eastAsia" w:cs="Times New Roman" w:asciiTheme="minorEastAsia" w:hAnsiTheme="minorEastAsia" w:eastAsiaTheme="minorEastAsia"/>
          <w:sz w:val="24"/>
          <w:szCs w:val="24"/>
        </w:rPr>
        <w:t>，书面通知乙方</w:t>
      </w:r>
      <w:r>
        <w:rPr>
          <w:rFonts w:cs="Times New Roman" w:asciiTheme="minorEastAsia" w:hAnsiTheme="minorEastAsia" w:eastAsiaTheme="minorEastAsia"/>
          <w:sz w:val="24"/>
          <w:szCs w:val="24"/>
        </w:rPr>
        <w:t>解除本合同</w:t>
      </w:r>
      <w:r>
        <w:rPr>
          <w:rFonts w:hint="eastAsia" w:cs="Times New Roman" w:asciiTheme="minorEastAsia" w:hAnsiTheme="minorEastAsia" w:eastAsiaTheme="minorEastAsia"/>
          <w:sz w:val="24"/>
          <w:szCs w:val="24"/>
        </w:rPr>
        <w:t>；</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1.6.2</w:t>
      </w:r>
      <w:r>
        <w:rPr>
          <w:rFonts w:cs="Times New Roman" w:asciiTheme="minorEastAsia" w:hAnsiTheme="minorEastAsia" w:eastAsiaTheme="minorEastAsia"/>
          <w:sz w:val="24"/>
          <w:szCs w:val="24"/>
        </w:rPr>
        <w:t>除不可抗力外，如果甲方没有按照本合同约定的付款方式付款，那么乙方可要求甲方支付违约金</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违约金按每迟延</w:t>
      </w:r>
      <w:r>
        <w:rPr>
          <w:rFonts w:hint="eastAsia" w:cs="Times New Roman" w:asciiTheme="minorEastAsia" w:hAnsiTheme="minorEastAsia" w:eastAsiaTheme="minorEastAsia"/>
          <w:sz w:val="24"/>
          <w:szCs w:val="24"/>
        </w:rPr>
        <w:t>付款</w:t>
      </w:r>
      <w:r>
        <w:rPr>
          <w:rFonts w:cs="Times New Roman" w:asciiTheme="minorEastAsia" w:hAnsiTheme="minorEastAsia" w:eastAsiaTheme="minorEastAsia"/>
          <w:sz w:val="24"/>
          <w:szCs w:val="24"/>
        </w:rPr>
        <w:t>一日的应付而未付款的</w:t>
      </w:r>
      <w:r>
        <w:rPr>
          <w:rFonts w:hint="eastAsia" w:cs="Times New Roman" w:asciiTheme="minorEastAsia" w:hAnsiTheme="minorEastAsia" w:eastAsiaTheme="minorEastAsia"/>
          <w:sz w:val="24"/>
          <w:szCs w:val="24"/>
          <w:u w:val="single"/>
        </w:rPr>
        <w:t xml:space="preserve">    </w:t>
      </w:r>
      <w:r>
        <w:rPr>
          <w:rFonts w:cs="Times New Roman" w:asciiTheme="minorEastAsia" w:hAnsiTheme="minorEastAsia" w:eastAsiaTheme="minorEastAsia"/>
          <w:sz w:val="24"/>
          <w:szCs w:val="24"/>
        </w:rPr>
        <w:t>%计算</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最高限额为</w:t>
      </w:r>
      <w:r>
        <w:rPr>
          <w:rFonts w:hint="eastAsia" w:cs="Times New Roman" w:asciiTheme="minorEastAsia" w:hAnsiTheme="minorEastAsia" w:eastAsiaTheme="minorEastAsia"/>
          <w:sz w:val="24"/>
          <w:szCs w:val="24"/>
        </w:rPr>
        <w:t>本</w:t>
      </w:r>
      <w:r>
        <w:rPr>
          <w:rFonts w:cs="Times New Roman" w:asciiTheme="minorEastAsia" w:hAnsiTheme="minorEastAsia" w:eastAsiaTheme="minorEastAsia"/>
          <w:sz w:val="24"/>
          <w:szCs w:val="24"/>
        </w:rPr>
        <w:t>合同总价的</w:t>
      </w:r>
      <w:r>
        <w:rPr>
          <w:rFonts w:hint="eastAsia" w:cs="Times New Roman" w:asciiTheme="minorEastAsia" w:hAnsiTheme="minorEastAsia" w:eastAsiaTheme="minorEastAsia"/>
          <w:sz w:val="24"/>
          <w:szCs w:val="24"/>
          <w:u w:val="single"/>
        </w:rPr>
        <w:t xml:space="preserve">     </w:t>
      </w:r>
      <w:r>
        <w:rPr>
          <w:rFonts w:cs="Times New Roman" w:asciiTheme="minorEastAsia" w:hAnsiTheme="minorEastAsia" w:eastAsiaTheme="minorEastAsia"/>
          <w:sz w:val="24"/>
          <w:szCs w:val="24"/>
        </w:rPr>
        <w:t>%</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迟延</w:t>
      </w:r>
      <w:r>
        <w:rPr>
          <w:rFonts w:hint="eastAsia" w:cs="Times New Roman" w:asciiTheme="minorEastAsia" w:hAnsiTheme="minorEastAsia" w:eastAsiaTheme="minorEastAsia"/>
          <w:sz w:val="24"/>
          <w:szCs w:val="24"/>
        </w:rPr>
        <w:t>付款</w:t>
      </w:r>
      <w:r>
        <w:rPr>
          <w:rFonts w:cs="Times New Roman" w:asciiTheme="minorEastAsia" w:hAnsiTheme="minorEastAsia" w:eastAsiaTheme="minorEastAsia"/>
          <w:sz w:val="24"/>
          <w:szCs w:val="24"/>
        </w:rPr>
        <w:t>的违约金计算数额达到前述最高限额之日起</w:t>
      </w:r>
      <w:r>
        <w:rPr>
          <w:rFonts w:hint="eastAsia" w:cs="Times New Roman" w:asciiTheme="minorEastAsia" w:hAnsiTheme="minorEastAsia" w:eastAsiaTheme="minorEastAsia"/>
          <w:sz w:val="24"/>
          <w:szCs w:val="24"/>
        </w:rPr>
        <w:t>，乙</w:t>
      </w:r>
      <w:r>
        <w:rPr>
          <w:rFonts w:cs="Times New Roman" w:asciiTheme="minorEastAsia" w:hAnsiTheme="minorEastAsia" w:eastAsiaTheme="minorEastAsia"/>
          <w:sz w:val="24"/>
          <w:szCs w:val="24"/>
        </w:rPr>
        <w:t>方有权在要求甲方支付违约金的同时</w:t>
      </w:r>
      <w:r>
        <w:rPr>
          <w:rFonts w:hint="eastAsia" w:cs="Times New Roman" w:asciiTheme="minorEastAsia" w:hAnsiTheme="minorEastAsia" w:eastAsiaTheme="minorEastAsia"/>
          <w:sz w:val="24"/>
          <w:szCs w:val="24"/>
        </w:rPr>
        <w:t>，书面通知甲方</w:t>
      </w:r>
      <w:r>
        <w:rPr>
          <w:rFonts w:cs="Times New Roman" w:asciiTheme="minorEastAsia" w:hAnsiTheme="minorEastAsia" w:eastAsiaTheme="minorEastAsia"/>
          <w:sz w:val="24"/>
          <w:szCs w:val="24"/>
        </w:rPr>
        <w:t>解除本合同</w:t>
      </w:r>
      <w:r>
        <w:rPr>
          <w:rFonts w:hint="eastAsia" w:cs="Times New Roman" w:asciiTheme="minorEastAsia" w:hAnsiTheme="minorEastAsia" w:eastAsiaTheme="minorEastAsia"/>
          <w:sz w:val="24"/>
          <w:szCs w:val="24"/>
        </w:rPr>
        <w:t>；</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1.6.6如果出现政府采购监督管理部门在处理投诉事项期间，书面通知甲方暂停采购活动的情形，或者询问或质疑事项可能影响中标结果的，导致甲方中止履行合同的情形，均不视为甲方违约。</w:t>
      </w:r>
    </w:p>
    <w:p>
      <w:pPr>
        <w:spacing w:line="360" w:lineRule="auto"/>
        <w:ind w:firstLine="437"/>
        <w:outlineLvl w:val="3"/>
        <w:rPr>
          <w:rFonts w:cs="Times New Roman" w:asciiTheme="minorEastAsia" w:hAnsiTheme="minorEastAsia" w:eastAsiaTheme="minorEastAsia"/>
          <w:b/>
          <w:bCs/>
          <w:sz w:val="24"/>
          <w:szCs w:val="24"/>
          <w:lang w:val="zh-CN"/>
        </w:rPr>
      </w:pPr>
      <w:bookmarkStart w:id="71" w:name="_Toc16021"/>
      <w:bookmarkStart w:id="72" w:name="_Toc28375"/>
      <w:bookmarkStart w:id="73" w:name="_Toc15583"/>
      <w:r>
        <w:rPr>
          <w:rFonts w:hint="eastAsia" w:cs="Times New Roman" w:asciiTheme="minorEastAsia" w:hAnsiTheme="minorEastAsia" w:eastAsiaTheme="minorEastAsia"/>
          <w:b/>
          <w:bCs/>
          <w:sz w:val="24"/>
          <w:szCs w:val="24"/>
          <w:lang w:val="zh-CN"/>
        </w:rPr>
        <w:t>1.7</w:t>
      </w:r>
      <w:r>
        <w:rPr>
          <w:rFonts w:cs="Times New Roman" w:asciiTheme="minorEastAsia" w:hAnsiTheme="minorEastAsia" w:eastAsiaTheme="minorEastAsia"/>
          <w:b/>
          <w:bCs/>
          <w:sz w:val="24"/>
          <w:szCs w:val="24"/>
          <w:lang w:val="zh-CN"/>
        </w:rPr>
        <w:t xml:space="preserve"> </w:t>
      </w:r>
      <w:r>
        <w:rPr>
          <w:rFonts w:hint="eastAsia" w:cs="Times New Roman" w:asciiTheme="minorEastAsia" w:hAnsiTheme="minorEastAsia" w:eastAsiaTheme="minorEastAsia"/>
          <w:b/>
          <w:bCs/>
          <w:sz w:val="24"/>
          <w:szCs w:val="24"/>
          <w:lang w:val="zh-CN"/>
        </w:rPr>
        <w:t>合同</w:t>
      </w:r>
      <w:r>
        <w:rPr>
          <w:rFonts w:cs="Times New Roman" w:asciiTheme="minorEastAsia" w:hAnsiTheme="minorEastAsia" w:eastAsiaTheme="minorEastAsia"/>
          <w:b/>
          <w:bCs/>
          <w:sz w:val="24"/>
          <w:szCs w:val="24"/>
          <w:lang w:val="zh-CN"/>
        </w:rPr>
        <w:t>争议的解决</w:t>
      </w:r>
      <w:bookmarkEnd w:id="71"/>
      <w:bookmarkEnd w:id="72"/>
      <w:bookmarkEnd w:id="73"/>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本合</w:t>
      </w:r>
      <w:r>
        <w:rPr>
          <w:rFonts w:cs="Times New Roman" w:asciiTheme="minorEastAsia" w:hAnsiTheme="minorEastAsia" w:eastAsiaTheme="minorEastAsia"/>
          <w:sz w:val="24"/>
          <w:szCs w:val="24"/>
        </w:rPr>
        <w:t>同履行过程中发生的任何争议，双方当事人均可</w:t>
      </w:r>
      <w:r>
        <w:rPr>
          <w:rFonts w:hint="eastAsia" w:cs="Times New Roman" w:asciiTheme="minorEastAsia" w:hAnsiTheme="minorEastAsia" w:eastAsiaTheme="minorEastAsia"/>
          <w:sz w:val="24"/>
          <w:szCs w:val="24"/>
        </w:rPr>
        <w:t>通过和解或者调解解决；不愿和解、调解或者和解、调解不成的，可以选择下列第</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种方式解决：</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1.7.1将争议提交</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仲裁委员会依申请仲裁时其现行有效的仲裁规则裁决；</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1.7.2向</w:t>
      </w:r>
      <w:r>
        <w:rPr>
          <w:rFonts w:hint="eastAsia" w:cs="Times New Roman" w:asciiTheme="minorEastAsia" w:hAnsiTheme="minorEastAsia" w:eastAsiaTheme="minorEastAsia"/>
          <w:sz w:val="24"/>
          <w:szCs w:val="24"/>
          <w:u w:val="single"/>
        </w:rPr>
        <w:t xml:space="preserve">      </w:t>
      </w:r>
      <w:r>
        <w:rPr>
          <w:rFonts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人民法院起诉。</w:t>
      </w:r>
    </w:p>
    <w:p>
      <w:pPr>
        <w:spacing w:line="360" w:lineRule="auto"/>
        <w:ind w:firstLine="437"/>
        <w:outlineLvl w:val="3"/>
        <w:rPr>
          <w:rFonts w:cs="Times New Roman" w:asciiTheme="minorEastAsia" w:hAnsiTheme="minorEastAsia" w:eastAsiaTheme="minorEastAsia"/>
          <w:b/>
          <w:bCs/>
          <w:sz w:val="24"/>
          <w:szCs w:val="24"/>
          <w:lang w:val="zh-CN"/>
        </w:rPr>
      </w:pPr>
      <w:bookmarkStart w:id="74" w:name="_Toc11173"/>
      <w:bookmarkStart w:id="75" w:name="_Toc7245"/>
      <w:bookmarkStart w:id="76" w:name="_Toc15322"/>
      <w:r>
        <w:rPr>
          <w:rFonts w:hint="eastAsia" w:cs="Times New Roman" w:asciiTheme="minorEastAsia" w:hAnsiTheme="minorEastAsia" w:eastAsiaTheme="minorEastAsia"/>
          <w:b/>
          <w:bCs/>
          <w:sz w:val="24"/>
          <w:szCs w:val="24"/>
          <w:lang w:val="zh-CN"/>
        </w:rPr>
        <w:t>1.8</w:t>
      </w:r>
      <w:r>
        <w:rPr>
          <w:rFonts w:cs="Times New Roman" w:asciiTheme="minorEastAsia" w:hAnsiTheme="minorEastAsia" w:eastAsiaTheme="minorEastAsia"/>
          <w:b/>
          <w:bCs/>
          <w:sz w:val="24"/>
          <w:szCs w:val="24"/>
          <w:lang w:val="zh-CN"/>
        </w:rPr>
        <w:t xml:space="preserve"> 合同生效</w:t>
      </w:r>
      <w:bookmarkEnd w:id="74"/>
      <w:bookmarkEnd w:id="75"/>
      <w:bookmarkEnd w:id="76"/>
    </w:p>
    <w:p>
      <w:pPr>
        <w:spacing w:line="360" w:lineRule="auto"/>
        <w:ind w:firstLine="435"/>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本合同自</w:t>
      </w:r>
      <w:r>
        <w:rPr>
          <w:rFonts w:hint="eastAsia" w:cs="Times New Roman" w:asciiTheme="minorEastAsia" w:hAnsiTheme="minorEastAsia" w:eastAsiaTheme="minorEastAsia"/>
          <w:sz w:val="24"/>
          <w:szCs w:val="24"/>
        </w:rPr>
        <w:t>双方当事人盖章时</w:t>
      </w:r>
      <w:r>
        <w:rPr>
          <w:rFonts w:cs="Times New Roman" w:asciiTheme="minorEastAsia" w:hAnsiTheme="minorEastAsia" w:eastAsiaTheme="minorEastAsia"/>
          <w:sz w:val="24"/>
          <w:szCs w:val="24"/>
        </w:rPr>
        <w:t>生效。</w:t>
      </w:r>
    </w:p>
    <w:p>
      <w:pPr>
        <w:autoSpaceDE w:val="0"/>
        <w:autoSpaceDN w:val="0"/>
        <w:adjustRightInd w:val="0"/>
        <w:spacing w:line="560" w:lineRule="exact"/>
        <w:rPr>
          <w:rFonts w:cs="Times New Roman" w:asciiTheme="minorEastAsia" w:hAnsiTheme="minorEastAsia" w:eastAsiaTheme="minorEastAsia"/>
          <w:sz w:val="24"/>
          <w:szCs w:val="24"/>
          <w:lang w:val="zh-CN"/>
        </w:rPr>
      </w:pPr>
    </w:p>
    <w:p>
      <w:pPr>
        <w:autoSpaceDE w:val="0"/>
        <w:autoSpaceDN w:val="0"/>
        <w:adjustRightInd w:val="0"/>
        <w:spacing w:line="560" w:lineRule="exact"/>
        <w:rPr>
          <w:rFonts w:cs="Times New Roman" w:asciiTheme="minorEastAsia" w:hAnsiTheme="minorEastAsia" w:eastAsiaTheme="minorEastAsia"/>
          <w:sz w:val="24"/>
          <w:szCs w:val="24"/>
          <w:lang w:val="zh-CN"/>
        </w:rPr>
      </w:pPr>
    </w:p>
    <w:p>
      <w:pPr>
        <w:autoSpaceDE w:val="0"/>
        <w:autoSpaceDN w:val="0"/>
        <w:adjustRightInd w:val="0"/>
        <w:spacing w:line="560" w:lineRule="exact"/>
        <w:rPr>
          <w:rFonts w:cs="Times New Roman" w:asciiTheme="minorEastAsia" w:hAnsiTheme="minorEastAsia" w:eastAsiaTheme="minorEastAsia"/>
          <w:sz w:val="24"/>
          <w:szCs w:val="24"/>
          <w:lang w:val="zh-CN"/>
        </w:rPr>
      </w:pPr>
    </w:p>
    <w:p>
      <w:pPr>
        <w:autoSpaceDE w:val="0"/>
        <w:autoSpaceDN w:val="0"/>
        <w:adjustRightInd w:val="0"/>
        <w:spacing w:line="560" w:lineRule="exact"/>
        <w:rPr>
          <w:rFonts w:cs="Times New Roman" w:asciiTheme="minorEastAsia" w:hAnsiTheme="minorEastAsia" w:eastAsiaTheme="minorEastAsia"/>
          <w:bCs/>
          <w:sz w:val="24"/>
          <w:szCs w:val="24"/>
          <w:lang w:val="zh-CN"/>
        </w:rPr>
      </w:pPr>
      <w:r>
        <w:rPr>
          <w:rFonts w:hint="eastAsia" w:cs="Times New Roman" w:asciiTheme="minorEastAsia" w:hAnsiTheme="minorEastAsia" w:eastAsiaTheme="minorEastAsia"/>
          <w:bCs/>
          <w:sz w:val="24"/>
          <w:szCs w:val="24"/>
          <w:lang w:val="zh-CN"/>
        </w:rPr>
        <w:t xml:space="preserve">甲 </w:t>
      </w:r>
      <w:r>
        <w:rPr>
          <w:rFonts w:cs="Times New Roman" w:asciiTheme="minorEastAsia" w:hAnsiTheme="minorEastAsia" w:eastAsiaTheme="minorEastAsia"/>
          <w:bCs/>
          <w:sz w:val="24"/>
          <w:szCs w:val="24"/>
          <w:lang w:val="zh-CN"/>
        </w:rPr>
        <w:t xml:space="preserve">   </w:t>
      </w:r>
      <w:r>
        <w:rPr>
          <w:rFonts w:hint="eastAsia" w:cs="Times New Roman" w:asciiTheme="minorEastAsia" w:hAnsiTheme="minorEastAsia" w:eastAsiaTheme="minorEastAsia"/>
          <w:bCs/>
          <w:sz w:val="24"/>
          <w:szCs w:val="24"/>
          <w:lang w:val="zh-CN"/>
        </w:rPr>
        <w:t>方：</w:t>
      </w:r>
      <w:r>
        <w:rPr>
          <w:rFonts w:hint="eastAsia" w:cs="Times New Roman" w:asciiTheme="minorEastAsia" w:hAnsiTheme="minorEastAsia" w:eastAsiaTheme="minorEastAsia"/>
          <w:bCs/>
          <w:sz w:val="24"/>
          <w:szCs w:val="24"/>
          <w:u w:val="single"/>
          <w:lang w:val="zh-CN"/>
        </w:rPr>
        <w:t xml:space="preserve">    （单位盖章）     </w:t>
      </w:r>
      <w:r>
        <w:rPr>
          <w:rFonts w:hint="eastAsia" w:cs="Times New Roman" w:asciiTheme="minorEastAsia" w:hAnsiTheme="minorEastAsia" w:eastAsiaTheme="minorEastAsia"/>
          <w:bCs/>
          <w:sz w:val="24"/>
          <w:szCs w:val="24"/>
          <w:lang w:val="zh-CN"/>
        </w:rPr>
        <w:t xml:space="preserve">          乙方：</w:t>
      </w:r>
      <w:r>
        <w:rPr>
          <w:rFonts w:hint="eastAsia" w:cs="Times New Roman" w:asciiTheme="minorEastAsia" w:hAnsiTheme="minorEastAsia" w:eastAsiaTheme="minorEastAsia"/>
          <w:bCs/>
          <w:sz w:val="24"/>
          <w:szCs w:val="24"/>
          <w:u w:val="single"/>
          <w:lang w:val="zh-CN"/>
        </w:rPr>
        <w:t xml:space="preserve">    （单位盖章）     </w:t>
      </w:r>
    </w:p>
    <w:p>
      <w:pPr>
        <w:autoSpaceDE w:val="0"/>
        <w:autoSpaceDN w:val="0"/>
        <w:adjustRightInd w:val="0"/>
        <w:spacing w:line="560" w:lineRule="exact"/>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 xml:space="preserve">法定代表人                             </w:t>
      </w:r>
      <w:r>
        <w:rPr>
          <w:rFonts w:cs="Times New Roman" w:asciiTheme="minorEastAsia" w:hAnsiTheme="minorEastAsia" w:eastAsiaTheme="minorEastAsia"/>
          <w:sz w:val="24"/>
          <w:szCs w:val="24"/>
          <w:lang w:val="zh-CN"/>
        </w:rPr>
        <w:t xml:space="preserve">  </w:t>
      </w:r>
      <w:r>
        <w:rPr>
          <w:rFonts w:hint="eastAsia" w:cs="Times New Roman" w:asciiTheme="minorEastAsia" w:hAnsiTheme="minorEastAsia" w:eastAsiaTheme="minorEastAsia"/>
          <w:sz w:val="24"/>
          <w:szCs w:val="24"/>
          <w:lang w:val="zh-CN"/>
        </w:rPr>
        <w:t>法定代表人</w:t>
      </w:r>
    </w:p>
    <w:p>
      <w:pPr>
        <w:autoSpaceDE w:val="0"/>
        <w:autoSpaceDN w:val="0"/>
        <w:adjustRightInd w:val="0"/>
        <w:spacing w:line="560" w:lineRule="exact"/>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或授权代表（签字）：                      或授权代表（签字）：</w:t>
      </w:r>
    </w:p>
    <w:p>
      <w:pPr>
        <w:widowControl/>
        <w:spacing w:line="560" w:lineRule="exact"/>
        <w:jc w:val="left"/>
        <w:rPr>
          <w:rFonts w:cs="Times New Roman" w:asciiTheme="minorEastAsia" w:hAnsiTheme="minorEastAsia" w:eastAsiaTheme="minorEastAsia"/>
          <w:bCs/>
          <w:sz w:val="24"/>
          <w:szCs w:val="24"/>
        </w:rPr>
      </w:pPr>
      <w:bookmarkStart w:id="77" w:name="_Toc331685783"/>
      <w:r>
        <w:rPr>
          <w:rFonts w:hint="eastAsia" w:cs="Times New Roman" w:asciiTheme="minorEastAsia" w:hAnsiTheme="minorEastAsia" w:eastAsiaTheme="minorEastAsia"/>
          <w:bCs/>
          <w:sz w:val="24"/>
          <w:szCs w:val="24"/>
        </w:rPr>
        <w:t>时间：</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年</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月</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日               时间：</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年</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月</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日</w:t>
      </w:r>
    </w:p>
    <w:p>
      <w:pPr>
        <w:widowControl/>
        <w:jc w:val="left"/>
        <w:rPr>
          <w:rFonts w:cs="Times New Roman" w:asciiTheme="minorEastAsia" w:hAnsiTheme="minorEastAsia" w:eastAsiaTheme="minorEastAsia"/>
          <w:b/>
          <w:sz w:val="24"/>
          <w:szCs w:val="24"/>
        </w:rPr>
      </w:pPr>
      <w:r>
        <w:rPr>
          <w:rFonts w:cs="Times New Roman" w:asciiTheme="minorEastAsia" w:hAnsiTheme="minorEastAsia" w:eastAsiaTheme="minorEastAsia"/>
          <w:b/>
          <w:sz w:val="24"/>
          <w:szCs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第二部分</w:t>
      </w:r>
      <w:r>
        <w:rPr>
          <w:rFonts w:asciiTheme="minorEastAsia" w:hAnsiTheme="minorEastAsia" w:eastAsiaTheme="minorEastAsia"/>
          <w:b/>
          <w:sz w:val="24"/>
        </w:rPr>
        <w:t xml:space="preserve"> </w:t>
      </w:r>
      <w:r>
        <w:rPr>
          <w:rFonts w:hint="eastAsia" w:asciiTheme="minorEastAsia" w:hAnsiTheme="minorEastAsia" w:eastAsiaTheme="minorEastAsia"/>
          <w:b/>
          <w:sz w:val="24"/>
        </w:rPr>
        <w:t>合同一般条款</w:t>
      </w:r>
      <w:bookmarkEnd w:id="77"/>
    </w:p>
    <w:p>
      <w:pPr>
        <w:spacing w:line="360" w:lineRule="auto"/>
        <w:ind w:firstLine="437"/>
        <w:outlineLvl w:val="3"/>
        <w:rPr>
          <w:rFonts w:cs="Times New Roman" w:asciiTheme="minorEastAsia" w:hAnsiTheme="minorEastAsia" w:eastAsiaTheme="minorEastAsia"/>
          <w:b/>
          <w:bCs/>
          <w:sz w:val="24"/>
          <w:szCs w:val="24"/>
          <w:lang w:val="zh-CN"/>
        </w:rPr>
      </w:pPr>
      <w:bookmarkStart w:id="78" w:name="_Toc259093669"/>
      <w:bookmarkStart w:id="79" w:name="_Ref467378404"/>
      <w:bookmarkStart w:id="80" w:name="_Ref467379214"/>
      <w:bookmarkStart w:id="81" w:name="_Toc28763"/>
      <w:bookmarkStart w:id="82" w:name="_Toc16917"/>
      <w:bookmarkStart w:id="83" w:name="_Ref467379195"/>
      <w:bookmarkStart w:id="84" w:name="_Ref467379205"/>
      <w:bookmarkStart w:id="85" w:name="_Ref467379225"/>
      <w:bookmarkStart w:id="86" w:name="_Ref467378463"/>
      <w:bookmarkStart w:id="87" w:name="_Toc487900349"/>
      <w:bookmarkStart w:id="88" w:name="_Ref467378499"/>
      <w:bookmarkStart w:id="89" w:name="_Ref467379094"/>
      <w:bookmarkStart w:id="90" w:name="_Ref467379109"/>
      <w:bookmarkStart w:id="91" w:name="_Toc19614"/>
      <w:bookmarkStart w:id="92" w:name="_Ref467379101"/>
      <w:bookmarkStart w:id="93" w:name="_Toc279701240"/>
      <w:r>
        <w:rPr>
          <w:rFonts w:hint="eastAsia" w:cs="Times New Roman" w:asciiTheme="minorEastAsia" w:hAnsiTheme="minorEastAsia" w:eastAsiaTheme="minorEastAsia"/>
          <w:b/>
          <w:bCs/>
          <w:sz w:val="24"/>
          <w:szCs w:val="24"/>
          <w:lang w:val="zh-CN"/>
        </w:rPr>
        <w:t>2.1</w:t>
      </w:r>
      <w:r>
        <w:rPr>
          <w:rFonts w:cs="Times New Roman" w:asciiTheme="minorEastAsia" w:hAnsiTheme="minorEastAsia" w:eastAsiaTheme="minorEastAsia"/>
          <w:b/>
          <w:bCs/>
          <w:sz w:val="24"/>
          <w:szCs w:val="24"/>
          <w:lang w:val="zh-CN"/>
        </w:rPr>
        <w:t xml:space="preserve"> 定义</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360" w:lineRule="auto"/>
        <w:ind w:firstLine="435"/>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本合同中的下列</w:t>
      </w:r>
      <w:r>
        <w:rPr>
          <w:rFonts w:hint="eastAsia" w:cs="Times New Roman" w:asciiTheme="minorEastAsia" w:hAnsiTheme="minorEastAsia" w:eastAsiaTheme="minorEastAsia"/>
          <w:sz w:val="24"/>
          <w:szCs w:val="24"/>
        </w:rPr>
        <w:t>词</w:t>
      </w:r>
      <w:r>
        <w:rPr>
          <w:rFonts w:cs="Times New Roman" w:asciiTheme="minorEastAsia" w:hAnsiTheme="minorEastAsia" w:eastAsiaTheme="minorEastAsia"/>
          <w:sz w:val="24"/>
          <w:szCs w:val="24"/>
        </w:rPr>
        <w:t>语应</w:t>
      </w:r>
      <w:r>
        <w:rPr>
          <w:rFonts w:hint="eastAsia" w:cs="Times New Roman" w:asciiTheme="minorEastAsia" w:hAnsiTheme="minorEastAsia" w:eastAsiaTheme="minorEastAsia"/>
          <w:sz w:val="24"/>
          <w:szCs w:val="24"/>
        </w:rPr>
        <w:t>按以下内容进行</w:t>
      </w:r>
      <w:r>
        <w:rPr>
          <w:rFonts w:cs="Times New Roman" w:asciiTheme="minorEastAsia" w:hAnsiTheme="minorEastAsia" w:eastAsiaTheme="minorEastAsia"/>
          <w:sz w:val="24"/>
          <w:szCs w:val="24"/>
        </w:rPr>
        <w:t>解释：</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w:t>
      </w:r>
      <w:r>
        <w:rPr>
          <w:rFonts w:cs="Times New Roman" w:asciiTheme="minorEastAsia" w:hAnsiTheme="minorEastAsia" w:eastAsiaTheme="minorEastAsia"/>
          <w:sz w:val="24"/>
          <w:szCs w:val="24"/>
        </w:rPr>
        <w:t>.1</w:t>
      </w:r>
      <w:r>
        <w:rPr>
          <w:rFonts w:hint="eastAsia" w:cs="Times New Roman" w:asciiTheme="minorEastAsia" w:hAnsiTheme="minorEastAsia" w:eastAsiaTheme="minorEastAsia"/>
          <w:sz w:val="24"/>
          <w:szCs w:val="24"/>
        </w:rPr>
        <w:t>.1</w:t>
      </w:r>
      <w:r>
        <w:rPr>
          <w:rFonts w:cs="Times New Roman" w:asciiTheme="minorEastAsia" w:hAnsiTheme="minorEastAsia" w:eastAsiaTheme="minorEastAsia"/>
          <w:sz w:val="24"/>
          <w:szCs w:val="24"/>
        </w:rPr>
        <w:t>“合同”系指采购人和中标人签订的载明双方当事人所达成的协议，并包括所有的附件、附录和构成合同的其他文件。</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w:t>
      </w:r>
      <w:r>
        <w:rPr>
          <w:rFonts w:cs="Times New Roman" w:asciiTheme="minorEastAsia" w:hAnsiTheme="minorEastAsia" w:eastAsiaTheme="minorEastAsia"/>
          <w:sz w:val="24"/>
          <w:szCs w:val="24"/>
        </w:rPr>
        <w:t>1.2“合同价”系指根据合同约定，中标人在完全履行合同义务后</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采购人应支付给中标人的价格。</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w:t>
      </w:r>
      <w:r>
        <w:rPr>
          <w:rFonts w:cs="Times New Roman" w:asciiTheme="minorEastAsia" w:hAnsiTheme="minorEastAsia" w:eastAsiaTheme="minorEastAsia"/>
          <w:sz w:val="24"/>
          <w:szCs w:val="24"/>
        </w:rPr>
        <w:t>1.3“货物”系指</w:t>
      </w:r>
      <w:r>
        <w:rPr>
          <w:rFonts w:hint="eastAsia" w:cs="Times New Roman" w:asciiTheme="minorEastAsia" w:hAnsiTheme="minorEastAsia" w:eastAsiaTheme="minorEastAsia"/>
          <w:sz w:val="24"/>
          <w:szCs w:val="24"/>
        </w:rPr>
        <w:t>中标人</w:t>
      </w:r>
      <w:r>
        <w:rPr>
          <w:rFonts w:cs="Times New Roman" w:asciiTheme="minorEastAsia" w:hAnsiTheme="minorEastAsia" w:eastAsiaTheme="minorEastAsia"/>
          <w:sz w:val="24"/>
          <w:szCs w:val="24"/>
        </w:rPr>
        <w:t>根据合同约定应向采购人交付的一切</w:t>
      </w:r>
      <w:r>
        <w:rPr>
          <w:rFonts w:hint="eastAsia" w:cs="Times New Roman" w:asciiTheme="minorEastAsia" w:hAnsiTheme="minorEastAsia" w:eastAsiaTheme="minorEastAsia"/>
          <w:sz w:val="24"/>
          <w:szCs w:val="24"/>
        </w:rPr>
        <w:t>各种形态和种类的物品，包括原材料、燃料、设备、</w:t>
      </w:r>
      <w:r>
        <w:rPr>
          <w:rFonts w:cs="Times New Roman" w:asciiTheme="minorEastAsia" w:hAnsiTheme="minorEastAsia" w:eastAsiaTheme="minorEastAsia"/>
          <w:sz w:val="24"/>
          <w:szCs w:val="24"/>
        </w:rPr>
        <w:t>机械、仪表、备件</w:t>
      </w:r>
      <w:r>
        <w:rPr>
          <w:rFonts w:hint="eastAsia" w:cs="Times New Roman" w:asciiTheme="minorEastAsia" w:hAnsiTheme="minorEastAsia" w:eastAsiaTheme="minorEastAsia"/>
          <w:sz w:val="24"/>
          <w:szCs w:val="24"/>
        </w:rPr>
        <w:t>、计算机软件、产品等</w:t>
      </w:r>
      <w:r>
        <w:rPr>
          <w:rFonts w:cs="Times New Roman" w:asciiTheme="minorEastAsia" w:hAnsiTheme="minorEastAsia" w:eastAsiaTheme="minorEastAsia"/>
          <w:sz w:val="24"/>
          <w:szCs w:val="24"/>
        </w:rPr>
        <w:t>，并包括工具、手册等其他相关资料。</w:t>
      </w:r>
    </w:p>
    <w:p>
      <w:pPr>
        <w:spacing w:line="360" w:lineRule="auto"/>
        <w:ind w:firstLine="435"/>
        <w:rPr>
          <w:rFonts w:cs="Times New Roman" w:asciiTheme="minorEastAsia" w:hAnsiTheme="minorEastAsia" w:eastAsiaTheme="minorEastAsia"/>
          <w:sz w:val="24"/>
          <w:szCs w:val="24"/>
        </w:rPr>
      </w:pPr>
      <w:bookmarkStart w:id="94" w:name="_Ref467378840"/>
      <w:r>
        <w:rPr>
          <w:rFonts w:hint="eastAsia" w:cs="Times New Roman" w:asciiTheme="minorEastAsia" w:hAnsiTheme="minorEastAsia" w:eastAsiaTheme="minorEastAsia"/>
          <w:sz w:val="24"/>
          <w:szCs w:val="24"/>
        </w:rPr>
        <w:t>2.</w:t>
      </w:r>
      <w:r>
        <w:rPr>
          <w:rFonts w:cs="Times New Roman" w:asciiTheme="minorEastAsia" w:hAnsiTheme="minorEastAsia" w:eastAsiaTheme="minorEastAsia"/>
          <w:sz w:val="24"/>
          <w:szCs w:val="24"/>
        </w:rPr>
        <w:t>1.</w:t>
      </w:r>
      <w:r>
        <w:rPr>
          <w:rFonts w:hint="eastAsia" w:cs="Times New Roman" w:asciiTheme="minorEastAsia" w:hAnsiTheme="minorEastAsia" w:eastAsiaTheme="minorEastAsia"/>
          <w:sz w:val="24"/>
          <w:szCs w:val="24"/>
        </w:rPr>
        <w:t>4</w:t>
      </w:r>
      <w:r>
        <w:rPr>
          <w:rFonts w:cs="Times New Roman" w:asciiTheme="minorEastAsia" w:hAnsiTheme="minorEastAsia" w:eastAsiaTheme="minorEastAsia"/>
          <w:sz w:val="24"/>
          <w:szCs w:val="24"/>
        </w:rPr>
        <w:t>“</w:t>
      </w:r>
      <w:r>
        <w:rPr>
          <w:rFonts w:hint="eastAsia" w:cs="Times New Roman" w:asciiTheme="minorEastAsia" w:hAnsiTheme="minorEastAsia" w:eastAsiaTheme="minorEastAsia"/>
          <w:sz w:val="24"/>
          <w:szCs w:val="24"/>
        </w:rPr>
        <w:t>甲方</w:t>
      </w:r>
      <w:r>
        <w:rPr>
          <w:rFonts w:cs="Times New Roman" w:asciiTheme="minorEastAsia" w:hAnsiTheme="minorEastAsia" w:eastAsiaTheme="minorEastAsia"/>
          <w:sz w:val="24"/>
          <w:szCs w:val="24"/>
        </w:rPr>
        <w:t>”系指与</w:t>
      </w:r>
      <w:r>
        <w:rPr>
          <w:rFonts w:hint="eastAsia" w:cs="Times New Roman" w:asciiTheme="minorEastAsia" w:hAnsiTheme="minorEastAsia" w:eastAsiaTheme="minorEastAsia"/>
          <w:sz w:val="24"/>
          <w:szCs w:val="24"/>
        </w:rPr>
        <w:t>中标人</w:t>
      </w:r>
      <w:r>
        <w:rPr>
          <w:rFonts w:cs="Times New Roman" w:asciiTheme="minorEastAsia" w:hAnsiTheme="minorEastAsia" w:eastAsiaTheme="minorEastAsia"/>
          <w:sz w:val="24"/>
          <w:szCs w:val="24"/>
        </w:rPr>
        <w:t>签署合同的采购人</w:t>
      </w:r>
      <w:bookmarkEnd w:id="94"/>
      <w:r>
        <w:rPr>
          <w:rFonts w:hint="eastAsia" w:cs="Times New Roman" w:asciiTheme="minorEastAsia" w:hAnsiTheme="minorEastAsia" w:eastAsiaTheme="minorEastAsia"/>
          <w:sz w:val="24"/>
          <w:szCs w:val="24"/>
        </w:rPr>
        <w:t>；采购人委托采购代理机构代表其与乙方签订合同的，采购人的授权委托书作为合同附件。</w:t>
      </w:r>
    </w:p>
    <w:p>
      <w:pPr>
        <w:spacing w:line="360" w:lineRule="auto"/>
        <w:ind w:firstLine="435"/>
        <w:rPr>
          <w:rFonts w:cs="Times New Roman" w:asciiTheme="minorEastAsia" w:hAnsiTheme="minorEastAsia" w:eastAsiaTheme="minorEastAsia"/>
          <w:sz w:val="24"/>
          <w:szCs w:val="24"/>
        </w:rPr>
      </w:pPr>
      <w:bookmarkStart w:id="95" w:name="_Ref467379400"/>
      <w:r>
        <w:rPr>
          <w:rFonts w:hint="eastAsia" w:cs="Times New Roman" w:asciiTheme="minorEastAsia" w:hAnsiTheme="minorEastAsia" w:eastAsiaTheme="minorEastAsia"/>
          <w:sz w:val="24"/>
          <w:szCs w:val="24"/>
        </w:rPr>
        <w:t>2.</w:t>
      </w:r>
      <w:r>
        <w:rPr>
          <w:rFonts w:cs="Times New Roman" w:asciiTheme="minorEastAsia" w:hAnsiTheme="minorEastAsia" w:eastAsiaTheme="minorEastAsia"/>
          <w:sz w:val="24"/>
          <w:szCs w:val="24"/>
        </w:rPr>
        <w:t>1.</w:t>
      </w:r>
      <w:r>
        <w:rPr>
          <w:rFonts w:hint="eastAsia" w:cs="Times New Roman" w:asciiTheme="minorEastAsia" w:hAnsiTheme="minorEastAsia" w:eastAsiaTheme="minorEastAsia"/>
          <w:sz w:val="24"/>
          <w:szCs w:val="24"/>
        </w:rPr>
        <w:t>5</w:t>
      </w:r>
      <w:r>
        <w:rPr>
          <w:rFonts w:cs="Times New Roman" w:asciiTheme="minorEastAsia" w:hAnsiTheme="minorEastAsia" w:eastAsiaTheme="minorEastAsia"/>
          <w:sz w:val="24"/>
          <w:szCs w:val="24"/>
        </w:rPr>
        <w:t>“乙方”系指根据合同约定交付货物的中标人</w:t>
      </w:r>
      <w:bookmarkEnd w:id="95"/>
      <w:r>
        <w:rPr>
          <w:rFonts w:hint="eastAsia" w:cs="Times New Roman" w:asciiTheme="minorEastAsia" w:hAnsiTheme="minorEastAsia" w:eastAsiaTheme="minorEastAsia"/>
          <w:sz w:val="24"/>
          <w:szCs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35"/>
        <w:rPr>
          <w:rFonts w:cs="Times New Roman" w:asciiTheme="minorEastAsia" w:hAnsiTheme="minorEastAsia" w:eastAsiaTheme="minorEastAsia"/>
          <w:sz w:val="24"/>
          <w:szCs w:val="24"/>
        </w:rPr>
      </w:pPr>
      <w:bookmarkStart w:id="96" w:name="_Ref467379436"/>
      <w:r>
        <w:rPr>
          <w:rFonts w:hint="eastAsia" w:cs="Times New Roman" w:asciiTheme="minorEastAsia" w:hAnsiTheme="minorEastAsia" w:eastAsiaTheme="minorEastAsia"/>
          <w:sz w:val="24"/>
          <w:szCs w:val="24"/>
        </w:rPr>
        <w:t>2.</w:t>
      </w:r>
      <w:r>
        <w:rPr>
          <w:rFonts w:cs="Times New Roman" w:asciiTheme="minorEastAsia" w:hAnsiTheme="minorEastAsia" w:eastAsiaTheme="minorEastAsia"/>
          <w:sz w:val="24"/>
          <w:szCs w:val="24"/>
        </w:rPr>
        <w:t>1.</w:t>
      </w:r>
      <w:r>
        <w:rPr>
          <w:rFonts w:hint="eastAsia" w:cs="Times New Roman" w:asciiTheme="minorEastAsia" w:hAnsiTheme="minorEastAsia" w:eastAsiaTheme="minorEastAsia"/>
          <w:sz w:val="24"/>
          <w:szCs w:val="24"/>
        </w:rPr>
        <w:t>6</w:t>
      </w:r>
      <w:r>
        <w:rPr>
          <w:rFonts w:cs="Times New Roman" w:asciiTheme="minorEastAsia" w:hAnsiTheme="minorEastAsia" w:eastAsiaTheme="minorEastAsia"/>
          <w:sz w:val="24"/>
          <w:szCs w:val="24"/>
        </w:rPr>
        <w:t>“现场”系指合同约定货物将要运至</w:t>
      </w:r>
      <w:r>
        <w:rPr>
          <w:rFonts w:hint="eastAsia" w:cs="Times New Roman" w:asciiTheme="minorEastAsia" w:hAnsiTheme="minorEastAsia" w:eastAsiaTheme="minorEastAsia"/>
          <w:sz w:val="24"/>
          <w:szCs w:val="24"/>
        </w:rPr>
        <w:t>或者</w:t>
      </w:r>
      <w:r>
        <w:rPr>
          <w:rFonts w:cs="Times New Roman" w:asciiTheme="minorEastAsia" w:hAnsiTheme="minorEastAsia" w:eastAsiaTheme="minorEastAsia"/>
          <w:sz w:val="24"/>
          <w:szCs w:val="24"/>
        </w:rPr>
        <w:t>安装的地点。</w:t>
      </w:r>
      <w:bookmarkEnd w:id="96"/>
    </w:p>
    <w:p>
      <w:pPr>
        <w:spacing w:line="360" w:lineRule="auto"/>
        <w:ind w:firstLine="437"/>
        <w:outlineLvl w:val="3"/>
        <w:rPr>
          <w:rFonts w:cs="Times New Roman" w:asciiTheme="minorEastAsia" w:hAnsiTheme="minorEastAsia" w:eastAsiaTheme="minorEastAsia"/>
          <w:b/>
          <w:bCs/>
          <w:sz w:val="24"/>
          <w:szCs w:val="24"/>
          <w:lang w:val="zh-CN"/>
        </w:rPr>
      </w:pPr>
      <w:bookmarkStart w:id="97" w:name="_Toc32504"/>
      <w:bookmarkStart w:id="98" w:name="_Toc27635"/>
      <w:bookmarkStart w:id="99" w:name="_Toc13336"/>
      <w:bookmarkStart w:id="100" w:name="_Toc487900350"/>
      <w:bookmarkStart w:id="101" w:name="_Toc259093670"/>
      <w:bookmarkStart w:id="102" w:name="_Toc279701241"/>
      <w:r>
        <w:rPr>
          <w:rFonts w:hint="eastAsia" w:cs="Times New Roman" w:asciiTheme="minorEastAsia" w:hAnsiTheme="minorEastAsia" w:eastAsiaTheme="minorEastAsia"/>
          <w:b/>
          <w:bCs/>
          <w:sz w:val="24"/>
          <w:szCs w:val="24"/>
          <w:lang w:val="zh-CN"/>
        </w:rPr>
        <w:t>2.</w:t>
      </w:r>
      <w:r>
        <w:rPr>
          <w:rFonts w:cs="Times New Roman" w:asciiTheme="minorEastAsia" w:hAnsiTheme="minorEastAsia" w:eastAsiaTheme="minorEastAsia"/>
          <w:b/>
          <w:bCs/>
          <w:sz w:val="24"/>
          <w:szCs w:val="24"/>
          <w:lang w:val="zh-CN"/>
        </w:rPr>
        <w:t>2 技术规范</w:t>
      </w:r>
      <w:bookmarkEnd w:id="97"/>
      <w:bookmarkEnd w:id="98"/>
      <w:bookmarkEnd w:id="99"/>
      <w:bookmarkEnd w:id="100"/>
      <w:bookmarkEnd w:id="101"/>
      <w:bookmarkEnd w:id="102"/>
    </w:p>
    <w:p>
      <w:pPr>
        <w:spacing w:line="360" w:lineRule="auto"/>
        <w:ind w:firstLine="435"/>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如果采购文件中没有技术规范的相应说明，那么应以国家有关部门最新颁布的相应标准</w:t>
      </w:r>
      <w:r>
        <w:rPr>
          <w:rFonts w:hint="eastAsia" w:cs="Times New Roman" w:asciiTheme="minorEastAsia" w:hAnsiTheme="minorEastAsia" w:eastAsiaTheme="minorEastAsia"/>
          <w:sz w:val="24"/>
          <w:szCs w:val="24"/>
        </w:rPr>
        <w:t>和</w:t>
      </w:r>
      <w:r>
        <w:rPr>
          <w:rFonts w:cs="Times New Roman" w:asciiTheme="minorEastAsia" w:hAnsiTheme="minorEastAsia" w:eastAsiaTheme="minorEastAsia"/>
          <w:sz w:val="24"/>
          <w:szCs w:val="24"/>
        </w:rPr>
        <w:t>规范为准。</w:t>
      </w:r>
    </w:p>
    <w:p>
      <w:pPr>
        <w:spacing w:line="360" w:lineRule="auto"/>
        <w:ind w:firstLine="437"/>
        <w:outlineLvl w:val="3"/>
        <w:rPr>
          <w:rFonts w:cs="Times New Roman" w:asciiTheme="minorEastAsia" w:hAnsiTheme="minorEastAsia" w:eastAsiaTheme="minorEastAsia"/>
          <w:b/>
          <w:bCs/>
          <w:sz w:val="24"/>
          <w:szCs w:val="24"/>
          <w:lang w:val="zh-CN"/>
        </w:rPr>
      </w:pPr>
      <w:bookmarkStart w:id="103" w:name="_Toc31634"/>
      <w:bookmarkStart w:id="104" w:name="_Toc259093671"/>
      <w:bookmarkStart w:id="105" w:name="_Toc9829"/>
      <w:bookmarkStart w:id="106" w:name="_Toc487900351"/>
      <w:bookmarkStart w:id="107" w:name="_Toc279701242"/>
      <w:bookmarkStart w:id="108" w:name="_Toc27853"/>
      <w:r>
        <w:rPr>
          <w:rFonts w:hint="eastAsia" w:cs="Times New Roman" w:asciiTheme="minorEastAsia" w:hAnsiTheme="minorEastAsia" w:eastAsiaTheme="minorEastAsia"/>
          <w:b/>
          <w:bCs/>
          <w:sz w:val="24"/>
          <w:szCs w:val="24"/>
          <w:lang w:val="zh-CN"/>
        </w:rPr>
        <w:t>2.</w:t>
      </w:r>
      <w:r>
        <w:rPr>
          <w:rFonts w:cs="Times New Roman" w:asciiTheme="minorEastAsia" w:hAnsiTheme="minorEastAsia" w:eastAsiaTheme="minorEastAsia"/>
          <w:b/>
          <w:bCs/>
          <w:sz w:val="24"/>
          <w:szCs w:val="24"/>
          <w:lang w:val="zh-CN"/>
        </w:rPr>
        <w:t>3 知识产权</w:t>
      </w:r>
      <w:bookmarkEnd w:id="103"/>
      <w:bookmarkEnd w:id="104"/>
      <w:bookmarkEnd w:id="105"/>
      <w:bookmarkEnd w:id="106"/>
      <w:bookmarkEnd w:id="107"/>
      <w:bookmarkEnd w:id="108"/>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2.3.1乙</w:t>
      </w:r>
      <w:r>
        <w:rPr>
          <w:rFonts w:cs="Times New Roman" w:asciiTheme="minorEastAsia" w:hAnsiTheme="minorEastAsia" w:eastAsiaTheme="minorEastAsia"/>
          <w:sz w:val="24"/>
          <w:szCs w:val="24"/>
        </w:rPr>
        <w:t>方应保证甲方在使用该货物或其任何一部分时不受任何第三方提出的侵犯其著作权、商标权、专利权等知识产权方面的起诉</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如果任何第三方提出侵权</w:t>
      </w:r>
      <w:r>
        <w:rPr>
          <w:rFonts w:hint="eastAsia" w:cs="Times New Roman" w:asciiTheme="minorEastAsia" w:hAnsiTheme="minorEastAsia" w:eastAsiaTheme="minorEastAsia"/>
          <w:sz w:val="24"/>
          <w:szCs w:val="24"/>
        </w:rPr>
        <w:t>指控</w:t>
      </w:r>
      <w:r>
        <w:rPr>
          <w:rFonts w:cs="Times New Roman" w:asciiTheme="minorEastAsia" w:hAnsiTheme="minorEastAsia" w:eastAsiaTheme="minorEastAsia"/>
          <w:sz w:val="24"/>
          <w:szCs w:val="24"/>
        </w:rPr>
        <w:t>，那么乙方须与该第三方交涉并承担由此发生的一切责任、费用和赔偿</w:t>
      </w:r>
      <w:r>
        <w:rPr>
          <w:rFonts w:hint="eastAsia" w:cs="Times New Roman" w:asciiTheme="minorEastAsia" w:hAnsiTheme="minorEastAsia" w:eastAsiaTheme="minorEastAsia"/>
          <w:sz w:val="24"/>
          <w:szCs w:val="24"/>
        </w:rPr>
        <w:t>；</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2.3.2具有知识产权的计算机软件等货物的知识产权归属，</w:t>
      </w:r>
      <w:r>
        <w:rPr>
          <w:rFonts w:cs="Times New Roman" w:asciiTheme="minorEastAsia" w:hAnsiTheme="minorEastAsia" w:eastAsiaTheme="minorEastAsia"/>
          <w:sz w:val="24"/>
          <w:szCs w:val="24"/>
        </w:rPr>
        <w:t>详见</w:t>
      </w:r>
      <w:r>
        <w:rPr>
          <w:rFonts w:cs="Times New Roman" w:asciiTheme="minorEastAsia" w:hAnsiTheme="minorEastAsia" w:eastAsiaTheme="minorEastAsia"/>
          <w:b/>
          <w:i/>
          <w:sz w:val="24"/>
          <w:szCs w:val="24"/>
          <w:u w:val="single"/>
        </w:rPr>
        <w:t>合同专用条款</w:t>
      </w:r>
      <w:r>
        <w:rPr>
          <w:rFonts w:cs="Times New Roman" w:asciiTheme="minorEastAsia" w:hAnsiTheme="minorEastAsia" w:eastAsiaTheme="minorEastAsia"/>
          <w:sz w:val="24"/>
          <w:szCs w:val="24"/>
        </w:rPr>
        <w:t>。</w:t>
      </w:r>
    </w:p>
    <w:p>
      <w:pPr>
        <w:spacing w:line="360" w:lineRule="auto"/>
        <w:ind w:firstLine="437"/>
        <w:outlineLvl w:val="3"/>
        <w:rPr>
          <w:rFonts w:cs="Times New Roman" w:asciiTheme="minorEastAsia" w:hAnsiTheme="minorEastAsia" w:eastAsiaTheme="minorEastAsia"/>
          <w:b/>
          <w:sz w:val="24"/>
          <w:szCs w:val="24"/>
        </w:rPr>
      </w:pPr>
      <w:bookmarkStart w:id="109" w:name="_Toc4194"/>
      <w:bookmarkStart w:id="110" w:name="_Toc29149"/>
      <w:bookmarkStart w:id="111" w:name="_Toc11932"/>
      <w:r>
        <w:rPr>
          <w:rFonts w:hint="eastAsia" w:cs="Times New Roman" w:asciiTheme="minorEastAsia" w:hAnsiTheme="minorEastAsia" w:eastAsiaTheme="minorEastAsia"/>
          <w:b/>
          <w:bCs/>
          <w:sz w:val="24"/>
          <w:szCs w:val="24"/>
          <w:lang w:val="zh-CN"/>
        </w:rPr>
        <w:t>2.4</w:t>
      </w:r>
      <w:r>
        <w:rPr>
          <w:rFonts w:cs="Times New Roman" w:asciiTheme="minorEastAsia" w:hAnsiTheme="minorEastAsia" w:eastAsiaTheme="minorEastAsia"/>
          <w:b/>
          <w:bCs/>
          <w:sz w:val="24"/>
          <w:szCs w:val="24"/>
          <w:lang w:val="zh-CN"/>
        </w:rPr>
        <w:t xml:space="preserve"> </w:t>
      </w:r>
      <w:r>
        <w:rPr>
          <w:rFonts w:hint="eastAsia" w:cs="Times New Roman" w:asciiTheme="minorEastAsia" w:hAnsiTheme="minorEastAsia" w:eastAsiaTheme="minorEastAsia"/>
          <w:b/>
          <w:bCs/>
          <w:sz w:val="24"/>
          <w:szCs w:val="24"/>
          <w:lang w:val="zh-CN"/>
        </w:rPr>
        <w:t>包装和装运</w:t>
      </w:r>
      <w:bookmarkEnd w:id="109"/>
      <w:bookmarkEnd w:id="110"/>
      <w:bookmarkEnd w:id="111"/>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2.4.1除</w:t>
      </w:r>
      <w:r>
        <w:rPr>
          <w:rFonts w:cs="Times New Roman" w:asciiTheme="minorEastAsia" w:hAnsiTheme="minorEastAsia" w:eastAsiaTheme="minorEastAsia"/>
          <w:b/>
          <w:i/>
          <w:sz w:val="24"/>
          <w:szCs w:val="24"/>
          <w:u w:val="single"/>
        </w:rPr>
        <w:t>合同专用条款</w:t>
      </w:r>
      <w:r>
        <w:rPr>
          <w:rFonts w:hint="eastAsia" w:cs="Times New Roman" w:asciiTheme="minorEastAsia" w:hAnsiTheme="minorEastAsia" w:eastAsiaTheme="minorEastAsia"/>
          <w:sz w:val="24"/>
          <w:szCs w:val="24"/>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2.4.2装运货物的要求和通知，详见</w:t>
      </w:r>
      <w:r>
        <w:rPr>
          <w:rFonts w:cs="Times New Roman" w:asciiTheme="minorEastAsia" w:hAnsiTheme="minorEastAsia" w:eastAsiaTheme="minorEastAsia"/>
          <w:b/>
          <w:i/>
          <w:sz w:val="24"/>
          <w:szCs w:val="24"/>
          <w:u w:val="single"/>
        </w:rPr>
        <w:t>合同专用条款</w:t>
      </w:r>
      <w:r>
        <w:rPr>
          <w:rFonts w:hint="eastAsia" w:cs="Times New Roman" w:asciiTheme="minorEastAsia" w:hAnsiTheme="minorEastAsia" w:eastAsiaTheme="minorEastAsia"/>
          <w:sz w:val="24"/>
          <w:szCs w:val="24"/>
        </w:rPr>
        <w:t>。</w:t>
      </w:r>
    </w:p>
    <w:p>
      <w:pPr>
        <w:spacing w:line="360" w:lineRule="auto"/>
        <w:ind w:firstLine="437"/>
        <w:outlineLvl w:val="3"/>
        <w:rPr>
          <w:rFonts w:cs="Times New Roman" w:asciiTheme="minorEastAsia" w:hAnsiTheme="minorEastAsia" w:eastAsiaTheme="minorEastAsia"/>
          <w:b/>
          <w:bCs/>
          <w:sz w:val="24"/>
          <w:szCs w:val="24"/>
          <w:lang w:val="zh-CN"/>
        </w:rPr>
      </w:pPr>
      <w:bookmarkStart w:id="112" w:name="_Ref467379542"/>
      <w:bookmarkStart w:id="113" w:name="_Toc279701245"/>
      <w:bookmarkStart w:id="114" w:name="_Ref467378591"/>
      <w:bookmarkStart w:id="115" w:name="_Toc487900354"/>
      <w:bookmarkStart w:id="116" w:name="_Ref467379527"/>
      <w:bookmarkStart w:id="117" w:name="_Toc259093674"/>
      <w:bookmarkStart w:id="118" w:name="_Ref467379536"/>
      <w:bookmarkStart w:id="119" w:name="_Ref467378541"/>
      <w:bookmarkStart w:id="120" w:name="_Toc26182"/>
      <w:bookmarkStart w:id="121" w:name="_Toc19074"/>
      <w:bookmarkStart w:id="122" w:name="_Toc30272"/>
      <w:r>
        <w:rPr>
          <w:rFonts w:hint="eastAsia" w:cs="Times New Roman" w:asciiTheme="minorEastAsia" w:hAnsiTheme="minorEastAsia" w:eastAsiaTheme="minorEastAsia"/>
          <w:b/>
          <w:bCs/>
          <w:sz w:val="24"/>
          <w:szCs w:val="24"/>
          <w:lang w:val="zh-CN"/>
        </w:rPr>
        <w:t>2.</w:t>
      </w:r>
      <w:bookmarkEnd w:id="112"/>
      <w:bookmarkEnd w:id="113"/>
      <w:bookmarkEnd w:id="114"/>
      <w:bookmarkEnd w:id="115"/>
      <w:bookmarkEnd w:id="116"/>
      <w:bookmarkEnd w:id="117"/>
      <w:bookmarkEnd w:id="118"/>
      <w:bookmarkEnd w:id="119"/>
      <w:r>
        <w:rPr>
          <w:rFonts w:hint="eastAsia" w:cs="Times New Roman" w:asciiTheme="minorEastAsia" w:hAnsiTheme="minorEastAsia" w:eastAsiaTheme="minorEastAsia"/>
          <w:b/>
          <w:bCs/>
          <w:sz w:val="24"/>
          <w:szCs w:val="24"/>
          <w:lang w:val="zh-CN"/>
        </w:rPr>
        <w:t>5</w:t>
      </w:r>
      <w:r>
        <w:rPr>
          <w:rFonts w:cs="Times New Roman" w:asciiTheme="minorEastAsia" w:hAnsiTheme="minorEastAsia" w:eastAsiaTheme="minorEastAsia"/>
          <w:b/>
          <w:bCs/>
          <w:sz w:val="24"/>
          <w:szCs w:val="24"/>
          <w:lang w:val="zh-CN"/>
        </w:rPr>
        <w:t xml:space="preserve"> </w:t>
      </w:r>
      <w:r>
        <w:rPr>
          <w:rFonts w:hint="eastAsia" w:cs="Times New Roman" w:asciiTheme="minorEastAsia" w:hAnsiTheme="minorEastAsia" w:eastAsiaTheme="minorEastAsia"/>
          <w:b/>
          <w:bCs/>
          <w:sz w:val="24"/>
          <w:szCs w:val="24"/>
          <w:lang w:val="zh-CN"/>
        </w:rPr>
        <w:t>履约检查和问题反馈</w:t>
      </w:r>
      <w:bookmarkEnd w:id="120"/>
      <w:bookmarkEnd w:id="121"/>
      <w:bookmarkEnd w:id="122"/>
    </w:p>
    <w:p>
      <w:pPr>
        <w:spacing w:line="360" w:lineRule="auto"/>
        <w:ind w:firstLine="435"/>
        <w:rPr>
          <w:rFonts w:cs="Times New Roman" w:asciiTheme="minorEastAsia" w:hAnsiTheme="minorEastAsia" w:eastAsiaTheme="minorEastAsia"/>
          <w:sz w:val="24"/>
          <w:szCs w:val="24"/>
        </w:rPr>
      </w:pPr>
      <w:bookmarkStart w:id="123" w:name="_Ref467379657"/>
      <w:r>
        <w:rPr>
          <w:rFonts w:hint="eastAsia" w:cs="Times New Roman" w:asciiTheme="minorEastAsia" w:hAnsiTheme="minorEastAsia" w:eastAsiaTheme="minorEastAsia"/>
          <w:sz w:val="24"/>
          <w:szCs w:val="24"/>
        </w:rPr>
        <w:t>2.5</w:t>
      </w:r>
      <w:r>
        <w:rPr>
          <w:rFonts w:cs="Times New Roman" w:asciiTheme="minorEastAsia" w:hAnsiTheme="minorEastAsia" w:eastAsiaTheme="minorEastAsia"/>
          <w:sz w:val="24"/>
          <w:szCs w:val="24"/>
        </w:rPr>
        <w:t>.1</w:t>
      </w:r>
      <w:bookmarkEnd w:id="123"/>
      <w:bookmarkStart w:id="124" w:name="_Toc186431854"/>
      <w:bookmarkStart w:id="125" w:name="_Toc487900357"/>
      <w:bookmarkStart w:id="126" w:name="_Toc279701247"/>
      <w:bookmarkStart w:id="127" w:name="_Ref467379807"/>
      <w:bookmarkStart w:id="128" w:name="_Toc259093676"/>
      <w:bookmarkStart w:id="129" w:name="_Ref467379793"/>
      <w:r>
        <w:rPr>
          <w:rFonts w:cs="Times New Roman" w:asciiTheme="minorEastAsia" w:hAnsiTheme="minorEastAsia" w:eastAsiaTheme="minorEastAsia"/>
          <w:sz w:val="24"/>
          <w:szCs w:val="24"/>
        </w:rPr>
        <w:t>甲方</w:t>
      </w:r>
      <w:r>
        <w:rPr>
          <w:rFonts w:hint="eastAsia" w:cs="Times New Roman" w:asciiTheme="minorEastAsia" w:hAnsiTheme="minorEastAsia" w:eastAsiaTheme="minorEastAsia"/>
          <w:sz w:val="24"/>
          <w:szCs w:val="24"/>
        </w:rPr>
        <w:t>有权</w:t>
      </w:r>
      <w:r>
        <w:rPr>
          <w:rFonts w:cs="Times New Roman" w:asciiTheme="minorEastAsia" w:hAnsiTheme="minorEastAsia" w:eastAsiaTheme="minorEastAsia"/>
          <w:sz w:val="24"/>
          <w:szCs w:val="24"/>
        </w:rPr>
        <w:t>在其认为必要时</w:t>
      </w:r>
      <w:r>
        <w:rPr>
          <w:rFonts w:hint="eastAsia" w:cs="Times New Roman" w:asciiTheme="minorEastAsia" w:hAnsiTheme="minorEastAsia" w:eastAsiaTheme="minorEastAsia"/>
          <w:sz w:val="24"/>
          <w:szCs w:val="24"/>
        </w:rPr>
        <w:t>，对乙方是否能够按照合同约定交付货物进行履约检查，以确保乙方所交付的货物能够依约满足甲方项目需求，但不得因履约检查妨碍乙方的正常工作，乙方应予积极配合；</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2.5.2合同履行期间，甲方有权将履行过程中出现的问题反馈给乙方，双方当事人应以书面形式约定需要完善和改进的内容</w:t>
      </w:r>
      <w:bookmarkEnd w:id="124"/>
      <w:bookmarkStart w:id="130" w:name="_Toc186431855"/>
      <w:r>
        <w:rPr>
          <w:rFonts w:hint="eastAsia" w:cs="Times New Roman" w:asciiTheme="minorEastAsia" w:hAnsiTheme="minorEastAsia" w:eastAsiaTheme="minorEastAsia"/>
          <w:sz w:val="24"/>
          <w:szCs w:val="24"/>
        </w:rPr>
        <w:t>。</w:t>
      </w:r>
    </w:p>
    <w:bookmarkEnd w:id="130"/>
    <w:p>
      <w:pPr>
        <w:spacing w:line="360" w:lineRule="auto"/>
        <w:ind w:firstLine="437"/>
        <w:outlineLvl w:val="3"/>
        <w:rPr>
          <w:rFonts w:cs="Times New Roman" w:asciiTheme="minorEastAsia" w:hAnsiTheme="minorEastAsia" w:eastAsiaTheme="minorEastAsia"/>
          <w:b/>
          <w:bCs/>
          <w:sz w:val="24"/>
          <w:szCs w:val="24"/>
          <w:lang w:val="zh-CN"/>
        </w:rPr>
      </w:pPr>
      <w:bookmarkStart w:id="131" w:name="_Toc7836"/>
      <w:bookmarkStart w:id="132" w:name="_Toc28451"/>
      <w:bookmarkStart w:id="133" w:name="_Toc19219"/>
      <w:r>
        <w:rPr>
          <w:rFonts w:hint="eastAsia" w:cs="Times New Roman" w:asciiTheme="minorEastAsia" w:hAnsiTheme="minorEastAsia" w:eastAsiaTheme="minorEastAsia"/>
          <w:b/>
          <w:bCs/>
          <w:sz w:val="24"/>
          <w:szCs w:val="24"/>
          <w:lang w:val="zh-CN"/>
        </w:rPr>
        <w:t xml:space="preserve">2.6 </w:t>
      </w:r>
      <w:r>
        <w:rPr>
          <w:rFonts w:cs="Times New Roman" w:asciiTheme="minorEastAsia" w:hAnsiTheme="minorEastAsia" w:eastAsiaTheme="minorEastAsia"/>
          <w:b/>
          <w:bCs/>
          <w:sz w:val="24"/>
          <w:szCs w:val="24"/>
          <w:lang w:val="zh-CN"/>
        </w:rPr>
        <w:t>结算方式和付款条件</w:t>
      </w:r>
      <w:bookmarkEnd w:id="125"/>
      <w:bookmarkEnd w:id="126"/>
      <w:bookmarkEnd w:id="127"/>
      <w:bookmarkEnd w:id="128"/>
      <w:bookmarkEnd w:id="129"/>
      <w:bookmarkEnd w:id="131"/>
      <w:bookmarkEnd w:id="132"/>
      <w:bookmarkEnd w:id="133"/>
    </w:p>
    <w:p>
      <w:pPr>
        <w:spacing w:line="360" w:lineRule="auto"/>
        <w:ind w:firstLine="435"/>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详见</w:t>
      </w:r>
      <w:r>
        <w:rPr>
          <w:rFonts w:cs="Times New Roman" w:asciiTheme="minorEastAsia" w:hAnsiTheme="minorEastAsia" w:eastAsiaTheme="minorEastAsia"/>
          <w:b/>
          <w:i/>
          <w:sz w:val="24"/>
          <w:szCs w:val="24"/>
          <w:u w:val="single"/>
        </w:rPr>
        <w:t>合同专用条款</w:t>
      </w:r>
      <w:r>
        <w:rPr>
          <w:rFonts w:cs="Times New Roman" w:asciiTheme="minorEastAsia" w:hAnsiTheme="minorEastAsia" w:eastAsiaTheme="minorEastAsia"/>
          <w:sz w:val="24"/>
          <w:szCs w:val="24"/>
        </w:rPr>
        <w:t>。</w:t>
      </w:r>
    </w:p>
    <w:p>
      <w:pPr>
        <w:spacing w:line="360" w:lineRule="auto"/>
        <w:ind w:firstLine="437"/>
        <w:outlineLvl w:val="3"/>
        <w:rPr>
          <w:rFonts w:cs="Times New Roman" w:asciiTheme="minorEastAsia" w:hAnsiTheme="minorEastAsia" w:eastAsiaTheme="minorEastAsia"/>
          <w:b/>
          <w:bCs/>
          <w:sz w:val="24"/>
          <w:szCs w:val="24"/>
          <w:lang w:val="zh-CN"/>
        </w:rPr>
      </w:pPr>
      <w:bookmarkStart w:id="134" w:name="_Toc259093677"/>
      <w:bookmarkStart w:id="135" w:name="_Ref467379852"/>
      <w:bookmarkStart w:id="136" w:name="_Toc487900358"/>
      <w:bookmarkStart w:id="137" w:name="_Toc279701248"/>
      <w:bookmarkStart w:id="138" w:name="_Ref467379863"/>
      <w:bookmarkStart w:id="139" w:name="_Ref467379923"/>
      <w:bookmarkStart w:id="140" w:name="_Toc3225"/>
      <w:bookmarkStart w:id="141" w:name="_Toc774"/>
      <w:bookmarkStart w:id="142" w:name="_Toc16110"/>
      <w:r>
        <w:rPr>
          <w:rFonts w:hint="eastAsia" w:cs="Times New Roman" w:asciiTheme="minorEastAsia" w:hAnsiTheme="minorEastAsia" w:eastAsiaTheme="minorEastAsia"/>
          <w:b/>
          <w:bCs/>
          <w:sz w:val="24"/>
          <w:szCs w:val="24"/>
          <w:lang w:val="zh-CN"/>
        </w:rPr>
        <w:t xml:space="preserve">2.7 </w:t>
      </w:r>
      <w:r>
        <w:rPr>
          <w:rFonts w:cs="Times New Roman" w:asciiTheme="minorEastAsia" w:hAnsiTheme="minorEastAsia" w:eastAsiaTheme="minorEastAsia"/>
          <w:b/>
          <w:bCs/>
          <w:sz w:val="24"/>
          <w:szCs w:val="24"/>
          <w:lang w:val="zh-CN"/>
        </w:rPr>
        <w:t>技术资料</w:t>
      </w:r>
      <w:bookmarkEnd w:id="134"/>
      <w:bookmarkEnd w:id="135"/>
      <w:bookmarkEnd w:id="136"/>
      <w:bookmarkEnd w:id="137"/>
      <w:bookmarkEnd w:id="138"/>
      <w:bookmarkEnd w:id="139"/>
      <w:r>
        <w:rPr>
          <w:rFonts w:cs="Times New Roman" w:asciiTheme="minorEastAsia" w:hAnsiTheme="minorEastAsia" w:eastAsiaTheme="minorEastAsia"/>
          <w:b/>
          <w:bCs/>
          <w:sz w:val="24"/>
          <w:szCs w:val="24"/>
          <w:lang w:val="zh-CN"/>
        </w:rPr>
        <w:t>和保密义务</w:t>
      </w:r>
      <w:bookmarkEnd w:id="140"/>
      <w:bookmarkEnd w:id="141"/>
      <w:bookmarkEnd w:id="142"/>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2.7</w:t>
      </w:r>
      <w:r>
        <w:rPr>
          <w:rFonts w:cs="Times New Roman" w:asciiTheme="minorEastAsia" w:hAnsiTheme="minorEastAsia" w:eastAsiaTheme="minorEastAsia"/>
          <w:sz w:val="24"/>
          <w:szCs w:val="24"/>
        </w:rPr>
        <w:t>.1</w:t>
      </w:r>
      <w:r>
        <w:rPr>
          <w:rFonts w:hint="eastAsia" w:cs="Times New Roman" w:asciiTheme="minorEastAsia" w:hAnsiTheme="minorEastAsia" w:eastAsiaTheme="minorEastAsia"/>
          <w:sz w:val="24"/>
          <w:szCs w:val="24"/>
        </w:rPr>
        <w:t>乙方有权依据合同约定和项目需要，向甲方了解有关情况，调阅有关资料等，甲方应予积极配合；</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2.7.2乙方有义务妥善保管和保护由甲方提供的前款信息和资料等；</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2.7</w:t>
      </w:r>
      <w:r>
        <w:rPr>
          <w:rFonts w:cs="Times New Roman" w:asciiTheme="minorEastAsia" w:hAnsiTheme="minorEastAsia" w:eastAsiaTheme="minorEastAsia"/>
          <w:sz w:val="24"/>
          <w:szCs w:val="24"/>
        </w:rPr>
        <w:t>.</w:t>
      </w:r>
      <w:r>
        <w:rPr>
          <w:rFonts w:hint="eastAsia" w:cs="Times New Roman" w:asciiTheme="minorEastAsia" w:hAnsiTheme="minorEastAsia" w:eastAsiaTheme="minorEastAsia"/>
          <w:sz w:val="24"/>
          <w:szCs w:val="24"/>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sz w:val="24"/>
          <w:szCs w:val="24"/>
        </w:rPr>
        <w:t>技术情报</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技术资料</w:t>
      </w:r>
      <w:r>
        <w:rPr>
          <w:rFonts w:hint="eastAsia" w:cs="Times New Roman" w:asciiTheme="minorEastAsia" w:hAnsiTheme="minorEastAsia" w:eastAsiaTheme="minorEastAsia"/>
          <w:sz w:val="24"/>
          <w:szCs w:val="24"/>
        </w:rPr>
        <w:t>、商业秘密和商业信息等，并采取一切合理和必要措施和方式防止任何第三方接触到对方当事人的上述保密信息和资料。</w:t>
      </w:r>
    </w:p>
    <w:p>
      <w:pPr>
        <w:spacing w:line="360" w:lineRule="auto"/>
        <w:ind w:firstLine="437"/>
        <w:outlineLvl w:val="3"/>
        <w:rPr>
          <w:rFonts w:cs="Times New Roman" w:asciiTheme="minorEastAsia" w:hAnsiTheme="minorEastAsia" w:eastAsiaTheme="minorEastAsia"/>
          <w:b/>
          <w:bCs/>
          <w:sz w:val="24"/>
          <w:szCs w:val="24"/>
          <w:lang w:val="zh-CN"/>
        </w:rPr>
      </w:pPr>
      <w:bookmarkStart w:id="143" w:name="_Toc7860"/>
      <w:r>
        <w:rPr>
          <w:rFonts w:cs="Times New Roman" w:asciiTheme="minorEastAsia" w:hAnsiTheme="minorEastAsia" w:eastAsiaTheme="minorEastAsia"/>
          <w:b/>
          <w:bCs/>
          <w:sz w:val="24"/>
          <w:szCs w:val="24"/>
          <w:lang w:val="zh-CN"/>
        </w:rPr>
        <w:t>2.8 质量保证</w:t>
      </w:r>
      <w:bookmarkEnd w:id="143"/>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2.8.1乙方应建立和完善履行合同的内部质量保证体系，并提供相关内部规章制度给甲方，以便甲方进行监督检查；</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2.8.2乙方应保证履行合同的人员数量和素质、软件和硬件设备的配置、场地、环境和设施等满足全面履行合同的要求，并应接受甲方的监督检查。</w:t>
      </w:r>
    </w:p>
    <w:p>
      <w:pPr>
        <w:spacing w:line="360" w:lineRule="auto"/>
        <w:ind w:firstLine="437"/>
        <w:outlineLvl w:val="3"/>
        <w:rPr>
          <w:rFonts w:cs="Times New Roman" w:asciiTheme="minorEastAsia" w:hAnsiTheme="minorEastAsia" w:eastAsiaTheme="minorEastAsia"/>
          <w:b/>
          <w:bCs/>
          <w:sz w:val="24"/>
          <w:szCs w:val="24"/>
          <w:lang w:val="zh-CN"/>
        </w:rPr>
      </w:pPr>
      <w:bookmarkStart w:id="144" w:name="_Toc17244"/>
      <w:bookmarkStart w:id="145" w:name="_Toc279701252"/>
      <w:bookmarkStart w:id="146" w:name="_Toc487900362"/>
      <w:bookmarkStart w:id="147" w:name="_Toc259093681"/>
      <w:r>
        <w:rPr>
          <w:rFonts w:cs="Times New Roman" w:asciiTheme="minorEastAsia" w:hAnsiTheme="minorEastAsia" w:eastAsiaTheme="minorEastAsia"/>
          <w:b/>
          <w:bCs/>
          <w:sz w:val="24"/>
          <w:szCs w:val="24"/>
          <w:lang w:val="zh-CN"/>
        </w:rPr>
        <w:t>2.9 货物的风险负担</w:t>
      </w:r>
      <w:bookmarkEnd w:id="144"/>
    </w:p>
    <w:p>
      <w:pPr>
        <w:spacing w:line="360" w:lineRule="auto"/>
        <w:ind w:firstLine="435"/>
        <w:rPr>
          <w:rFonts w:cs="Times New Roman" w:asciiTheme="minorEastAsia" w:hAnsiTheme="minorEastAsia" w:eastAsiaTheme="minorEastAsia"/>
          <w:b/>
          <w:sz w:val="24"/>
          <w:szCs w:val="24"/>
        </w:rPr>
      </w:pPr>
      <w:r>
        <w:rPr>
          <w:rFonts w:hint="eastAsia" w:cs="Times New Roman" w:asciiTheme="minorEastAsia" w:hAnsiTheme="minorEastAsia" w:eastAsiaTheme="minorEastAsia"/>
          <w:sz w:val="24"/>
          <w:szCs w:val="24"/>
        </w:rPr>
        <w:t>货物或者在途货物或者交付给第一承运人后的货物毁损、灭失的风险负担</w:t>
      </w:r>
      <w:r>
        <w:rPr>
          <w:rFonts w:cs="Times New Roman" w:asciiTheme="minorEastAsia" w:hAnsiTheme="minorEastAsia" w:eastAsiaTheme="minorEastAsia"/>
          <w:sz w:val="24"/>
          <w:szCs w:val="24"/>
        </w:rPr>
        <w:t>详见</w:t>
      </w:r>
      <w:r>
        <w:rPr>
          <w:rFonts w:cs="Times New Roman" w:asciiTheme="minorEastAsia" w:hAnsiTheme="minorEastAsia" w:eastAsiaTheme="minorEastAsia"/>
          <w:b/>
          <w:i/>
          <w:sz w:val="24"/>
          <w:szCs w:val="24"/>
          <w:u w:val="single"/>
        </w:rPr>
        <w:t>合同专用条款</w:t>
      </w:r>
      <w:r>
        <w:rPr>
          <w:rFonts w:cs="Times New Roman" w:asciiTheme="minorEastAsia" w:hAnsiTheme="minorEastAsia" w:eastAsiaTheme="minorEastAsia"/>
          <w:sz w:val="24"/>
          <w:szCs w:val="24"/>
        </w:rPr>
        <w:t>。</w:t>
      </w:r>
    </w:p>
    <w:p>
      <w:pPr>
        <w:spacing w:line="360" w:lineRule="auto"/>
        <w:ind w:firstLine="437"/>
        <w:outlineLvl w:val="3"/>
        <w:rPr>
          <w:rFonts w:cs="Times New Roman" w:asciiTheme="minorEastAsia" w:hAnsiTheme="minorEastAsia" w:eastAsiaTheme="minorEastAsia"/>
          <w:b/>
          <w:bCs/>
          <w:sz w:val="24"/>
          <w:szCs w:val="24"/>
          <w:lang w:val="zh-CN"/>
        </w:rPr>
      </w:pPr>
      <w:bookmarkStart w:id="148" w:name="_Toc14055"/>
      <w:r>
        <w:rPr>
          <w:rFonts w:cs="Times New Roman" w:asciiTheme="minorEastAsia" w:hAnsiTheme="minorEastAsia" w:eastAsiaTheme="minorEastAsia"/>
          <w:b/>
          <w:bCs/>
          <w:sz w:val="24"/>
          <w:szCs w:val="24"/>
          <w:lang w:val="zh-CN"/>
        </w:rPr>
        <w:t>2.10 延迟交货</w:t>
      </w:r>
      <w:bookmarkEnd w:id="145"/>
      <w:bookmarkEnd w:id="146"/>
      <w:bookmarkEnd w:id="147"/>
      <w:bookmarkEnd w:id="148"/>
    </w:p>
    <w:p>
      <w:pPr>
        <w:spacing w:line="360" w:lineRule="auto"/>
        <w:ind w:firstLine="435"/>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在合同履行过程中，如果乙方遇到不能按时交付货物的情况，应及时以书面形式将不能按时</w:t>
      </w:r>
      <w:r>
        <w:rPr>
          <w:rFonts w:hint="eastAsia" w:cs="Times New Roman" w:asciiTheme="minorEastAsia" w:hAnsiTheme="minorEastAsia" w:eastAsiaTheme="minorEastAsia"/>
          <w:sz w:val="24"/>
          <w:szCs w:val="24"/>
        </w:rPr>
        <w:t>交付货物</w:t>
      </w:r>
      <w:r>
        <w:rPr>
          <w:rFonts w:cs="Times New Roman" w:asciiTheme="minorEastAsia" w:hAnsiTheme="minorEastAsia" w:eastAsiaTheme="minorEastAsia"/>
          <w:sz w:val="24"/>
          <w:szCs w:val="24"/>
        </w:rPr>
        <w:t>的理由、预期延误时间通知甲方</w:t>
      </w:r>
      <w:r>
        <w:rPr>
          <w:rFonts w:hint="eastAsia" w:cs="Times New Roman" w:asciiTheme="minorEastAsia" w:hAnsiTheme="minorEastAsia" w:eastAsiaTheme="minorEastAsia"/>
          <w:sz w:val="24"/>
          <w:szCs w:val="24"/>
        </w:rPr>
        <w:t>；甲</w:t>
      </w:r>
      <w:r>
        <w:rPr>
          <w:rFonts w:cs="Times New Roman" w:asciiTheme="minorEastAsia" w:hAnsiTheme="minorEastAsia" w:eastAsiaTheme="minorEastAsia"/>
          <w:sz w:val="24"/>
          <w:szCs w:val="24"/>
        </w:rPr>
        <w:t>方收到乙方通知后，认为其理由正当的，可以书面形式酌情同意乙方可以延长交货的具体时间。</w:t>
      </w:r>
    </w:p>
    <w:p>
      <w:pPr>
        <w:spacing w:line="360" w:lineRule="auto"/>
        <w:ind w:firstLine="437"/>
        <w:outlineLvl w:val="3"/>
        <w:rPr>
          <w:rFonts w:cs="Times New Roman" w:asciiTheme="minorEastAsia" w:hAnsiTheme="minorEastAsia" w:eastAsiaTheme="minorEastAsia"/>
          <w:b/>
          <w:bCs/>
          <w:sz w:val="24"/>
          <w:szCs w:val="24"/>
          <w:lang w:val="zh-CN"/>
        </w:rPr>
      </w:pPr>
      <w:bookmarkStart w:id="149" w:name="_Toc7502"/>
      <w:bookmarkStart w:id="150" w:name="_Ref467378121"/>
      <w:bookmarkStart w:id="151" w:name="_Toc279701254"/>
      <w:bookmarkStart w:id="152" w:name="_Toc487900364"/>
      <w:bookmarkStart w:id="153" w:name="_Toc259093683"/>
      <w:r>
        <w:rPr>
          <w:rFonts w:cs="Times New Roman" w:asciiTheme="minorEastAsia" w:hAnsiTheme="minorEastAsia" w:eastAsiaTheme="minorEastAsia"/>
          <w:b/>
          <w:bCs/>
          <w:sz w:val="24"/>
          <w:szCs w:val="24"/>
          <w:lang w:val="zh-CN"/>
        </w:rPr>
        <w:t>2.11 合同变更</w:t>
      </w:r>
      <w:bookmarkEnd w:id="149"/>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2.11.1双方当事人协商一致，可以签订书面补充合同的形式变更合同，但不得违背采购文件确定的事项；</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2.11.2合同继续履行将损害国家利益和社会公共利益的，双方当事人应当以书面形式变更合同。有过错的一方应当承担赔偿责任，双方当事人都有过错的，各自承担相应的责任。</w:t>
      </w:r>
      <w:bookmarkStart w:id="154" w:name="_Toc487900369"/>
      <w:bookmarkStart w:id="155" w:name="_Toc279701259"/>
      <w:bookmarkStart w:id="156" w:name="_Toc259093688"/>
    </w:p>
    <w:p>
      <w:pPr>
        <w:spacing w:line="360" w:lineRule="auto"/>
        <w:ind w:firstLine="437"/>
        <w:outlineLvl w:val="3"/>
        <w:rPr>
          <w:rFonts w:cs="Times New Roman" w:asciiTheme="minorEastAsia" w:hAnsiTheme="minorEastAsia" w:eastAsiaTheme="minorEastAsia"/>
          <w:b/>
          <w:bCs/>
          <w:sz w:val="24"/>
          <w:szCs w:val="24"/>
          <w:lang w:val="zh-CN"/>
        </w:rPr>
      </w:pPr>
      <w:bookmarkStart w:id="157" w:name="_Toc10366"/>
      <w:bookmarkStart w:id="158" w:name="_Toc22955"/>
      <w:bookmarkStart w:id="159" w:name="_Toc15237"/>
      <w:r>
        <w:rPr>
          <w:rFonts w:hint="eastAsia" w:cs="Times New Roman" w:asciiTheme="minorEastAsia" w:hAnsiTheme="minorEastAsia" w:eastAsiaTheme="minorEastAsia"/>
          <w:b/>
          <w:bCs/>
          <w:sz w:val="24"/>
          <w:szCs w:val="24"/>
          <w:lang w:val="zh-CN"/>
        </w:rPr>
        <w:t xml:space="preserve">2.12 </w:t>
      </w:r>
      <w:r>
        <w:rPr>
          <w:rFonts w:cs="Times New Roman" w:asciiTheme="minorEastAsia" w:hAnsiTheme="minorEastAsia" w:eastAsiaTheme="minorEastAsia"/>
          <w:b/>
          <w:bCs/>
          <w:sz w:val="24"/>
          <w:szCs w:val="24"/>
          <w:lang w:val="zh-CN"/>
        </w:rPr>
        <w:t>合同转让</w:t>
      </w:r>
      <w:bookmarkEnd w:id="154"/>
      <w:bookmarkEnd w:id="155"/>
      <w:bookmarkEnd w:id="156"/>
      <w:r>
        <w:rPr>
          <w:rFonts w:cs="Times New Roman" w:asciiTheme="minorEastAsia" w:hAnsiTheme="minorEastAsia" w:eastAsiaTheme="minorEastAsia"/>
          <w:b/>
          <w:bCs/>
          <w:sz w:val="24"/>
          <w:szCs w:val="24"/>
          <w:lang w:val="zh-CN"/>
        </w:rPr>
        <w:t>和分包</w:t>
      </w:r>
      <w:bookmarkEnd w:id="157"/>
      <w:bookmarkEnd w:id="158"/>
      <w:bookmarkEnd w:id="159"/>
    </w:p>
    <w:p>
      <w:pPr>
        <w:spacing w:line="360" w:lineRule="auto"/>
        <w:ind w:firstLine="435"/>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合同的权利义务依法不</w:t>
      </w:r>
      <w:r>
        <w:rPr>
          <w:rFonts w:hint="eastAsia" w:cs="Times New Roman" w:asciiTheme="minorEastAsia" w:hAnsiTheme="minorEastAsia" w:eastAsiaTheme="minorEastAsia"/>
          <w:sz w:val="24"/>
          <w:szCs w:val="24"/>
        </w:rPr>
        <w:t>得</w:t>
      </w:r>
      <w:r>
        <w:rPr>
          <w:rFonts w:cs="Times New Roman" w:asciiTheme="minorEastAsia" w:hAnsiTheme="minorEastAsia" w:eastAsiaTheme="minorEastAsia"/>
          <w:sz w:val="24"/>
          <w:szCs w:val="24"/>
        </w:rPr>
        <w:t>转让</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但经甲方</w:t>
      </w:r>
      <w:r>
        <w:rPr>
          <w:rFonts w:hint="eastAsia" w:cs="Times New Roman" w:asciiTheme="minorEastAsia" w:hAnsiTheme="minorEastAsia" w:eastAsiaTheme="minorEastAsia"/>
          <w:sz w:val="24"/>
          <w:szCs w:val="24"/>
        </w:rPr>
        <w:t>同意，乙方可以依法采取分包方式履行合同，即：依法可以</w:t>
      </w:r>
      <w:r>
        <w:rPr>
          <w:rFonts w:cs="Times New Roman" w:asciiTheme="minorEastAsia" w:hAnsiTheme="minorEastAsia" w:eastAsiaTheme="minorEastAsia"/>
          <w:sz w:val="24"/>
          <w:szCs w:val="24"/>
        </w:rPr>
        <w:t>将合同项下的部分非主体、非关键性工作分包给他人完成</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接受分包的人应当具备相应的资格条件，并不得再次分包</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且乙方应就分包项目向甲方负责</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并</w:t>
      </w:r>
      <w:r>
        <w:rPr>
          <w:rFonts w:hint="eastAsia" w:cs="Times New Roman" w:asciiTheme="minorEastAsia" w:hAnsiTheme="minorEastAsia" w:eastAsiaTheme="minorEastAsia"/>
          <w:sz w:val="24"/>
          <w:szCs w:val="24"/>
        </w:rPr>
        <w:t>与分包供应商就分包项目向甲方承担连带责任。</w:t>
      </w:r>
    </w:p>
    <w:p>
      <w:pPr>
        <w:spacing w:line="360" w:lineRule="auto"/>
        <w:ind w:firstLine="437"/>
        <w:outlineLvl w:val="3"/>
        <w:rPr>
          <w:rFonts w:cs="Times New Roman" w:asciiTheme="minorEastAsia" w:hAnsiTheme="minorEastAsia" w:eastAsiaTheme="minorEastAsia"/>
          <w:b/>
          <w:bCs/>
          <w:sz w:val="24"/>
          <w:szCs w:val="24"/>
          <w:lang w:val="zh-CN"/>
        </w:rPr>
      </w:pPr>
      <w:bookmarkStart w:id="160" w:name="_Toc13566"/>
      <w:bookmarkStart w:id="161" w:name="_Toc16508"/>
      <w:bookmarkStart w:id="162" w:name="_Toc14066"/>
      <w:r>
        <w:rPr>
          <w:rFonts w:hint="eastAsia" w:cs="Times New Roman" w:asciiTheme="minorEastAsia" w:hAnsiTheme="minorEastAsia" w:eastAsiaTheme="minorEastAsia"/>
          <w:b/>
          <w:bCs/>
          <w:sz w:val="24"/>
          <w:szCs w:val="24"/>
          <w:lang w:val="zh-CN"/>
        </w:rPr>
        <w:t>2.13</w:t>
      </w:r>
      <w:r>
        <w:rPr>
          <w:rFonts w:cs="Times New Roman" w:asciiTheme="minorEastAsia" w:hAnsiTheme="minorEastAsia" w:eastAsiaTheme="minorEastAsia"/>
          <w:b/>
          <w:bCs/>
          <w:sz w:val="24"/>
          <w:szCs w:val="24"/>
          <w:lang w:val="zh-CN"/>
        </w:rPr>
        <w:t xml:space="preserve"> 不可抗力</w:t>
      </w:r>
      <w:bookmarkEnd w:id="160"/>
      <w:bookmarkEnd w:id="161"/>
      <w:bookmarkEnd w:id="162"/>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2.13</w:t>
      </w:r>
      <w:r>
        <w:rPr>
          <w:rFonts w:cs="Times New Roman" w:asciiTheme="minorEastAsia" w:hAnsiTheme="minorEastAsia" w:eastAsiaTheme="minorEastAsia"/>
          <w:sz w:val="24"/>
          <w:szCs w:val="24"/>
        </w:rPr>
        <w:t>.1如果任何一方遭遇法律规定的不可抗力，致使合同履行受阻时，履行合同的期限应予延长，延长的期限应相当于不可抗力所影响的时间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sz w:val="24"/>
          <w:szCs w:val="24"/>
        </w:rPr>
        <w:t>；</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2.13.2因不可抗力致使不能实现合同目的的，当事人可以解除合同；</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2.13.3因</w:t>
      </w:r>
      <w:r>
        <w:rPr>
          <w:rFonts w:cs="Times New Roman" w:asciiTheme="minorEastAsia" w:hAnsiTheme="minorEastAsia" w:eastAsiaTheme="minorEastAsia"/>
          <w:sz w:val="24"/>
          <w:szCs w:val="24"/>
        </w:rPr>
        <w:t>不可抗力致使合同有变更必要的，双方当事人应在</w:t>
      </w:r>
      <w:r>
        <w:rPr>
          <w:rFonts w:cs="Times New Roman" w:asciiTheme="minorEastAsia" w:hAnsiTheme="minorEastAsia" w:eastAsiaTheme="minorEastAsia"/>
          <w:b/>
          <w:i/>
          <w:sz w:val="24"/>
          <w:szCs w:val="24"/>
          <w:u w:val="single"/>
        </w:rPr>
        <w:t>合同专用条款</w:t>
      </w:r>
      <w:r>
        <w:rPr>
          <w:rFonts w:cs="Times New Roman" w:asciiTheme="minorEastAsia" w:hAnsiTheme="minorEastAsia" w:eastAsiaTheme="minorEastAsia"/>
          <w:sz w:val="24"/>
          <w:szCs w:val="24"/>
        </w:rPr>
        <w:t>约定时间内以书面形式变更合同</w:t>
      </w:r>
      <w:r>
        <w:rPr>
          <w:rFonts w:hint="eastAsia" w:cs="Times New Roman" w:asciiTheme="minorEastAsia" w:hAnsiTheme="minorEastAsia" w:eastAsiaTheme="minorEastAsia"/>
          <w:sz w:val="24"/>
          <w:szCs w:val="24"/>
        </w:rPr>
        <w:t>；</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2.13</w:t>
      </w:r>
      <w:r>
        <w:rPr>
          <w:rFonts w:cs="Times New Roman" w:asciiTheme="minorEastAsia" w:hAnsiTheme="minorEastAsia" w:eastAsiaTheme="minorEastAsia"/>
          <w:sz w:val="24"/>
          <w:szCs w:val="24"/>
        </w:rPr>
        <w:t>.</w:t>
      </w:r>
      <w:r>
        <w:rPr>
          <w:rFonts w:hint="eastAsia" w:cs="Times New Roman" w:asciiTheme="minorEastAsia" w:hAnsiTheme="minorEastAsia" w:eastAsiaTheme="minorEastAsia"/>
          <w:sz w:val="24"/>
          <w:szCs w:val="24"/>
        </w:rPr>
        <w:t>4</w:t>
      </w:r>
      <w:r>
        <w:rPr>
          <w:rFonts w:cs="Times New Roman" w:asciiTheme="minorEastAsia" w:hAnsiTheme="minorEastAsia" w:eastAsiaTheme="minorEastAsia"/>
          <w:sz w:val="24"/>
          <w:szCs w:val="24"/>
        </w:rPr>
        <w:t>受</w:t>
      </w:r>
      <w:r>
        <w:rPr>
          <w:rFonts w:hint="eastAsia" w:cs="Times New Roman" w:asciiTheme="minorEastAsia" w:hAnsiTheme="minorEastAsia" w:eastAsiaTheme="minorEastAsia"/>
          <w:sz w:val="24"/>
          <w:szCs w:val="24"/>
        </w:rPr>
        <w:t>不可抗力</w:t>
      </w:r>
      <w:r>
        <w:rPr>
          <w:rFonts w:cs="Times New Roman" w:asciiTheme="minorEastAsia" w:hAnsiTheme="minorEastAsia" w:eastAsiaTheme="minorEastAsia"/>
          <w:sz w:val="24"/>
          <w:szCs w:val="24"/>
        </w:rPr>
        <w:t>影响的一方在不可抗力发生后</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应在</w:t>
      </w:r>
      <w:r>
        <w:rPr>
          <w:rFonts w:cs="Times New Roman" w:asciiTheme="minorEastAsia" w:hAnsiTheme="minorEastAsia" w:eastAsiaTheme="minorEastAsia"/>
          <w:b/>
          <w:i/>
          <w:sz w:val="24"/>
          <w:szCs w:val="24"/>
          <w:u w:val="single"/>
        </w:rPr>
        <w:t>合同专用条款</w:t>
      </w:r>
      <w:r>
        <w:rPr>
          <w:rFonts w:cs="Times New Roman" w:asciiTheme="minorEastAsia" w:hAnsiTheme="minorEastAsia" w:eastAsiaTheme="minorEastAsia"/>
          <w:sz w:val="24"/>
          <w:szCs w:val="24"/>
        </w:rPr>
        <w:t>约定时间内以书面形式通知</w:t>
      </w:r>
      <w:r>
        <w:rPr>
          <w:rFonts w:hint="eastAsia" w:cs="Times New Roman" w:asciiTheme="minorEastAsia" w:hAnsiTheme="minorEastAsia" w:eastAsiaTheme="minorEastAsia"/>
          <w:sz w:val="24"/>
          <w:szCs w:val="24"/>
        </w:rPr>
        <w:t>对</w:t>
      </w:r>
      <w:r>
        <w:rPr>
          <w:rFonts w:cs="Times New Roman" w:asciiTheme="minorEastAsia" w:hAnsiTheme="minorEastAsia" w:eastAsiaTheme="minorEastAsia"/>
          <w:sz w:val="24"/>
          <w:szCs w:val="24"/>
        </w:rPr>
        <w:t>方当事人，并在</w:t>
      </w:r>
      <w:r>
        <w:rPr>
          <w:rFonts w:cs="Times New Roman" w:asciiTheme="minorEastAsia" w:hAnsiTheme="minorEastAsia" w:eastAsiaTheme="minorEastAsia"/>
          <w:b/>
          <w:i/>
          <w:sz w:val="24"/>
          <w:szCs w:val="24"/>
          <w:u w:val="single"/>
        </w:rPr>
        <w:t>合同专用条款</w:t>
      </w:r>
      <w:r>
        <w:rPr>
          <w:rFonts w:cs="Times New Roman" w:asciiTheme="minorEastAsia" w:hAnsiTheme="minorEastAsia" w:eastAsiaTheme="minorEastAsia"/>
          <w:sz w:val="24"/>
          <w:szCs w:val="24"/>
        </w:rPr>
        <w:t>约定时间内，将有关部门出具的证明文件送达</w:t>
      </w:r>
      <w:r>
        <w:rPr>
          <w:rFonts w:hint="eastAsia" w:cs="Times New Roman" w:asciiTheme="minorEastAsia" w:hAnsiTheme="minorEastAsia" w:eastAsiaTheme="minorEastAsia"/>
          <w:sz w:val="24"/>
          <w:szCs w:val="24"/>
        </w:rPr>
        <w:t>对方当事人</w:t>
      </w:r>
      <w:r>
        <w:rPr>
          <w:rFonts w:cs="Times New Roman" w:asciiTheme="minorEastAsia" w:hAnsiTheme="minorEastAsia" w:eastAsiaTheme="minorEastAsia"/>
          <w:sz w:val="24"/>
          <w:szCs w:val="24"/>
        </w:rPr>
        <w:t>。</w:t>
      </w:r>
    </w:p>
    <w:p>
      <w:pPr>
        <w:spacing w:line="360" w:lineRule="auto"/>
        <w:ind w:firstLine="437"/>
        <w:outlineLvl w:val="3"/>
        <w:rPr>
          <w:rFonts w:cs="Times New Roman" w:asciiTheme="minorEastAsia" w:hAnsiTheme="minorEastAsia" w:eastAsiaTheme="minorEastAsia"/>
          <w:b/>
          <w:bCs/>
          <w:sz w:val="24"/>
          <w:szCs w:val="24"/>
          <w:lang w:val="zh-CN"/>
        </w:rPr>
      </w:pPr>
      <w:bookmarkStart w:id="163" w:name="_Toc30676"/>
      <w:bookmarkStart w:id="164" w:name="_Toc6969"/>
      <w:bookmarkStart w:id="165" w:name="_Toc279701255"/>
      <w:bookmarkStart w:id="166" w:name="_Toc259093684"/>
      <w:bookmarkStart w:id="167" w:name="_Toc487900365"/>
      <w:bookmarkStart w:id="168" w:name="_Toc689"/>
      <w:r>
        <w:rPr>
          <w:rFonts w:hint="eastAsia" w:cs="Times New Roman" w:asciiTheme="minorEastAsia" w:hAnsiTheme="minorEastAsia" w:eastAsiaTheme="minorEastAsia"/>
          <w:b/>
          <w:bCs/>
          <w:sz w:val="24"/>
          <w:szCs w:val="24"/>
          <w:lang w:val="zh-CN"/>
        </w:rPr>
        <w:t>2.</w:t>
      </w:r>
      <w:r>
        <w:rPr>
          <w:rFonts w:cs="Times New Roman" w:asciiTheme="minorEastAsia" w:hAnsiTheme="minorEastAsia" w:eastAsiaTheme="minorEastAsia"/>
          <w:b/>
          <w:bCs/>
          <w:sz w:val="24"/>
          <w:szCs w:val="24"/>
          <w:lang w:val="zh-CN"/>
        </w:rPr>
        <w:t>1</w:t>
      </w:r>
      <w:r>
        <w:rPr>
          <w:rFonts w:hint="eastAsia" w:cs="Times New Roman" w:asciiTheme="minorEastAsia" w:hAnsiTheme="minorEastAsia" w:eastAsiaTheme="minorEastAsia"/>
          <w:b/>
          <w:bCs/>
          <w:sz w:val="24"/>
          <w:szCs w:val="24"/>
          <w:lang w:val="zh-CN"/>
        </w:rPr>
        <w:t xml:space="preserve">4 </w:t>
      </w:r>
      <w:r>
        <w:rPr>
          <w:rFonts w:cs="Times New Roman" w:asciiTheme="minorEastAsia" w:hAnsiTheme="minorEastAsia" w:eastAsiaTheme="minorEastAsia"/>
          <w:b/>
          <w:bCs/>
          <w:sz w:val="24"/>
          <w:szCs w:val="24"/>
          <w:lang w:val="zh-CN"/>
        </w:rPr>
        <w:t>税费</w:t>
      </w:r>
      <w:bookmarkEnd w:id="163"/>
      <w:bookmarkEnd w:id="164"/>
      <w:bookmarkEnd w:id="165"/>
      <w:bookmarkEnd w:id="166"/>
      <w:bookmarkEnd w:id="167"/>
      <w:bookmarkEnd w:id="168"/>
    </w:p>
    <w:p>
      <w:pPr>
        <w:spacing w:line="360" w:lineRule="auto"/>
        <w:ind w:firstLine="435"/>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与合同有关的一切税费</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均按照中华人民共和国法律的相关规定</w:t>
      </w:r>
      <w:r>
        <w:rPr>
          <w:rFonts w:hint="eastAsia" w:cs="Times New Roman" w:asciiTheme="minorEastAsia" w:hAnsiTheme="minorEastAsia" w:eastAsiaTheme="minorEastAsia"/>
          <w:sz w:val="24"/>
          <w:szCs w:val="24"/>
        </w:rPr>
        <w:t>缴纳</w:t>
      </w:r>
      <w:r>
        <w:rPr>
          <w:rFonts w:cs="Times New Roman" w:asciiTheme="minorEastAsia" w:hAnsiTheme="minorEastAsia" w:eastAsiaTheme="minorEastAsia"/>
          <w:sz w:val="24"/>
          <w:szCs w:val="24"/>
        </w:rPr>
        <w:t>。</w:t>
      </w:r>
    </w:p>
    <w:p>
      <w:pPr>
        <w:spacing w:line="360" w:lineRule="auto"/>
        <w:ind w:firstLine="437"/>
        <w:outlineLvl w:val="3"/>
        <w:rPr>
          <w:rFonts w:cs="Times New Roman" w:asciiTheme="minorEastAsia" w:hAnsiTheme="minorEastAsia" w:eastAsiaTheme="minorEastAsia"/>
          <w:b/>
          <w:bCs/>
          <w:sz w:val="24"/>
          <w:szCs w:val="24"/>
          <w:lang w:val="zh-CN"/>
        </w:rPr>
      </w:pPr>
      <w:bookmarkStart w:id="169" w:name="_Toc487900368"/>
      <w:bookmarkStart w:id="170" w:name="_Toc259093687"/>
      <w:bookmarkStart w:id="171" w:name="_Toc8298"/>
      <w:bookmarkStart w:id="172" w:name="_Toc279701258"/>
      <w:bookmarkStart w:id="173" w:name="_Toc7102"/>
      <w:bookmarkStart w:id="174" w:name="_Toc16959"/>
      <w:r>
        <w:rPr>
          <w:rFonts w:hint="eastAsia" w:cs="Times New Roman" w:asciiTheme="minorEastAsia" w:hAnsiTheme="minorEastAsia" w:eastAsiaTheme="minorEastAsia"/>
          <w:b/>
          <w:bCs/>
          <w:sz w:val="24"/>
          <w:szCs w:val="24"/>
          <w:lang w:val="zh-CN"/>
        </w:rPr>
        <w:t>2.</w:t>
      </w:r>
      <w:r>
        <w:rPr>
          <w:rFonts w:cs="Times New Roman" w:asciiTheme="minorEastAsia" w:hAnsiTheme="minorEastAsia" w:eastAsiaTheme="minorEastAsia"/>
          <w:b/>
          <w:bCs/>
          <w:sz w:val="24"/>
          <w:szCs w:val="24"/>
          <w:lang w:val="zh-CN"/>
        </w:rPr>
        <w:t>1</w:t>
      </w:r>
      <w:r>
        <w:rPr>
          <w:rFonts w:hint="eastAsia" w:cs="Times New Roman" w:asciiTheme="minorEastAsia" w:hAnsiTheme="minorEastAsia" w:eastAsiaTheme="minorEastAsia"/>
          <w:b/>
          <w:bCs/>
          <w:sz w:val="24"/>
          <w:szCs w:val="24"/>
          <w:lang w:val="zh-CN"/>
        </w:rPr>
        <w:t xml:space="preserve">5 </w:t>
      </w:r>
      <w:r>
        <w:rPr>
          <w:rFonts w:cs="Times New Roman" w:asciiTheme="minorEastAsia" w:hAnsiTheme="minorEastAsia" w:eastAsiaTheme="minorEastAsia"/>
          <w:b/>
          <w:bCs/>
          <w:sz w:val="24"/>
          <w:szCs w:val="24"/>
          <w:lang w:val="zh-CN"/>
        </w:rPr>
        <w:t>乙方破产</w:t>
      </w:r>
      <w:bookmarkEnd w:id="169"/>
      <w:bookmarkEnd w:id="170"/>
      <w:bookmarkEnd w:id="171"/>
      <w:bookmarkEnd w:id="172"/>
      <w:bookmarkEnd w:id="173"/>
      <w:bookmarkEnd w:id="174"/>
    </w:p>
    <w:p>
      <w:pPr>
        <w:spacing w:line="360" w:lineRule="auto"/>
        <w:ind w:firstLine="435"/>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如果乙方破产导致合同无法履行时，甲方可以书面形式通知乙方终止合同且不给予乙方任何补偿和赔偿</w:t>
      </w:r>
      <w:r>
        <w:rPr>
          <w:rFonts w:hint="eastAsia" w:cs="Times New Roman" w:asciiTheme="minorEastAsia" w:hAnsiTheme="minorEastAsia" w:eastAsiaTheme="minorEastAsia"/>
          <w:sz w:val="24"/>
          <w:szCs w:val="24"/>
        </w:rPr>
        <w:t>，但合同的</w:t>
      </w:r>
      <w:r>
        <w:rPr>
          <w:rFonts w:cs="Times New Roman" w:asciiTheme="minorEastAsia" w:hAnsiTheme="minorEastAsia" w:eastAsiaTheme="minorEastAsia"/>
          <w:sz w:val="24"/>
          <w:szCs w:val="24"/>
        </w:rPr>
        <w:t>终止不损害或不影响甲方已经采取或将要采取的任何要求乙方支付违约金</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赔偿损失等的行动或补救措施的权利</w:t>
      </w:r>
      <w:r>
        <w:rPr>
          <w:rFonts w:hint="eastAsia" w:cs="Times New Roman" w:asciiTheme="minorEastAsia" w:hAnsiTheme="minorEastAsia" w:eastAsiaTheme="minorEastAsia"/>
          <w:sz w:val="24"/>
          <w:szCs w:val="24"/>
        </w:rPr>
        <w:t>。</w:t>
      </w:r>
    </w:p>
    <w:p>
      <w:pPr>
        <w:spacing w:line="360" w:lineRule="auto"/>
        <w:ind w:firstLine="437"/>
        <w:outlineLvl w:val="3"/>
        <w:rPr>
          <w:rFonts w:cs="Times New Roman" w:asciiTheme="minorEastAsia" w:hAnsiTheme="minorEastAsia" w:eastAsiaTheme="minorEastAsia"/>
          <w:b/>
          <w:sz w:val="24"/>
          <w:szCs w:val="24"/>
        </w:rPr>
      </w:pPr>
      <w:bookmarkStart w:id="175" w:name="_Toc15387"/>
      <w:bookmarkStart w:id="176" w:name="_Toc6134"/>
      <w:bookmarkStart w:id="177" w:name="_Toc29333"/>
      <w:r>
        <w:rPr>
          <w:rFonts w:hint="eastAsia" w:cs="Times New Roman" w:asciiTheme="minorEastAsia" w:hAnsiTheme="minorEastAsia" w:eastAsiaTheme="minorEastAsia"/>
          <w:b/>
          <w:bCs/>
          <w:sz w:val="24"/>
          <w:szCs w:val="24"/>
          <w:lang w:val="zh-CN"/>
        </w:rPr>
        <w:t>2.16 合同中止、终止</w:t>
      </w:r>
      <w:bookmarkEnd w:id="175"/>
      <w:bookmarkEnd w:id="176"/>
      <w:bookmarkEnd w:id="177"/>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2.16.1双方当事人不得擅自中止或者终止合同；</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2.16.2合同继续履行将损害国家利益和社会公共利益的，双方当事人应当中止或者终止合同。有过错的一方应当承担赔偿责任，双方当事人都有过错的，各自承担相应的责任。</w:t>
      </w:r>
    </w:p>
    <w:p>
      <w:pPr>
        <w:spacing w:line="360" w:lineRule="auto"/>
        <w:ind w:firstLine="437"/>
        <w:outlineLvl w:val="3"/>
        <w:rPr>
          <w:rFonts w:cs="Times New Roman" w:asciiTheme="minorEastAsia" w:hAnsiTheme="minorEastAsia" w:eastAsiaTheme="minorEastAsia"/>
          <w:b/>
          <w:bCs/>
          <w:sz w:val="24"/>
          <w:szCs w:val="24"/>
          <w:lang w:val="zh-CN"/>
        </w:rPr>
      </w:pPr>
      <w:bookmarkStart w:id="178" w:name="_Toc14563"/>
      <w:bookmarkStart w:id="179" w:name="_Toc1125"/>
      <w:bookmarkStart w:id="180" w:name="_Toc6596"/>
      <w:r>
        <w:rPr>
          <w:rFonts w:hint="eastAsia" w:cs="Times New Roman" w:asciiTheme="minorEastAsia" w:hAnsiTheme="minorEastAsia" w:eastAsiaTheme="minorEastAsia"/>
          <w:b/>
          <w:bCs/>
          <w:sz w:val="24"/>
          <w:szCs w:val="24"/>
          <w:lang w:val="zh-CN"/>
        </w:rPr>
        <w:t>2.17 检验和验收</w:t>
      </w:r>
      <w:bookmarkEnd w:id="178"/>
      <w:bookmarkEnd w:id="179"/>
      <w:bookmarkEnd w:id="180"/>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w:t>
      </w:r>
      <w:r>
        <w:rPr>
          <w:rFonts w:cs="Times New Roman" w:asciiTheme="minorEastAsia" w:hAnsiTheme="minorEastAsia" w:eastAsiaTheme="minorEastAsia"/>
          <w:sz w:val="24"/>
          <w:szCs w:val="24"/>
        </w:rPr>
        <w:t>1</w:t>
      </w:r>
      <w:r>
        <w:rPr>
          <w:rFonts w:hint="eastAsia" w:cs="Times New Roman" w:asciiTheme="minorEastAsia" w:hAnsiTheme="minorEastAsia" w:eastAsiaTheme="minorEastAsia"/>
          <w:sz w:val="24"/>
          <w:szCs w:val="24"/>
        </w:rPr>
        <w:t>7</w:t>
      </w:r>
      <w:r>
        <w:rPr>
          <w:rFonts w:cs="Times New Roman" w:asciiTheme="minorEastAsia" w:hAnsiTheme="minorEastAsia" w:eastAsiaTheme="minorEastAsia"/>
          <w:sz w:val="24"/>
          <w:szCs w:val="24"/>
        </w:rPr>
        <w:t>.</w:t>
      </w:r>
      <w:r>
        <w:rPr>
          <w:rFonts w:hint="eastAsia" w:cs="Times New Roman" w:asciiTheme="minorEastAsia" w:hAnsiTheme="minorEastAsia" w:eastAsiaTheme="minorEastAsia"/>
          <w:sz w:val="24"/>
          <w:szCs w:val="24"/>
        </w:rPr>
        <w:t>1货物交付前，乙方应对货物的质量、数量等方面进行详细、全面的检验，并向甲方出具证明货物符合合同约定的文件；货物交付时，乙方在</w:t>
      </w:r>
      <w:r>
        <w:rPr>
          <w:rFonts w:hint="eastAsia" w:cs="Times New Roman" w:asciiTheme="minorEastAsia" w:hAnsiTheme="minorEastAsia" w:eastAsiaTheme="minorEastAsia"/>
          <w:b/>
          <w:i/>
          <w:sz w:val="24"/>
          <w:szCs w:val="24"/>
          <w:u w:val="single"/>
        </w:rPr>
        <w:t>合同专用条款</w:t>
      </w:r>
      <w:r>
        <w:rPr>
          <w:rFonts w:hint="eastAsia" w:cs="Times New Roman" w:asciiTheme="minorEastAsia" w:hAnsiTheme="minorEastAsia" w:eastAsiaTheme="minorEastAsia"/>
          <w:sz w:val="24"/>
          <w:szCs w:val="24"/>
        </w:rPr>
        <w:t>约定时间内组织验收，并可依法邀请相关方参加，验收应出具验收书。</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2.17.3检验和验收标准、程序等具体内容以及前述验收书的效力详见</w:t>
      </w:r>
      <w:r>
        <w:rPr>
          <w:rFonts w:cs="Times New Roman" w:asciiTheme="minorEastAsia" w:hAnsiTheme="minorEastAsia" w:eastAsiaTheme="minorEastAsia"/>
          <w:b/>
          <w:i/>
          <w:sz w:val="24"/>
          <w:szCs w:val="24"/>
          <w:u w:val="single"/>
        </w:rPr>
        <w:t>合同专用条款</w:t>
      </w:r>
      <w:r>
        <w:rPr>
          <w:rFonts w:hint="eastAsia" w:cs="Times New Roman" w:asciiTheme="minorEastAsia" w:hAnsiTheme="minorEastAsia" w:eastAsiaTheme="minorEastAsia"/>
          <w:i/>
          <w:sz w:val="24"/>
          <w:szCs w:val="24"/>
        </w:rPr>
        <w:t>。</w:t>
      </w:r>
    </w:p>
    <w:bookmarkEnd w:id="150"/>
    <w:bookmarkEnd w:id="151"/>
    <w:bookmarkEnd w:id="152"/>
    <w:bookmarkEnd w:id="153"/>
    <w:p>
      <w:pPr>
        <w:spacing w:line="360" w:lineRule="auto"/>
        <w:ind w:firstLine="437"/>
        <w:outlineLvl w:val="3"/>
        <w:rPr>
          <w:rFonts w:cs="Times New Roman" w:asciiTheme="minorEastAsia" w:hAnsiTheme="minorEastAsia" w:eastAsiaTheme="minorEastAsia"/>
          <w:b/>
          <w:sz w:val="24"/>
          <w:szCs w:val="24"/>
        </w:rPr>
      </w:pPr>
      <w:bookmarkStart w:id="181" w:name="_Toc259093691"/>
      <w:bookmarkStart w:id="182" w:name="_Toc18540"/>
      <w:bookmarkStart w:id="183" w:name="_Toc4355"/>
      <w:bookmarkStart w:id="184" w:name="_Toc487900372"/>
      <w:bookmarkStart w:id="185" w:name="_Toc279701262"/>
      <w:bookmarkStart w:id="186" w:name="_Toc30599"/>
      <w:r>
        <w:rPr>
          <w:rFonts w:hint="eastAsia" w:cs="Times New Roman" w:asciiTheme="minorEastAsia" w:hAnsiTheme="minorEastAsia" w:eastAsiaTheme="minorEastAsia"/>
          <w:b/>
          <w:bCs/>
          <w:sz w:val="24"/>
          <w:szCs w:val="24"/>
          <w:lang w:val="zh-CN"/>
        </w:rPr>
        <w:t>2.1</w:t>
      </w:r>
      <w:r>
        <w:rPr>
          <w:rFonts w:cs="Times New Roman" w:asciiTheme="minorEastAsia" w:hAnsiTheme="minorEastAsia" w:eastAsiaTheme="minorEastAsia"/>
          <w:b/>
          <w:bCs/>
          <w:sz w:val="24"/>
          <w:szCs w:val="24"/>
          <w:lang w:val="zh-CN"/>
        </w:rPr>
        <w:t>8</w:t>
      </w:r>
      <w:r>
        <w:rPr>
          <w:rFonts w:hint="eastAsia" w:cs="Times New Roman" w:asciiTheme="minorEastAsia" w:hAnsiTheme="minorEastAsia" w:eastAsiaTheme="minorEastAsia"/>
          <w:b/>
          <w:bCs/>
          <w:sz w:val="24"/>
          <w:szCs w:val="24"/>
          <w:lang w:val="zh-CN"/>
        </w:rPr>
        <w:t xml:space="preserve"> </w:t>
      </w:r>
      <w:r>
        <w:rPr>
          <w:rFonts w:cs="Times New Roman" w:asciiTheme="minorEastAsia" w:hAnsiTheme="minorEastAsia" w:eastAsiaTheme="minorEastAsia"/>
          <w:b/>
          <w:bCs/>
          <w:sz w:val="24"/>
          <w:szCs w:val="24"/>
          <w:lang w:val="zh-CN"/>
        </w:rPr>
        <w:t>计量单位</w:t>
      </w:r>
      <w:bookmarkEnd w:id="181"/>
      <w:bookmarkEnd w:id="182"/>
      <w:bookmarkEnd w:id="183"/>
      <w:bookmarkEnd w:id="184"/>
      <w:bookmarkEnd w:id="185"/>
      <w:bookmarkEnd w:id="186"/>
    </w:p>
    <w:p>
      <w:pPr>
        <w:spacing w:line="360" w:lineRule="auto"/>
        <w:ind w:firstLine="435"/>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除技术规范中另有规定外,合同的计量单位均使用国家法定计量单位。</w:t>
      </w:r>
    </w:p>
    <w:p>
      <w:pPr>
        <w:spacing w:line="360" w:lineRule="auto"/>
        <w:ind w:firstLine="437"/>
        <w:outlineLvl w:val="3"/>
        <w:rPr>
          <w:rFonts w:cs="Times New Roman" w:asciiTheme="minorEastAsia" w:hAnsiTheme="minorEastAsia" w:eastAsiaTheme="minorEastAsia"/>
          <w:b/>
          <w:bCs/>
          <w:sz w:val="24"/>
          <w:szCs w:val="24"/>
        </w:rPr>
      </w:pPr>
      <w:bookmarkStart w:id="187" w:name="_Toc18567"/>
      <w:bookmarkStart w:id="188" w:name="_Toc10330"/>
      <w:bookmarkStart w:id="189" w:name="_Toc487900373"/>
      <w:bookmarkStart w:id="190" w:name="_Toc12773"/>
      <w:bookmarkStart w:id="191" w:name="_Toc279701263"/>
      <w:bookmarkStart w:id="192" w:name="_Toc259093692"/>
      <w:r>
        <w:rPr>
          <w:rFonts w:hint="eastAsia" w:cs="Times New Roman" w:asciiTheme="minorEastAsia" w:hAnsiTheme="minorEastAsia" w:eastAsiaTheme="minorEastAsia"/>
          <w:b/>
          <w:bCs/>
          <w:sz w:val="24"/>
          <w:szCs w:val="24"/>
        </w:rPr>
        <w:t>2.</w:t>
      </w:r>
      <w:r>
        <w:rPr>
          <w:rFonts w:cs="Times New Roman" w:asciiTheme="minorEastAsia" w:hAnsiTheme="minorEastAsia" w:eastAsiaTheme="minorEastAsia"/>
          <w:b/>
          <w:bCs/>
          <w:sz w:val="24"/>
          <w:szCs w:val="24"/>
        </w:rPr>
        <w:t>19</w:t>
      </w:r>
      <w:r>
        <w:rPr>
          <w:rFonts w:hint="eastAsia" w:cs="Times New Roman" w:asciiTheme="minorEastAsia" w:hAnsiTheme="minorEastAsia" w:eastAsiaTheme="minorEastAsia"/>
          <w:b/>
          <w:bCs/>
          <w:sz w:val="24"/>
          <w:szCs w:val="24"/>
        </w:rPr>
        <w:t xml:space="preserve"> </w:t>
      </w:r>
      <w:r>
        <w:rPr>
          <w:rFonts w:hint="eastAsia" w:cs="Times New Roman" w:asciiTheme="minorEastAsia" w:hAnsiTheme="minorEastAsia" w:eastAsiaTheme="minorEastAsia"/>
          <w:b/>
          <w:bCs/>
          <w:sz w:val="24"/>
          <w:szCs w:val="24"/>
          <w:lang w:val="zh-CN"/>
        </w:rPr>
        <w:t>合同使用的文字和</w:t>
      </w:r>
      <w:r>
        <w:rPr>
          <w:rFonts w:cs="Times New Roman" w:asciiTheme="minorEastAsia" w:hAnsiTheme="minorEastAsia" w:eastAsiaTheme="minorEastAsia"/>
          <w:b/>
          <w:bCs/>
          <w:sz w:val="24"/>
          <w:szCs w:val="24"/>
          <w:lang w:val="zh-CN"/>
        </w:rPr>
        <w:t>适用的法律</w:t>
      </w:r>
      <w:bookmarkEnd w:id="187"/>
      <w:bookmarkEnd w:id="188"/>
      <w:bookmarkEnd w:id="189"/>
      <w:bookmarkEnd w:id="190"/>
      <w:bookmarkEnd w:id="191"/>
      <w:bookmarkEnd w:id="192"/>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w:t>
      </w:r>
      <w:r>
        <w:rPr>
          <w:rFonts w:cs="Times New Roman" w:asciiTheme="minorEastAsia" w:hAnsiTheme="minorEastAsia" w:eastAsiaTheme="minorEastAsia"/>
          <w:sz w:val="24"/>
          <w:szCs w:val="24"/>
        </w:rPr>
        <w:t>19.1合同使用汉语书就</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变更和解释</w:t>
      </w:r>
      <w:r>
        <w:rPr>
          <w:rFonts w:hint="eastAsia" w:cs="Times New Roman" w:asciiTheme="minorEastAsia" w:hAnsiTheme="minorEastAsia" w:eastAsiaTheme="minorEastAsia"/>
          <w:sz w:val="24"/>
          <w:szCs w:val="24"/>
        </w:rPr>
        <w:t>；</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w:t>
      </w:r>
      <w:r>
        <w:rPr>
          <w:rFonts w:cs="Times New Roman" w:asciiTheme="minorEastAsia" w:hAnsiTheme="minorEastAsia" w:eastAsiaTheme="minorEastAsia"/>
          <w:sz w:val="24"/>
          <w:szCs w:val="24"/>
        </w:rPr>
        <w:t>19</w:t>
      </w:r>
      <w:r>
        <w:rPr>
          <w:rFonts w:hint="eastAsia" w:cs="Times New Roman" w:asciiTheme="minorEastAsia" w:hAnsiTheme="minorEastAsia" w:eastAsiaTheme="minorEastAsia"/>
          <w:sz w:val="24"/>
          <w:szCs w:val="24"/>
        </w:rPr>
        <w:t>.2合同适用</w:t>
      </w:r>
      <w:r>
        <w:rPr>
          <w:rFonts w:cs="Times New Roman" w:asciiTheme="minorEastAsia" w:hAnsiTheme="minorEastAsia" w:eastAsiaTheme="minorEastAsia"/>
          <w:sz w:val="24"/>
          <w:szCs w:val="24"/>
        </w:rPr>
        <w:t>中华人民共和国法律。</w:t>
      </w:r>
    </w:p>
    <w:p>
      <w:pPr>
        <w:spacing w:line="360" w:lineRule="auto"/>
        <w:ind w:firstLine="437"/>
        <w:outlineLvl w:val="3"/>
        <w:rPr>
          <w:rFonts w:cs="Times New Roman" w:asciiTheme="minorEastAsia" w:hAnsiTheme="minorEastAsia" w:eastAsiaTheme="minorEastAsia"/>
          <w:b/>
          <w:sz w:val="24"/>
          <w:szCs w:val="24"/>
        </w:rPr>
      </w:pPr>
      <w:bookmarkStart w:id="193" w:name="_Toc259093693"/>
      <w:bookmarkStart w:id="194" w:name="_Toc16673"/>
      <w:bookmarkStart w:id="195" w:name="_Toc12004"/>
      <w:bookmarkStart w:id="196" w:name="_Toc279701264"/>
      <w:bookmarkStart w:id="197" w:name="_Toc3148"/>
      <w:bookmarkStart w:id="198" w:name="_Toc487900374"/>
      <w:r>
        <w:rPr>
          <w:rFonts w:hint="eastAsia" w:cs="Times New Roman" w:asciiTheme="minorEastAsia" w:hAnsiTheme="minorEastAsia" w:eastAsiaTheme="minorEastAsia"/>
          <w:b/>
          <w:bCs/>
          <w:sz w:val="24"/>
          <w:szCs w:val="24"/>
          <w:lang w:val="zh-CN"/>
        </w:rPr>
        <w:t>2.2</w:t>
      </w:r>
      <w:r>
        <w:rPr>
          <w:rFonts w:cs="Times New Roman" w:asciiTheme="minorEastAsia" w:hAnsiTheme="minorEastAsia" w:eastAsiaTheme="minorEastAsia"/>
          <w:b/>
          <w:bCs/>
          <w:sz w:val="24"/>
          <w:szCs w:val="24"/>
          <w:lang w:val="zh-CN"/>
        </w:rPr>
        <w:t>0</w:t>
      </w:r>
      <w:r>
        <w:rPr>
          <w:rFonts w:hint="eastAsia" w:cs="Times New Roman" w:asciiTheme="minorEastAsia" w:hAnsiTheme="minorEastAsia" w:eastAsiaTheme="minorEastAsia"/>
          <w:b/>
          <w:bCs/>
          <w:sz w:val="24"/>
          <w:szCs w:val="24"/>
          <w:lang w:val="zh-CN"/>
        </w:rPr>
        <w:t xml:space="preserve"> </w:t>
      </w:r>
      <w:r>
        <w:rPr>
          <w:rFonts w:cs="Times New Roman" w:asciiTheme="minorEastAsia" w:hAnsiTheme="minorEastAsia" w:eastAsiaTheme="minorEastAsia"/>
          <w:b/>
          <w:bCs/>
          <w:sz w:val="24"/>
          <w:szCs w:val="24"/>
          <w:lang w:val="zh-CN"/>
        </w:rPr>
        <w:t>履约保证金</w:t>
      </w:r>
      <w:bookmarkEnd w:id="193"/>
      <w:bookmarkEnd w:id="194"/>
      <w:bookmarkEnd w:id="195"/>
      <w:bookmarkEnd w:id="196"/>
      <w:bookmarkEnd w:id="197"/>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2.2</w:t>
      </w:r>
      <w:r>
        <w:rPr>
          <w:rFonts w:cs="Times New Roman" w:asciiTheme="minorEastAsia" w:hAnsiTheme="minorEastAsia" w:eastAsiaTheme="minorEastAsia"/>
          <w:sz w:val="24"/>
          <w:szCs w:val="24"/>
        </w:rPr>
        <w:t>0</w:t>
      </w:r>
      <w:r>
        <w:rPr>
          <w:rFonts w:hint="eastAsia" w:cs="Times New Roman" w:asciiTheme="minorEastAsia" w:hAnsiTheme="minorEastAsia" w:eastAsiaTheme="minorEastAsia"/>
          <w:sz w:val="24"/>
          <w:szCs w:val="24"/>
        </w:rPr>
        <w:t>.1采购文件要求乙方提交履约保证金的，乙方</w:t>
      </w:r>
      <w:r>
        <w:rPr>
          <w:rFonts w:cs="Times New Roman" w:asciiTheme="minorEastAsia" w:hAnsiTheme="minorEastAsia" w:eastAsiaTheme="minorEastAsia"/>
          <w:sz w:val="24"/>
          <w:szCs w:val="24"/>
        </w:rPr>
        <w:t>应按</w:t>
      </w:r>
      <w:r>
        <w:rPr>
          <w:rFonts w:cs="Times New Roman" w:asciiTheme="minorEastAsia" w:hAnsiTheme="minorEastAsia" w:eastAsiaTheme="minorEastAsia"/>
          <w:b/>
          <w:i/>
          <w:sz w:val="24"/>
          <w:szCs w:val="24"/>
          <w:u w:val="single"/>
        </w:rPr>
        <w:t>合同专用条款</w:t>
      </w:r>
      <w:r>
        <w:rPr>
          <w:rFonts w:cs="Times New Roman" w:asciiTheme="minorEastAsia" w:hAnsiTheme="minorEastAsia" w:eastAsiaTheme="minorEastAsia"/>
          <w:sz w:val="24"/>
          <w:szCs w:val="24"/>
        </w:rPr>
        <w:t>约定的方式</w:t>
      </w:r>
      <w:r>
        <w:rPr>
          <w:rFonts w:hint="eastAsia" w:cs="Times New Roman" w:asciiTheme="minorEastAsia" w:hAnsiTheme="minorEastAsia" w:eastAsiaTheme="minorEastAsia"/>
          <w:sz w:val="24"/>
          <w:szCs w:val="24"/>
        </w:rPr>
        <w:t>，以支票、汇票、本票或者金融机构、担保机构出具的保函等非现金形式，提交不超过合同价10%的履约保证金；</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2.2</w:t>
      </w:r>
      <w:r>
        <w:rPr>
          <w:rFonts w:cs="Times New Roman" w:asciiTheme="minorEastAsia" w:hAnsiTheme="minorEastAsia" w:eastAsiaTheme="minorEastAsia"/>
          <w:sz w:val="24"/>
          <w:szCs w:val="24"/>
        </w:rPr>
        <w:t>0.2履约保证金在</w:t>
      </w:r>
      <w:r>
        <w:rPr>
          <w:rFonts w:cs="Times New Roman" w:asciiTheme="minorEastAsia" w:hAnsiTheme="minorEastAsia" w:eastAsiaTheme="minorEastAsia"/>
          <w:b/>
          <w:i/>
          <w:sz w:val="24"/>
          <w:szCs w:val="24"/>
          <w:u w:val="single"/>
        </w:rPr>
        <w:t>合同专用条款</w:t>
      </w:r>
      <w:r>
        <w:rPr>
          <w:rFonts w:cs="Times New Roman" w:asciiTheme="minorEastAsia" w:hAnsiTheme="minorEastAsia" w:eastAsiaTheme="minorEastAsia"/>
          <w:sz w:val="24"/>
          <w:szCs w:val="24"/>
        </w:rPr>
        <w:t>约定期间内或者货物质量保证期内不予退还或者应完全有效</w:t>
      </w:r>
      <w:r>
        <w:rPr>
          <w:rFonts w:hint="eastAsia" w:cs="Times New Roman" w:asciiTheme="minorEastAsia" w:hAnsiTheme="minorEastAsia" w:eastAsiaTheme="minorEastAsia"/>
          <w:sz w:val="24"/>
          <w:szCs w:val="24"/>
        </w:rPr>
        <w:t>，前述约定期间届满或者</w:t>
      </w:r>
      <w:r>
        <w:rPr>
          <w:rFonts w:cs="Times New Roman" w:asciiTheme="minorEastAsia" w:hAnsiTheme="minorEastAsia" w:eastAsiaTheme="minorEastAsia"/>
          <w:sz w:val="24"/>
          <w:szCs w:val="24"/>
        </w:rPr>
        <w:t>货物质量保证期届满之日起</w:t>
      </w:r>
      <w:r>
        <w:rPr>
          <w:rFonts w:hint="eastAsia" w:cs="Times New Roman" w:asciiTheme="minorEastAsia" w:hAnsiTheme="minorEastAsia" w:eastAsiaTheme="minorEastAsia"/>
          <w:sz w:val="24"/>
          <w:szCs w:val="24"/>
          <w:u w:val="single"/>
        </w:rPr>
        <w:t xml:space="preserve">  </w:t>
      </w:r>
      <w:r>
        <w:rPr>
          <w:rFonts w:hint="eastAsia" w:cs="Times New Roman" w:asciiTheme="minorEastAsia" w:hAnsiTheme="minorEastAsia" w:eastAsiaTheme="minorEastAsia"/>
          <w:sz w:val="24"/>
          <w:szCs w:val="24"/>
        </w:rPr>
        <w:t>个</w:t>
      </w:r>
      <w:r>
        <w:rPr>
          <w:rFonts w:cs="Times New Roman" w:asciiTheme="minorEastAsia" w:hAnsiTheme="minorEastAsia" w:eastAsiaTheme="minorEastAsia"/>
          <w:sz w:val="24"/>
          <w:szCs w:val="24"/>
        </w:rPr>
        <w:t>工作日内，甲方应将履约保证金退还乙方</w:t>
      </w:r>
      <w:r>
        <w:rPr>
          <w:rFonts w:hint="eastAsia" w:cs="Times New Roman" w:asciiTheme="minorEastAsia" w:hAnsiTheme="minorEastAsia" w:eastAsiaTheme="minorEastAsia"/>
          <w:sz w:val="24"/>
          <w:szCs w:val="24"/>
        </w:rPr>
        <w:t>；</w:t>
      </w:r>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2.2</w:t>
      </w:r>
      <w:r>
        <w:rPr>
          <w:rFonts w:cs="Times New Roman" w:asciiTheme="minorEastAsia" w:hAnsiTheme="minorEastAsia" w:eastAsiaTheme="minorEastAsia"/>
          <w:sz w:val="24"/>
          <w:szCs w:val="24"/>
        </w:rPr>
        <w:t>0</w:t>
      </w:r>
      <w:r>
        <w:rPr>
          <w:rFonts w:hint="eastAsia" w:cs="Times New Roman" w:asciiTheme="minorEastAsia" w:hAnsiTheme="minorEastAsia" w:eastAsiaTheme="minorEastAsia"/>
          <w:sz w:val="24"/>
          <w:szCs w:val="24"/>
        </w:rPr>
        <w:t>.3</w:t>
      </w:r>
      <w:r>
        <w:rPr>
          <w:rFonts w:cs="Times New Roman" w:asciiTheme="minorEastAsia" w:hAnsiTheme="minorEastAsia" w:eastAsiaTheme="minorEastAsia"/>
          <w:sz w:val="24"/>
          <w:szCs w:val="24"/>
        </w:rPr>
        <w:t>如果乙方不履行合同</w:t>
      </w:r>
      <w:r>
        <w:rPr>
          <w:rFonts w:hint="eastAsia" w:cs="Times New Roman" w:asciiTheme="minorEastAsia" w:hAnsiTheme="minorEastAsia" w:eastAsiaTheme="minorEastAsia"/>
          <w:sz w:val="24"/>
          <w:szCs w:val="24"/>
        </w:rPr>
        <w:t>，履约保证金不予退还；如果乙方</w:t>
      </w:r>
      <w:r>
        <w:rPr>
          <w:rFonts w:cs="Times New Roman" w:asciiTheme="minorEastAsia" w:hAnsiTheme="minorEastAsia" w:eastAsiaTheme="minorEastAsia"/>
          <w:sz w:val="24"/>
          <w:szCs w:val="24"/>
        </w:rPr>
        <w:t>未能按合同</w:t>
      </w:r>
      <w:r>
        <w:rPr>
          <w:rFonts w:hint="eastAsia" w:cs="Times New Roman" w:asciiTheme="minorEastAsia" w:hAnsiTheme="minorEastAsia" w:eastAsiaTheme="minorEastAsia"/>
          <w:sz w:val="24"/>
          <w:szCs w:val="24"/>
        </w:rPr>
        <w:t>约</w:t>
      </w:r>
      <w:r>
        <w:rPr>
          <w:rFonts w:cs="Times New Roman" w:asciiTheme="minorEastAsia" w:hAnsiTheme="minorEastAsia" w:eastAsiaTheme="minorEastAsia"/>
          <w:sz w:val="24"/>
          <w:szCs w:val="24"/>
        </w:rPr>
        <w:t>定全面履行义务，那么甲方有权从履约保证金中取得补偿或赔偿</w:t>
      </w:r>
      <w:r>
        <w:rPr>
          <w:rFonts w:hint="eastAsia" w:cs="Times New Roman" w:asciiTheme="minorEastAsia" w:hAnsiTheme="minorEastAsia" w:eastAsiaTheme="minorEastAsia"/>
          <w:sz w:val="24"/>
          <w:szCs w:val="24"/>
        </w:rPr>
        <w:t>，同时不影响甲方要求乙方承担合同约定的超过履约保证金的违约责任的权利。</w:t>
      </w:r>
    </w:p>
    <w:bookmarkEnd w:id="198"/>
    <w:p>
      <w:pPr>
        <w:spacing w:line="360" w:lineRule="auto"/>
        <w:ind w:firstLine="437"/>
        <w:outlineLvl w:val="3"/>
        <w:rPr>
          <w:rFonts w:cs="Times New Roman" w:asciiTheme="minorEastAsia" w:hAnsiTheme="minorEastAsia" w:eastAsiaTheme="minorEastAsia"/>
          <w:b/>
          <w:sz w:val="24"/>
          <w:szCs w:val="24"/>
        </w:rPr>
      </w:pPr>
      <w:bookmarkStart w:id="199" w:name="_Toc19890"/>
      <w:bookmarkStart w:id="200" w:name="_Toc14001"/>
      <w:bookmarkStart w:id="201" w:name="_Toc6885"/>
      <w:r>
        <w:rPr>
          <w:rFonts w:hint="eastAsia" w:cs="Times New Roman" w:asciiTheme="minorEastAsia" w:hAnsiTheme="minorEastAsia" w:eastAsiaTheme="minorEastAsia"/>
          <w:b/>
          <w:bCs/>
          <w:sz w:val="24"/>
          <w:szCs w:val="24"/>
          <w:lang w:val="zh-CN"/>
        </w:rPr>
        <w:t>2.2</w:t>
      </w:r>
      <w:r>
        <w:rPr>
          <w:rFonts w:cs="Times New Roman" w:asciiTheme="minorEastAsia" w:hAnsiTheme="minorEastAsia" w:eastAsiaTheme="minorEastAsia"/>
          <w:b/>
          <w:bCs/>
          <w:sz w:val="24"/>
          <w:szCs w:val="24"/>
          <w:lang w:val="zh-CN"/>
        </w:rPr>
        <w:t>1</w:t>
      </w:r>
      <w:r>
        <w:rPr>
          <w:rFonts w:hint="eastAsia" w:cs="Times New Roman" w:asciiTheme="minorEastAsia" w:hAnsiTheme="minorEastAsia" w:eastAsiaTheme="minorEastAsia"/>
          <w:b/>
          <w:bCs/>
          <w:sz w:val="24"/>
          <w:szCs w:val="24"/>
          <w:lang w:val="zh-CN"/>
        </w:rPr>
        <w:t xml:space="preserve"> 合同份数</w:t>
      </w:r>
      <w:bookmarkEnd w:id="199"/>
      <w:bookmarkEnd w:id="200"/>
      <w:bookmarkEnd w:id="201"/>
    </w:p>
    <w:p>
      <w:pPr>
        <w:spacing w:line="360" w:lineRule="auto"/>
        <w:ind w:firstLine="435"/>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合同份数按</w:t>
      </w:r>
      <w:r>
        <w:rPr>
          <w:rFonts w:cs="Times New Roman" w:asciiTheme="minorEastAsia" w:hAnsiTheme="minorEastAsia" w:eastAsiaTheme="minorEastAsia"/>
          <w:b/>
          <w:i/>
          <w:sz w:val="24"/>
          <w:szCs w:val="24"/>
          <w:u w:val="single"/>
        </w:rPr>
        <w:t>合同专用条款</w:t>
      </w:r>
      <w:r>
        <w:rPr>
          <w:rFonts w:cs="Times New Roman" w:asciiTheme="minorEastAsia" w:hAnsiTheme="minorEastAsia" w:eastAsiaTheme="minorEastAsia"/>
          <w:sz w:val="24"/>
          <w:szCs w:val="24"/>
        </w:rPr>
        <w:t>规定</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每份均具有同等法律效力</w:t>
      </w:r>
      <w:r>
        <w:rPr>
          <w:rFonts w:hint="eastAsia" w:cs="Times New Roman" w:asciiTheme="minorEastAsia" w:hAnsiTheme="minorEastAsia" w:eastAsiaTheme="minorEastAsia"/>
          <w:sz w:val="24"/>
          <w:szCs w:val="24"/>
        </w:rPr>
        <w:t>。</w:t>
      </w:r>
    </w:p>
    <w:p>
      <w:pPr>
        <w:spacing w:line="360" w:lineRule="auto"/>
        <w:jc w:val="center"/>
        <w:outlineLvl w:val="2"/>
        <w:rPr>
          <w:rFonts w:asciiTheme="minorEastAsia" w:hAnsiTheme="minorEastAsia" w:eastAsiaTheme="minorEastAsia"/>
          <w:b/>
          <w:sz w:val="24"/>
        </w:rPr>
      </w:pPr>
      <w:r>
        <w:rPr>
          <w:rFonts w:cs="Times New Roman" w:asciiTheme="minorEastAsia" w:hAnsiTheme="minorEastAsia" w:eastAsiaTheme="minorEastAsia"/>
          <w:sz w:val="24"/>
          <w:szCs w:val="24"/>
        </w:rPr>
        <w:br w:type="page"/>
      </w:r>
      <w:bookmarkStart w:id="202" w:name="_Toc331685784"/>
      <w:r>
        <w:rPr>
          <w:rFonts w:hint="eastAsia" w:asciiTheme="minorEastAsia" w:hAnsiTheme="minorEastAsia" w:eastAsiaTheme="minorEastAsia"/>
          <w:b/>
          <w:sz w:val="24"/>
        </w:rPr>
        <w:t>第三部分</w:t>
      </w:r>
      <w:r>
        <w:rPr>
          <w:rFonts w:asciiTheme="minorEastAsia" w:hAnsiTheme="minorEastAsia" w:eastAsiaTheme="minorEastAsia"/>
          <w:b/>
          <w:sz w:val="24"/>
        </w:rPr>
        <w:t xml:space="preserve"> </w:t>
      </w:r>
      <w:r>
        <w:rPr>
          <w:rFonts w:hint="eastAsia" w:asciiTheme="minorEastAsia" w:hAnsiTheme="minorEastAsia" w:eastAsiaTheme="minorEastAsia"/>
          <w:b/>
          <w:sz w:val="24"/>
        </w:rPr>
        <w:t>合同专用条款</w:t>
      </w:r>
      <w:bookmarkEnd w:id="202"/>
    </w:p>
    <w:p>
      <w:pPr>
        <w:spacing w:line="360" w:lineRule="auto"/>
        <w:ind w:firstLine="435"/>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本部分</w:t>
      </w:r>
      <w:r>
        <w:rPr>
          <w:rFonts w:cs="Times New Roman" w:asciiTheme="minorEastAsia" w:hAnsiTheme="minorEastAsia" w:eastAsiaTheme="minorEastAsia"/>
          <w:sz w:val="24"/>
          <w:szCs w:val="24"/>
        </w:rPr>
        <w:t>是对</w:t>
      </w:r>
      <w:r>
        <w:rPr>
          <w:rFonts w:hint="eastAsia" w:cs="Times New Roman" w:asciiTheme="minorEastAsia" w:hAnsiTheme="minorEastAsia" w:eastAsiaTheme="minorEastAsia"/>
          <w:sz w:val="24"/>
          <w:szCs w:val="24"/>
        </w:rPr>
        <w:t>前两</w:t>
      </w:r>
      <w:r>
        <w:rPr>
          <w:rFonts w:cs="Times New Roman" w:asciiTheme="minorEastAsia" w:hAnsiTheme="minorEastAsia" w:eastAsiaTheme="minorEastAsia"/>
          <w:sz w:val="24"/>
          <w:szCs w:val="24"/>
        </w:rPr>
        <w:t>部分的补充和修改</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如果</w:t>
      </w:r>
      <w:r>
        <w:rPr>
          <w:rFonts w:hint="eastAsia" w:cs="Times New Roman" w:asciiTheme="minorEastAsia" w:hAnsiTheme="minorEastAsia" w:eastAsiaTheme="minorEastAsia"/>
          <w:sz w:val="24"/>
          <w:szCs w:val="24"/>
        </w:rPr>
        <w:t>前两</w:t>
      </w:r>
      <w:r>
        <w:rPr>
          <w:rFonts w:cs="Times New Roman" w:asciiTheme="minorEastAsia" w:hAnsiTheme="minorEastAsia" w:eastAsiaTheme="minorEastAsia"/>
          <w:sz w:val="24"/>
          <w:szCs w:val="24"/>
        </w:rPr>
        <w:t>部分和本部分的约定不一致</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应以本部分的约定为准</w:t>
      </w:r>
      <w:r>
        <w:rPr>
          <w:rFonts w:hint="eastAsia" w:cs="Times New Roman" w:asciiTheme="minorEastAsia" w:hAnsiTheme="minorEastAsia" w:eastAsiaTheme="minorEastAsia"/>
          <w:sz w:val="24"/>
          <w:szCs w:val="24"/>
        </w:rPr>
        <w:t>。</w:t>
      </w:r>
      <w:r>
        <w:rPr>
          <w:rFonts w:cs="Times New Roman" w:asciiTheme="minorEastAsia" w:hAnsiTheme="minorEastAsia" w:eastAsiaTheme="minorEastAsia"/>
          <w:sz w:val="24"/>
          <w:szCs w:val="24"/>
        </w:rPr>
        <w:t>本部分的条款号应与</w:t>
      </w:r>
      <w:r>
        <w:rPr>
          <w:rFonts w:hint="eastAsia" w:cs="Times New Roman" w:asciiTheme="minorEastAsia" w:hAnsiTheme="minorEastAsia" w:eastAsiaTheme="minorEastAsia"/>
          <w:sz w:val="24"/>
          <w:szCs w:val="24"/>
        </w:rPr>
        <w:t>前两部分</w:t>
      </w:r>
      <w:r>
        <w:rPr>
          <w:rFonts w:cs="Times New Roman" w:asciiTheme="minorEastAsia" w:hAnsiTheme="minorEastAsia" w:eastAsiaTheme="minorEastAsia"/>
          <w:sz w:val="24"/>
          <w:szCs w:val="24"/>
        </w:rPr>
        <w:t>的条款号保持对应</w:t>
      </w:r>
      <w:r>
        <w:rPr>
          <w:rFonts w:hint="eastAsia" w:cs="Times New Roman" w:asciiTheme="minorEastAsia" w:hAnsiTheme="minorEastAsia" w:eastAsiaTheme="minorEastAsia"/>
          <w:sz w:val="24"/>
          <w:szCs w:val="24"/>
        </w:rPr>
        <w:t>；与前两部分</w:t>
      </w:r>
      <w:r>
        <w:rPr>
          <w:rFonts w:cs="Times New Roman" w:asciiTheme="minorEastAsia" w:hAnsiTheme="minorEastAsia" w:eastAsiaTheme="minorEastAsia"/>
          <w:sz w:val="24"/>
          <w:szCs w:val="24"/>
        </w:rPr>
        <w:t>无对应关系的内容可另行编制条款号</w:t>
      </w:r>
      <w:r>
        <w:rPr>
          <w:rFonts w:hint="eastAsia" w:cs="Times New Roman" w:asciiTheme="minorEastAsia" w:hAnsiTheme="minorEastAsia" w:eastAsiaTheme="minorEastAsia"/>
          <w:sz w:val="24"/>
          <w:szCs w:val="24"/>
        </w:rPr>
        <w:t>。</w:t>
      </w:r>
    </w:p>
    <w:tbl>
      <w:tblPr>
        <w:tblStyle w:val="24"/>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pPr>
              <w:jc w:val="center"/>
              <w:rPr>
                <w:rFonts w:cs="Times New Roman" w:asciiTheme="minorEastAsia" w:hAnsiTheme="minorEastAsia" w:eastAsiaTheme="minorEastAsia"/>
                <w:b/>
                <w:sz w:val="24"/>
                <w:szCs w:val="24"/>
              </w:rPr>
            </w:pPr>
            <w:r>
              <w:rPr>
                <w:rFonts w:cs="Times New Roman" w:asciiTheme="minorEastAsia" w:hAnsiTheme="minorEastAsia" w:eastAsiaTheme="minorEastAsia"/>
                <w:b/>
                <w:sz w:val="24"/>
                <w:szCs w:val="24"/>
              </w:rPr>
              <w:t>条款号</w:t>
            </w:r>
          </w:p>
        </w:tc>
        <w:tc>
          <w:tcPr>
            <w:tcW w:w="7568" w:type="dxa"/>
            <w:vAlign w:val="center"/>
          </w:tcPr>
          <w:p>
            <w:pPr>
              <w:jc w:val="center"/>
              <w:rPr>
                <w:rFonts w:cs="Times New Roman" w:asciiTheme="minorEastAsia" w:hAnsiTheme="minorEastAsia" w:eastAsiaTheme="minorEastAsia"/>
                <w:b/>
                <w:sz w:val="24"/>
                <w:szCs w:val="24"/>
              </w:rPr>
            </w:pPr>
            <w:r>
              <w:rPr>
                <w:rFonts w:cs="Times New Roman" w:asciiTheme="minorEastAsia" w:hAnsiTheme="minorEastAsia" w:eastAsiaTheme="minorEastAsia"/>
                <w:b/>
                <w:sz w:val="24"/>
                <w:szCs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sz w:val="24"/>
                <w:szCs w:val="24"/>
              </w:rPr>
            </w:pPr>
          </w:p>
        </w:tc>
        <w:tc>
          <w:tcPr>
            <w:tcW w:w="7568" w:type="dxa"/>
            <w:vAlign w:val="center"/>
          </w:tcPr>
          <w:p>
            <w:pPr>
              <w:spacing w:line="560" w:lineRule="exact"/>
              <w:rPr>
                <w:rFonts w:cs="Times New Roman" w:asciiTheme="minorEastAsia" w:hAnsiTheme="minorEastAsia" w:eastAsiaTheme="minorEastAsia"/>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sz w:val="24"/>
                <w:szCs w:val="24"/>
              </w:rPr>
            </w:pPr>
          </w:p>
        </w:tc>
        <w:tc>
          <w:tcPr>
            <w:tcW w:w="7568" w:type="dxa"/>
            <w:vAlign w:val="center"/>
          </w:tcPr>
          <w:p>
            <w:pPr>
              <w:spacing w:line="560" w:lineRule="exact"/>
              <w:rPr>
                <w:rFonts w:cs="Times New Roman" w:asciiTheme="minorEastAsia" w:hAnsiTheme="minorEastAsia" w:eastAsiaTheme="minorEastAsia"/>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sz w:val="24"/>
                <w:szCs w:val="24"/>
              </w:rPr>
            </w:pPr>
          </w:p>
        </w:tc>
        <w:tc>
          <w:tcPr>
            <w:tcW w:w="7568" w:type="dxa"/>
            <w:vAlign w:val="center"/>
          </w:tcPr>
          <w:p>
            <w:pPr>
              <w:spacing w:line="560" w:lineRule="exact"/>
              <w:rPr>
                <w:rFonts w:cs="Times New Roman" w:asciiTheme="minorEastAsia" w:hAnsiTheme="minorEastAsia" w:eastAsiaTheme="minorEastAsia"/>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sz w:val="24"/>
                <w:szCs w:val="24"/>
              </w:rPr>
            </w:pPr>
          </w:p>
        </w:tc>
        <w:tc>
          <w:tcPr>
            <w:tcW w:w="7568" w:type="dxa"/>
            <w:vAlign w:val="center"/>
          </w:tcPr>
          <w:p>
            <w:pPr>
              <w:spacing w:line="560" w:lineRule="exact"/>
              <w:rPr>
                <w:rFonts w:cs="Times New Roman" w:asciiTheme="minorEastAsia" w:hAnsiTheme="minorEastAsia" w:eastAsiaTheme="minorEastAsia"/>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sz w:val="24"/>
                <w:szCs w:val="24"/>
              </w:rPr>
            </w:pPr>
          </w:p>
        </w:tc>
        <w:tc>
          <w:tcPr>
            <w:tcW w:w="7568" w:type="dxa"/>
            <w:vAlign w:val="center"/>
          </w:tcPr>
          <w:p>
            <w:pPr>
              <w:spacing w:line="560" w:lineRule="exact"/>
              <w:rPr>
                <w:rFonts w:cs="Times New Roman" w:asciiTheme="minorEastAsia" w:hAnsiTheme="minorEastAsia" w:eastAsiaTheme="minorEastAsia"/>
                <w:sz w:val="24"/>
                <w:szCs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sz w:val="24"/>
                <w:szCs w:val="24"/>
              </w:rPr>
            </w:pPr>
          </w:p>
        </w:tc>
        <w:tc>
          <w:tcPr>
            <w:tcW w:w="7568" w:type="dxa"/>
            <w:vAlign w:val="center"/>
          </w:tcPr>
          <w:p>
            <w:pPr>
              <w:spacing w:line="560" w:lineRule="exact"/>
              <w:rPr>
                <w:rFonts w:cs="Times New Roman" w:asciiTheme="minorEastAsia" w:hAnsiTheme="minorEastAsia" w:eastAsiaTheme="minorEastAsia"/>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sz w:val="24"/>
                <w:szCs w:val="24"/>
              </w:rPr>
            </w:pPr>
          </w:p>
        </w:tc>
        <w:tc>
          <w:tcPr>
            <w:tcW w:w="7568" w:type="dxa"/>
            <w:vAlign w:val="center"/>
          </w:tcPr>
          <w:p>
            <w:pPr>
              <w:spacing w:line="560" w:lineRule="exact"/>
              <w:rPr>
                <w:rFonts w:cs="Times New Roman" w:asciiTheme="minorEastAsia" w:hAnsiTheme="minorEastAsia" w:eastAsiaTheme="minorEastAsia"/>
                <w:sz w:val="24"/>
                <w:szCs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sz w:val="24"/>
                <w:szCs w:val="24"/>
              </w:rPr>
            </w:pPr>
          </w:p>
        </w:tc>
        <w:tc>
          <w:tcPr>
            <w:tcW w:w="7568" w:type="dxa"/>
            <w:vAlign w:val="center"/>
          </w:tcPr>
          <w:p>
            <w:pPr>
              <w:spacing w:line="560" w:lineRule="exact"/>
              <w:rPr>
                <w:rFonts w:cs="Times New Roman" w:asciiTheme="minorEastAsia" w:hAnsiTheme="minorEastAsia" w:eastAsiaTheme="minorEastAsia"/>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sz w:val="24"/>
                <w:szCs w:val="24"/>
              </w:rPr>
            </w:pPr>
          </w:p>
        </w:tc>
        <w:tc>
          <w:tcPr>
            <w:tcW w:w="7568" w:type="dxa"/>
            <w:vAlign w:val="center"/>
          </w:tcPr>
          <w:p>
            <w:pPr>
              <w:spacing w:line="560" w:lineRule="exact"/>
              <w:rPr>
                <w:rFonts w:cs="Times New Roman" w:asciiTheme="minorEastAsia" w:hAnsiTheme="minorEastAsia" w:eastAsiaTheme="minorEastAsia"/>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cs="Times New Roman" w:asciiTheme="minorEastAsia" w:hAnsiTheme="minorEastAsia" w:eastAsiaTheme="minorEastAsia"/>
                <w:sz w:val="24"/>
                <w:szCs w:val="24"/>
              </w:rPr>
            </w:pPr>
          </w:p>
        </w:tc>
        <w:tc>
          <w:tcPr>
            <w:tcW w:w="7568" w:type="dxa"/>
            <w:vAlign w:val="center"/>
          </w:tcPr>
          <w:p>
            <w:pPr>
              <w:spacing w:line="560" w:lineRule="exact"/>
              <w:rPr>
                <w:rFonts w:cs="Times New Roman" w:asciiTheme="minorEastAsia" w:hAnsiTheme="minorEastAsia" w:eastAsiaTheme="minorEastAsia"/>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sz w:val="24"/>
                <w:szCs w:val="24"/>
              </w:rPr>
            </w:pPr>
          </w:p>
        </w:tc>
        <w:tc>
          <w:tcPr>
            <w:tcW w:w="7568" w:type="dxa"/>
            <w:tcBorders>
              <w:top w:val="single" w:color="auto" w:sz="6" w:space="0"/>
              <w:left w:val="single" w:color="auto" w:sz="6"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sz w:val="24"/>
                <w:szCs w:val="24"/>
              </w:rPr>
            </w:pPr>
          </w:p>
        </w:tc>
        <w:tc>
          <w:tcPr>
            <w:tcW w:w="7568" w:type="dxa"/>
            <w:tcBorders>
              <w:top w:val="single" w:color="auto" w:sz="6" w:space="0"/>
              <w:left w:val="single" w:color="auto" w:sz="6" w:space="0"/>
              <w:bottom w:val="single" w:color="auto" w:sz="6" w:space="0"/>
              <w:right w:val="single" w:color="auto" w:sz="6" w:space="0"/>
            </w:tcBorders>
            <w:vAlign w:val="center"/>
          </w:tcPr>
          <w:p>
            <w:pPr>
              <w:spacing w:line="560" w:lineRule="exact"/>
              <w:rPr>
                <w:rFonts w:cs="Times New Roman" w:asciiTheme="minorEastAsia" w:hAnsiTheme="minorEastAsia" w:eastAsiaTheme="minorEastAsia"/>
                <w:sz w:val="24"/>
                <w:szCs w:val="24"/>
              </w:rPr>
            </w:pPr>
          </w:p>
        </w:tc>
      </w:tr>
      <w:bookmarkEnd w:id="52"/>
    </w:tbl>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1"/>
        <w:rPr>
          <w:rFonts w:asciiTheme="minorEastAsia" w:hAnsiTheme="minorEastAsia" w:eastAsiaTheme="minorEastAsia"/>
          <w:b/>
          <w:sz w:val="28"/>
        </w:rPr>
      </w:pPr>
      <w:bookmarkStart w:id="203" w:name="_Toc60582629"/>
      <w:r>
        <w:rPr>
          <w:rFonts w:hint="eastAsia" w:asciiTheme="minorEastAsia" w:hAnsiTheme="minorEastAsia" w:eastAsiaTheme="minorEastAsia"/>
          <w:b/>
          <w:sz w:val="28"/>
        </w:rPr>
        <w:t>第六章  投标文件格式</w:t>
      </w:r>
      <w:bookmarkEnd w:id="203"/>
    </w:p>
    <w:p>
      <w:pPr>
        <w:spacing w:line="900" w:lineRule="exact"/>
        <w:jc w:val="center"/>
        <w:rPr>
          <w:rFonts w:asciiTheme="minorEastAsia" w:hAnsiTheme="minorEastAsia" w:eastAsiaTheme="minorEastAsia"/>
          <w:b/>
          <w:sz w:val="32"/>
        </w:rPr>
      </w:pPr>
      <w:r>
        <w:rPr>
          <w:rFonts w:hint="eastAsia" w:asciiTheme="minorEastAsia" w:hAnsiTheme="minorEastAsia" w:eastAsiaTheme="minorEastAsia"/>
          <w:b/>
          <w:sz w:val="32"/>
        </w:rPr>
        <w:t>安徽交通职业技术学院产教融合实训基地建设项目</w:t>
      </w:r>
    </w:p>
    <w:p>
      <w:pPr>
        <w:spacing w:line="900" w:lineRule="exact"/>
        <w:jc w:val="center"/>
        <w:rPr>
          <w:rFonts w:asciiTheme="minorEastAsia" w:hAnsiTheme="minorEastAsia" w:eastAsiaTheme="minorEastAsia"/>
          <w:b/>
          <w:sz w:val="72"/>
        </w:rPr>
      </w:pPr>
      <w:r>
        <w:rPr>
          <w:rFonts w:hint="eastAsia" w:asciiTheme="minorEastAsia" w:hAnsiTheme="minorEastAsia" w:eastAsiaTheme="minorEastAsia"/>
          <w:b/>
          <w:sz w:val="32"/>
        </w:rPr>
        <w:t>（第一、二包）</w:t>
      </w:r>
    </w:p>
    <w:p>
      <w:pPr>
        <w:spacing w:line="900" w:lineRule="exact"/>
        <w:jc w:val="center"/>
        <w:rPr>
          <w:rFonts w:asciiTheme="minorEastAsia" w:hAnsiTheme="minorEastAsia" w:eastAsiaTheme="minorEastAsia"/>
          <w:b/>
          <w:sz w:val="72"/>
        </w:rPr>
      </w:pPr>
    </w:p>
    <w:p>
      <w:pPr>
        <w:spacing w:line="900" w:lineRule="exact"/>
        <w:jc w:val="center"/>
        <w:rPr>
          <w:rFonts w:asciiTheme="minorEastAsia" w:hAnsiTheme="minorEastAsia" w:eastAsiaTheme="minorEastAsia"/>
          <w:b/>
          <w:sz w:val="72"/>
        </w:rPr>
      </w:pPr>
      <w:r>
        <w:rPr>
          <w:rFonts w:hint="eastAsia" w:asciiTheme="minorEastAsia" w:hAnsiTheme="minorEastAsia" w:eastAsiaTheme="minorEastAsia"/>
          <w:b/>
          <w:sz w:val="72"/>
        </w:rPr>
        <w:t>投</w:t>
      </w:r>
    </w:p>
    <w:p>
      <w:pPr>
        <w:spacing w:line="900" w:lineRule="exact"/>
        <w:jc w:val="center"/>
        <w:rPr>
          <w:rFonts w:asciiTheme="minorEastAsia" w:hAnsiTheme="minorEastAsia" w:eastAsiaTheme="minorEastAsia"/>
          <w:b/>
          <w:sz w:val="72"/>
        </w:rPr>
      </w:pPr>
    </w:p>
    <w:p>
      <w:pPr>
        <w:spacing w:line="900" w:lineRule="exact"/>
        <w:jc w:val="center"/>
        <w:rPr>
          <w:rFonts w:asciiTheme="minorEastAsia" w:hAnsiTheme="minorEastAsia" w:eastAsiaTheme="minorEastAsia"/>
          <w:b/>
          <w:sz w:val="72"/>
        </w:rPr>
      </w:pPr>
      <w:r>
        <w:rPr>
          <w:rFonts w:hint="eastAsia" w:asciiTheme="minorEastAsia" w:hAnsiTheme="minorEastAsia" w:eastAsiaTheme="minorEastAsia"/>
          <w:b/>
          <w:sz w:val="72"/>
        </w:rPr>
        <w:t>标</w:t>
      </w:r>
    </w:p>
    <w:p>
      <w:pPr>
        <w:spacing w:line="900" w:lineRule="exact"/>
        <w:jc w:val="center"/>
        <w:rPr>
          <w:rFonts w:asciiTheme="minorEastAsia" w:hAnsiTheme="minorEastAsia" w:eastAsiaTheme="minorEastAsia"/>
          <w:b/>
          <w:sz w:val="72"/>
        </w:rPr>
      </w:pPr>
    </w:p>
    <w:p>
      <w:pPr>
        <w:spacing w:line="900" w:lineRule="exact"/>
        <w:jc w:val="center"/>
        <w:rPr>
          <w:rFonts w:asciiTheme="minorEastAsia" w:hAnsiTheme="minorEastAsia" w:eastAsiaTheme="minorEastAsia"/>
          <w:b/>
          <w:sz w:val="72"/>
        </w:rPr>
      </w:pPr>
      <w:r>
        <w:rPr>
          <w:rFonts w:hint="eastAsia" w:asciiTheme="minorEastAsia" w:hAnsiTheme="minorEastAsia" w:eastAsiaTheme="minorEastAsia"/>
          <w:b/>
          <w:sz w:val="72"/>
        </w:rPr>
        <w:t>文</w:t>
      </w:r>
    </w:p>
    <w:p>
      <w:pPr>
        <w:spacing w:line="900" w:lineRule="exact"/>
        <w:jc w:val="center"/>
        <w:rPr>
          <w:rFonts w:asciiTheme="minorEastAsia" w:hAnsiTheme="minorEastAsia" w:eastAsiaTheme="minorEastAsia"/>
          <w:b/>
          <w:sz w:val="72"/>
        </w:rPr>
      </w:pPr>
    </w:p>
    <w:p>
      <w:pPr>
        <w:jc w:val="center"/>
        <w:rPr>
          <w:rFonts w:asciiTheme="minorEastAsia" w:hAnsiTheme="minorEastAsia" w:eastAsiaTheme="minorEastAsia"/>
          <w:b/>
          <w:sz w:val="72"/>
        </w:rPr>
      </w:pPr>
      <w:r>
        <w:rPr>
          <w:rFonts w:hint="eastAsia" w:asciiTheme="minorEastAsia" w:hAnsiTheme="minorEastAsia" w:eastAsiaTheme="minorEastAsia"/>
          <w:b/>
          <w:sz w:val="72"/>
        </w:rPr>
        <w:t>件</w:t>
      </w:r>
    </w:p>
    <w:p>
      <w:pPr>
        <w:spacing w:after="156" w:afterLines="50"/>
        <w:jc w:val="center"/>
        <w:rPr>
          <w:rFonts w:asciiTheme="minorEastAsia" w:hAnsiTheme="minorEastAsia" w:eastAsiaTheme="minorEastAsia"/>
          <w:b/>
          <w:sz w:val="72"/>
        </w:rPr>
      </w:pPr>
    </w:p>
    <w:p>
      <w:pPr>
        <w:spacing w:before="156" w:beforeLines="50" w:after="156" w:afterLines="50"/>
        <w:jc w:val="center"/>
        <w:rPr>
          <w:rFonts w:asciiTheme="minorEastAsia" w:hAnsiTheme="minorEastAsia" w:eastAsiaTheme="minorEastAsia"/>
          <w:b/>
          <w:sz w:val="28"/>
          <w:szCs w:val="28"/>
        </w:rPr>
      </w:pPr>
      <w:r>
        <w:rPr>
          <w:rFonts w:hint="eastAsia" w:asciiTheme="minorEastAsia" w:hAnsiTheme="minorEastAsia" w:eastAsiaTheme="minorEastAsia"/>
          <w:b/>
          <w:sz w:val="32"/>
          <w:szCs w:val="32"/>
        </w:rPr>
        <w:t>【第</w:t>
      </w:r>
      <w:r>
        <w:rPr>
          <w:rFonts w:hint="eastAsia" w:asciiTheme="minorEastAsia" w:hAnsiTheme="minorEastAsia" w:eastAsiaTheme="minorEastAsia"/>
          <w:b/>
          <w:sz w:val="32"/>
          <w:szCs w:val="32"/>
          <w:u w:val="single"/>
        </w:rPr>
        <w:t xml:space="preserve">   </w:t>
      </w:r>
      <w:r>
        <w:rPr>
          <w:rFonts w:hint="eastAsia" w:asciiTheme="minorEastAsia" w:hAnsiTheme="minorEastAsia" w:eastAsiaTheme="minorEastAsia"/>
          <w:b/>
          <w:sz w:val="32"/>
          <w:szCs w:val="32"/>
        </w:rPr>
        <w:t>包】</w:t>
      </w:r>
    </w:p>
    <w:p>
      <w:pPr>
        <w:spacing w:after="156" w:afterLines="50" w:line="500" w:lineRule="exact"/>
        <w:jc w:val="center"/>
        <w:rPr>
          <w:rFonts w:asciiTheme="minorEastAsia" w:hAnsiTheme="minorEastAsia" w:eastAsiaTheme="minorEastAsia"/>
          <w:b/>
          <w:sz w:val="72"/>
        </w:rPr>
      </w:pPr>
    </w:p>
    <w:p>
      <w:pPr>
        <w:spacing w:after="156" w:afterLines="50" w:line="500" w:lineRule="exact"/>
        <w:ind w:firstLine="2522" w:firstLineChars="785"/>
        <w:rPr>
          <w:rFonts w:asciiTheme="minorEastAsia" w:hAnsiTheme="minorEastAsia" w:eastAsiaTheme="minorEastAsia"/>
          <w:b/>
          <w:sz w:val="32"/>
          <w:u w:val="single"/>
        </w:rPr>
      </w:pPr>
      <w:r>
        <w:rPr>
          <w:rFonts w:hint="eastAsia" w:asciiTheme="minorEastAsia" w:hAnsiTheme="minorEastAsia" w:eastAsiaTheme="minorEastAsia"/>
          <w:b/>
          <w:sz w:val="32"/>
        </w:rPr>
        <w:t>投标人：</w:t>
      </w:r>
      <w:r>
        <w:rPr>
          <w:rFonts w:hint="eastAsia" w:asciiTheme="minorEastAsia" w:hAnsiTheme="minorEastAsia" w:eastAsiaTheme="minorEastAsia"/>
          <w:b/>
          <w:sz w:val="32"/>
          <w:u w:val="single"/>
        </w:rPr>
        <w:t xml:space="preserve">               </w:t>
      </w:r>
    </w:p>
    <w:p>
      <w:pPr>
        <w:spacing w:after="156" w:afterLines="50" w:line="500" w:lineRule="exact"/>
        <w:jc w:val="center"/>
        <w:rPr>
          <w:rFonts w:asciiTheme="minorEastAsia" w:hAnsiTheme="minorEastAsia" w:eastAsiaTheme="minorEastAsia"/>
          <w:b/>
          <w:sz w:val="32"/>
        </w:rPr>
      </w:pP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年</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月</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日</w:t>
      </w:r>
    </w:p>
    <w:p>
      <w:pPr>
        <w:widowControl/>
        <w:jc w:val="left"/>
        <w:rPr>
          <w:rFonts w:asciiTheme="minorEastAsia" w:hAnsiTheme="minorEastAsia" w:eastAsiaTheme="minorEastAsia"/>
          <w:b/>
          <w:sz w:val="28"/>
        </w:rPr>
      </w:pPr>
      <w:r>
        <w:rPr>
          <w:rFonts w:asciiTheme="minorEastAsia" w:hAnsiTheme="minorEastAsia" w:eastAsiaTheme="minorEastAsia"/>
          <w:b/>
          <w:sz w:val="28"/>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一、开标一览表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pPr>
              <w:widowControl/>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项目名称</w:t>
            </w:r>
          </w:p>
        </w:tc>
        <w:tc>
          <w:tcPr>
            <w:tcW w:w="6218" w:type="dxa"/>
            <w:tcBorders>
              <w:top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安徽交通职业技术学院产教融合实训基地建设项目</w:t>
            </w:r>
          </w:p>
          <w:p>
            <w:pPr>
              <w:spacing w:line="360" w:lineRule="exact"/>
              <w:jc w:val="center"/>
              <w:rPr>
                <w:rFonts w:asciiTheme="minorEastAsia" w:hAnsiTheme="minorEastAsia" w:eastAsiaTheme="minorEastAsia"/>
                <w:bCs/>
                <w:sz w:val="24"/>
                <w:u w:val="single"/>
              </w:rPr>
            </w:pPr>
            <w:r>
              <w:rPr>
                <w:rFonts w:hint="eastAsia" w:asciiTheme="minorEastAsia" w:hAnsiTheme="minorEastAsia" w:eastAsiaTheme="minorEastAsia"/>
                <w:b/>
                <w:sz w:val="24"/>
              </w:rPr>
              <w:t>（第一、二包）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投标人全称</w:t>
            </w:r>
          </w:p>
        </w:tc>
        <w:tc>
          <w:tcPr>
            <w:tcW w:w="6218" w:type="dxa"/>
            <w:tcBorders>
              <w:top w:val="nil"/>
            </w:tcBorders>
            <w:vAlign w:val="center"/>
          </w:tcPr>
          <w:p>
            <w:pPr>
              <w:spacing w:line="360" w:lineRule="auto"/>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投标范围</w:t>
            </w:r>
          </w:p>
        </w:tc>
        <w:tc>
          <w:tcPr>
            <w:tcW w:w="6218" w:type="dxa"/>
            <w:tcBorders>
              <w:top w:val="nil"/>
            </w:tcBorders>
            <w:vAlign w:val="center"/>
          </w:tcPr>
          <w:p>
            <w:pPr>
              <w:widowControl/>
              <w:spacing w:line="360" w:lineRule="exact"/>
              <w:rPr>
                <w:rFonts w:asciiTheme="minorEastAsia" w:hAnsiTheme="minorEastAsia" w:eastAsiaTheme="minorEastAsia"/>
                <w:sz w:val="24"/>
              </w:rPr>
            </w:pPr>
            <w:r>
              <w:rPr>
                <w:rFonts w:hint="eastAsia" w:asciiTheme="minorEastAsia" w:hAnsiTheme="minorEastAsia" w:eastAsiaTheme="minorEastAsia"/>
                <w:sz w:val="24"/>
                <w:szCs w:val="28"/>
              </w:rPr>
              <w:t>第</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投标报价</w:t>
            </w:r>
          </w:p>
        </w:tc>
        <w:tc>
          <w:tcPr>
            <w:tcW w:w="6218" w:type="dxa"/>
            <w:tcBorders>
              <w:top w:val="nil"/>
            </w:tcBorders>
            <w:vAlign w:val="center"/>
          </w:tcPr>
          <w:p>
            <w:pPr>
              <w:widowControl/>
              <w:spacing w:line="360" w:lineRule="exact"/>
              <w:rPr>
                <w:rFonts w:asciiTheme="minorEastAsia" w:hAnsiTheme="minorEastAsia" w:eastAsiaTheme="minorEastAsia"/>
                <w:sz w:val="24"/>
                <w:szCs w:val="28"/>
              </w:rPr>
            </w:pPr>
          </w:p>
          <w:p>
            <w:pPr>
              <w:widowControl/>
              <w:spacing w:line="36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大写：人民币</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圆整</w:t>
            </w:r>
          </w:p>
          <w:p>
            <w:pPr>
              <w:widowControl/>
              <w:spacing w:line="36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小写：￥</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元</w:t>
            </w:r>
          </w:p>
          <w:p>
            <w:pPr>
              <w:widowControl/>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质保期</w:t>
            </w:r>
          </w:p>
        </w:tc>
        <w:tc>
          <w:tcPr>
            <w:tcW w:w="6218" w:type="dxa"/>
            <w:tcBorders>
              <w:top w:val="nil"/>
            </w:tcBorders>
            <w:vAlign w:val="center"/>
          </w:tcPr>
          <w:p>
            <w:pPr>
              <w:widowControl/>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是否响应付款方式</w:t>
            </w:r>
          </w:p>
        </w:tc>
        <w:tc>
          <w:tcPr>
            <w:tcW w:w="6218" w:type="dxa"/>
            <w:tcBorders>
              <w:top w:val="nil"/>
            </w:tcBorders>
            <w:vAlign w:val="center"/>
          </w:tcPr>
          <w:p>
            <w:pPr>
              <w:widowControl/>
              <w:spacing w:line="3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jc w:val="center"/>
        </w:trPr>
        <w:tc>
          <w:tcPr>
            <w:tcW w:w="2304" w:type="dxa"/>
            <w:tcBorders>
              <w:top w:val="nil"/>
            </w:tcBorders>
            <w:vAlign w:val="center"/>
          </w:tcPr>
          <w:p>
            <w:pPr>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其他</w:t>
            </w:r>
          </w:p>
        </w:tc>
        <w:tc>
          <w:tcPr>
            <w:tcW w:w="6218" w:type="dxa"/>
            <w:tcBorders>
              <w:top w:val="nil"/>
            </w:tcBorders>
            <w:vAlign w:val="center"/>
          </w:tcPr>
          <w:p>
            <w:pPr>
              <w:spacing w:line="360" w:lineRule="auto"/>
              <w:jc w:val="left"/>
              <w:rPr>
                <w:rFonts w:asciiTheme="minorEastAsia" w:hAnsiTheme="minorEastAsia" w:eastAsiaTheme="minorEastAsia"/>
                <w:sz w:val="24"/>
                <w:szCs w:val="28"/>
              </w:rPr>
            </w:pPr>
          </w:p>
        </w:tc>
      </w:tr>
    </w:tbl>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投标人电子签章：</w:t>
      </w:r>
      <w:r>
        <w:rPr>
          <w:rFonts w:asciiTheme="minorEastAsia" w:hAnsiTheme="minorEastAsia" w:eastAsiaTheme="minorEastAsia"/>
          <w:sz w:val="24"/>
        </w:rPr>
        <w:t xml:space="preserve">                                           </w:t>
      </w:r>
    </w:p>
    <w:p>
      <w:pPr>
        <w:spacing w:line="360" w:lineRule="auto"/>
        <w:ind w:firstLine="360" w:firstLineChars="150"/>
        <w:rPr>
          <w:rFonts w:asciiTheme="minorEastAsia" w:hAnsiTheme="minorEastAsia" w:eastAsiaTheme="minorEastAsia"/>
          <w:sz w:val="24"/>
        </w:rPr>
      </w:pP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备注：</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w:t>
      </w:r>
      <w:r>
        <w:rPr>
          <w:rFonts w:asciiTheme="minorEastAsia" w:hAnsiTheme="minorEastAsia" w:eastAsiaTheme="minorEastAsia"/>
          <w:sz w:val="24"/>
        </w:rPr>
        <w:t>此表用于开标唱标之用。</w:t>
      </w:r>
    </w:p>
    <w:p>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w:t>
      </w:r>
      <w:r>
        <w:rPr>
          <w:rFonts w:asciiTheme="minorEastAsia" w:hAnsiTheme="minorEastAsia" w:eastAsiaTheme="minorEastAsia"/>
          <w:sz w:val="24"/>
        </w:rPr>
        <w:t>表中投标报价即为优惠后报价，并作为评审及定标依据。任何有选择或有条件的投标报价，或者表中某一包别填写多个报价，均为无效报价。</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二、投标函</w:t>
      </w:r>
    </w:p>
    <w:p>
      <w:pPr>
        <w:pStyle w:val="13"/>
        <w:spacing w:line="360" w:lineRule="auto"/>
        <w:rPr>
          <w:rFonts w:ascii="宋体" w:hAnsi="宋体"/>
          <w:sz w:val="24"/>
        </w:rPr>
      </w:pPr>
    </w:p>
    <w:p>
      <w:pPr>
        <w:pStyle w:val="13"/>
        <w:spacing w:line="360" w:lineRule="auto"/>
        <w:rPr>
          <w:rFonts w:ascii="宋体" w:hAnsi="宋体"/>
          <w:sz w:val="24"/>
          <w:u w:val="single"/>
        </w:rPr>
      </w:pPr>
      <w:r>
        <w:rPr>
          <w:rFonts w:hint="eastAsia" w:ascii="宋体" w:hAnsi="宋体"/>
          <w:sz w:val="24"/>
        </w:rPr>
        <w:t>致：安徽交通职业技术学院</w:t>
      </w:r>
    </w:p>
    <w:p>
      <w:pPr>
        <w:spacing w:line="360" w:lineRule="auto"/>
        <w:ind w:firstLine="435"/>
        <w:rPr>
          <w:rFonts w:ascii="宋体" w:hAnsi="宋体" w:eastAsiaTheme="minorEastAsia"/>
          <w:sz w:val="24"/>
          <w:u w:val="single"/>
        </w:rPr>
      </w:pPr>
      <w:r>
        <w:rPr>
          <w:rFonts w:hint="eastAsia" w:ascii="宋体" w:hAnsi="宋体" w:eastAsia="宋体" w:cs="Arial"/>
          <w:b/>
          <w:sz w:val="24"/>
        </w:rPr>
        <w:t>安徽中技工程咨询有限公司</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根据贵方的招标公告和投标邀请，我方兹宣布同意如下：</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1.按招标文件规定提供交付的货物（包括安装调试等工作）的最终投标报价见开标一览表，如我方中标，我方承诺愿意按招标文件规定缴纳履约保证金和中标服务费。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2.我方根据招标文件的规定，严格履行合同的责任和义务,并保证于买方要求的日期内完成供货、安装及服务，并通过买方验收。</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3.我方承诺报价低于同类货物和服务的市场平均价格。</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我方已详细审核全部招标文件，包括招标文件的澄清或修改（如有），参考资料及有关附件，我方正式认可并遵守本次招标文件，并对招标文件各项条款、规定及要求均无异议。我方知道必须放弃提出含糊不清或误解问题的权利。</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5.我方同意从招标文件规定的开标日期起遵循本招标文件，并在招标文件规定的投标有效期之前均具有约束力。</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6.我方承诺如投标保证金未在招标文件规定时间前到达贵方指定的账户，我方投标无效，由此产生的一切后果由我方承担</w:t>
      </w:r>
      <w:r>
        <w:rPr>
          <w:rFonts w:hint="eastAsia" w:asciiTheme="minorEastAsia" w:hAnsiTheme="minorEastAsia" w:eastAsiaTheme="minorEastAsia"/>
          <w:bCs/>
          <w:sz w:val="24"/>
          <w:lang w:val="zh-CN"/>
        </w:rPr>
        <w:t>，且承诺投标保证金转出账户真实有效</w:t>
      </w:r>
      <w:r>
        <w:rPr>
          <w:rFonts w:hint="eastAsia" w:asciiTheme="minorEastAsia" w:hAnsiTheme="minorEastAsia" w:eastAsiaTheme="minorEastAsia"/>
          <w:sz w:val="24"/>
        </w:rPr>
        <w:t>。</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我方声明投标文件所提供的一切资料均真实无误、及时、有效，企业运营正常。由于我方提供资料不实而造成的责任和后果由我方承担。我方同意按照贵方提出的要求，提供与投标有关的任何证据、数据或资料。</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8.我方完全理解贵方不一定接受最低报价的投标。</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9.我方接受招标文件规定的付款方式、免费质保要求。</w:t>
      </w:r>
    </w:p>
    <w:p>
      <w:pPr>
        <w:spacing w:line="360" w:lineRule="auto"/>
        <w:ind w:firstLine="435"/>
        <w:rPr>
          <w:rFonts w:ascii="宋体" w:hAnsi="宋体" w:eastAsia="宋体"/>
          <w:sz w:val="24"/>
          <w:u w:val="single"/>
        </w:rPr>
      </w:pPr>
      <w:r>
        <w:rPr>
          <w:rFonts w:hint="eastAsia" w:ascii="宋体" w:hAnsi="宋体" w:eastAsia="宋体"/>
          <w:sz w:val="24"/>
        </w:rPr>
        <w:t>投标人电子签章：</w:t>
      </w:r>
      <w:r>
        <w:rPr>
          <w:rFonts w:hint="eastAsia" w:ascii="宋体" w:hAnsi="宋体" w:eastAsia="宋体"/>
          <w:sz w:val="24"/>
          <w:u w:val="single"/>
        </w:rPr>
        <w:t xml:space="preserve">                     </w:t>
      </w:r>
    </w:p>
    <w:p>
      <w:pPr>
        <w:spacing w:line="360" w:lineRule="auto"/>
        <w:ind w:firstLine="435"/>
        <w:rPr>
          <w:rFonts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p>
    <w:p>
      <w:pPr>
        <w:widowControl/>
        <w:jc w:val="left"/>
        <w:rPr>
          <w:rFonts w:ascii="宋体" w:hAnsi="宋体" w:eastAsia="宋体"/>
          <w:sz w:val="24"/>
        </w:rPr>
      </w:pPr>
      <w:r>
        <w:rPr>
          <w:rFonts w:ascii="宋体" w:hAnsi="宋体" w:eastAsia="宋体"/>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三、无重大违法记录声明函、无不良信用记录声明函</w:t>
      </w:r>
    </w:p>
    <w:p>
      <w:pPr>
        <w:spacing w:line="360" w:lineRule="auto"/>
        <w:ind w:firstLine="435"/>
        <w:rPr>
          <w:rFonts w:ascii="宋体" w:hAnsi="宋体" w:eastAsia="宋体"/>
          <w:sz w:val="24"/>
        </w:rPr>
      </w:pPr>
      <w:r>
        <w:rPr>
          <w:rFonts w:hint="eastAsia" w:ascii="宋体" w:hAnsi="宋体" w:eastAsia="宋体"/>
          <w:sz w:val="24"/>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2.本单位郑重声明，我单位无以下不良信用记录情形：</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（1）被人民法院列入失信被执行人；</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（2）单位、法定代表人或拟派项目经理（项目负责人）被人民检察院列入行贿犯罪档案；</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（3）被工商行政管理部门列入企业经营异常名录；</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（4）被税务部门列入重大税收违法案件当事人名单；</w:t>
      </w:r>
    </w:p>
    <w:p>
      <w:pPr>
        <w:spacing w:line="360" w:lineRule="auto"/>
        <w:ind w:firstLine="435"/>
        <w:rPr>
          <w:rFonts w:ascii="宋体" w:hAnsi="宋体" w:eastAsia="宋体"/>
          <w:sz w:val="24"/>
        </w:rPr>
      </w:pPr>
      <w:r>
        <w:rPr>
          <w:rFonts w:hint="eastAsia" w:asciiTheme="minorEastAsia" w:hAnsiTheme="minorEastAsia" w:eastAsiaTheme="minorEastAsia"/>
          <w:sz w:val="24"/>
        </w:rPr>
        <w:t>（5）被政府采购监管部门列入政府采购严重违法失信行为记录</w:t>
      </w:r>
      <w:r>
        <w:rPr>
          <w:rFonts w:hint="eastAsia" w:ascii="宋体" w:hAnsi="宋体" w:eastAsia="宋体"/>
          <w:sz w:val="24"/>
        </w:rPr>
        <w:t>名单。</w:t>
      </w:r>
    </w:p>
    <w:p>
      <w:pPr>
        <w:spacing w:line="360" w:lineRule="auto"/>
        <w:ind w:firstLine="435"/>
        <w:rPr>
          <w:rFonts w:ascii="宋体" w:hAnsi="宋体" w:eastAsia="宋体"/>
          <w:sz w:val="24"/>
        </w:rPr>
      </w:pPr>
      <w:bookmarkStart w:id="204" w:name="_Hlk60605374"/>
      <w:r>
        <w:rPr>
          <w:rFonts w:hint="eastAsia" w:ascii="宋体" w:hAnsi="宋体" w:eastAsia="宋体"/>
          <w:sz w:val="24"/>
        </w:rPr>
        <w:t>3.</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hint="eastAsia" w:ascii="宋体" w:hAnsi="宋体" w:eastAsia="宋体"/>
          <w:sz w:val="24"/>
        </w:rPr>
        <w:t>。</w:t>
      </w:r>
    </w:p>
    <w:p>
      <w:pPr>
        <w:spacing w:line="360" w:lineRule="auto"/>
        <w:ind w:firstLine="435"/>
        <w:rPr>
          <w:rFonts w:ascii="宋体" w:hAnsi="宋体" w:eastAsia="宋体"/>
          <w:sz w:val="24"/>
        </w:rPr>
      </w:pPr>
    </w:p>
    <w:bookmarkEnd w:id="204"/>
    <w:p>
      <w:pPr>
        <w:spacing w:line="360" w:lineRule="auto"/>
        <w:ind w:firstLine="435"/>
        <w:rPr>
          <w:rFonts w:ascii="宋体" w:hAnsi="宋体" w:eastAsia="宋体"/>
          <w:sz w:val="24"/>
        </w:rPr>
      </w:pPr>
      <w:r>
        <w:rPr>
          <w:rFonts w:hint="eastAsia" w:ascii="宋体" w:hAnsi="宋体" w:eastAsia="宋体"/>
          <w:sz w:val="24"/>
        </w:rPr>
        <w:t>本单位对</w:t>
      </w:r>
      <w:r>
        <w:rPr>
          <w:rFonts w:hint="eastAsia" w:asciiTheme="minorEastAsia" w:hAnsiTheme="minorEastAsia" w:eastAsiaTheme="minorEastAsia"/>
          <w:sz w:val="24"/>
        </w:rPr>
        <w:t>上述</w:t>
      </w:r>
      <w:r>
        <w:rPr>
          <w:rFonts w:hint="eastAsia" w:ascii="宋体" w:hAnsi="宋体" w:eastAsia="宋体"/>
          <w:sz w:val="24"/>
        </w:rPr>
        <w:t>声明的真实性负责。如有虚假，将依法承担相应责任。</w:t>
      </w:r>
    </w:p>
    <w:p>
      <w:pPr>
        <w:spacing w:line="360" w:lineRule="auto"/>
        <w:ind w:firstLine="4800" w:firstLineChars="2000"/>
        <w:rPr>
          <w:rFonts w:ascii="宋体" w:hAnsi="宋体" w:eastAsia="宋体"/>
          <w:sz w:val="24"/>
          <w:u w:val="single"/>
        </w:rPr>
      </w:pPr>
      <w:r>
        <w:rPr>
          <w:rFonts w:hint="eastAsia" w:ascii="宋体" w:hAnsi="宋体" w:eastAsia="宋体"/>
          <w:sz w:val="24"/>
        </w:rPr>
        <w:t>投标人电子签章：</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pPr>
        <w:spacing w:line="360" w:lineRule="auto"/>
        <w:ind w:firstLine="4800" w:firstLineChars="2000"/>
        <w:rPr>
          <w:rFonts w:ascii="宋体" w:hAnsi="宋体" w:eastAsia="宋体"/>
          <w:sz w:val="24"/>
          <w:u w:val="single"/>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p>
    <w:p>
      <w:pPr>
        <w:spacing w:line="360" w:lineRule="auto"/>
        <w:ind w:firstLine="4800" w:firstLineChars="2000"/>
        <w:rPr>
          <w:rFonts w:ascii="宋体" w:hAnsi="宋体" w:eastAsia="宋体"/>
          <w:sz w:val="24"/>
          <w:u w:val="single"/>
        </w:rPr>
      </w:pPr>
      <w:r>
        <w:rPr>
          <w:rFonts w:ascii="宋体" w:hAnsi="宋体" w:eastAsia="宋体"/>
          <w:sz w:val="24"/>
          <w:u w:val="single"/>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四、授权书</w:t>
      </w:r>
    </w:p>
    <w:p>
      <w:pPr>
        <w:pStyle w:val="12"/>
        <w:snapToGrid w:val="0"/>
        <w:spacing w:line="360" w:lineRule="auto"/>
        <w:ind w:firstLine="480" w:firstLineChars="200"/>
        <w:jc w:val="left"/>
        <w:rPr>
          <w:rFonts w:hAnsi="宋体" w:eastAsia="宋体"/>
          <w:sz w:val="24"/>
          <w:szCs w:val="28"/>
        </w:rPr>
      </w:pPr>
    </w:p>
    <w:p>
      <w:pPr>
        <w:spacing w:line="360" w:lineRule="auto"/>
        <w:ind w:firstLine="435"/>
        <w:rPr>
          <w:rFonts w:hAnsi="宋体" w:eastAsia="宋体"/>
          <w:sz w:val="24"/>
          <w:szCs w:val="28"/>
        </w:rPr>
      </w:pPr>
      <w:r>
        <w:rPr>
          <w:rFonts w:hint="eastAsia" w:hAnsi="宋体" w:eastAsia="宋体"/>
          <w:sz w:val="24"/>
          <w:szCs w:val="28"/>
        </w:rPr>
        <w:t>本</w:t>
      </w:r>
      <w:r>
        <w:rPr>
          <w:rFonts w:hint="eastAsia" w:asciiTheme="minorEastAsia" w:hAnsiTheme="minorEastAsia" w:eastAsiaTheme="minorEastAsia"/>
          <w:sz w:val="24"/>
        </w:rPr>
        <w:t>授权</w:t>
      </w:r>
      <w:r>
        <w:rPr>
          <w:rFonts w:hint="eastAsia" w:hAnsi="宋体" w:eastAsia="宋体"/>
          <w:sz w:val="24"/>
          <w:szCs w:val="28"/>
        </w:rPr>
        <w:t>书声明：</w:t>
      </w:r>
      <w:r>
        <w:rPr>
          <w:rFonts w:hint="eastAsia" w:hAnsi="宋体" w:eastAsia="宋体"/>
          <w:sz w:val="24"/>
          <w:szCs w:val="28"/>
          <w:u w:val="single"/>
        </w:rPr>
        <w:t xml:space="preserve">           </w:t>
      </w:r>
      <w:r>
        <w:rPr>
          <w:rFonts w:hint="eastAsia" w:hAnsi="宋体" w:eastAsia="宋体"/>
          <w:sz w:val="24"/>
          <w:szCs w:val="28"/>
        </w:rPr>
        <w:t>（投标人名称）授权</w:t>
      </w:r>
      <w:r>
        <w:rPr>
          <w:rFonts w:hint="eastAsia" w:hAnsi="宋体" w:eastAsia="宋体"/>
          <w:sz w:val="24"/>
          <w:szCs w:val="28"/>
          <w:u w:val="single"/>
        </w:rPr>
        <w:t xml:space="preserve">       </w:t>
      </w:r>
      <w:r>
        <w:rPr>
          <w:rFonts w:hint="eastAsia" w:hAnsi="宋体" w:eastAsia="宋体"/>
          <w:sz w:val="24"/>
          <w:szCs w:val="28"/>
        </w:rPr>
        <w:t>（投标人授权代表姓名、职务）代表我方参加本项目</w:t>
      </w:r>
      <w:r>
        <w:rPr>
          <w:rFonts w:hint="eastAsia" w:hAnsi="宋体" w:eastAsia="宋体"/>
          <w:bCs/>
          <w:sz w:val="24"/>
          <w:szCs w:val="28"/>
        </w:rPr>
        <w:t>采购活动</w:t>
      </w:r>
      <w:r>
        <w:rPr>
          <w:rFonts w:hint="eastAsia" w:hAnsi="宋体" w:eastAsia="宋体"/>
          <w:sz w:val="24"/>
          <w:szCs w:val="28"/>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pPr>
        <w:spacing w:line="360" w:lineRule="auto"/>
        <w:ind w:firstLine="435"/>
        <w:rPr>
          <w:rFonts w:hAnsi="宋体" w:eastAsia="宋体"/>
          <w:sz w:val="24"/>
          <w:szCs w:val="28"/>
        </w:rPr>
      </w:pPr>
      <w:r>
        <w:rPr>
          <w:rFonts w:hint="eastAsia" w:hAnsi="宋体" w:eastAsia="宋体"/>
          <w:sz w:val="24"/>
          <w:szCs w:val="28"/>
        </w:rPr>
        <w:t>本授权书自出具之日起生效。</w:t>
      </w:r>
    </w:p>
    <w:p>
      <w:pPr>
        <w:spacing w:line="360" w:lineRule="auto"/>
        <w:ind w:firstLine="435"/>
        <w:rPr>
          <w:rFonts w:hAnsi="宋体" w:eastAsia="宋体"/>
          <w:sz w:val="24"/>
        </w:rPr>
      </w:pPr>
      <w:r>
        <w:rPr>
          <w:rFonts w:hint="eastAsia" w:hAnsi="宋体" w:eastAsia="宋体"/>
          <w:sz w:val="24"/>
          <w:szCs w:val="28"/>
        </w:rPr>
        <w:t>授权</w:t>
      </w:r>
      <w:r>
        <w:rPr>
          <w:rFonts w:hint="eastAsia" w:asciiTheme="minorEastAsia" w:hAnsiTheme="minorEastAsia" w:eastAsiaTheme="minorEastAsia"/>
          <w:sz w:val="24"/>
        </w:rPr>
        <w:t>代表</w:t>
      </w:r>
      <w:r>
        <w:rPr>
          <w:rFonts w:hint="eastAsia" w:hAnsi="宋体" w:eastAsia="宋体"/>
          <w:sz w:val="24"/>
        </w:rPr>
        <w:t>身份证明扫描件：</w:t>
      </w: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p>
    <w:p>
      <w:pPr>
        <w:spacing w:line="360" w:lineRule="auto"/>
        <w:ind w:firstLine="435"/>
        <w:rPr>
          <w:rFonts w:hAnsi="宋体" w:eastAsia="宋体"/>
          <w:sz w:val="24"/>
          <w:szCs w:val="28"/>
          <w:u w:val="single"/>
          <w:lang w:val="zh-CN"/>
        </w:rPr>
      </w:pPr>
      <w:r>
        <w:rPr>
          <w:rFonts w:hint="eastAsia" w:hAnsi="宋体" w:eastAsia="宋体"/>
          <w:sz w:val="24"/>
          <w:szCs w:val="28"/>
        </w:rPr>
        <w:t>授权代表联系方式：</w:t>
      </w:r>
      <w:r>
        <w:rPr>
          <w:rFonts w:hint="eastAsia" w:hAnsi="宋体" w:eastAsia="宋体"/>
          <w:sz w:val="24"/>
          <w:szCs w:val="28"/>
          <w:u w:val="single"/>
        </w:rPr>
        <w:t xml:space="preserve">          （请填写手机号码）</w:t>
      </w:r>
    </w:p>
    <w:p>
      <w:pPr>
        <w:spacing w:line="360" w:lineRule="auto"/>
        <w:ind w:firstLine="435"/>
        <w:rPr>
          <w:rFonts w:hAnsi="宋体" w:eastAsia="宋体"/>
          <w:sz w:val="24"/>
          <w:szCs w:val="28"/>
          <w:lang w:val="zh-CN"/>
        </w:rPr>
      </w:pPr>
    </w:p>
    <w:p>
      <w:pPr>
        <w:spacing w:line="360" w:lineRule="auto"/>
        <w:ind w:firstLine="435"/>
        <w:rPr>
          <w:rFonts w:ascii="宋体" w:hAnsi="宋体" w:eastAsia="宋体"/>
          <w:sz w:val="24"/>
          <w:szCs w:val="28"/>
        </w:rPr>
      </w:pPr>
      <w:r>
        <w:rPr>
          <w:rFonts w:hint="eastAsia" w:asciiTheme="minorEastAsia" w:hAnsiTheme="minorEastAsia" w:eastAsiaTheme="minorEastAsia"/>
          <w:sz w:val="24"/>
        </w:rPr>
        <w:t>特此</w:t>
      </w:r>
      <w:r>
        <w:rPr>
          <w:rFonts w:hint="eastAsia" w:ascii="宋体" w:hAnsi="宋体" w:eastAsia="宋体"/>
          <w:sz w:val="24"/>
          <w:szCs w:val="28"/>
        </w:rPr>
        <w:t>声明。</w:t>
      </w:r>
    </w:p>
    <w:p>
      <w:pPr>
        <w:spacing w:line="360" w:lineRule="auto"/>
        <w:rPr>
          <w:rFonts w:ascii="宋体" w:hAnsi="宋体" w:eastAsia="宋体"/>
          <w:sz w:val="24"/>
          <w:szCs w:val="28"/>
        </w:rPr>
      </w:pPr>
    </w:p>
    <w:p>
      <w:pPr>
        <w:spacing w:line="360" w:lineRule="auto"/>
        <w:ind w:firstLine="435"/>
        <w:rPr>
          <w:rFonts w:ascii="宋体" w:hAnsi="宋体" w:eastAsia="宋体"/>
          <w:bCs/>
          <w:sz w:val="24"/>
          <w:szCs w:val="28"/>
        </w:rPr>
      </w:pPr>
      <w:r>
        <w:rPr>
          <w:rFonts w:hint="eastAsia" w:ascii="宋体" w:hAnsi="宋体" w:eastAsia="宋体"/>
          <w:bCs/>
          <w:sz w:val="24"/>
          <w:szCs w:val="28"/>
        </w:rPr>
        <w:t>投标人电子签章：</w:t>
      </w:r>
      <w:r>
        <w:rPr>
          <w:rFonts w:hint="eastAsia" w:ascii="宋体" w:hAnsi="宋体" w:eastAsia="宋体"/>
          <w:bCs/>
          <w:sz w:val="24"/>
          <w:szCs w:val="28"/>
          <w:u w:val="single"/>
        </w:rPr>
        <w:t xml:space="preserve">                    </w:t>
      </w:r>
    </w:p>
    <w:p>
      <w:pPr>
        <w:spacing w:line="360" w:lineRule="auto"/>
        <w:ind w:firstLine="435"/>
        <w:rPr>
          <w:rFonts w:ascii="宋体" w:hAnsi="宋体" w:eastAsia="宋体"/>
          <w:sz w:val="24"/>
          <w:szCs w:val="28"/>
        </w:rPr>
      </w:pPr>
      <w:r>
        <w:rPr>
          <w:rFonts w:hint="eastAsia" w:ascii="宋体" w:hAnsi="宋体" w:eastAsia="宋体"/>
          <w:sz w:val="24"/>
          <w:szCs w:val="28"/>
        </w:rPr>
        <w:t>日          期：</w:t>
      </w:r>
      <w:r>
        <w:rPr>
          <w:rFonts w:hint="eastAsia" w:ascii="宋体" w:hAnsi="宋体" w:eastAsia="宋体"/>
          <w:b/>
          <w:bCs/>
          <w:sz w:val="24"/>
          <w:szCs w:val="28"/>
          <w:u w:val="single"/>
        </w:rPr>
        <w:t xml:space="preserve">                    </w:t>
      </w: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注：</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1.本项目只允许有唯一的投标人授权代表，提供身份证明扫描件；</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2.法定代表人参加投标的无需提供授权书，提供身份证明扫描件。</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五、投标分项报价表</w:t>
      </w:r>
    </w:p>
    <w:p>
      <w:pPr>
        <w:spacing w:line="360" w:lineRule="auto"/>
        <w:ind w:firstLine="435"/>
        <w:rPr>
          <w:rFonts w:asciiTheme="minorEastAsia" w:hAnsiTheme="minorEastAsia" w:eastAsiaTheme="minorEastAsia"/>
          <w:b/>
          <w:sz w:val="24"/>
        </w:rPr>
      </w:pP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323"/>
        <w:gridCol w:w="1318"/>
        <w:gridCol w:w="1318"/>
        <w:gridCol w:w="672"/>
        <w:gridCol w:w="672"/>
        <w:gridCol w:w="939"/>
        <w:gridCol w:w="939"/>
        <w:gridCol w:w="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vAlign w:val="center"/>
          </w:tcPr>
          <w:p>
            <w:pPr>
              <w:pStyle w:val="33"/>
              <w:widowControl w:val="0"/>
              <w:spacing w:before="0" w:beforeAutospacing="0" w:after="0" w:afterAutospacing="0"/>
              <w:rPr>
                <w:rFonts w:asciiTheme="minorEastAsia" w:hAnsiTheme="minorEastAsia" w:eastAsiaTheme="minorEastAsia"/>
                <w:bCs w:val="0"/>
                <w:kern w:val="2"/>
                <w:sz w:val="24"/>
                <w:szCs w:val="20"/>
              </w:rPr>
            </w:pPr>
            <w:r>
              <w:rPr>
                <w:rFonts w:hint="eastAsia" w:asciiTheme="minorEastAsia" w:hAnsiTheme="minorEastAsia" w:eastAsiaTheme="minorEastAsia"/>
                <w:bCs w:val="0"/>
                <w:kern w:val="2"/>
                <w:sz w:val="24"/>
                <w:szCs w:val="20"/>
              </w:rPr>
              <w:t>序号</w:t>
            </w:r>
          </w:p>
        </w:tc>
        <w:tc>
          <w:tcPr>
            <w:tcW w:w="1323"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货物名称</w:t>
            </w:r>
          </w:p>
        </w:tc>
        <w:tc>
          <w:tcPr>
            <w:tcW w:w="1318"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品牌、型</w:t>
            </w:r>
          </w:p>
          <w:p>
            <w:pPr>
              <w:jc w:val="center"/>
              <w:rPr>
                <w:rFonts w:asciiTheme="minorEastAsia" w:hAnsiTheme="minorEastAsia" w:eastAsiaTheme="minorEastAsia"/>
                <w:b/>
                <w:sz w:val="24"/>
              </w:rPr>
            </w:pPr>
            <w:r>
              <w:rPr>
                <w:rFonts w:hint="eastAsia" w:asciiTheme="minorEastAsia" w:hAnsiTheme="minorEastAsia" w:eastAsiaTheme="minorEastAsia"/>
                <w:b/>
                <w:sz w:val="24"/>
              </w:rPr>
              <w:t>号规格</w:t>
            </w:r>
          </w:p>
        </w:tc>
        <w:tc>
          <w:tcPr>
            <w:tcW w:w="1318"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原产地及</w:t>
            </w:r>
          </w:p>
          <w:p>
            <w:pPr>
              <w:jc w:val="center"/>
              <w:rPr>
                <w:rFonts w:asciiTheme="minorEastAsia" w:hAnsiTheme="minorEastAsia" w:eastAsiaTheme="minorEastAsia"/>
                <w:b/>
                <w:sz w:val="24"/>
              </w:rPr>
            </w:pPr>
            <w:r>
              <w:rPr>
                <w:rFonts w:hint="eastAsia" w:asciiTheme="minorEastAsia" w:hAnsiTheme="minorEastAsia" w:eastAsiaTheme="minorEastAsia"/>
                <w:b/>
                <w:sz w:val="24"/>
              </w:rPr>
              <w:t>生产厂商</w:t>
            </w:r>
          </w:p>
        </w:tc>
        <w:tc>
          <w:tcPr>
            <w:tcW w:w="672"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单位</w:t>
            </w:r>
          </w:p>
        </w:tc>
        <w:tc>
          <w:tcPr>
            <w:tcW w:w="672"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数量</w:t>
            </w:r>
          </w:p>
        </w:tc>
        <w:tc>
          <w:tcPr>
            <w:tcW w:w="939"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单价</w:t>
            </w:r>
          </w:p>
          <w:p>
            <w:pPr>
              <w:jc w:val="center"/>
              <w:rPr>
                <w:rFonts w:asciiTheme="minorEastAsia" w:hAnsiTheme="minorEastAsia" w:eastAsiaTheme="minorEastAsia"/>
                <w:b/>
                <w:sz w:val="24"/>
              </w:rPr>
            </w:pPr>
            <w:r>
              <w:rPr>
                <w:rFonts w:hint="eastAsia" w:asciiTheme="minorEastAsia" w:hAnsiTheme="minorEastAsia" w:eastAsiaTheme="minorEastAsia"/>
                <w:b/>
                <w:sz w:val="24"/>
              </w:rPr>
              <w:t>（元）</w:t>
            </w:r>
          </w:p>
        </w:tc>
        <w:tc>
          <w:tcPr>
            <w:tcW w:w="939"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小计</w:t>
            </w:r>
          </w:p>
          <w:p>
            <w:pPr>
              <w:jc w:val="center"/>
              <w:rPr>
                <w:rFonts w:asciiTheme="minorEastAsia" w:hAnsiTheme="minorEastAsia" w:eastAsiaTheme="minorEastAsia"/>
                <w:b/>
                <w:sz w:val="24"/>
              </w:rPr>
            </w:pPr>
            <w:r>
              <w:rPr>
                <w:rFonts w:hint="eastAsia" w:asciiTheme="minorEastAsia" w:hAnsiTheme="minorEastAsia" w:eastAsiaTheme="minorEastAsia"/>
                <w:b/>
                <w:sz w:val="24"/>
              </w:rPr>
              <w:t>（元）</w:t>
            </w:r>
          </w:p>
        </w:tc>
        <w:tc>
          <w:tcPr>
            <w:tcW w:w="670" w:type="dxa"/>
            <w:vAlign w:val="center"/>
          </w:tcPr>
          <w:p>
            <w:pPr>
              <w:jc w:val="center"/>
              <w:rPr>
                <w:rFonts w:asciiTheme="minorEastAsia" w:hAnsiTheme="minorEastAsia" w:eastAsiaTheme="minorEastAsia"/>
                <w:b/>
                <w:sz w:val="24"/>
              </w:rPr>
            </w:pPr>
            <w:r>
              <w:rPr>
                <w:rFonts w:hint="eastAsia" w:asciiTheme="minorEastAsia" w:hAnsiTheme="minorEastAsia" w:eastAsiaTheme="minorEastAsia"/>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Borders>
              <w:bottom w:val="single" w:color="auto" w:sz="4" w:space="0"/>
            </w:tcBorders>
          </w:tcPr>
          <w:p>
            <w:pPr>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5</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6</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7</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8</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9</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10</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11</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12</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r>
              <w:rPr>
                <w:rFonts w:hint="eastAsia" w:asciiTheme="minorEastAsia" w:hAnsiTheme="minorEastAsia" w:eastAsiaTheme="minorEastAsia"/>
                <w:sz w:val="24"/>
              </w:rPr>
              <w:t>13</w:t>
            </w:r>
          </w:p>
        </w:tc>
        <w:tc>
          <w:tcPr>
            <w:tcW w:w="1323"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p>
        </w:tc>
        <w:tc>
          <w:tcPr>
            <w:tcW w:w="1323" w:type="dxa"/>
            <w:vAlign w:val="center"/>
          </w:tcPr>
          <w:p>
            <w:pPr>
              <w:pStyle w:val="41"/>
              <w:rPr>
                <w:rFonts w:asciiTheme="minorEastAsia" w:hAnsiTheme="minorEastAsia" w:eastAsiaTheme="minorEastAsia"/>
              </w:rPr>
            </w:pPr>
            <w:r>
              <w:rPr>
                <w:rFonts w:hint="eastAsia" w:asciiTheme="minorEastAsia" w:hAnsiTheme="minorEastAsia" w:eastAsiaTheme="minorEastAsia"/>
              </w:rPr>
              <w:t>其他费用</w:t>
            </w: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p>
        </w:tc>
        <w:tc>
          <w:tcPr>
            <w:tcW w:w="1323" w:type="dxa"/>
          </w:tcPr>
          <w:p>
            <w:pPr>
              <w:rPr>
                <w:rFonts w:asciiTheme="minorEastAsia" w:hAnsiTheme="minorEastAsia" w:eastAsiaTheme="minorEastAsia"/>
                <w:sz w:val="24"/>
              </w:rPr>
            </w:pPr>
            <w:r>
              <w:rPr>
                <w:rFonts w:hint="eastAsia" w:asciiTheme="minorEastAsia" w:hAnsiTheme="minorEastAsia" w:eastAsiaTheme="minorEastAsia"/>
                <w:sz w:val="24"/>
              </w:rPr>
              <w:t>…</w:t>
            </w: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p>
        </w:tc>
        <w:tc>
          <w:tcPr>
            <w:tcW w:w="1323" w:type="dxa"/>
          </w:tcPr>
          <w:p>
            <w:pPr>
              <w:pStyle w:val="41"/>
              <w:rPr>
                <w:rFonts w:asciiTheme="minorEastAsia" w:hAnsiTheme="minorEastAsia" w:eastAsiaTheme="minorEastAsia"/>
              </w:rPr>
            </w:pPr>
            <w:r>
              <w:rPr>
                <w:rFonts w:hint="eastAsia" w:asciiTheme="minorEastAsia" w:hAnsiTheme="minorEastAsia" w:eastAsiaTheme="minorEastAsia"/>
              </w:rPr>
              <w:t>…</w:t>
            </w: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1" w:type="dxa"/>
          </w:tcPr>
          <w:p>
            <w:pPr>
              <w:jc w:val="center"/>
              <w:rPr>
                <w:rFonts w:asciiTheme="minorEastAsia" w:hAnsiTheme="minorEastAsia" w:eastAsiaTheme="minorEastAsia"/>
                <w:sz w:val="24"/>
              </w:rPr>
            </w:pPr>
          </w:p>
        </w:tc>
        <w:tc>
          <w:tcPr>
            <w:tcW w:w="1323" w:type="dxa"/>
          </w:tcPr>
          <w:p>
            <w:pPr>
              <w:rPr>
                <w:rFonts w:asciiTheme="minorEastAsia" w:hAnsiTheme="minorEastAsia" w:eastAsiaTheme="minorEastAsia"/>
                <w:sz w:val="24"/>
              </w:rPr>
            </w:pPr>
            <w:r>
              <w:rPr>
                <w:rFonts w:hint="eastAsia" w:asciiTheme="minorEastAsia" w:hAnsiTheme="minorEastAsia" w:eastAsiaTheme="minorEastAsia"/>
                <w:sz w:val="24"/>
              </w:rPr>
              <w:t>…</w:t>
            </w: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1994" w:type="dxa"/>
            <w:gridSpan w:val="2"/>
            <w:vAlign w:val="center"/>
          </w:tcPr>
          <w:p>
            <w:pPr>
              <w:pStyle w:val="41"/>
              <w:jc w:val="center"/>
              <w:rPr>
                <w:rFonts w:asciiTheme="minorEastAsia" w:hAnsiTheme="minorEastAsia" w:eastAsiaTheme="minorEastAsia"/>
              </w:rPr>
            </w:pPr>
            <w:r>
              <w:rPr>
                <w:rFonts w:hint="eastAsia" w:asciiTheme="minorEastAsia" w:hAnsiTheme="minorEastAsia" w:eastAsiaTheme="minorEastAsia"/>
              </w:rPr>
              <w:t>合计（元）</w:t>
            </w:r>
          </w:p>
        </w:tc>
        <w:tc>
          <w:tcPr>
            <w:tcW w:w="1318" w:type="dxa"/>
          </w:tcPr>
          <w:p>
            <w:pPr>
              <w:rPr>
                <w:rFonts w:asciiTheme="minorEastAsia" w:hAnsiTheme="minorEastAsia" w:eastAsiaTheme="minorEastAsia"/>
                <w:sz w:val="24"/>
              </w:rPr>
            </w:pPr>
          </w:p>
        </w:tc>
        <w:tc>
          <w:tcPr>
            <w:tcW w:w="1318"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672"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939" w:type="dxa"/>
          </w:tcPr>
          <w:p>
            <w:pPr>
              <w:rPr>
                <w:rFonts w:asciiTheme="minorEastAsia" w:hAnsiTheme="minorEastAsia" w:eastAsiaTheme="minorEastAsia"/>
                <w:sz w:val="24"/>
              </w:rPr>
            </w:pPr>
          </w:p>
        </w:tc>
        <w:tc>
          <w:tcPr>
            <w:tcW w:w="670" w:type="dxa"/>
          </w:tcPr>
          <w:p>
            <w:pPr>
              <w:rPr>
                <w:rFonts w:asciiTheme="minorEastAsia" w:hAnsiTheme="minorEastAsia" w:eastAsiaTheme="minorEastAsia"/>
                <w:sz w:val="24"/>
              </w:rPr>
            </w:pPr>
          </w:p>
        </w:tc>
      </w:tr>
    </w:tbl>
    <w:p>
      <w:pPr>
        <w:pStyle w:val="13"/>
        <w:spacing w:line="360" w:lineRule="auto"/>
        <w:rPr>
          <w:rFonts w:asciiTheme="minorEastAsia" w:hAnsiTheme="minorEastAsia" w:eastAsiaTheme="minorEastAsia"/>
          <w:b w:val="0"/>
          <w:bCs/>
          <w:sz w:val="24"/>
          <w:szCs w:val="28"/>
        </w:rPr>
      </w:pPr>
      <w:r>
        <w:rPr>
          <w:rFonts w:hint="eastAsia" w:asciiTheme="minorEastAsia" w:hAnsiTheme="minorEastAsia" w:eastAsiaTheme="minorEastAsia"/>
          <w:b w:val="0"/>
          <w:sz w:val="24"/>
        </w:rPr>
        <w:t>投标人电子签章：</w:t>
      </w:r>
    </w:p>
    <w:p>
      <w:pPr>
        <w:adjustRightInd w:val="0"/>
        <w:snapToGrid w:val="0"/>
        <w:spacing w:line="360" w:lineRule="auto"/>
        <w:rPr>
          <w:rFonts w:asciiTheme="minorEastAsia" w:hAnsiTheme="minorEastAsia" w:eastAsiaTheme="minorEastAsia"/>
          <w:b/>
          <w:bCs/>
          <w:sz w:val="24"/>
          <w:szCs w:val="28"/>
        </w:rPr>
      </w:pPr>
    </w:p>
    <w:p>
      <w:pPr>
        <w:adjustRightInd w:val="0"/>
        <w:snapToGrid w:val="0"/>
        <w:spacing w:line="360" w:lineRule="auto"/>
        <w:rPr>
          <w:rFonts w:asciiTheme="minorEastAsia" w:hAnsiTheme="minorEastAsia" w:eastAsiaTheme="minorEastAsia"/>
          <w:b/>
          <w:bCs/>
          <w:sz w:val="24"/>
          <w:szCs w:val="28"/>
        </w:rPr>
      </w:pPr>
      <w:r>
        <w:rPr>
          <w:rFonts w:hint="eastAsia" w:asciiTheme="minorEastAsia" w:hAnsiTheme="minorEastAsia" w:eastAsiaTheme="minorEastAsia"/>
          <w:b/>
          <w:bCs/>
          <w:sz w:val="24"/>
          <w:szCs w:val="28"/>
        </w:rPr>
        <w:t>备注：</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表中所列货物为对应本项目需求的全部货物及所需附件购置费、包装费、运输费、人工费、保险费、安装调试费、各种税费、资料费、售后服务费及完成项目应有的全部费用。如有漏项或缺项，投标人承担全部责任。</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2.表中须明确列出所投产品的货物名称、品牌、型号规格、原产地及生产厂商，否则可能导致</w:t>
      </w:r>
      <w:r>
        <w:rPr>
          <w:rFonts w:hint="eastAsia" w:asciiTheme="minorEastAsia" w:hAnsiTheme="minorEastAsia" w:eastAsiaTheme="minorEastAsia"/>
          <w:b/>
          <w:bCs/>
          <w:sz w:val="24"/>
        </w:rPr>
        <w:t>投标无效</w:t>
      </w:r>
      <w:r>
        <w:rPr>
          <w:rFonts w:hint="eastAsia" w:asciiTheme="minorEastAsia" w:hAnsiTheme="minorEastAsia" w:eastAsiaTheme="minorEastAsia"/>
          <w:sz w:val="24"/>
        </w:rPr>
        <w:t>。</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六、投标响应表</w:t>
      </w:r>
    </w:p>
    <w:p>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.1</w:t>
      </w:r>
      <w:r>
        <w:rPr>
          <w:rFonts w:hint="eastAsia" w:asciiTheme="minorEastAsia" w:hAnsiTheme="minorEastAsia" w:eastAsiaTheme="minorEastAsia"/>
          <w:b/>
          <w:sz w:val="24"/>
        </w:rPr>
        <w:t>商务响应表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序号</w:t>
            </w:r>
          </w:p>
        </w:tc>
        <w:tc>
          <w:tcPr>
            <w:tcW w:w="1916" w:type="dxa"/>
            <w:vAlign w:val="center"/>
          </w:tcPr>
          <w:p>
            <w:pPr>
              <w:pStyle w:val="12"/>
              <w:jc w:val="center"/>
              <w:rPr>
                <w:rFonts w:cs="Wingdings" w:asciiTheme="minorEastAsia" w:hAnsiTheme="minorEastAsia"/>
                <w:b/>
                <w:sz w:val="24"/>
              </w:rPr>
            </w:pPr>
            <w:r>
              <w:rPr>
                <w:rFonts w:hint="eastAsia" w:asciiTheme="minorEastAsia" w:hAnsiTheme="minorEastAsia"/>
                <w:b/>
                <w:bCs/>
                <w:sz w:val="24"/>
                <w:szCs w:val="24"/>
              </w:rPr>
              <w:t>商务条款</w:t>
            </w:r>
          </w:p>
        </w:tc>
        <w:tc>
          <w:tcPr>
            <w:tcW w:w="2497"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招标文件要求</w:t>
            </w:r>
          </w:p>
        </w:tc>
        <w:tc>
          <w:tcPr>
            <w:tcW w:w="2575"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投标人承诺</w:t>
            </w:r>
          </w:p>
        </w:tc>
        <w:tc>
          <w:tcPr>
            <w:tcW w:w="810"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Theme="minorEastAsia" w:hAnsiTheme="minorEastAsia" w:eastAsiaTheme="minorEastAsia"/>
                <w:sz w:val="24"/>
              </w:rPr>
            </w:pPr>
            <w:r>
              <w:rPr>
                <w:rFonts w:asciiTheme="minorEastAsia" w:hAnsiTheme="minorEastAsia" w:eastAsiaTheme="minorEastAsia"/>
                <w:sz w:val="24"/>
              </w:rPr>
              <w:t>1</w:t>
            </w:r>
          </w:p>
        </w:tc>
        <w:tc>
          <w:tcPr>
            <w:tcW w:w="1916" w:type="dxa"/>
            <w:vAlign w:val="center"/>
          </w:tcPr>
          <w:p>
            <w:pPr>
              <w:jc w:val="center"/>
              <w:rPr>
                <w:rFonts w:ascii="宋体" w:hAnsi="宋体" w:eastAsia="宋体"/>
                <w:sz w:val="24"/>
              </w:rPr>
            </w:pPr>
            <w:r>
              <w:rPr>
                <w:rFonts w:asciiTheme="minorEastAsia" w:hAnsiTheme="minorEastAsia" w:eastAsiaTheme="minorEastAsia"/>
                <w:sz w:val="24"/>
              </w:rPr>
              <w:t>付款方式</w:t>
            </w:r>
          </w:p>
        </w:tc>
        <w:tc>
          <w:tcPr>
            <w:tcW w:w="2497" w:type="dxa"/>
            <w:vAlign w:val="center"/>
          </w:tcPr>
          <w:p>
            <w:pPr>
              <w:jc w:val="center"/>
              <w:rPr>
                <w:rFonts w:asciiTheme="minorEastAsia" w:hAnsiTheme="minorEastAsia" w:eastAsiaTheme="minorEastAsia"/>
                <w:sz w:val="24"/>
              </w:rPr>
            </w:pPr>
          </w:p>
        </w:tc>
        <w:tc>
          <w:tcPr>
            <w:tcW w:w="2575" w:type="dxa"/>
            <w:vAlign w:val="center"/>
          </w:tcPr>
          <w:p>
            <w:pPr>
              <w:jc w:val="center"/>
              <w:rPr>
                <w:rFonts w:asciiTheme="minorEastAsia" w:hAnsiTheme="minorEastAsia" w:eastAsiaTheme="minorEastAsia"/>
                <w:sz w:val="24"/>
              </w:rPr>
            </w:pPr>
          </w:p>
        </w:tc>
        <w:tc>
          <w:tcPr>
            <w:tcW w:w="810"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916" w:type="dxa"/>
            <w:vAlign w:val="center"/>
          </w:tcPr>
          <w:p>
            <w:pPr>
              <w:jc w:val="center"/>
              <w:rPr>
                <w:rFonts w:ascii="宋体" w:hAnsi="宋体" w:eastAsia="宋体"/>
                <w:sz w:val="24"/>
              </w:rPr>
            </w:pPr>
            <w:r>
              <w:rPr>
                <w:rFonts w:hint="eastAsia" w:ascii="宋体" w:hAnsi="宋体" w:eastAsia="宋体"/>
                <w:sz w:val="24"/>
              </w:rPr>
              <w:t>供货及安装地点</w:t>
            </w:r>
          </w:p>
        </w:tc>
        <w:tc>
          <w:tcPr>
            <w:tcW w:w="2497" w:type="dxa"/>
            <w:vAlign w:val="center"/>
          </w:tcPr>
          <w:p>
            <w:pPr>
              <w:jc w:val="center"/>
              <w:rPr>
                <w:rFonts w:asciiTheme="minorEastAsia" w:hAnsiTheme="minorEastAsia" w:eastAsiaTheme="minorEastAsia"/>
                <w:sz w:val="24"/>
              </w:rPr>
            </w:pPr>
          </w:p>
        </w:tc>
        <w:tc>
          <w:tcPr>
            <w:tcW w:w="2575" w:type="dxa"/>
            <w:vAlign w:val="center"/>
          </w:tcPr>
          <w:p>
            <w:pPr>
              <w:jc w:val="center"/>
              <w:rPr>
                <w:rFonts w:asciiTheme="minorEastAsia" w:hAnsiTheme="minorEastAsia" w:eastAsiaTheme="minorEastAsia"/>
                <w:sz w:val="24"/>
              </w:rPr>
            </w:pPr>
          </w:p>
        </w:tc>
        <w:tc>
          <w:tcPr>
            <w:tcW w:w="810"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1916" w:type="dxa"/>
            <w:vAlign w:val="center"/>
          </w:tcPr>
          <w:p>
            <w:pPr>
              <w:jc w:val="center"/>
              <w:rPr>
                <w:rFonts w:ascii="宋体" w:hAnsi="宋体" w:eastAsia="宋体"/>
                <w:sz w:val="24"/>
              </w:rPr>
            </w:pPr>
            <w:r>
              <w:rPr>
                <w:rFonts w:hint="eastAsia" w:ascii="宋体" w:hAnsi="宋体" w:eastAsia="宋体"/>
                <w:sz w:val="24"/>
              </w:rPr>
              <w:t>供货及安装期限</w:t>
            </w:r>
          </w:p>
        </w:tc>
        <w:tc>
          <w:tcPr>
            <w:tcW w:w="2497" w:type="dxa"/>
            <w:vAlign w:val="center"/>
          </w:tcPr>
          <w:p>
            <w:pPr>
              <w:jc w:val="center"/>
              <w:rPr>
                <w:rFonts w:asciiTheme="minorEastAsia" w:hAnsiTheme="minorEastAsia" w:eastAsiaTheme="minorEastAsia"/>
                <w:sz w:val="24"/>
              </w:rPr>
            </w:pPr>
          </w:p>
        </w:tc>
        <w:tc>
          <w:tcPr>
            <w:tcW w:w="2575" w:type="dxa"/>
            <w:vAlign w:val="center"/>
          </w:tcPr>
          <w:p>
            <w:pPr>
              <w:pStyle w:val="41"/>
              <w:jc w:val="center"/>
              <w:rPr>
                <w:rFonts w:asciiTheme="minorEastAsia" w:hAnsiTheme="minorEastAsia" w:eastAsiaTheme="minorEastAsia"/>
              </w:rPr>
            </w:pPr>
          </w:p>
        </w:tc>
        <w:tc>
          <w:tcPr>
            <w:tcW w:w="810"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1916" w:type="dxa"/>
            <w:vAlign w:val="center"/>
          </w:tcPr>
          <w:p>
            <w:pPr>
              <w:jc w:val="center"/>
              <w:rPr>
                <w:rFonts w:ascii="宋体" w:hAnsi="宋体" w:eastAsia="宋体"/>
                <w:sz w:val="24"/>
              </w:rPr>
            </w:pPr>
            <w:r>
              <w:rPr>
                <w:rFonts w:hint="eastAsia" w:ascii="宋体" w:hAnsi="宋体" w:eastAsia="宋体"/>
                <w:sz w:val="24"/>
              </w:rPr>
              <w:t>免费质保期</w:t>
            </w:r>
          </w:p>
        </w:tc>
        <w:tc>
          <w:tcPr>
            <w:tcW w:w="2497" w:type="dxa"/>
            <w:vAlign w:val="center"/>
          </w:tcPr>
          <w:p>
            <w:pPr>
              <w:jc w:val="center"/>
              <w:rPr>
                <w:rFonts w:asciiTheme="minorEastAsia" w:hAnsiTheme="minorEastAsia" w:eastAsiaTheme="minorEastAsia"/>
                <w:sz w:val="24"/>
              </w:rPr>
            </w:pPr>
          </w:p>
        </w:tc>
        <w:tc>
          <w:tcPr>
            <w:tcW w:w="2575" w:type="dxa"/>
            <w:vAlign w:val="center"/>
          </w:tcPr>
          <w:p>
            <w:pPr>
              <w:jc w:val="center"/>
              <w:rPr>
                <w:rFonts w:asciiTheme="minorEastAsia" w:hAnsiTheme="minorEastAsia" w:eastAsiaTheme="minorEastAsia"/>
                <w:sz w:val="24"/>
              </w:rPr>
            </w:pPr>
          </w:p>
        </w:tc>
        <w:tc>
          <w:tcPr>
            <w:tcW w:w="810"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1916" w:type="dxa"/>
            <w:vAlign w:val="center"/>
          </w:tcPr>
          <w:p>
            <w:pPr>
              <w:jc w:val="center"/>
              <w:rPr>
                <w:rFonts w:ascii="宋体" w:hAnsi="宋体" w:eastAsia="宋体"/>
                <w:sz w:val="24"/>
              </w:rPr>
            </w:pPr>
          </w:p>
        </w:tc>
        <w:tc>
          <w:tcPr>
            <w:tcW w:w="2497" w:type="dxa"/>
            <w:vAlign w:val="center"/>
          </w:tcPr>
          <w:p>
            <w:pPr>
              <w:jc w:val="center"/>
              <w:rPr>
                <w:rFonts w:asciiTheme="minorEastAsia" w:hAnsiTheme="minorEastAsia" w:eastAsiaTheme="minorEastAsia"/>
                <w:sz w:val="24"/>
              </w:rPr>
            </w:pPr>
          </w:p>
        </w:tc>
        <w:tc>
          <w:tcPr>
            <w:tcW w:w="2575" w:type="dxa"/>
            <w:vAlign w:val="center"/>
          </w:tcPr>
          <w:p>
            <w:pPr>
              <w:jc w:val="center"/>
              <w:rPr>
                <w:rFonts w:asciiTheme="minorEastAsia" w:hAnsiTheme="minorEastAsia" w:eastAsiaTheme="minorEastAsia"/>
                <w:sz w:val="24"/>
              </w:rPr>
            </w:pPr>
          </w:p>
        </w:tc>
        <w:tc>
          <w:tcPr>
            <w:tcW w:w="810" w:type="dxa"/>
            <w:vAlign w:val="center"/>
          </w:tcPr>
          <w:p>
            <w:pPr>
              <w:jc w:val="center"/>
              <w:rPr>
                <w:rFonts w:asciiTheme="minorEastAsia" w:hAnsiTheme="minorEastAsia" w:eastAsiaTheme="minorEastAsia"/>
                <w:sz w:val="24"/>
              </w:rPr>
            </w:pPr>
          </w:p>
        </w:tc>
      </w:tr>
    </w:tbl>
    <w:p>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.2</w:t>
      </w:r>
      <w:r>
        <w:rPr>
          <w:rFonts w:hint="eastAsia" w:asciiTheme="minorEastAsia" w:hAnsiTheme="minorEastAsia" w:eastAsiaTheme="minorEastAsia"/>
          <w:b/>
          <w:sz w:val="24"/>
        </w:rPr>
        <w:t>技术响应表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60"/>
        <w:gridCol w:w="2863"/>
        <w:gridCol w:w="2482"/>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1"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序号</w:t>
            </w:r>
          </w:p>
        </w:tc>
        <w:tc>
          <w:tcPr>
            <w:tcW w:w="1560" w:type="dxa"/>
            <w:vAlign w:val="center"/>
          </w:tcPr>
          <w:p>
            <w:pPr>
              <w:pStyle w:val="12"/>
              <w:jc w:val="center"/>
              <w:rPr>
                <w:rFonts w:cs="Wingdings" w:asciiTheme="minorEastAsia" w:hAnsiTheme="minorEastAsia"/>
                <w:b/>
                <w:sz w:val="24"/>
              </w:rPr>
            </w:pPr>
            <w:r>
              <w:rPr>
                <w:rFonts w:hint="eastAsia" w:asciiTheme="minorEastAsia" w:hAnsiTheme="minorEastAsia"/>
                <w:b/>
                <w:bCs/>
                <w:sz w:val="24"/>
                <w:szCs w:val="24"/>
              </w:rPr>
              <w:t>货物名称</w:t>
            </w:r>
          </w:p>
        </w:tc>
        <w:tc>
          <w:tcPr>
            <w:tcW w:w="2863"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招标文件规定的技术参数及要求</w:t>
            </w:r>
          </w:p>
        </w:tc>
        <w:tc>
          <w:tcPr>
            <w:tcW w:w="2482"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所投产品的品牌、型号及技术参数</w:t>
            </w:r>
          </w:p>
        </w:tc>
        <w:tc>
          <w:tcPr>
            <w:tcW w:w="856"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1560" w:type="dxa"/>
            <w:vAlign w:val="center"/>
          </w:tcPr>
          <w:p>
            <w:pPr>
              <w:jc w:val="center"/>
              <w:rPr>
                <w:rFonts w:asciiTheme="minorEastAsia" w:hAnsiTheme="minorEastAsia" w:eastAsiaTheme="minorEastAsia"/>
                <w:sz w:val="24"/>
              </w:rPr>
            </w:pPr>
          </w:p>
        </w:tc>
        <w:tc>
          <w:tcPr>
            <w:tcW w:w="2863" w:type="dxa"/>
            <w:vAlign w:val="center"/>
          </w:tcPr>
          <w:p>
            <w:pPr>
              <w:jc w:val="center"/>
              <w:rPr>
                <w:rFonts w:asciiTheme="minorEastAsia" w:hAnsiTheme="minorEastAsia" w:eastAsiaTheme="minorEastAsia"/>
                <w:sz w:val="24"/>
              </w:rPr>
            </w:pPr>
          </w:p>
        </w:tc>
        <w:tc>
          <w:tcPr>
            <w:tcW w:w="2482" w:type="dxa"/>
            <w:vAlign w:val="center"/>
          </w:tcPr>
          <w:p>
            <w:pPr>
              <w:jc w:val="center"/>
              <w:rPr>
                <w:rFonts w:asciiTheme="minorEastAsia" w:hAnsiTheme="minorEastAsia" w:eastAsiaTheme="minorEastAsia"/>
                <w:sz w:val="24"/>
              </w:rPr>
            </w:pPr>
          </w:p>
        </w:tc>
        <w:tc>
          <w:tcPr>
            <w:tcW w:w="856"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560" w:type="dxa"/>
            <w:vAlign w:val="center"/>
          </w:tcPr>
          <w:p>
            <w:pPr>
              <w:jc w:val="center"/>
              <w:rPr>
                <w:rFonts w:asciiTheme="minorEastAsia" w:hAnsiTheme="minorEastAsia" w:eastAsiaTheme="minorEastAsia"/>
                <w:sz w:val="24"/>
              </w:rPr>
            </w:pPr>
          </w:p>
        </w:tc>
        <w:tc>
          <w:tcPr>
            <w:tcW w:w="2863" w:type="dxa"/>
            <w:vAlign w:val="center"/>
          </w:tcPr>
          <w:p>
            <w:pPr>
              <w:jc w:val="center"/>
              <w:rPr>
                <w:rFonts w:asciiTheme="minorEastAsia" w:hAnsiTheme="minorEastAsia" w:eastAsiaTheme="minorEastAsia"/>
                <w:sz w:val="24"/>
              </w:rPr>
            </w:pPr>
          </w:p>
        </w:tc>
        <w:tc>
          <w:tcPr>
            <w:tcW w:w="2482" w:type="dxa"/>
            <w:vAlign w:val="center"/>
          </w:tcPr>
          <w:p>
            <w:pPr>
              <w:jc w:val="center"/>
              <w:rPr>
                <w:rFonts w:asciiTheme="minorEastAsia" w:hAnsiTheme="minorEastAsia" w:eastAsiaTheme="minorEastAsia"/>
                <w:sz w:val="24"/>
              </w:rPr>
            </w:pPr>
          </w:p>
        </w:tc>
        <w:tc>
          <w:tcPr>
            <w:tcW w:w="856"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1560" w:type="dxa"/>
            <w:vAlign w:val="center"/>
          </w:tcPr>
          <w:p>
            <w:pPr>
              <w:jc w:val="center"/>
              <w:rPr>
                <w:rFonts w:asciiTheme="minorEastAsia" w:hAnsiTheme="minorEastAsia" w:eastAsiaTheme="minorEastAsia"/>
                <w:sz w:val="24"/>
              </w:rPr>
            </w:pPr>
          </w:p>
        </w:tc>
        <w:tc>
          <w:tcPr>
            <w:tcW w:w="2863" w:type="dxa"/>
            <w:vAlign w:val="center"/>
          </w:tcPr>
          <w:p>
            <w:pPr>
              <w:jc w:val="center"/>
              <w:rPr>
                <w:rFonts w:asciiTheme="minorEastAsia" w:hAnsiTheme="minorEastAsia" w:eastAsiaTheme="minorEastAsia"/>
                <w:sz w:val="24"/>
              </w:rPr>
            </w:pPr>
          </w:p>
        </w:tc>
        <w:tc>
          <w:tcPr>
            <w:tcW w:w="2482" w:type="dxa"/>
            <w:vAlign w:val="center"/>
          </w:tcPr>
          <w:p>
            <w:pPr>
              <w:pStyle w:val="41"/>
              <w:jc w:val="center"/>
              <w:rPr>
                <w:rFonts w:asciiTheme="minorEastAsia" w:hAnsiTheme="minorEastAsia" w:eastAsiaTheme="minorEastAsia"/>
              </w:rPr>
            </w:pPr>
          </w:p>
        </w:tc>
        <w:tc>
          <w:tcPr>
            <w:tcW w:w="856"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1560" w:type="dxa"/>
            <w:vAlign w:val="center"/>
          </w:tcPr>
          <w:p>
            <w:pPr>
              <w:jc w:val="center"/>
              <w:rPr>
                <w:rFonts w:asciiTheme="minorEastAsia" w:hAnsiTheme="minorEastAsia" w:eastAsiaTheme="minorEastAsia"/>
                <w:sz w:val="24"/>
              </w:rPr>
            </w:pPr>
          </w:p>
        </w:tc>
        <w:tc>
          <w:tcPr>
            <w:tcW w:w="2863" w:type="dxa"/>
            <w:vAlign w:val="center"/>
          </w:tcPr>
          <w:p>
            <w:pPr>
              <w:jc w:val="center"/>
              <w:rPr>
                <w:rFonts w:asciiTheme="minorEastAsia" w:hAnsiTheme="minorEastAsia" w:eastAsiaTheme="minorEastAsia"/>
                <w:sz w:val="24"/>
              </w:rPr>
            </w:pPr>
          </w:p>
        </w:tc>
        <w:tc>
          <w:tcPr>
            <w:tcW w:w="2482" w:type="dxa"/>
            <w:vAlign w:val="center"/>
          </w:tcPr>
          <w:p>
            <w:pPr>
              <w:pStyle w:val="41"/>
              <w:jc w:val="center"/>
              <w:rPr>
                <w:rFonts w:asciiTheme="minorEastAsia" w:hAnsiTheme="minorEastAsia" w:eastAsiaTheme="minorEastAsia"/>
              </w:rPr>
            </w:pPr>
          </w:p>
        </w:tc>
        <w:tc>
          <w:tcPr>
            <w:tcW w:w="856"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1560" w:type="dxa"/>
            <w:vAlign w:val="center"/>
          </w:tcPr>
          <w:p>
            <w:pPr>
              <w:jc w:val="center"/>
              <w:rPr>
                <w:rFonts w:asciiTheme="minorEastAsia" w:hAnsiTheme="minorEastAsia" w:eastAsiaTheme="minorEastAsia"/>
                <w:sz w:val="24"/>
              </w:rPr>
            </w:pPr>
          </w:p>
        </w:tc>
        <w:tc>
          <w:tcPr>
            <w:tcW w:w="2863" w:type="dxa"/>
            <w:vAlign w:val="center"/>
          </w:tcPr>
          <w:p>
            <w:pPr>
              <w:jc w:val="center"/>
              <w:rPr>
                <w:rFonts w:asciiTheme="minorEastAsia" w:hAnsiTheme="minorEastAsia" w:eastAsiaTheme="minorEastAsia"/>
                <w:sz w:val="24"/>
              </w:rPr>
            </w:pPr>
          </w:p>
        </w:tc>
        <w:tc>
          <w:tcPr>
            <w:tcW w:w="2482" w:type="dxa"/>
            <w:vAlign w:val="center"/>
          </w:tcPr>
          <w:p>
            <w:pPr>
              <w:jc w:val="center"/>
              <w:rPr>
                <w:rFonts w:asciiTheme="minorEastAsia" w:hAnsiTheme="minorEastAsia" w:eastAsiaTheme="minorEastAsia"/>
                <w:sz w:val="24"/>
              </w:rPr>
            </w:pPr>
          </w:p>
        </w:tc>
        <w:tc>
          <w:tcPr>
            <w:tcW w:w="856" w:type="dxa"/>
            <w:vAlign w:val="center"/>
          </w:tcPr>
          <w:p>
            <w:pPr>
              <w:jc w:val="center"/>
              <w:rPr>
                <w:rFonts w:asciiTheme="minorEastAsia" w:hAnsiTheme="minorEastAsia" w:eastAsiaTheme="minorEastAsia"/>
                <w:sz w:val="24"/>
              </w:rPr>
            </w:pPr>
          </w:p>
        </w:tc>
      </w:tr>
    </w:tbl>
    <w:p>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.3</w:t>
      </w:r>
      <w:r>
        <w:rPr>
          <w:rFonts w:hint="eastAsia" w:asciiTheme="minorEastAsia" w:hAnsiTheme="minorEastAsia" w:eastAsiaTheme="minorEastAsia"/>
          <w:b/>
          <w:sz w:val="24"/>
        </w:rPr>
        <w:t>货物说明一览表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1"/>
        <w:gridCol w:w="1420"/>
        <w:gridCol w:w="142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20" w:type="dxa"/>
            <w:vAlign w:val="center"/>
          </w:tcPr>
          <w:p>
            <w:pPr>
              <w:pStyle w:val="12"/>
              <w:jc w:val="center"/>
              <w:rPr>
                <w:rFonts w:cs="Wingdings" w:asciiTheme="minorEastAsia" w:hAnsiTheme="minorEastAsia"/>
                <w:b/>
                <w:sz w:val="24"/>
              </w:rPr>
            </w:pPr>
            <w:r>
              <w:rPr>
                <w:rFonts w:hint="eastAsia" w:asciiTheme="minorEastAsia" w:hAnsiTheme="minorEastAsia"/>
                <w:b/>
                <w:bCs/>
                <w:sz w:val="24"/>
                <w:szCs w:val="24"/>
              </w:rPr>
              <w:t>货物名称</w:t>
            </w:r>
          </w:p>
        </w:tc>
        <w:tc>
          <w:tcPr>
            <w:tcW w:w="1420" w:type="dxa"/>
            <w:vAlign w:val="center"/>
          </w:tcPr>
          <w:p>
            <w:pPr>
              <w:pStyle w:val="12"/>
              <w:jc w:val="center"/>
              <w:rPr>
                <w:rFonts w:cs="Wingdings" w:asciiTheme="minorEastAsia" w:hAnsiTheme="minorEastAsia"/>
                <w:b/>
                <w:sz w:val="24"/>
              </w:rPr>
            </w:pPr>
          </w:p>
        </w:tc>
        <w:tc>
          <w:tcPr>
            <w:tcW w:w="1421" w:type="dxa"/>
            <w:vAlign w:val="center"/>
          </w:tcPr>
          <w:p>
            <w:pPr>
              <w:pStyle w:val="12"/>
              <w:jc w:val="center"/>
              <w:rPr>
                <w:rFonts w:cs="Wingdings" w:asciiTheme="minorEastAsia" w:hAnsiTheme="minorEastAsia"/>
                <w:b/>
                <w:sz w:val="24"/>
              </w:rPr>
            </w:pPr>
            <w:r>
              <w:rPr>
                <w:rFonts w:hint="eastAsia" w:asciiTheme="minorEastAsia" w:hAnsiTheme="minorEastAsia"/>
                <w:b/>
                <w:bCs/>
                <w:sz w:val="24"/>
                <w:szCs w:val="24"/>
              </w:rPr>
              <w:t>品牌型号</w:t>
            </w:r>
          </w:p>
        </w:tc>
        <w:tc>
          <w:tcPr>
            <w:tcW w:w="1420" w:type="dxa"/>
            <w:vAlign w:val="center"/>
          </w:tcPr>
          <w:p>
            <w:pPr>
              <w:pStyle w:val="12"/>
              <w:jc w:val="center"/>
              <w:rPr>
                <w:rFonts w:cs="Wingdings" w:asciiTheme="minorEastAsia" w:hAnsiTheme="minorEastAsia"/>
                <w:b/>
                <w:sz w:val="24"/>
              </w:rPr>
            </w:pPr>
          </w:p>
        </w:tc>
        <w:tc>
          <w:tcPr>
            <w:tcW w:w="1420" w:type="dxa"/>
            <w:vAlign w:val="center"/>
          </w:tcPr>
          <w:p>
            <w:pPr>
              <w:pStyle w:val="12"/>
              <w:jc w:val="center"/>
              <w:rPr>
                <w:rFonts w:cs="Wingdings" w:asciiTheme="minorEastAsia" w:hAnsiTheme="minorEastAsia"/>
                <w:b/>
                <w:sz w:val="24"/>
              </w:rPr>
            </w:pPr>
            <w:r>
              <w:rPr>
                <w:rFonts w:hint="eastAsia" w:asciiTheme="minorEastAsia" w:hAnsiTheme="minorEastAsia"/>
                <w:b/>
                <w:bCs/>
                <w:sz w:val="24"/>
                <w:szCs w:val="24"/>
              </w:rPr>
              <w:t>数量</w:t>
            </w:r>
          </w:p>
        </w:tc>
        <w:tc>
          <w:tcPr>
            <w:tcW w:w="1421" w:type="dxa"/>
            <w:vAlign w:val="center"/>
          </w:tcPr>
          <w:p>
            <w:pPr>
              <w:pStyle w:val="12"/>
              <w:jc w:val="center"/>
              <w:rPr>
                <w:rFonts w:cs="Wingdings" w:asciiTheme="minorEastAsia" w:hAnsi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3" w:hRule="atLeast"/>
          <w:jc w:val="center"/>
        </w:trPr>
        <w:tc>
          <w:tcPr>
            <w:tcW w:w="8522" w:type="dxa"/>
            <w:gridSpan w:val="6"/>
          </w:tcPr>
          <w:p>
            <w:pPr>
              <w:rPr>
                <w:rFonts w:asciiTheme="minorEastAsia" w:hAnsiTheme="minorEastAsia" w:eastAsiaTheme="minorEastAsia"/>
                <w:sz w:val="24"/>
              </w:rPr>
            </w:pPr>
            <w:r>
              <w:rPr>
                <w:rFonts w:hint="eastAsia" w:asciiTheme="minorEastAsia" w:hAnsiTheme="minorEastAsia" w:eastAsiaTheme="minorEastAsia"/>
                <w:sz w:val="24"/>
              </w:rPr>
              <w:t>所投产品的技术参数及性能说明：</w:t>
            </w:r>
          </w:p>
        </w:tc>
      </w:tr>
    </w:tbl>
    <w:p>
      <w:pPr>
        <w:pStyle w:val="13"/>
        <w:spacing w:line="360" w:lineRule="auto"/>
        <w:rPr>
          <w:rFonts w:asciiTheme="minorEastAsia" w:hAnsiTheme="minorEastAsia" w:eastAsiaTheme="minorEastAsia"/>
          <w:b w:val="0"/>
          <w:sz w:val="24"/>
        </w:rPr>
      </w:pPr>
      <w:r>
        <w:rPr>
          <w:rFonts w:hint="eastAsia" w:asciiTheme="minorEastAsia" w:hAnsiTheme="minorEastAsia" w:eastAsiaTheme="minorEastAsia"/>
          <w:b w:val="0"/>
          <w:sz w:val="24"/>
        </w:rPr>
        <w:t>投标人电子签章：</w:t>
      </w:r>
      <w:r>
        <w:rPr>
          <w:rFonts w:asciiTheme="minorEastAsia" w:hAnsiTheme="minorEastAsia" w:eastAsiaTheme="minorEastAsia"/>
          <w:b w:val="0"/>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七、售后服务方案</w:t>
      </w:r>
    </w:p>
    <w:p>
      <w:pPr>
        <w:spacing w:line="360" w:lineRule="auto"/>
        <w:jc w:val="center"/>
        <w:rPr>
          <w:rFonts w:asciiTheme="minorEastAsia" w:hAnsiTheme="minorEastAsia" w:eastAsiaTheme="minorEastAsia"/>
          <w:i/>
          <w:sz w:val="24"/>
        </w:rPr>
      </w:pPr>
      <w:r>
        <w:rPr>
          <w:rFonts w:asciiTheme="minorEastAsia" w:hAnsiTheme="minorEastAsia" w:eastAsiaTheme="minorEastAsia"/>
          <w:i/>
          <w:sz w:val="24"/>
        </w:rPr>
        <w:t>(投标人可自行制作格式)</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widowControl/>
        <w:jc w:val="left"/>
        <w:rPr>
          <w:rFonts w:asciiTheme="minorEastAsia" w:hAnsiTheme="minorEastAsia" w:eastAsiaTheme="minorEastAsia"/>
          <w:sz w:val="24"/>
        </w:rPr>
      </w:pP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八、投标业绩承诺函</w:t>
      </w: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我单位承诺：投标文件中所提供的业绩均真实有效，若被发现存在任何虚假、隐瞒情况，我单位承担由此产生的一切后果。</w:t>
      </w:r>
    </w:p>
    <w:p>
      <w:pPr>
        <w:spacing w:line="360" w:lineRule="auto"/>
        <w:ind w:firstLine="435"/>
        <w:rPr>
          <w:rFonts w:asciiTheme="minorEastAsia" w:hAnsiTheme="minorEastAsia" w:eastAsiaTheme="minorEastAsia"/>
          <w:sz w:val="24"/>
        </w:rPr>
      </w:pPr>
    </w:p>
    <w:p>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投标人电子签章：</w:t>
      </w:r>
      <w:r>
        <w:rPr>
          <w:rFonts w:hint="eastAsia" w:asciiTheme="minorEastAsia" w:hAnsiTheme="minorEastAsia" w:eastAsiaTheme="minorEastAsia"/>
          <w:sz w:val="24"/>
          <w:u w:val="single"/>
        </w:rPr>
        <w:t xml:space="preserve">              </w:t>
      </w:r>
    </w:p>
    <w:p>
      <w:pPr>
        <w:tabs>
          <w:tab w:val="left" w:pos="630"/>
        </w:tabs>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 xml:space="preserve">日    </w:t>
      </w:r>
      <w:r>
        <w:rPr>
          <w:rFonts w:asciiTheme="minorEastAsia" w:hAnsiTheme="minorEastAsia" w:eastAsiaTheme="minorEastAsia"/>
          <w:sz w:val="24"/>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 xml:space="preserve">   </w:t>
      </w:r>
      <w:r>
        <w:rPr>
          <w:rFonts w:hint="eastAsia" w:asciiTheme="minorEastAsia" w:hAnsiTheme="minorEastAsia" w:eastAsiaTheme="minorEastAsia"/>
          <w:sz w:val="24"/>
        </w:rPr>
        <w:t xml:space="preserve"> 期：</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    </w:t>
      </w:r>
    </w:p>
    <w:p>
      <w:pPr>
        <w:tabs>
          <w:tab w:val="left" w:pos="630"/>
        </w:tabs>
        <w:spacing w:line="360" w:lineRule="auto"/>
        <w:ind w:firstLine="3700" w:firstLineChars="1762"/>
        <w:rPr>
          <w:rFonts w:asciiTheme="minorEastAsia" w:hAnsiTheme="minorEastAsia" w:eastAsiaTheme="minorEastAsia"/>
        </w:rPr>
      </w:pP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4106"/>
        <w:gridCol w:w="2528"/>
        <w:gridCol w:w="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4106"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项目名称</w:t>
            </w:r>
          </w:p>
        </w:tc>
        <w:tc>
          <w:tcPr>
            <w:tcW w:w="2528" w:type="dxa"/>
            <w:vAlign w:val="center"/>
          </w:tcPr>
          <w:p>
            <w:pPr>
              <w:widowControl/>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供货范围</w:t>
            </w:r>
          </w:p>
        </w:tc>
        <w:tc>
          <w:tcPr>
            <w:tcW w:w="948"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5</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bl>
    <w:p>
      <w:pPr>
        <w:adjustRightInd w:val="0"/>
        <w:snapToGrid w:val="0"/>
        <w:spacing w:line="360" w:lineRule="auto"/>
        <w:rPr>
          <w:rFonts w:asciiTheme="minorEastAsia" w:hAnsiTheme="minorEastAsia" w:eastAsiaTheme="minorEastAsia"/>
          <w:b/>
          <w:bCs/>
          <w:sz w:val="24"/>
          <w:szCs w:val="28"/>
        </w:rPr>
      </w:pPr>
    </w:p>
    <w:p>
      <w:pPr>
        <w:spacing w:line="360" w:lineRule="auto"/>
        <w:ind w:firstLine="435"/>
        <w:rPr>
          <w:rFonts w:asciiTheme="minorEastAsia" w:hAnsiTheme="minorEastAsia" w:eastAsiaTheme="minorEastAsia"/>
          <w:b/>
          <w:bCs/>
          <w:sz w:val="24"/>
          <w:szCs w:val="28"/>
        </w:rPr>
      </w:pPr>
      <w:r>
        <w:rPr>
          <w:rFonts w:hint="eastAsia" w:asciiTheme="minorEastAsia" w:hAnsiTheme="minorEastAsia" w:eastAsiaTheme="minorEastAsia"/>
          <w:b/>
          <w:bCs/>
          <w:sz w:val="24"/>
          <w:szCs w:val="28"/>
        </w:rPr>
        <w:t>备注：</w:t>
      </w:r>
    </w:p>
    <w:p>
      <w:pPr>
        <w:spacing w:line="360" w:lineRule="auto"/>
        <w:ind w:firstLine="435"/>
        <w:rPr>
          <w:rFonts w:asciiTheme="minorEastAsia" w:hAnsiTheme="minorEastAsia" w:eastAsiaTheme="minorEastAsia"/>
          <w:sz w:val="24"/>
          <w:szCs w:val="28"/>
        </w:rPr>
      </w:pPr>
      <w:r>
        <w:rPr>
          <w:rFonts w:hint="eastAsia" w:asciiTheme="minorEastAsia" w:hAnsiTheme="minorEastAsia" w:eastAsiaTheme="minorEastAsia"/>
          <w:sz w:val="24"/>
          <w:szCs w:val="28"/>
        </w:rPr>
        <w:t>1.表中所列业绩应为投标人满足招标文件要求的业绩；</w:t>
      </w:r>
    </w:p>
    <w:p>
      <w:pPr>
        <w:spacing w:line="360" w:lineRule="auto"/>
        <w:ind w:firstLine="435"/>
        <w:rPr>
          <w:rFonts w:asciiTheme="minorEastAsia" w:hAnsiTheme="minorEastAsia" w:eastAsiaTheme="minorEastAsia"/>
          <w:sz w:val="24"/>
          <w:szCs w:val="28"/>
        </w:rPr>
      </w:pPr>
      <w:r>
        <w:rPr>
          <w:rFonts w:hint="eastAsia" w:asciiTheme="minorEastAsia" w:hAnsiTheme="minorEastAsia" w:eastAsiaTheme="minorEastAsia"/>
          <w:sz w:val="24"/>
          <w:szCs w:val="28"/>
        </w:rPr>
        <w:t>2.中标人提供的以上业绩情况，如招标文件《投标人须知前附表》有约定的，将按约定随评审结果公告；</w:t>
      </w:r>
    </w:p>
    <w:p>
      <w:pPr>
        <w:spacing w:line="360" w:lineRule="auto"/>
        <w:ind w:firstLine="435"/>
        <w:rPr>
          <w:rFonts w:asciiTheme="minorEastAsia" w:hAnsiTheme="minorEastAsia" w:eastAsiaTheme="minorEastAsia"/>
          <w:sz w:val="24"/>
          <w:szCs w:val="28"/>
        </w:rPr>
      </w:pPr>
      <w:r>
        <w:rPr>
          <w:rFonts w:hint="eastAsia" w:asciiTheme="minorEastAsia" w:hAnsiTheme="minorEastAsia" w:eastAsiaTheme="minorEastAsia"/>
          <w:sz w:val="24"/>
          <w:szCs w:val="28"/>
        </w:rPr>
        <w:t>3.投标文件中须同时提供业绩合同（详见评标办法要求）。</w:t>
      </w:r>
    </w:p>
    <w:p>
      <w:pPr>
        <w:spacing w:line="360" w:lineRule="auto"/>
        <w:ind w:firstLine="435"/>
        <w:rPr>
          <w:rFonts w:asciiTheme="minorEastAsia" w:hAnsiTheme="minorEastAsia" w:eastAsiaTheme="minorEastAsia"/>
          <w:sz w:val="24"/>
          <w:szCs w:val="28"/>
        </w:rPr>
      </w:pPr>
      <w:r>
        <w:rPr>
          <w:rFonts w:hint="eastAsia" w:asciiTheme="minorEastAsia" w:hAnsiTheme="minorEastAsia" w:eastAsiaTheme="minorEastAsia"/>
          <w:sz w:val="24"/>
          <w:szCs w:val="28"/>
        </w:rPr>
        <w:t>4.投标人业绩中包含本次招标的核心产品，请在供货范围栏标注清楚，备注中注明是否已供货完成。</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bookmarkStart w:id="205" w:name="_Hlk11531103"/>
      <w:bookmarkStart w:id="206" w:name="OLE_LINK14"/>
      <w:bookmarkStart w:id="207" w:name="OLE_LINK13"/>
      <w:r>
        <w:rPr>
          <w:rFonts w:hint="eastAsia" w:asciiTheme="minorEastAsia" w:hAnsiTheme="minorEastAsia" w:eastAsiaTheme="minorEastAsia"/>
          <w:b/>
          <w:sz w:val="24"/>
        </w:rPr>
        <w:t>九、主要中标标的承诺函</w:t>
      </w:r>
    </w:p>
    <w:p>
      <w:pPr>
        <w:spacing w:line="360" w:lineRule="auto"/>
        <w:ind w:firstLine="435"/>
        <w:rPr>
          <w:rFonts w:asciiTheme="minorEastAsia" w:hAnsiTheme="minorEastAsia" w:eastAsiaTheme="minorEastAsia"/>
          <w:sz w:val="24"/>
          <w:szCs w:val="24"/>
        </w:rPr>
      </w:pPr>
    </w:p>
    <w:p>
      <w:pPr>
        <w:spacing w:line="360" w:lineRule="auto"/>
        <w:ind w:firstLine="435"/>
        <w:rPr>
          <w:rFonts w:asciiTheme="minorEastAsia" w:hAnsiTheme="minorEastAsia" w:eastAsiaTheme="minorEastAsia"/>
          <w:sz w:val="24"/>
          <w:szCs w:val="24"/>
        </w:rPr>
      </w:pPr>
      <w:r>
        <w:rPr>
          <w:rFonts w:hint="eastAsia" w:asciiTheme="minorEastAsia" w:hAnsiTheme="minorEastAsia" w:eastAsiaTheme="minorEastAsia"/>
          <w:sz w:val="24"/>
          <w:szCs w:val="24"/>
        </w:rPr>
        <w:t>我单位</w:t>
      </w:r>
      <w:r>
        <w:rPr>
          <w:rFonts w:hint="eastAsia" w:asciiTheme="minorEastAsia" w:hAnsiTheme="minorEastAsia" w:eastAsiaTheme="minorEastAsia"/>
          <w:sz w:val="24"/>
        </w:rPr>
        <w:t>同意中标结果</w:t>
      </w:r>
      <w:r>
        <w:rPr>
          <w:rFonts w:hint="eastAsia" w:asciiTheme="minorEastAsia" w:hAnsiTheme="minorEastAsia" w:eastAsiaTheme="minorEastAsia"/>
          <w:sz w:val="24"/>
          <w:szCs w:val="24"/>
        </w:rPr>
        <w:t>公告中公示以下主要中标标的信息并承诺：投标文件中所提供的主要中标标的信息均真实有效。若被发现存在任何虚假、隐瞒情况，我单位承担由此产生的一切后果。</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368"/>
        <w:gridCol w:w="919"/>
        <w:gridCol w:w="1423"/>
        <w:gridCol w:w="1635"/>
        <w:gridCol w:w="1565"/>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44" w:type="dxa"/>
            <w:vAlign w:val="center"/>
          </w:tcPr>
          <w:p>
            <w:pPr>
              <w:widowControl/>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368" w:type="dxa"/>
            <w:vAlign w:val="center"/>
          </w:tcPr>
          <w:p>
            <w:pPr>
              <w:widowControl/>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919" w:type="dxa"/>
            <w:vAlign w:val="center"/>
          </w:tcPr>
          <w:p>
            <w:pPr>
              <w:widowControl/>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品牌</w:t>
            </w:r>
          </w:p>
        </w:tc>
        <w:tc>
          <w:tcPr>
            <w:tcW w:w="1423" w:type="dxa"/>
            <w:vAlign w:val="center"/>
          </w:tcPr>
          <w:p>
            <w:pPr>
              <w:widowControl/>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规格型号</w:t>
            </w:r>
          </w:p>
        </w:tc>
        <w:tc>
          <w:tcPr>
            <w:tcW w:w="1635" w:type="dxa"/>
            <w:vAlign w:val="center"/>
          </w:tcPr>
          <w:p>
            <w:pPr>
              <w:widowControl/>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数量</w:t>
            </w:r>
          </w:p>
        </w:tc>
        <w:tc>
          <w:tcPr>
            <w:tcW w:w="1565" w:type="dxa"/>
            <w:vAlign w:val="center"/>
          </w:tcPr>
          <w:p>
            <w:pPr>
              <w:widowControl/>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单价</w:t>
            </w:r>
          </w:p>
        </w:tc>
        <w:tc>
          <w:tcPr>
            <w:tcW w:w="868" w:type="dxa"/>
            <w:vAlign w:val="center"/>
          </w:tcPr>
          <w:p>
            <w:pPr>
              <w:widowControl/>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368" w:type="dxa"/>
            <w:vAlign w:val="center"/>
          </w:tcPr>
          <w:p>
            <w:pPr>
              <w:spacing w:line="360" w:lineRule="auto"/>
              <w:rPr>
                <w:rFonts w:asciiTheme="minorEastAsia" w:hAnsiTheme="minorEastAsia" w:eastAsiaTheme="minorEastAsia"/>
                <w:sz w:val="24"/>
                <w:szCs w:val="24"/>
              </w:rPr>
            </w:pPr>
          </w:p>
        </w:tc>
        <w:tc>
          <w:tcPr>
            <w:tcW w:w="919" w:type="dxa"/>
            <w:vAlign w:val="center"/>
          </w:tcPr>
          <w:p>
            <w:pPr>
              <w:spacing w:line="360" w:lineRule="auto"/>
              <w:rPr>
                <w:rFonts w:asciiTheme="minorEastAsia" w:hAnsiTheme="minorEastAsia" w:eastAsiaTheme="minorEastAsia"/>
                <w:sz w:val="24"/>
                <w:szCs w:val="24"/>
              </w:rPr>
            </w:pPr>
          </w:p>
        </w:tc>
        <w:tc>
          <w:tcPr>
            <w:tcW w:w="1423" w:type="dxa"/>
            <w:vAlign w:val="center"/>
          </w:tcPr>
          <w:p>
            <w:pPr>
              <w:spacing w:line="360" w:lineRule="auto"/>
              <w:rPr>
                <w:rFonts w:asciiTheme="minorEastAsia" w:hAnsiTheme="minorEastAsia" w:eastAsiaTheme="minorEastAsia"/>
                <w:sz w:val="24"/>
                <w:szCs w:val="24"/>
              </w:rPr>
            </w:pPr>
          </w:p>
        </w:tc>
        <w:tc>
          <w:tcPr>
            <w:tcW w:w="1635" w:type="dxa"/>
            <w:vAlign w:val="center"/>
          </w:tcPr>
          <w:p>
            <w:pPr>
              <w:spacing w:line="360" w:lineRule="auto"/>
              <w:rPr>
                <w:rFonts w:asciiTheme="minorEastAsia" w:hAnsiTheme="minorEastAsia" w:eastAsiaTheme="minorEastAsia"/>
                <w:sz w:val="24"/>
                <w:szCs w:val="24"/>
              </w:rPr>
            </w:pPr>
          </w:p>
        </w:tc>
        <w:tc>
          <w:tcPr>
            <w:tcW w:w="1565" w:type="dxa"/>
            <w:vAlign w:val="center"/>
          </w:tcPr>
          <w:p>
            <w:pPr>
              <w:spacing w:line="360" w:lineRule="auto"/>
              <w:rPr>
                <w:rFonts w:asciiTheme="minorEastAsia" w:hAnsiTheme="minorEastAsia" w:eastAsiaTheme="minorEastAsia"/>
                <w:sz w:val="24"/>
                <w:szCs w:val="24"/>
              </w:rPr>
            </w:pPr>
          </w:p>
        </w:tc>
        <w:tc>
          <w:tcPr>
            <w:tcW w:w="86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368" w:type="dxa"/>
            <w:vAlign w:val="center"/>
          </w:tcPr>
          <w:p>
            <w:pPr>
              <w:spacing w:line="360" w:lineRule="auto"/>
              <w:rPr>
                <w:rFonts w:asciiTheme="minorEastAsia" w:hAnsiTheme="minorEastAsia" w:eastAsiaTheme="minorEastAsia"/>
                <w:sz w:val="24"/>
                <w:szCs w:val="24"/>
              </w:rPr>
            </w:pPr>
          </w:p>
        </w:tc>
        <w:tc>
          <w:tcPr>
            <w:tcW w:w="919" w:type="dxa"/>
            <w:vAlign w:val="center"/>
          </w:tcPr>
          <w:p>
            <w:pPr>
              <w:spacing w:line="360" w:lineRule="auto"/>
              <w:rPr>
                <w:rFonts w:asciiTheme="minorEastAsia" w:hAnsiTheme="minorEastAsia" w:eastAsiaTheme="minorEastAsia"/>
                <w:sz w:val="24"/>
                <w:szCs w:val="24"/>
              </w:rPr>
            </w:pPr>
          </w:p>
        </w:tc>
        <w:tc>
          <w:tcPr>
            <w:tcW w:w="1423" w:type="dxa"/>
            <w:vAlign w:val="center"/>
          </w:tcPr>
          <w:p>
            <w:pPr>
              <w:spacing w:line="360" w:lineRule="auto"/>
              <w:rPr>
                <w:rFonts w:asciiTheme="minorEastAsia" w:hAnsiTheme="minorEastAsia" w:eastAsiaTheme="minorEastAsia"/>
                <w:sz w:val="24"/>
                <w:szCs w:val="24"/>
              </w:rPr>
            </w:pPr>
          </w:p>
        </w:tc>
        <w:tc>
          <w:tcPr>
            <w:tcW w:w="1635" w:type="dxa"/>
            <w:vAlign w:val="center"/>
          </w:tcPr>
          <w:p>
            <w:pPr>
              <w:spacing w:line="360" w:lineRule="auto"/>
              <w:rPr>
                <w:rFonts w:asciiTheme="minorEastAsia" w:hAnsiTheme="minorEastAsia" w:eastAsiaTheme="minorEastAsia"/>
                <w:sz w:val="24"/>
                <w:szCs w:val="24"/>
              </w:rPr>
            </w:pPr>
          </w:p>
        </w:tc>
        <w:tc>
          <w:tcPr>
            <w:tcW w:w="1565" w:type="dxa"/>
            <w:vAlign w:val="center"/>
          </w:tcPr>
          <w:p>
            <w:pPr>
              <w:spacing w:line="360" w:lineRule="auto"/>
              <w:rPr>
                <w:rFonts w:asciiTheme="minorEastAsia" w:hAnsiTheme="minorEastAsia" w:eastAsiaTheme="minorEastAsia"/>
                <w:sz w:val="24"/>
                <w:szCs w:val="24"/>
              </w:rPr>
            </w:pPr>
          </w:p>
        </w:tc>
        <w:tc>
          <w:tcPr>
            <w:tcW w:w="86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1368" w:type="dxa"/>
            <w:vAlign w:val="center"/>
          </w:tcPr>
          <w:p>
            <w:pPr>
              <w:spacing w:line="360" w:lineRule="auto"/>
              <w:rPr>
                <w:rFonts w:asciiTheme="minorEastAsia" w:hAnsiTheme="minorEastAsia" w:eastAsiaTheme="minorEastAsia"/>
                <w:sz w:val="24"/>
                <w:szCs w:val="24"/>
              </w:rPr>
            </w:pPr>
          </w:p>
        </w:tc>
        <w:tc>
          <w:tcPr>
            <w:tcW w:w="919" w:type="dxa"/>
            <w:vAlign w:val="center"/>
          </w:tcPr>
          <w:p>
            <w:pPr>
              <w:spacing w:line="360" w:lineRule="auto"/>
              <w:rPr>
                <w:rFonts w:asciiTheme="minorEastAsia" w:hAnsiTheme="minorEastAsia" w:eastAsiaTheme="minorEastAsia"/>
                <w:sz w:val="24"/>
                <w:szCs w:val="24"/>
              </w:rPr>
            </w:pPr>
          </w:p>
        </w:tc>
        <w:tc>
          <w:tcPr>
            <w:tcW w:w="1423" w:type="dxa"/>
            <w:vAlign w:val="center"/>
          </w:tcPr>
          <w:p>
            <w:pPr>
              <w:spacing w:line="360" w:lineRule="auto"/>
              <w:rPr>
                <w:rFonts w:asciiTheme="minorEastAsia" w:hAnsiTheme="minorEastAsia" w:eastAsiaTheme="minorEastAsia"/>
                <w:sz w:val="24"/>
                <w:szCs w:val="24"/>
              </w:rPr>
            </w:pPr>
          </w:p>
        </w:tc>
        <w:tc>
          <w:tcPr>
            <w:tcW w:w="1635" w:type="dxa"/>
            <w:vAlign w:val="center"/>
          </w:tcPr>
          <w:p>
            <w:pPr>
              <w:spacing w:line="360" w:lineRule="auto"/>
              <w:rPr>
                <w:rFonts w:asciiTheme="minorEastAsia" w:hAnsiTheme="minorEastAsia" w:eastAsiaTheme="minorEastAsia"/>
                <w:sz w:val="24"/>
                <w:szCs w:val="24"/>
              </w:rPr>
            </w:pPr>
          </w:p>
        </w:tc>
        <w:tc>
          <w:tcPr>
            <w:tcW w:w="1565" w:type="dxa"/>
            <w:vAlign w:val="center"/>
          </w:tcPr>
          <w:p>
            <w:pPr>
              <w:spacing w:line="360" w:lineRule="auto"/>
              <w:rPr>
                <w:rFonts w:asciiTheme="minorEastAsia" w:hAnsiTheme="minorEastAsia" w:eastAsiaTheme="minorEastAsia"/>
                <w:sz w:val="24"/>
                <w:szCs w:val="24"/>
              </w:rPr>
            </w:pPr>
          </w:p>
        </w:tc>
        <w:tc>
          <w:tcPr>
            <w:tcW w:w="86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1368" w:type="dxa"/>
            <w:vAlign w:val="center"/>
          </w:tcPr>
          <w:p>
            <w:pPr>
              <w:spacing w:line="360" w:lineRule="auto"/>
              <w:rPr>
                <w:rFonts w:asciiTheme="minorEastAsia" w:hAnsiTheme="minorEastAsia" w:eastAsiaTheme="minorEastAsia"/>
                <w:sz w:val="24"/>
                <w:szCs w:val="24"/>
              </w:rPr>
            </w:pPr>
          </w:p>
        </w:tc>
        <w:tc>
          <w:tcPr>
            <w:tcW w:w="919" w:type="dxa"/>
            <w:vAlign w:val="center"/>
          </w:tcPr>
          <w:p>
            <w:pPr>
              <w:spacing w:line="360" w:lineRule="auto"/>
              <w:rPr>
                <w:rFonts w:asciiTheme="minorEastAsia" w:hAnsiTheme="minorEastAsia" w:eastAsiaTheme="minorEastAsia"/>
                <w:sz w:val="24"/>
                <w:szCs w:val="24"/>
              </w:rPr>
            </w:pPr>
          </w:p>
        </w:tc>
        <w:tc>
          <w:tcPr>
            <w:tcW w:w="1423" w:type="dxa"/>
            <w:vAlign w:val="center"/>
          </w:tcPr>
          <w:p>
            <w:pPr>
              <w:spacing w:line="360" w:lineRule="auto"/>
              <w:rPr>
                <w:rFonts w:asciiTheme="minorEastAsia" w:hAnsiTheme="minorEastAsia" w:eastAsiaTheme="minorEastAsia"/>
                <w:sz w:val="24"/>
                <w:szCs w:val="24"/>
              </w:rPr>
            </w:pPr>
          </w:p>
        </w:tc>
        <w:tc>
          <w:tcPr>
            <w:tcW w:w="1635" w:type="dxa"/>
            <w:vAlign w:val="center"/>
          </w:tcPr>
          <w:p>
            <w:pPr>
              <w:spacing w:line="360" w:lineRule="auto"/>
              <w:rPr>
                <w:rFonts w:asciiTheme="minorEastAsia" w:hAnsiTheme="minorEastAsia" w:eastAsiaTheme="minorEastAsia"/>
                <w:sz w:val="24"/>
                <w:szCs w:val="24"/>
              </w:rPr>
            </w:pPr>
          </w:p>
        </w:tc>
        <w:tc>
          <w:tcPr>
            <w:tcW w:w="1565" w:type="dxa"/>
            <w:vAlign w:val="center"/>
          </w:tcPr>
          <w:p>
            <w:pPr>
              <w:spacing w:line="360" w:lineRule="auto"/>
              <w:rPr>
                <w:rFonts w:asciiTheme="minorEastAsia" w:hAnsiTheme="minorEastAsia" w:eastAsiaTheme="minorEastAsia"/>
                <w:sz w:val="24"/>
                <w:szCs w:val="24"/>
              </w:rPr>
            </w:pPr>
          </w:p>
        </w:tc>
        <w:tc>
          <w:tcPr>
            <w:tcW w:w="86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5</w:t>
            </w:r>
          </w:p>
        </w:tc>
        <w:tc>
          <w:tcPr>
            <w:tcW w:w="1368" w:type="dxa"/>
            <w:vAlign w:val="center"/>
          </w:tcPr>
          <w:p>
            <w:pPr>
              <w:spacing w:line="360" w:lineRule="auto"/>
              <w:rPr>
                <w:rFonts w:asciiTheme="minorEastAsia" w:hAnsiTheme="minorEastAsia" w:eastAsiaTheme="minorEastAsia"/>
                <w:sz w:val="24"/>
                <w:szCs w:val="24"/>
              </w:rPr>
            </w:pPr>
          </w:p>
        </w:tc>
        <w:tc>
          <w:tcPr>
            <w:tcW w:w="919" w:type="dxa"/>
            <w:vAlign w:val="center"/>
          </w:tcPr>
          <w:p>
            <w:pPr>
              <w:spacing w:line="360" w:lineRule="auto"/>
              <w:rPr>
                <w:rFonts w:asciiTheme="minorEastAsia" w:hAnsiTheme="minorEastAsia" w:eastAsiaTheme="minorEastAsia"/>
                <w:sz w:val="24"/>
                <w:szCs w:val="24"/>
              </w:rPr>
            </w:pPr>
          </w:p>
        </w:tc>
        <w:tc>
          <w:tcPr>
            <w:tcW w:w="1423" w:type="dxa"/>
            <w:vAlign w:val="center"/>
          </w:tcPr>
          <w:p>
            <w:pPr>
              <w:spacing w:line="360" w:lineRule="auto"/>
              <w:rPr>
                <w:rFonts w:asciiTheme="minorEastAsia" w:hAnsiTheme="minorEastAsia" w:eastAsiaTheme="minorEastAsia"/>
                <w:sz w:val="24"/>
                <w:szCs w:val="24"/>
              </w:rPr>
            </w:pPr>
          </w:p>
        </w:tc>
        <w:tc>
          <w:tcPr>
            <w:tcW w:w="1635" w:type="dxa"/>
            <w:vAlign w:val="center"/>
          </w:tcPr>
          <w:p>
            <w:pPr>
              <w:spacing w:line="360" w:lineRule="auto"/>
              <w:rPr>
                <w:rFonts w:asciiTheme="minorEastAsia" w:hAnsiTheme="minorEastAsia" w:eastAsiaTheme="minorEastAsia"/>
                <w:sz w:val="24"/>
                <w:szCs w:val="24"/>
              </w:rPr>
            </w:pPr>
          </w:p>
        </w:tc>
        <w:tc>
          <w:tcPr>
            <w:tcW w:w="1565" w:type="dxa"/>
            <w:vAlign w:val="center"/>
          </w:tcPr>
          <w:p>
            <w:pPr>
              <w:spacing w:line="360" w:lineRule="auto"/>
              <w:rPr>
                <w:rFonts w:asciiTheme="minorEastAsia" w:hAnsiTheme="minorEastAsia" w:eastAsiaTheme="minorEastAsia"/>
                <w:sz w:val="24"/>
                <w:szCs w:val="24"/>
              </w:rPr>
            </w:pPr>
          </w:p>
        </w:tc>
        <w:tc>
          <w:tcPr>
            <w:tcW w:w="86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368" w:type="dxa"/>
            <w:vAlign w:val="center"/>
          </w:tcPr>
          <w:p>
            <w:pPr>
              <w:spacing w:line="360" w:lineRule="auto"/>
              <w:rPr>
                <w:rFonts w:asciiTheme="minorEastAsia" w:hAnsiTheme="minorEastAsia" w:eastAsiaTheme="minorEastAsia"/>
                <w:sz w:val="24"/>
                <w:szCs w:val="24"/>
              </w:rPr>
            </w:pPr>
          </w:p>
        </w:tc>
        <w:tc>
          <w:tcPr>
            <w:tcW w:w="919" w:type="dxa"/>
            <w:vAlign w:val="center"/>
          </w:tcPr>
          <w:p>
            <w:pPr>
              <w:spacing w:line="360" w:lineRule="auto"/>
              <w:rPr>
                <w:rFonts w:asciiTheme="minorEastAsia" w:hAnsiTheme="minorEastAsia" w:eastAsiaTheme="minorEastAsia"/>
                <w:sz w:val="24"/>
                <w:szCs w:val="24"/>
              </w:rPr>
            </w:pPr>
          </w:p>
        </w:tc>
        <w:tc>
          <w:tcPr>
            <w:tcW w:w="1423" w:type="dxa"/>
            <w:vAlign w:val="center"/>
          </w:tcPr>
          <w:p>
            <w:pPr>
              <w:spacing w:line="360" w:lineRule="auto"/>
              <w:rPr>
                <w:rFonts w:asciiTheme="minorEastAsia" w:hAnsiTheme="minorEastAsia" w:eastAsiaTheme="minorEastAsia"/>
                <w:sz w:val="24"/>
                <w:szCs w:val="24"/>
              </w:rPr>
            </w:pPr>
          </w:p>
        </w:tc>
        <w:tc>
          <w:tcPr>
            <w:tcW w:w="1635" w:type="dxa"/>
            <w:vAlign w:val="center"/>
          </w:tcPr>
          <w:p>
            <w:pPr>
              <w:spacing w:line="360" w:lineRule="auto"/>
              <w:rPr>
                <w:rFonts w:asciiTheme="minorEastAsia" w:hAnsiTheme="minorEastAsia" w:eastAsiaTheme="minorEastAsia"/>
                <w:sz w:val="24"/>
                <w:szCs w:val="24"/>
              </w:rPr>
            </w:pPr>
          </w:p>
        </w:tc>
        <w:tc>
          <w:tcPr>
            <w:tcW w:w="1565" w:type="dxa"/>
            <w:vAlign w:val="center"/>
          </w:tcPr>
          <w:p>
            <w:pPr>
              <w:spacing w:line="360" w:lineRule="auto"/>
              <w:rPr>
                <w:rFonts w:asciiTheme="minorEastAsia" w:hAnsiTheme="minorEastAsia" w:eastAsiaTheme="minorEastAsia"/>
                <w:sz w:val="24"/>
                <w:szCs w:val="24"/>
              </w:rPr>
            </w:pPr>
          </w:p>
        </w:tc>
        <w:tc>
          <w:tcPr>
            <w:tcW w:w="868" w:type="dxa"/>
            <w:vAlign w:val="center"/>
          </w:tcPr>
          <w:p>
            <w:pPr>
              <w:spacing w:line="360" w:lineRule="auto"/>
              <w:rPr>
                <w:rFonts w:asciiTheme="minorEastAsia" w:hAnsiTheme="minorEastAsia" w:eastAsiaTheme="minorEastAsia"/>
                <w:sz w:val="24"/>
                <w:szCs w:val="24"/>
              </w:rPr>
            </w:pPr>
          </w:p>
        </w:tc>
      </w:tr>
    </w:tbl>
    <w:p>
      <w:pPr>
        <w:spacing w:line="360" w:lineRule="auto"/>
        <w:ind w:firstLine="4245" w:firstLineChars="1762"/>
        <w:rPr>
          <w:rFonts w:asciiTheme="minorEastAsia" w:hAnsiTheme="minorEastAsia" w:eastAsiaTheme="minorEastAsia"/>
          <w:b/>
          <w:sz w:val="24"/>
        </w:rPr>
      </w:pPr>
    </w:p>
    <w:p>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投标人电子签章：</w:t>
      </w:r>
      <w:r>
        <w:rPr>
          <w:rFonts w:hint="eastAsia" w:asciiTheme="minorEastAsia" w:hAnsiTheme="minorEastAsia" w:eastAsiaTheme="minorEastAsia"/>
          <w:sz w:val="24"/>
          <w:u w:val="single"/>
        </w:rPr>
        <w:t xml:space="preserve">              </w:t>
      </w:r>
    </w:p>
    <w:p>
      <w:pPr>
        <w:tabs>
          <w:tab w:val="left" w:pos="630"/>
        </w:tabs>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 xml:space="preserve">日    </w:t>
      </w:r>
      <w:r>
        <w:rPr>
          <w:rFonts w:asciiTheme="minorEastAsia" w:hAnsiTheme="minorEastAsia" w:eastAsiaTheme="minorEastAsia"/>
          <w:sz w:val="24"/>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 xml:space="preserve">   </w:t>
      </w:r>
      <w:r>
        <w:rPr>
          <w:rFonts w:hint="eastAsia" w:asciiTheme="minorEastAsia" w:hAnsiTheme="minorEastAsia" w:eastAsiaTheme="minorEastAsia"/>
          <w:sz w:val="24"/>
        </w:rPr>
        <w:t xml:space="preserve"> 期：</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    </w:t>
      </w:r>
    </w:p>
    <w:p>
      <w:pPr>
        <w:adjustRightInd w:val="0"/>
        <w:snapToGrid w:val="0"/>
        <w:spacing w:line="360" w:lineRule="auto"/>
        <w:rPr>
          <w:rFonts w:asciiTheme="minorEastAsia" w:hAnsiTheme="minorEastAsia" w:eastAsiaTheme="minorEastAsia"/>
          <w:b/>
          <w:bCs/>
          <w:sz w:val="24"/>
          <w:szCs w:val="24"/>
        </w:rPr>
      </w:pPr>
    </w:p>
    <w:p>
      <w:pPr>
        <w:adjustRightInd w:val="0"/>
        <w:snapToGrid w:val="0"/>
        <w:spacing w:line="360" w:lineRule="auto"/>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备注：</w:t>
      </w:r>
    </w:p>
    <w:p>
      <w:pPr>
        <w:spacing w:line="360" w:lineRule="auto"/>
        <w:ind w:firstLine="435"/>
        <w:rPr>
          <w:rFonts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hint="eastAsia" w:asciiTheme="minorEastAsia" w:hAnsiTheme="minorEastAsia" w:eastAsiaTheme="minorEastAsia"/>
          <w:sz w:val="24"/>
          <w:szCs w:val="24"/>
        </w:rPr>
        <w:t>表中所列内容为满足本项目要求的</w:t>
      </w:r>
      <w:r>
        <w:rPr>
          <w:rFonts w:hint="eastAsia" w:asciiTheme="minorEastAsia" w:hAnsiTheme="minorEastAsia" w:eastAsiaTheme="minorEastAsia"/>
          <w:bCs/>
          <w:sz w:val="24"/>
          <w:szCs w:val="24"/>
        </w:rPr>
        <w:t>主要中标标的信息；</w:t>
      </w:r>
    </w:p>
    <w:p>
      <w:pPr>
        <w:spacing w:line="360" w:lineRule="auto"/>
        <w:ind w:firstLine="435"/>
        <w:rPr>
          <w:rFonts w:asciiTheme="minorEastAsia" w:hAnsiTheme="minorEastAsia" w:eastAsiaTheme="minorEastAsia"/>
          <w:sz w:val="24"/>
          <w:szCs w:val="24"/>
        </w:rPr>
      </w:pPr>
      <w:r>
        <w:rPr>
          <w:rFonts w:hint="eastAsia" w:asciiTheme="minorEastAsia" w:hAnsiTheme="minorEastAsia" w:eastAsiaTheme="minorEastAsia"/>
          <w:bCs/>
          <w:sz w:val="24"/>
          <w:szCs w:val="24"/>
        </w:rPr>
        <w:t>2.</w:t>
      </w:r>
      <w:r>
        <w:rPr>
          <w:rFonts w:hint="eastAsia" w:asciiTheme="minorEastAsia" w:hAnsiTheme="minorEastAsia" w:eastAsiaTheme="minorEastAsia"/>
          <w:sz w:val="24"/>
          <w:szCs w:val="24"/>
        </w:rPr>
        <w:t>中标人提供的以上承诺情况（含货物名称、品牌、规格型号、数量、单价），将按约定随</w:t>
      </w:r>
      <w:r>
        <w:rPr>
          <w:rFonts w:hint="eastAsia" w:asciiTheme="minorEastAsia" w:hAnsiTheme="minorEastAsia" w:eastAsiaTheme="minorEastAsia"/>
          <w:sz w:val="24"/>
        </w:rPr>
        <w:t>中标结果公告</w:t>
      </w:r>
      <w:r>
        <w:rPr>
          <w:rFonts w:hint="eastAsia" w:asciiTheme="minorEastAsia" w:hAnsiTheme="minorEastAsia" w:eastAsiaTheme="minorEastAsia"/>
          <w:sz w:val="24"/>
          <w:szCs w:val="24"/>
        </w:rPr>
        <w:t>同时公告。</w:t>
      </w:r>
    </w:p>
    <w:p>
      <w:pPr>
        <w:spacing w:line="360" w:lineRule="auto"/>
        <w:ind w:firstLine="435"/>
        <w:rPr>
          <w:rFonts w:asciiTheme="minorEastAsia" w:hAnsiTheme="minorEastAsia" w:eastAsiaTheme="minorEastAsia"/>
          <w:bCs/>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bCs/>
          <w:sz w:val="24"/>
          <w:szCs w:val="24"/>
        </w:rPr>
        <w:t>本页</w:t>
      </w:r>
      <w:r>
        <w:rPr>
          <w:rFonts w:hint="eastAsia" w:asciiTheme="minorEastAsia" w:hAnsiTheme="minorEastAsia" w:eastAsiaTheme="minorEastAsia"/>
          <w:sz w:val="24"/>
        </w:rPr>
        <w:t>《主要中标标的承诺函》</w:t>
      </w:r>
      <w:r>
        <w:rPr>
          <w:rFonts w:hint="eastAsia" w:asciiTheme="minorEastAsia" w:hAnsiTheme="minorEastAsia" w:eastAsiaTheme="minorEastAsia"/>
          <w:bCs/>
          <w:sz w:val="24"/>
          <w:szCs w:val="24"/>
        </w:rPr>
        <w:t>由投标人准确填写。</w:t>
      </w:r>
    </w:p>
    <w:bookmarkEnd w:id="205"/>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十、中小企业声明函</w:t>
      </w:r>
    </w:p>
    <w:p>
      <w:pPr>
        <w:spacing w:line="360" w:lineRule="auto"/>
        <w:jc w:val="center"/>
        <w:rPr>
          <w:rFonts w:asciiTheme="minorEastAsia" w:hAnsiTheme="minorEastAsia" w:eastAsiaTheme="minorEastAsia"/>
          <w:i/>
          <w:sz w:val="24"/>
          <w:szCs w:val="24"/>
          <w:lang w:val="zh-CN"/>
        </w:rPr>
      </w:pPr>
      <w:r>
        <w:rPr>
          <w:rFonts w:hint="eastAsia" w:asciiTheme="minorEastAsia" w:hAnsiTheme="minorEastAsia" w:eastAsiaTheme="minorEastAsia"/>
          <w:i/>
          <w:sz w:val="24"/>
          <w:szCs w:val="24"/>
          <w:lang w:val="zh-CN"/>
        </w:rPr>
        <w:t>（非中小企业投标，不需此件）</w:t>
      </w:r>
    </w:p>
    <w:p>
      <w:pPr>
        <w:rPr>
          <w:rFonts w:asciiTheme="minorEastAsia" w:hAnsiTheme="minorEastAsia" w:eastAsiaTheme="minorEastAsia"/>
          <w:sz w:val="24"/>
          <w:szCs w:val="24"/>
        </w:rPr>
      </w:pP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本公司（联合体）郑重声明，根据《政府采购促进中小企业发展管理办法》（财库﹝2020﹞46号）的规定，本公司（联合体）参加</w:t>
      </w:r>
      <w:r>
        <w:rPr>
          <w:rFonts w:hint="eastAsia" w:ascii="宋体" w:hAnsi="宋体" w:eastAsia="宋体"/>
          <w:sz w:val="24"/>
          <w:szCs w:val="24"/>
          <w:u w:val="single"/>
          <w:lang w:val="zh-CN"/>
        </w:rPr>
        <w:t>（某采购单位）</w:t>
      </w:r>
      <w:r>
        <w:rPr>
          <w:rFonts w:hint="eastAsia" w:ascii="宋体" w:hAnsi="宋体" w:eastAsia="宋体"/>
          <w:sz w:val="24"/>
          <w:szCs w:val="24"/>
          <w:lang w:val="zh-CN"/>
        </w:rPr>
        <w:t>的</w:t>
      </w:r>
      <w:r>
        <w:rPr>
          <w:rFonts w:hint="eastAsia" w:ascii="宋体" w:hAnsi="宋体" w:eastAsia="宋体"/>
          <w:sz w:val="24"/>
          <w:szCs w:val="24"/>
          <w:u w:val="single"/>
          <w:lang w:val="zh-CN"/>
        </w:rPr>
        <w:t>（某项目）</w:t>
      </w:r>
      <w:r>
        <w:rPr>
          <w:rFonts w:hint="eastAsia" w:ascii="宋体" w:hAnsi="宋体" w:eastAsia="宋体"/>
          <w:sz w:val="24"/>
          <w:szCs w:val="24"/>
          <w:lang w:val="zh-CN"/>
        </w:rPr>
        <w:t xml:space="preserve">采购活动，提供的货物全部由符合政策要求的中小企业制造。相关企业（含联合体中的中小企业、签订分包意向协议的中小企业）的具体情况如下： </w:t>
      </w: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1.</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行业；制造商为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人，营业收入为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万元，资产总额为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万元，属于</w:t>
      </w:r>
      <w:r>
        <w:rPr>
          <w:rFonts w:hint="eastAsia" w:ascii="宋体" w:hAnsi="宋体" w:eastAsia="宋体"/>
          <w:sz w:val="24"/>
          <w:szCs w:val="24"/>
          <w:u w:val="single"/>
          <w:lang w:val="zh-CN"/>
        </w:rPr>
        <w:t>（中型企业、小型企业、微型企业）</w:t>
      </w:r>
      <w:r>
        <w:rPr>
          <w:rFonts w:hint="eastAsia" w:ascii="宋体" w:hAnsi="宋体" w:eastAsia="宋体"/>
          <w:sz w:val="24"/>
          <w:szCs w:val="24"/>
          <w:lang w:val="zh-CN"/>
        </w:rPr>
        <w:t xml:space="preserve">； </w:t>
      </w: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2.</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行业；制造商为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人，营业收入为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万元，资产总额为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万元，属于</w:t>
      </w:r>
      <w:r>
        <w:rPr>
          <w:rFonts w:hint="eastAsia" w:ascii="宋体" w:hAnsi="宋体" w:eastAsia="宋体"/>
          <w:sz w:val="24"/>
          <w:szCs w:val="24"/>
          <w:u w:val="single"/>
          <w:lang w:val="zh-CN"/>
        </w:rPr>
        <w:t>（中型企业、小型企业、微型企业）</w:t>
      </w:r>
      <w:r>
        <w:rPr>
          <w:rFonts w:hint="eastAsia" w:ascii="宋体" w:hAnsi="宋体" w:eastAsia="宋体"/>
          <w:sz w:val="24"/>
          <w:szCs w:val="24"/>
          <w:lang w:val="zh-CN"/>
        </w:rPr>
        <w:t xml:space="preserve">； </w:t>
      </w: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w:t>
      </w: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以上企业，不属于大企业的分支机构，不存在控股股东为大企业的情形，也不存在与大企业的负责人为同一人的情形。</w:t>
      </w:r>
    </w:p>
    <w:p>
      <w:pPr>
        <w:spacing w:line="360" w:lineRule="auto"/>
        <w:ind w:firstLine="435"/>
        <w:rPr>
          <w:rFonts w:ascii="宋体" w:hAnsi="宋体" w:eastAsia="宋体"/>
          <w:sz w:val="24"/>
          <w:szCs w:val="24"/>
          <w:lang w:val="zh-CN"/>
        </w:rPr>
      </w:pPr>
      <w:r>
        <w:rPr>
          <w:rFonts w:hint="eastAsia" w:ascii="宋体" w:hAnsi="宋体" w:eastAsia="宋体"/>
          <w:sz w:val="24"/>
          <w:szCs w:val="24"/>
          <w:lang w:val="zh-CN"/>
        </w:rPr>
        <w:t xml:space="preserve">本企业对上述声明内容的真实性负责。如有虚假，将依法承担相应责任。 </w:t>
      </w:r>
    </w:p>
    <w:p>
      <w:pPr>
        <w:spacing w:line="360" w:lineRule="auto"/>
        <w:ind w:firstLine="435"/>
        <w:rPr>
          <w:rFonts w:asciiTheme="minorEastAsia" w:hAnsiTheme="minorEastAsia" w:eastAsiaTheme="minorEastAsia"/>
          <w:sz w:val="24"/>
          <w:szCs w:val="24"/>
        </w:rPr>
      </w:pPr>
    </w:p>
    <w:p>
      <w:pPr>
        <w:spacing w:line="360" w:lineRule="auto"/>
        <w:ind w:firstLine="435"/>
        <w:rPr>
          <w:rFonts w:asciiTheme="minorEastAsia" w:hAnsiTheme="minorEastAsia" w:eastAsiaTheme="minorEastAsia"/>
          <w:sz w:val="24"/>
          <w:szCs w:val="24"/>
        </w:rPr>
      </w:pPr>
    </w:p>
    <w:p>
      <w:pPr>
        <w:spacing w:line="360" w:lineRule="auto"/>
        <w:ind w:firstLine="4228" w:firstLineChars="176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投标人</w:t>
      </w:r>
      <w:r>
        <w:rPr>
          <w:rFonts w:asciiTheme="minorEastAsia" w:hAnsiTheme="minorEastAsia" w:eastAsiaTheme="minorEastAsia"/>
          <w:sz w:val="24"/>
          <w:szCs w:val="24"/>
        </w:rPr>
        <w:t>电子签章</w:t>
      </w:r>
      <w:r>
        <w:rPr>
          <w:rFonts w:hint="eastAsia" w:asciiTheme="minorEastAsia" w:hAnsiTheme="minorEastAsia" w:eastAsiaTheme="minorEastAsia"/>
          <w:sz w:val="24"/>
          <w:szCs w:val="24"/>
        </w:rPr>
        <w:t>：</w:t>
      </w:r>
      <w:r>
        <w:rPr>
          <w:rFonts w:asciiTheme="minorEastAsia" w:hAnsiTheme="minorEastAsia" w:eastAsiaTheme="minorEastAsia"/>
          <w:sz w:val="24"/>
          <w:szCs w:val="24"/>
          <w:u w:val="single"/>
        </w:rPr>
        <w:t xml:space="preserve">             </w:t>
      </w:r>
    </w:p>
    <w:p>
      <w:pPr>
        <w:tabs>
          <w:tab w:val="left" w:pos="4620"/>
        </w:tabs>
        <w:spacing w:line="360" w:lineRule="auto"/>
        <w:ind w:firstLine="4252" w:firstLineChars="177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日</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 xml:space="preserve">    期：</w:t>
      </w:r>
      <w:r>
        <w:rPr>
          <w:rFonts w:asciiTheme="minorEastAsia" w:hAnsiTheme="minorEastAsia" w:eastAsiaTheme="minorEastAsia"/>
          <w:sz w:val="24"/>
          <w:szCs w:val="24"/>
          <w:u w:val="single"/>
        </w:rPr>
        <w:t xml:space="preserve">             </w:t>
      </w:r>
    </w:p>
    <w:p>
      <w:pPr>
        <w:tabs>
          <w:tab w:val="left" w:pos="4620"/>
        </w:tabs>
        <w:spacing w:line="360" w:lineRule="auto"/>
        <w:jc w:val="left"/>
        <w:rPr>
          <w:rFonts w:asciiTheme="minorEastAsia" w:hAnsiTheme="minorEastAsia" w:eastAsiaTheme="minorEastAsia"/>
          <w:sz w:val="24"/>
          <w:szCs w:val="24"/>
        </w:rPr>
      </w:pPr>
    </w:p>
    <w:p>
      <w:pPr>
        <w:tabs>
          <w:tab w:val="left" w:pos="4620"/>
        </w:tabs>
        <w:spacing w:line="360" w:lineRule="auto"/>
        <w:jc w:val="left"/>
        <w:rPr>
          <w:rFonts w:asciiTheme="minorEastAsia" w:hAnsiTheme="minorEastAsia" w:eastAsiaTheme="minorEastAsia"/>
          <w:sz w:val="24"/>
          <w:szCs w:val="24"/>
        </w:rPr>
      </w:pPr>
    </w:p>
    <w:p>
      <w:pPr>
        <w:tabs>
          <w:tab w:val="left" w:pos="4620"/>
        </w:tabs>
        <w:spacing w:line="360" w:lineRule="auto"/>
        <w:jc w:val="left"/>
        <w:rPr>
          <w:rFonts w:asciiTheme="minorEastAsia" w:hAnsiTheme="minorEastAsia" w:eastAsiaTheme="minorEastAsia"/>
          <w:sz w:val="24"/>
          <w:szCs w:val="24"/>
        </w:rPr>
      </w:pPr>
    </w:p>
    <w:p>
      <w:pPr>
        <w:tabs>
          <w:tab w:val="left" w:pos="4620"/>
        </w:tabs>
        <w:spacing w:line="360" w:lineRule="auto"/>
        <w:jc w:val="left"/>
        <w:rPr>
          <w:rFonts w:asciiTheme="minorEastAsia" w:hAnsiTheme="minorEastAsia" w:eastAsiaTheme="minorEastAsia"/>
          <w:sz w:val="24"/>
          <w:szCs w:val="24"/>
        </w:rPr>
      </w:pPr>
    </w:p>
    <w:p>
      <w:pPr>
        <w:tabs>
          <w:tab w:val="left" w:pos="4620"/>
        </w:tabs>
        <w:spacing w:line="360" w:lineRule="auto"/>
        <w:jc w:val="left"/>
        <w:rPr>
          <w:rFonts w:asciiTheme="minorEastAsia" w:hAnsiTheme="minorEastAsia" w:eastAsiaTheme="minorEastAsia"/>
          <w:sz w:val="24"/>
          <w:szCs w:val="24"/>
        </w:rPr>
      </w:pPr>
    </w:p>
    <w:p>
      <w:pPr>
        <w:tabs>
          <w:tab w:val="left" w:pos="4620"/>
        </w:tabs>
        <w:spacing w:line="360" w:lineRule="auto"/>
        <w:jc w:val="left"/>
        <w:rPr>
          <w:rFonts w:asciiTheme="minorEastAsia" w:hAnsiTheme="minorEastAsia" w:eastAsiaTheme="minorEastAsia"/>
          <w:sz w:val="24"/>
          <w:szCs w:val="24"/>
        </w:rPr>
      </w:pPr>
    </w:p>
    <w:p>
      <w:pPr>
        <w:tabs>
          <w:tab w:val="left" w:pos="4620"/>
        </w:tabs>
        <w:spacing w:line="360" w:lineRule="auto"/>
        <w:jc w:val="left"/>
        <w:rPr>
          <w:rFonts w:asciiTheme="minorEastAsia" w:hAnsiTheme="minorEastAsia" w:eastAsiaTheme="minorEastAsia"/>
          <w:szCs w:val="24"/>
        </w:rPr>
      </w:pPr>
      <w:r>
        <w:rPr>
          <w:rFonts w:hint="eastAsia" w:asciiTheme="minorEastAsia" w:hAnsiTheme="minorEastAsia" w:eastAsiaTheme="minorEastAsia"/>
          <w:szCs w:val="24"/>
        </w:rPr>
        <w:t>注：从业人员、营业收入、资产总额填报上一年数据，无上一年数据的新成立企业可不填报。</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十一、残疾人福利性单位声明函</w:t>
      </w:r>
    </w:p>
    <w:p>
      <w:pPr>
        <w:spacing w:line="360" w:lineRule="auto"/>
        <w:ind w:firstLine="461"/>
        <w:jc w:val="center"/>
        <w:rPr>
          <w:rFonts w:cs="Arial" w:asciiTheme="minorEastAsia" w:hAnsiTheme="minorEastAsia" w:eastAsiaTheme="minorEastAsia"/>
          <w:b/>
          <w:i/>
          <w:sz w:val="24"/>
          <w:szCs w:val="24"/>
        </w:rPr>
      </w:pPr>
      <w:r>
        <w:rPr>
          <w:rFonts w:hint="eastAsia" w:cs="Arial" w:asciiTheme="minorEastAsia" w:hAnsiTheme="minorEastAsia" w:eastAsiaTheme="minorEastAsia"/>
          <w:b/>
          <w:i/>
          <w:sz w:val="24"/>
          <w:szCs w:val="24"/>
        </w:rPr>
        <w:t>（非残疾人福利性单位投标，不需此件）</w:t>
      </w:r>
    </w:p>
    <w:p>
      <w:pPr>
        <w:spacing w:line="360" w:lineRule="auto"/>
        <w:ind w:firstLine="435"/>
        <w:rPr>
          <w:rFonts w:asciiTheme="minorEastAsia" w:hAnsiTheme="minorEastAsia" w:eastAsiaTheme="minorEastAsia"/>
          <w:spacing w:val="6"/>
          <w:sz w:val="24"/>
          <w:szCs w:val="24"/>
        </w:rPr>
      </w:pPr>
    </w:p>
    <w:p>
      <w:pPr>
        <w:spacing w:line="360" w:lineRule="auto"/>
        <w:ind w:firstLine="435"/>
        <w:rPr>
          <w:rFonts w:asciiTheme="minorEastAsia" w:hAnsiTheme="minorEastAsia" w:eastAsiaTheme="minorEastAsia"/>
          <w:spacing w:val="6"/>
          <w:sz w:val="24"/>
          <w:szCs w:val="24"/>
        </w:rPr>
      </w:pPr>
      <w:r>
        <w:rPr>
          <w:rFonts w:hint="eastAsia" w:asciiTheme="minorEastAsia" w:hAnsiTheme="minorEastAsia" w:eastAsiaTheme="minorEastAsia"/>
          <w:spacing w:val="6"/>
          <w:sz w:val="24"/>
          <w:szCs w:val="24"/>
        </w:rPr>
        <w:t>本单位</w:t>
      </w:r>
      <w:r>
        <w:rPr>
          <w:rFonts w:hint="eastAsia" w:asciiTheme="minorEastAsia" w:hAnsiTheme="minorEastAsia" w:eastAsiaTheme="minorEastAsia"/>
          <w:sz w:val="24"/>
        </w:rPr>
        <w:t>郑重</w:t>
      </w:r>
      <w:r>
        <w:rPr>
          <w:rFonts w:hint="eastAsia" w:asciiTheme="minorEastAsia" w:hAnsiTheme="minorEastAsia" w:eastAsiaTheme="minorEastAsia"/>
          <w:spacing w:val="6"/>
          <w:sz w:val="24"/>
          <w:szCs w:val="24"/>
        </w:rPr>
        <w:t>声明，根据《财政部 民政部 中国残疾人联合会关于促进残疾人就业政府采购政策的通知》（财库</w:t>
      </w:r>
      <w:r>
        <w:rPr>
          <w:rFonts w:hint="eastAsia" w:asciiTheme="minorEastAsia" w:hAnsiTheme="minorEastAsia" w:eastAsiaTheme="minorEastAsia"/>
          <w:sz w:val="24"/>
          <w:szCs w:val="24"/>
        </w:rPr>
        <w:t>〔2017〕141</w:t>
      </w:r>
      <w:r>
        <w:rPr>
          <w:rFonts w:hint="eastAsia" w:asciiTheme="minorEastAsia" w:hAnsiTheme="minorEastAsia" w:eastAsiaTheme="minorEastAsia"/>
          <w:spacing w:val="6"/>
          <w:sz w:val="24"/>
          <w:szCs w:val="24"/>
        </w:rPr>
        <w:t>号）的规定，本单位为</w:t>
      </w:r>
      <w:r>
        <w:rPr>
          <w:rFonts w:hint="eastAsia" w:asciiTheme="minorEastAsia" w:hAnsiTheme="minorEastAsia" w:eastAsiaTheme="minorEastAsia"/>
          <w:b/>
          <w:bCs/>
          <w:sz w:val="24"/>
          <w:szCs w:val="24"/>
        </w:rPr>
        <w:t>符合</w:t>
      </w:r>
      <w:r>
        <w:rPr>
          <w:rFonts w:hint="eastAsia" w:asciiTheme="minorEastAsia" w:hAnsiTheme="minorEastAsia" w:eastAsiaTheme="minorEastAsia"/>
          <w:b/>
          <w:spacing w:val="6"/>
          <w:sz w:val="24"/>
          <w:szCs w:val="24"/>
        </w:rPr>
        <w:t>条件</w:t>
      </w:r>
      <w:r>
        <w:rPr>
          <w:rFonts w:hint="eastAsia" w:asciiTheme="minorEastAsia" w:hAnsiTheme="minorEastAsia" w:eastAsiaTheme="minorEastAsia"/>
          <w:spacing w:val="6"/>
          <w:sz w:val="24"/>
          <w:szCs w:val="24"/>
        </w:rPr>
        <w:t>的残疾人福利性单位，且本单位参加</w:t>
      </w:r>
      <w:r>
        <w:rPr>
          <w:rFonts w:hint="eastAsia" w:ascii="宋体" w:hAnsi="宋体" w:eastAsia="宋体"/>
          <w:sz w:val="24"/>
          <w:szCs w:val="24"/>
          <w:u w:val="single"/>
          <w:lang w:val="zh-CN"/>
        </w:rPr>
        <w:t>（某采购单位）</w:t>
      </w:r>
      <w:r>
        <w:rPr>
          <w:rFonts w:hint="eastAsia" w:ascii="宋体" w:hAnsi="宋体" w:eastAsia="宋体"/>
          <w:sz w:val="24"/>
          <w:szCs w:val="24"/>
          <w:lang w:val="zh-CN"/>
        </w:rPr>
        <w:t>的</w:t>
      </w:r>
      <w:r>
        <w:rPr>
          <w:rFonts w:hint="eastAsia" w:ascii="宋体" w:hAnsi="宋体" w:eastAsia="宋体"/>
          <w:sz w:val="24"/>
          <w:szCs w:val="24"/>
          <w:u w:val="single"/>
          <w:lang w:val="zh-CN"/>
        </w:rPr>
        <w:t>（某项目）</w:t>
      </w:r>
      <w:r>
        <w:rPr>
          <w:rFonts w:hint="eastAsia" w:asciiTheme="minorEastAsia" w:hAnsiTheme="minorEastAsia" w:eastAsiaTheme="minorEastAsia"/>
          <w:spacing w:val="6"/>
          <w:sz w:val="24"/>
          <w:szCs w:val="24"/>
        </w:rPr>
        <w:t>采购活动提供本单位制造的货物，或者提供其他残疾人福利性单位制造的货物（不包括使用非残疾人福利性单位注册商标的货物）。</w:t>
      </w:r>
    </w:p>
    <w:p>
      <w:pPr>
        <w:spacing w:line="360" w:lineRule="auto"/>
        <w:ind w:firstLine="435"/>
        <w:rPr>
          <w:rFonts w:asciiTheme="minorEastAsia" w:hAnsiTheme="minorEastAsia" w:eastAsiaTheme="minorEastAsia"/>
          <w:spacing w:val="6"/>
          <w:sz w:val="24"/>
          <w:szCs w:val="24"/>
        </w:rPr>
      </w:pPr>
      <w:r>
        <w:rPr>
          <w:rFonts w:hint="eastAsia" w:asciiTheme="minorEastAsia" w:hAnsiTheme="minorEastAsia" w:eastAsiaTheme="minorEastAsia"/>
          <w:spacing w:val="6"/>
          <w:sz w:val="24"/>
          <w:szCs w:val="24"/>
        </w:rPr>
        <w:t>本单位对上述声明的真实性负责。如有虚假，将依法承担相应责任。</w:t>
      </w:r>
    </w:p>
    <w:p>
      <w:pPr>
        <w:spacing w:line="360" w:lineRule="auto"/>
        <w:ind w:firstLine="4228" w:firstLineChars="1762"/>
        <w:rPr>
          <w:rFonts w:asciiTheme="minorEastAsia" w:hAnsiTheme="minorEastAsia" w:eastAsiaTheme="minorEastAsia"/>
          <w:sz w:val="24"/>
          <w:szCs w:val="24"/>
        </w:rPr>
      </w:pPr>
    </w:p>
    <w:p>
      <w:pPr>
        <w:spacing w:line="360" w:lineRule="auto"/>
        <w:ind w:firstLine="4228" w:firstLineChars="1762"/>
        <w:rPr>
          <w:rFonts w:asciiTheme="minorEastAsia" w:hAnsiTheme="minorEastAsia" w:eastAsiaTheme="minorEastAsia"/>
          <w:sz w:val="24"/>
          <w:szCs w:val="24"/>
        </w:rPr>
      </w:pPr>
    </w:p>
    <w:p>
      <w:pPr>
        <w:spacing w:line="360" w:lineRule="auto"/>
        <w:ind w:firstLine="4228" w:firstLineChars="176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投标人</w:t>
      </w:r>
      <w:r>
        <w:rPr>
          <w:rFonts w:asciiTheme="minorEastAsia" w:hAnsiTheme="minorEastAsia" w:eastAsiaTheme="minorEastAsia"/>
          <w:sz w:val="24"/>
          <w:szCs w:val="24"/>
        </w:rPr>
        <w:t>电子签章</w:t>
      </w:r>
      <w:r>
        <w:rPr>
          <w:rFonts w:hint="eastAsia" w:asciiTheme="minorEastAsia" w:hAnsiTheme="minorEastAsia" w:eastAsiaTheme="minorEastAsia"/>
          <w:sz w:val="24"/>
          <w:szCs w:val="24"/>
        </w:rPr>
        <w:t>：</w:t>
      </w:r>
      <w:r>
        <w:rPr>
          <w:rFonts w:asciiTheme="minorEastAsia" w:hAnsiTheme="minorEastAsia" w:eastAsiaTheme="minorEastAsia"/>
          <w:sz w:val="24"/>
          <w:szCs w:val="24"/>
          <w:u w:val="single"/>
        </w:rPr>
        <w:t xml:space="preserve">             </w:t>
      </w:r>
    </w:p>
    <w:p>
      <w:pPr>
        <w:tabs>
          <w:tab w:val="left" w:pos="4620"/>
        </w:tabs>
        <w:spacing w:line="360" w:lineRule="auto"/>
        <w:ind w:firstLine="4252" w:firstLineChars="177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日</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 xml:space="preserve">    期：</w:t>
      </w:r>
      <w:r>
        <w:rPr>
          <w:rFonts w:asciiTheme="minorEastAsia" w:hAnsiTheme="minorEastAsia" w:eastAsiaTheme="minorEastAsia"/>
          <w:sz w:val="24"/>
          <w:szCs w:val="24"/>
          <w:u w:val="single"/>
        </w:rPr>
        <w:t xml:space="preserve">             </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bookmarkStart w:id="208" w:name="_Toc520299364"/>
      <w:r>
        <w:rPr>
          <w:rFonts w:hint="eastAsia" w:asciiTheme="minorEastAsia" w:hAnsiTheme="minorEastAsia" w:eastAsiaTheme="minorEastAsia"/>
          <w:b/>
          <w:sz w:val="24"/>
        </w:rPr>
        <w:t>十二、两创产品投标声明函</w:t>
      </w:r>
      <w:bookmarkEnd w:id="208"/>
    </w:p>
    <w:p>
      <w:pPr>
        <w:pStyle w:val="13"/>
        <w:spacing w:line="360" w:lineRule="auto"/>
        <w:ind w:firstLine="461"/>
        <w:jc w:val="center"/>
        <w:rPr>
          <w:rFonts w:asciiTheme="minorEastAsia" w:hAnsiTheme="minorEastAsia" w:eastAsiaTheme="minorEastAsia"/>
          <w:b w:val="0"/>
          <w:i/>
          <w:sz w:val="24"/>
          <w:szCs w:val="24"/>
        </w:rPr>
      </w:pPr>
      <w:r>
        <w:rPr>
          <w:rFonts w:hint="eastAsia" w:asciiTheme="minorEastAsia" w:hAnsiTheme="minorEastAsia" w:eastAsiaTheme="minorEastAsia"/>
          <w:b w:val="0"/>
          <w:i/>
          <w:sz w:val="24"/>
          <w:szCs w:val="24"/>
        </w:rPr>
        <w:t>（非两创产品投标，不需此件）</w:t>
      </w:r>
    </w:p>
    <w:p>
      <w:pPr>
        <w:spacing w:line="360" w:lineRule="auto"/>
        <w:ind w:firstLine="435"/>
        <w:rPr>
          <w:rFonts w:asciiTheme="minorEastAsia" w:hAnsiTheme="minorEastAsia" w:eastAsiaTheme="minorEastAsia"/>
          <w:spacing w:val="6"/>
          <w:sz w:val="24"/>
          <w:szCs w:val="24"/>
        </w:rPr>
      </w:pPr>
      <w:r>
        <w:rPr>
          <w:rFonts w:hint="eastAsia" w:asciiTheme="minorEastAsia" w:hAnsiTheme="minorEastAsia" w:eastAsiaTheme="minorEastAsia"/>
          <w:spacing w:val="6"/>
          <w:sz w:val="24"/>
          <w:szCs w:val="24"/>
        </w:rPr>
        <w:t>本公司郑重声明，本公司参加本项目采购活动同意评审结果公告中公示以下内容并承诺：本公司投标文件中所提供的以下部分产品为《合肥市两创产品目录》产品，若被发现存在任何虚假、隐瞒情况，我公司承担由此产生的一切后果。</w:t>
      </w:r>
    </w:p>
    <w:p>
      <w:pPr>
        <w:spacing w:line="360" w:lineRule="auto"/>
        <w:ind w:firstLine="435"/>
        <w:rPr>
          <w:rFonts w:ascii="宋体" w:hAnsi="宋体" w:eastAsia="宋体" w:cs="Arial"/>
          <w:sz w:val="24"/>
          <w:u w:val="single"/>
        </w:rPr>
      </w:pPr>
      <w:r>
        <w:rPr>
          <w:rFonts w:hint="eastAsia" w:asciiTheme="minorEastAsia" w:hAnsiTheme="minorEastAsia" w:eastAsiaTheme="minorEastAsia"/>
          <w:spacing w:val="6"/>
          <w:sz w:val="24"/>
          <w:szCs w:val="24"/>
        </w:rPr>
        <w:t>本公司对上述声明的真实性负责。如有虚假，将依法承担相应责任。</w:t>
      </w:r>
    </w:p>
    <w:tbl>
      <w:tblPr>
        <w:tblStyle w:val="2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008"/>
        <w:gridCol w:w="670"/>
        <w:gridCol w:w="1205"/>
        <w:gridCol w:w="1203"/>
        <w:gridCol w:w="1614"/>
        <w:gridCol w:w="1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03" w:type="dxa"/>
            <w:vAlign w:val="center"/>
          </w:tcPr>
          <w:p>
            <w:pPr>
              <w:spacing w:line="360" w:lineRule="auto"/>
              <w:jc w:val="center"/>
              <w:rPr>
                <w:rFonts w:ascii="宋体" w:hAnsi="宋体" w:eastAsia="宋体" w:cs="Arial"/>
                <w:sz w:val="24"/>
              </w:rPr>
            </w:pPr>
            <w:r>
              <w:rPr>
                <w:rFonts w:hint="eastAsia" w:ascii="宋体" w:hAnsi="宋体" w:eastAsia="宋体" w:cs="Arial"/>
                <w:sz w:val="24"/>
              </w:rPr>
              <w:t>序号</w:t>
            </w:r>
          </w:p>
        </w:tc>
        <w:tc>
          <w:tcPr>
            <w:tcW w:w="2008" w:type="dxa"/>
            <w:vAlign w:val="center"/>
          </w:tcPr>
          <w:p>
            <w:pPr>
              <w:spacing w:line="360" w:lineRule="auto"/>
              <w:jc w:val="center"/>
              <w:rPr>
                <w:rFonts w:ascii="宋体" w:hAnsi="宋体" w:eastAsia="宋体" w:cs="Arial"/>
                <w:sz w:val="24"/>
              </w:rPr>
            </w:pPr>
            <w:r>
              <w:rPr>
                <w:rFonts w:hint="eastAsia" w:ascii="宋体" w:hAnsi="宋体" w:eastAsia="宋体" w:cs="Arial"/>
                <w:sz w:val="24"/>
              </w:rPr>
              <w:t>品名及规格型号</w:t>
            </w:r>
          </w:p>
        </w:tc>
        <w:tc>
          <w:tcPr>
            <w:tcW w:w="670" w:type="dxa"/>
            <w:vAlign w:val="center"/>
          </w:tcPr>
          <w:p>
            <w:pPr>
              <w:widowControl/>
              <w:jc w:val="center"/>
              <w:rPr>
                <w:rFonts w:ascii="宋体" w:hAnsi="宋体" w:eastAsia="宋体" w:cs="Arial"/>
                <w:sz w:val="24"/>
              </w:rPr>
            </w:pPr>
            <w:r>
              <w:rPr>
                <w:rFonts w:hint="eastAsia" w:ascii="宋体" w:hAnsi="宋体" w:eastAsia="宋体" w:cs="Arial"/>
                <w:sz w:val="24"/>
              </w:rPr>
              <w:t>数量</w:t>
            </w:r>
          </w:p>
        </w:tc>
        <w:tc>
          <w:tcPr>
            <w:tcW w:w="1205" w:type="dxa"/>
            <w:vAlign w:val="center"/>
          </w:tcPr>
          <w:p>
            <w:pPr>
              <w:spacing w:line="360" w:lineRule="auto"/>
              <w:jc w:val="center"/>
              <w:rPr>
                <w:rFonts w:ascii="宋体" w:hAnsi="宋体" w:eastAsia="宋体" w:cs="Arial"/>
                <w:sz w:val="24"/>
              </w:rPr>
            </w:pPr>
            <w:r>
              <w:rPr>
                <w:rFonts w:hint="eastAsia" w:ascii="宋体" w:hAnsi="宋体" w:eastAsia="宋体" w:cs="Arial"/>
                <w:sz w:val="24"/>
              </w:rPr>
              <w:t>单价（人民币：元）</w:t>
            </w:r>
          </w:p>
        </w:tc>
        <w:tc>
          <w:tcPr>
            <w:tcW w:w="1203" w:type="dxa"/>
            <w:vAlign w:val="center"/>
          </w:tcPr>
          <w:p>
            <w:pPr>
              <w:spacing w:line="360" w:lineRule="auto"/>
              <w:jc w:val="center"/>
              <w:rPr>
                <w:rFonts w:ascii="宋体" w:hAnsi="宋体" w:eastAsia="宋体" w:cs="Arial"/>
                <w:sz w:val="24"/>
              </w:rPr>
            </w:pPr>
            <w:r>
              <w:rPr>
                <w:rFonts w:hint="eastAsia" w:ascii="宋体" w:hAnsi="宋体" w:eastAsia="宋体" w:cs="Arial"/>
                <w:sz w:val="24"/>
              </w:rPr>
              <w:t>小计（人民币：元）</w:t>
            </w:r>
          </w:p>
        </w:tc>
        <w:tc>
          <w:tcPr>
            <w:tcW w:w="1614" w:type="dxa"/>
            <w:vAlign w:val="center"/>
          </w:tcPr>
          <w:p>
            <w:pPr>
              <w:spacing w:line="360" w:lineRule="auto"/>
              <w:jc w:val="center"/>
              <w:rPr>
                <w:rFonts w:ascii="宋体" w:hAnsi="宋体" w:eastAsia="宋体" w:cs="Arial"/>
                <w:sz w:val="24"/>
              </w:rPr>
            </w:pPr>
            <w:r>
              <w:rPr>
                <w:rFonts w:hint="eastAsia" w:ascii="宋体" w:hAnsi="宋体" w:eastAsia="宋体" w:cs="Arial"/>
                <w:sz w:val="24"/>
              </w:rPr>
              <w:t>生产厂家</w:t>
            </w:r>
          </w:p>
        </w:tc>
        <w:tc>
          <w:tcPr>
            <w:tcW w:w="1019" w:type="dxa"/>
            <w:vAlign w:val="center"/>
          </w:tcPr>
          <w:p>
            <w:pPr>
              <w:spacing w:line="360" w:lineRule="auto"/>
              <w:jc w:val="center"/>
              <w:rPr>
                <w:rFonts w:ascii="宋体" w:hAnsi="宋体" w:eastAsia="宋体" w:cs="Arial"/>
                <w:sz w:val="24"/>
              </w:rPr>
            </w:pPr>
            <w:r>
              <w:rPr>
                <w:rFonts w:hint="eastAsia" w:ascii="宋体" w:hAnsi="宋体" w:eastAsia="宋体" w:cs="Arial"/>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spacing w:line="360" w:lineRule="auto"/>
              <w:jc w:val="center"/>
              <w:rPr>
                <w:rFonts w:ascii="宋体" w:hAnsi="宋体" w:eastAsia="宋体" w:cs="Arial"/>
                <w:sz w:val="24"/>
              </w:rPr>
            </w:pPr>
            <w:r>
              <w:rPr>
                <w:rFonts w:hint="eastAsia" w:ascii="宋体" w:hAnsi="宋体" w:eastAsia="宋体" w:cs="Arial"/>
                <w:sz w:val="24"/>
              </w:rPr>
              <w:t>1</w:t>
            </w:r>
          </w:p>
        </w:tc>
        <w:tc>
          <w:tcPr>
            <w:tcW w:w="2008" w:type="dxa"/>
            <w:vAlign w:val="center"/>
          </w:tcPr>
          <w:p>
            <w:pPr>
              <w:spacing w:line="360" w:lineRule="auto"/>
              <w:rPr>
                <w:rFonts w:ascii="宋体" w:hAnsi="宋体" w:eastAsia="宋体" w:cs="Arial"/>
                <w:sz w:val="24"/>
              </w:rPr>
            </w:pPr>
          </w:p>
        </w:tc>
        <w:tc>
          <w:tcPr>
            <w:tcW w:w="670" w:type="dxa"/>
            <w:vAlign w:val="center"/>
          </w:tcPr>
          <w:p>
            <w:pPr>
              <w:spacing w:line="360" w:lineRule="auto"/>
              <w:rPr>
                <w:rFonts w:ascii="宋体" w:hAnsi="宋体" w:eastAsia="宋体" w:cs="Arial"/>
                <w:sz w:val="24"/>
              </w:rPr>
            </w:pPr>
          </w:p>
        </w:tc>
        <w:tc>
          <w:tcPr>
            <w:tcW w:w="1205" w:type="dxa"/>
            <w:vAlign w:val="center"/>
          </w:tcPr>
          <w:p>
            <w:pPr>
              <w:spacing w:line="360" w:lineRule="auto"/>
              <w:rPr>
                <w:rFonts w:ascii="宋体" w:hAnsi="宋体" w:eastAsia="宋体" w:cs="Arial"/>
                <w:sz w:val="24"/>
              </w:rPr>
            </w:pPr>
          </w:p>
        </w:tc>
        <w:tc>
          <w:tcPr>
            <w:tcW w:w="1203" w:type="dxa"/>
            <w:vAlign w:val="center"/>
          </w:tcPr>
          <w:p>
            <w:pPr>
              <w:spacing w:line="360" w:lineRule="auto"/>
              <w:rPr>
                <w:rFonts w:ascii="宋体" w:hAnsi="宋体" w:eastAsia="宋体" w:cs="Arial"/>
                <w:sz w:val="24"/>
              </w:rPr>
            </w:pPr>
          </w:p>
        </w:tc>
        <w:tc>
          <w:tcPr>
            <w:tcW w:w="1614" w:type="dxa"/>
            <w:vAlign w:val="center"/>
          </w:tcPr>
          <w:p>
            <w:pPr>
              <w:spacing w:line="360" w:lineRule="auto"/>
              <w:rPr>
                <w:rFonts w:ascii="宋体" w:hAnsi="宋体" w:eastAsia="宋体" w:cs="Arial"/>
                <w:sz w:val="24"/>
              </w:rPr>
            </w:pPr>
          </w:p>
        </w:tc>
        <w:tc>
          <w:tcPr>
            <w:tcW w:w="1019" w:type="dxa"/>
            <w:vMerge w:val="restart"/>
            <w:vAlign w:val="center"/>
          </w:tcPr>
          <w:p>
            <w:pPr>
              <w:spacing w:line="360" w:lineRule="auto"/>
              <w:rPr>
                <w:rFonts w:ascii="宋体" w:hAnsi="宋体" w:eastAsia="宋体" w:cs="Arial"/>
                <w:sz w:val="24"/>
              </w:rPr>
            </w:pPr>
            <w:r>
              <w:rPr>
                <w:rFonts w:hint="eastAsia" w:ascii="宋体" w:hAnsi="宋体" w:eastAsia="宋体" w:cs="Arial"/>
                <w:sz w:val="24"/>
              </w:rPr>
              <w:t>须提供《合肥市两创产品目录》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spacing w:line="360" w:lineRule="auto"/>
              <w:jc w:val="center"/>
              <w:rPr>
                <w:rFonts w:ascii="宋体" w:hAnsi="宋体" w:eastAsia="宋体" w:cs="Arial"/>
                <w:sz w:val="24"/>
              </w:rPr>
            </w:pPr>
            <w:r>
              <w:rPr>
                <w:rFonts w:hint="eastAsia" w:ascii="宋体" w:hAnsi="宋体" w:eastAsia="宋体" w:cs="Arial"/>
                <w:sz w:val="24"/>
              </w:rPr>
              <w:t>2</w:t>
            </w:r>
          </w:p>
        </w:tc>
        <w:tc>
          <w:tcPr>
            <w:tcW w:w="2008" w:type="dxa"/>
            <w:vAlign w:val="center"/>
          </w:tcPr>
          <w:p>
            <w:pPr>
              <w:spacing w:line="360" w:lineRule="auto"/>
              <w:rPr>
                <w:rFonts w:ascii="宋体" w:hAnsi="宋体" w:eastAsia="宋体" w:cs="Arial"/>
                <w:sz w:val="24"/>
              </w:rPr>
            </w:pPr>
          </w:p>
        </w:tc>
        <w:tc>
          <w:tcPr>
            <w:tcW w:w="670" w:type="dxa"/>
            <w:vAlign w:val="center"/>
          </w:tcPr>
          <w:p>
            <w:pPr>
              <w:spacing w:line="360" w:lineRule="auto"/>
              <w:rPr>
                <w:rFonts w:ascii="宋体" w:hAnsi="宋体" w:eastAsia="宋体" w:cs="Arial"/>
                <w:sz w:val="24"/>
              </w:rPr>
            </w:pPr>
          </w:p>
        </w:tc>
        <w:tc>
          <w:tcPr>
            <w:tcW w:w="1205" w:type="dxa"/>
            <w:vAlign w:val="center"/>
          </w:tcPr>
          <w:p>
            <w:pPr>
              <w:spacing w:line="360" w:lineRule="auto"/>
              <w:rPr>
                <w:rFonts w:ascii="宋体" w:hAnsi="宋体" w:eastAsia="宋体" w:cs="Arial"/>
                <w:sz w:val="24"/>
              </w:rPr>
            </w:pPr>
          </w:p>
        </w:tc>
        <w:tc>
          <w:tcPr>
            <w:tcW w:w="1203" w:type="dxa"/>
            <w:vAlign w:val="center"/>
          </w:tcPr>
          <w:p>
            <w:pPr>
              <w:spacing w:line="360" w:lineRule="auto"/>
              <w:rPr>
                <w:rFonts w:ascii="宋体" w:hAnsi="宋体" w:eastAsia="宋体" w:cs="Arial"/>
                <w:sz w:val="24"/>
              </w:rPr>
            </w:pPr>
          </w:p>
        </w:tc>
        <w:tc>
          <w:tcPr>
            <w:tcW w:w="1614" w:type="dxa"/>
            <w:vAlign w:val="center"/>
          </w:tcPr>
          <w:p>
            <w:pPr>
              <w:spacing w:line="360" w:lineRule="auto"/>
              <w:rPr>
                <w:rFonts w:ascii="宋体" w:hAnsi="宋体" w:eastAsia="宋体" w:cs="Arial"/>
                <w:sz w:val="24"/>
              </w:rPr>
            </w:pPr>
          </w:p>
        </w:tc>
        <w:tc>
          <w:tcPr>
            <w:tcW w:w="1019" w:type="dxa"/>
            <w:vMerge w:val="continue"/>
            <w:vAlign w:val="center"/>
          </w:tcPr>
          <w:p>
            <w:pPr>
              <w:spacing w:line="360" w:lineRule="auto"/>
              <w:rPr>
                <w:rFonts w:ascii="宋体" w:hAnsi="宋体"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spacing w:line="360" w:lineRule="auto"/>
              <w:jc w:val="center"/>
              <w:rPr>
                <w:rFonts w:ascii="宋体" w:hAnsi="宋体" w:eastAsia="宋体" w:cs="Arial"/>
                <w:sz w:val="24"/>
              </w:rPr>
            </w:pPr>
            <w:r>
              <w:rPr>
                <w:rFonts w:hint="eastAsia" w:ascii="宋体" w:hAnsi="宋体" w:eastAsia="宋体" w:cs="Arial"/>
                <w:sz w:val="24"/>
              </w:rPr>
              <w:t>3</w:t>
            </w:r>
          </w:p>
        </w:tc>
        <w:tc>
          <w:tcPr>
            <w:tcW w:w="2008" w:type="dxa"/>
            <w:vAlign w:val="center"/>
          </w:tcPr>
          <w:p>
            <w:pPr>
              <w:spacing w:line="360" w:lineRule="auto"/>
              <w:rPr>
                <w:rFonts w:ascii="宋体" w:hAnsi="宋体" w:eastAsia="宋体" w:cs="Arial"/>
                <w:sz w:val="24"/>
              </w:rPr>
            </w:pPr>
          </w:p>
        </w:tc>
        <w:tc>
          <w:tcPr>
            <w:tcW w:w="670" w:type="dxa"/>
            <w:vAlign w:val="center"/>
          </w:tcPr>
          <w:p>
            <w:pPr>
              <w:spacing w:line="360" w:lineRule="auto"/>
              <w:rPr>
                <w:rFonts w:ascii="宋体" w:hAnsi="宋体" w:eastAsia="宋体" w:cs="Arial"/>
                <w:sz w:val="24"/>
              </w:rPr>
            </w:pPr>
          </w:p>
        </w:tc>
        <w:tc>
          <w:tcPr>
            <w:tcW w:w="1205" w:type="dxa"/>
            <w:vAlign w:val="center"/>
          </w:tcPr>
          <w:p>
            <w:pPr>
              <w:spacing w:line="360" w:lineRule="auto"/>
              <w:rPr>
                <w:rFonts w:ascii="宋体" w:hAnsi="宋体" w:eastAsia="宋体" w:cs="Arial"/>
                <w:sz w:val="24"/>
              </w:rPr>
            </w:pPr>
          </w:p>
        </w:tc>
        <w:tc>
          <w:tcPr>
            <w:tcW w:w="1203" w:type="dxa"/>
            <w:vAlign w:val="center"/>
          </w:tcPr>
          <w:p>
            <w:pPr>
              <w:spacing w:line="360" w:lineRule="auto"/>
              <w:rPr>
                <w:rFonts w:ascii="宋体" w:hAnsi="宋体" w:eastAsia="宋体" w:cs="Arial"/>
                <w:sz w:val="24"/>
              </w:rPr>
            </w:pPr>
          </w:p>
        </w:tc>
        <w:tc>
          <w:tcPr>
            <w:tcW w:w="1614" w:type="dxa"/>
            <w:vAlign w:val="center"/>
          </w:tcPr>
          <w:p>
            <w:pPr>
              <w:spacing w:line="360" w:lineRule="auto"/>
              <w:rPr>
                <w:rFonts w:ascii="宋体" w:hAnsi="宋体" w:eastAsia="宋体" w:cs="Arial"/>
                <w:sz w:val="24"/>
              </w:rPr>
            </w:pPr>
          </w:p>
        </w:tc>
        <w:tc>
          <w:tcPr>
            <w:tcW w:w="1019" w:type="dxa"/>
            <w:vMerge w:val="continue"/>
            <w:vAlign w:val="center"/>
          </w:tcPr>
          <w:p>
            <w:pPr>
              <w:spacing w:line="360" w:lineRule="auto"/>
              <w:rPr>
                <w:rFonts w:ascii="宋体" w:hAnsi="宋体"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spacing w:line="360" w:lineRule="auto"/>
              <w:jc w:val="center"/>
              <w:rPr>
                <w:rFonts w:ascii="宋体" w:hAnsi="宋体" w:eastAsia="宋体" w:cs="Arial"/>
                <w:sz w:val="24"/>
              </w:rPr>
            </w:pPr>
            <w:r>
              <w:rPr>
                <w:rFonts w:hint="eastAsia" w:ascii="宋体" w:hAnsi="宋体" w:eastAsia="宋体" w:cs="Arial"/>
                <w:sz w:val="24"/>
              </w:rPr>
              <w:t>……</w:t>
            </w:r>
          </w:p>
        </w:tc>
        <w:tc>
          <w:tcPr>
            <w:tcW w:w="2008" w:type="dxa"/>
            <w:vAlign w:val="center"/>
          </w:tcPr>
          <w:p>
            <w:pPr>
              <w:spacing w:line="360" w:lineRule="auto"/>
              <w:rPr>
                <w:rFonts w:ascii="宋体" w:hAnsi="宋体" w:eastAsia="宋体" w:cs="Arial"/>
                <w:sz w:val="24"/>
              </w:rPr>
            </w:pPr>
          </w:p>
        </w:tc>
        <w:tc>
          <w:tcPr>
            <w:tcW w:w="670" w:type="dxa"/>
            <w:vAlign w:val="center"/>
          </w:tcPr>
          <w:p>
            <w:pPr>
              <w:spacing w:line="360" w:lineRule="auto"/>
              <w:rPr>
                <w:rFonts w:ascii="宋体" w:hAnsi="宋体" w:eastAsia="宋体" w:cs="Arial"/>
                <w:sz w:val="24"/>
              </w:rPr>
            </w:pPr>
          </w:p>
        </w:tc>
        <w:tc>
          <w:tcPr>
            <w:tcW w:w="1205" w:type="dxa"/>
            <w:vAlign w:val="center"/>
          </w:tcPr>
          <w:p>
            <w:pPr>
              <w:spacing w:line="360" w:lineRule="auto"/>
              <w:rPr>
                <w:rFonts w:ascii="宋体" w:hAnsi="宋体" w:eastAsia="宋体" w:cs="Arial"/>
                <w:sz w:val="24"/>
              </w:rPr>
            </w:pPr>
          </w:p>
        </w:tc>
        <w:tc>
          <w:tcPr>
            <w:tcW w:w="1203" w:type="dxa"/>
            <w:vAlign w:val="center"/>
          </w:tcPr>
          <w:p>
            <w:pPr>
              <w:spacing w:line="360" w:lineRule="auto"/>
              <w:rPr>
                <w:rFonts w:ascii="宋体" w:hAnsi="宋体" w:eastAsia="宋体" w:cs="Arial"/>
                <w:sz w:val="24"/>
              </w:rPr>
            </w:pPr>
          </w:p>
        </w:tc>
        <w:tc>
          <w:tcPr>
            <w:tcW w:w="1614" w:type="dxa"/>
            <w:vAlign w:val="center"/>
          </w:tcPr>
          <w:p>
            <w:pPr>
              <w:spacing w:line="360" w:lineRule="auto"/>
              <w:rPr>
                <w:rFonts w:ascii="宋体" w:hAnsi="宋体" w:eastAsia="宋体" w:cs="Arial"/>
                <w:sz w:val="24"/>
              </w:rPr>
            </w:pPr>
          </w:p>
        </w:tc>
        <w:tc>
          <w:tcPr>
            <w:tcW w:w="1019" w:type="dxa"/>
            <w:vMerge w:val="continue"/>
            <w:vAlign w:val="center"/>
          </w:tcPr>
          <w:p>
            <w:pPr>
              <w:spacing w:line="360" w:lineRule="auto"/>
              <w:rPr>
                <w:rFonts w:ascii="宋体" w:hAnsi="宋体" w:eastAsia="宋体"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Align w:val="center"/>
          </w:tcPr>
          <w:p>
            <w:pPr>
              <w:spacing w:line="360" w:lineRule="auto"/>
              <w:jc w:val="center"/>
              <w:rPr>
                <w:rFonts w:ascii="宋体" w:hAnsi="宋体" w:eastAsia="宋体" w:cs="Arial"/>
                <w:sz w:val="24"/>
              </w:rPr>
            </w:pPr>
          </w:p>
        </w:tc>
        <w:tc>
          <w:tcPr>
            <w:tcW w:w="2008" w:type="dxa"/>
            <w:vAlign w:val="center"/>
          </w:tcPr>
          <w:p>
            <w:pPr>
              <w:spacing w:line="360" w:lineRule="auto"/>
              <w:jc w:val="center"/>
              <w:rPr>
                <w:rFonts w:ascii="宋体" w:hAnsi="宋体" w:eastAsia="宋体" w:cs="Arial"/>
                <w:b/>
                <w:sz w:val="24"/>
              </w:rPr>
            </w:pPr>
            <w:r>
              <w:rPr>
                <w:rFonts w:hint="eastAsia" w:ascii="宋体" w:hAnsi="宋体" w:eastAsia="宋体" w:cs="Arial"/>
                <w:b/>
                <w:sz w:val="24"/>
              </w:rPr>
              <w:t>合计</w:t>
            </w:r>
            <w:r>
              <w:rPr>
                <w:rFonts w:hint="eastAsia" w:ascii="宋体" w:hAnsi="宋体" w:eastAsia="宋体" w:cs="Arial"/>
                <w:sz w:val="24"/>
              </w:rPr>
              <w:t>（人民币：元）</w:t>
            </w:r>
          </w:p>
        </w:tc>
        <w:tc>
          <w:tcPr>
            <w:tcW w:w="670" w:type="dxa"/>
            <w:vAlign w:val="center"/>
          </w:tcPr>
          <w:p>
            <w:pPr>
              <w:spacing w:line="360" w:lineRule="auto"/>
              <w:rPr>
                <w:rFonts w:ascii="宋体" w:hAnsi="宋体" w:eastAsia="宋体" w:cs="Arial"/>
                <w:sz w:val="24"/>
              </w:rPr>
            </w:pPr>
          </w:p>
        </w:tc>
        <w:tc>
          <w:tcPr>
            <w:tcW w:w="1205" w:type="dxa"/>
            <w:vAlign w:val="center"/>
          </w:tcPr>
          <w:p>
            <w:pPr>
              <w:spacing w:line="360" w:lineRule="auto"/>
              <w:rPr>
                <w:rFonts w:ascii="宋体" w:hAnsi="宋体" w:eastAsia="宋体" w:cs="Arial"/>
                <w:sz w:val="24"/>
              </w:rPr>
            </w:pPr>
          </w:p>
        </w:tc>
        <w:tc>
          <w:tcPr>
            <w:tcW w:w="1203" w:type="dxa"/>
            <w:vAlign w:val="center"/>
          </w:tcPr>
          <w:p>
            <w:pPr>
              <w:spacing w:line="360" w:lineRule="auto"/>
              <w:rPr>
                <w:rFonts w:ascii="宋体" w:hAnsi="宋体" w:eastAsia="宋体" w:cs="Arial"/>
                <w:sz w:val="24"/>
              </w:rPr>
            </w:pPr>
          </w:p>
        </w:tc>
        <w:tc>
          <w:tcPr>
            <w:tcW w:w="1614" w:type="dxa"/>
            <w:vAlign w:val="center"/>
          </w:tcPr>
          <w:p>
            <w:pPr>
              <w:spacing w:line="360" w:lineRule="auto"/>
              <w:rPr>
                <w:rFonts w:ascii="宋体" w:hAnsi="宋体" w:eastAsia="宋体" w:cs="Arial"/>
                <w:sz w:val="24"/>
              </w:rPr>
            </w:pPr>
          </w:p>
        </w:tc>
        <w:tc>
          <w:tcPr>
            <w:tcW w:w="1019" w:type="dxa"/>
            <w:vAlign w:val="center"/>
          </w:tcPr>
          <w:p>
            <w:pPr>
              <w:spacing w:line="360" w:lineRule="auto"/>
              <w:rPr>
                <w:rFonts w:ascii="宋体" w:hAnsi="宋体" w:eastAsia="宋体" w:cs="Arial"/>
                <w:sz w:val="24"/>
              </w:rPr>
            </w:pPr>
          </w:p>
        </w:tc>
      </w:tr>
    </w:tbl>
    <w:p>
      <w:pPr>
        <w:adjustRightInd w:val="0"/>
        <w:snapToGrid w:val="0"/>
        <w:spacing w:line="360" w:lineRule="auto"/>
        <w:rPr>
          <w:rFonts w:ascii="宋体" w:hAnsi="宋体" w:eastAsia="宋体" w:cs="Arial"/>
          <w:b/>
          <w:bCs/>
          <w:sz w:val="24"/>
          <w:szCs w:val="28"/>
        </w:rPr>
      </w:pPr>
      <w:r>
        <w:rPr>
          <w:rFonts w:hint="eastAsia" w:ascii="宋体" w:hAnsi="宋体" w:eastAsia="宋体" w:cs="Arial"/>
          <w:b/>
          <w:bCs/>
          <w:sz w:val="24"/>
          <w:szCs w:val="28"/>
        </w:rPr>
        <w:t>备注：</w:t>
      </w:r>
    </w:p>
    <w:p>
      <w:pPr>
        <w:adjustRightInd w:val="0"/>
        <w:snapToGrid w:val="0"/>
        <w:spacing w:line="360" w:lineRule="auto"/>
        <w:jc w:val="left"/>
        <w:rPr>
          <w:rFonts w:ascii="宋体" w:hAnsi="宋体" w:eastAsia="宋体" w:cs="Arial"/>
          <w:b/>
          <w:bCs/>
          <w:sz w:val="24"/>
          <w:szCs w:val="28"/>
        </w:rPr>
      </w:pPr>
      <w:r>
        <w:rPr>
          <w:rFonts w:hint="eastAsia" w:ascii="宋体" w:hAnsi="宋体" w:eastAsia="宋体" w:cs="Arial"/>
          <w:b/>
          <w:sz w:val="24"/>
        </w:rPr>
        <w:t>1.表中所列产品应为投标人满足本招标文件要求的两创产品</w:t>
      </w:r>
      <w:r>
        <w:rPr>
          <w:rFonts w:hint="eastAsia" w:ascii="宋体" w:hAnsi="宋体" w:eastAsia="宋体" w:cs="Arial"/>
          <w:b/>
          <w:bCs/>
          <w:sz w:val="24"/>
          <w:szCs w:val="28"/>
        </w:rPr>
        <w:t>；所投产品</w:t>
      </w:r>
      <w:r>
        <w:rPr>
          <w:rFonts w:hint="eastAsia" w:ascii="宋体" w:hAnsi="宋体" w:eastAsia="宋体" w:cs="Arial"/>
          <w:b/>
          <w:sz w:val="24"/>
        </w:rPr>
        <w:t>《合肥市两创产品目录》扫描件</w:t>
      </w:r>
      <w:r>
        <w:rPr>
          <w:rFonts w:hint="eastAsia" w:ascii="宋体" w:hAnsi="宋体" w:eastAsia="宋体" w:cs="Arial"/>
          <w:b/>
          <w:bCs/>
          <w:sz w:val="24"/>
          <w:szCs w:val="28"/>
        </w:rPr>
        <w:t>须随本声明函同时提供，否则该产品不予认可为两创产品，该部分价格不享受两创产品折扣政策，对产品的业绩提出要求的不视同其符合要求。</w:t>
      </w:r>
    </w:p>
    <w:p>
      <w:pPr>
        <w:adjustRightInd w:val="0"/>
        <w:snapToGrid w:val="0"/>
        <w:spacing w:line="360" w:lineRule="auto"/>
        <w:jc w:val="left"/>
        <w:rPr>
          <w:rFonts w:ascii="宋体" w:hAnsi="宋体" w:eastAsia="宋体" w:cs="Arial"/>
          <w:b/>
          <w:bCs/>
          <w:sz w:val="24"/>
          <w:szCs w:val="28"/>
        </w:rPr>
      </w:pPr>
      <w:r>
        <w:rPr>
          <w:rFonts w:hint="eastAsia" w:ascii="宋体" w:hAnsi="宋体" w:eastAsia="宋体" w:cs="Arial"/>
          <w:b/>
          <w:bCs/>
          <w:sz w:val="24"/>
          <w:szCs w:val="28"/>
        </w:rPr>
        <w:t>2.如投标人是小微企业，同时所投产品中有两创目录产品的，“扣除后的价格”计算方式举例如下：某小微企业投标人投标总价</w:t>
      </w:r>
      <w:r>
        <w:rPr>
          <w:rFonts w:ascii="宋体" w:hAnsi="宋体" w:eastAsia="宋体" w:cs="Arial"/>
          <w:b/>
          <w:bCs/>
          <w:sz w:val="24"/>
          <w:szCs w:val="28"/>
        </w:rPr>
        <w:t>100万元，其中两创目录产品为20万元，“扣除后的价格”为：100万元-100万元×</w:t>
      </w:r>
      <w:r>
        <w:rPr>
          <w:rFonts w:ascii="宋体" w:hAnsi="宋体" w:eastAsia="宋体" w:cs="Arial"/>
          <w:b/>
          <w:bCs/>
          <w:sz w:val="24"/>
          <w:szCs w:val="28"/>
          <w:highlight w:val="yellow"/>
        </w:rPr>
        <w:t>6%</w:t>
      </w:r>
      <w:r>
        <w:rPr>
          <w:rFonts w:ascii="宋体" w:hAnsi="宋体" w:eastAsia="宋体" w:cs="Arial"/>
          <w:b/>
          <w:bCs/>
          <w:sz w:val="24"/>
          <w:szCs w:val="28"/>
        </w:rPr>
        <w:t>-20万元×6%=100万元-6万元-1.2万元=92.8万元。</w:t>
      </w:r>
    </w:p>
    <w:p>
      <w:pPr>
        <w:adjustRightInd w:val="0"/>
        <w:snapToGrid w:val="0"/>
        <w:spacing w:line="360" w:lineRule="auto"/>
        <w:jc w:val="left"/>
        <w:rPr>
          <w:rFonts w:ascii="宋体" w:hAnsi="宋体" w:eastAsia="宋体" w:cs="Arial"/>
          <w:b/>
          <w:bCs/>
          <w:sz w:val="24"/>
          <w:szCs w:val="28"/>
        </w:rPr>
      </w:pPr>
    </w:p>
    <w:p>
      <w:pPr>
        <w:spacing w:line="360" w:lineRule="auto"/>
        <w:ind w:firstLine="4228" w:firstLineChars="176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投标人</w:t>
      </w:r>
      <w:r>
        <w:rPr>
          <w:rFonts w:asciiTheme="minorEastAsia" w:hAnsiTheme="minorEastAsia" w:eastAsiaTheme="minorEastAsia"/>
          <w:sz w:val="24"/>
          <w:szCs w:val="24"/>
        </w:rPr>
        <w:t>电子签章</w:t>
      </w:r>
      <w:r>
        <w:rPr>
          <w:rFonts w:hint="eastAsia" w:asciiTheme="minorEastAsia" w:hAnsiTheme="minorEastAsia" w:eastAsiaTheme="minorEastAsia"/>
          <w:sz w:val="24"/>
          <w:szCs w:val="24"/>
        </w:rPr>
        <w:t>：</w:t>
      </w:r>
      <w:r>
        <w:rPr>
          <w:rFonts w:asciiTheme="minorEastAsia" w:hAnsiTheme="minorEastAsia" w:eastAsiaTheme="minorEastAsia"/>
          <w:sz w:val="24"/>
          <w:szCs w:val="24"/>
          <w:u w:val="single"/>
        </w:rPr>
        <w:t xml:space="preserve">             </w:t>
      </w:r>
    </w:p>
    <w:p>
      <w:pPr>
        <w:tabs>
          <w:tab w:val="left" w:pos="4620"/>
        </w:tabs>
        <w:spacing w:line="360" w:lineRule="auto"/>
        <w:ind w:firstLine="4252" w:firstLineChars="1772"/>
        <w:rPr>
          <w:rFonts w:ascii="宋体" w:hAnsi="宋体" w:eastAsia="宋体" w:cs="Arial"/>
          <w:sz w:val="24"/>
          <w:u w:val="single"/>
        </w:rPr>
      </w:pPr>
      <w:r>
        <w:rPr>
          <w:rFonts w:hint="eastAsia" w:asciiTheme="minorEastAsia" w:hAnsiTheme="minorEastAsia" w:eastAsiaTheme="minorEastAsia"/>
          <w:sz w:val="24"/>
          <w:szCs w:val="24"/>
        </w:rPr>
        <w:t>日</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 xml:space="preserve">    期：</w:t>
      </w:r>
      <w:r>
        <w:rPr>
          <w:rFonts w:asciiTheme="minorEastAsia" w:hAnsiTheme="minorEastAsia" w:eastAsiaTheme="minorEastAsia"/>
          <w:sz w:val="24"/>
          <w:szCs w:val="24"/>
          <w:u w:val="single"/>
        </w:rPr>
        <w:t xml:space="preserve">             </w:t>
      </w:r>
    </w:p>
    <w:p>
      <w:pPr>
        <w:tabs>
          <w:tab w:val="left" w:pos="4620"/>
        </w:tabs>
        <w:spacing w:line="360" w:lineRule="auto"/>
        <w:jc w:val="left"/>
        <w:rPr>
          <w:rFonts w:asciiTheme="minorEastAsia" w:hAnsiTheme="minorEastAsia" w:eastAsiaTheme="minorEastAsia"/>
          <w:szCs w:val="24"/>
        </w:rPr>
      </w:pPr>
    </w:p>
    <w:bookmarkEnd w:id="206"/>
    <w:bookmarkEnd w:id="207"/>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十三、其他相关证明材料</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提供符合招标公告、采购需求及评标方法和标准规定的相关证明文件。</w:t>
      </w:r>
    </w:p>
    <w:p>
      <w:pPr>
        <w:spacing w:line="360" w:lineRule="auto"/>
        <w:ind w:firstLine="480" w:firstLineChars="200"/>
        <w:rPr>
          <w:rFonts w:asciiTheme="minorEastAsia" w:hAnsiTheme="minorEastAsia" w:eastAsiaTheme="minorEastAsia"/>
          <w:sz w:val="24"/>
        </w:rPr>
      </w:pPr>
    </w:p>
    <w:p>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特别提示：</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投标人在投标文件制作时可在此栏内上传</w:t>
      </w:r>
      <w:r>
        <w:rPr>
          <w:rFonts w:asciiTheme="minorEastAsia" w:hAnsiTheme="minorEastAsia" w:eastAsiaTheme="minorEastAsia"/>
          <w:sz w:val="24"/>
        </w:rPr>
        <w:t>招标文件要求上传的证明资料</w:t>
      </w:r>
      <w:r>
        <w:rPr>
          <w:rFonts w:hint="eastAsia" w:asciiTheme="minorEastAsia" w:hAnsiTheme="minorEastAsia" w:eastAsiaTheme="minorEastAsia"/>
          <w:sz w:val="24"/>
        </w:rPr>
        <w:t>，如营业执照、税务登记证、产品彩页、证书、</w:t>
      </w:r>
      <w:r>
        <w:rPr>
          <w:rFonts w:asciiTheme="minorEastAsia" w:hAnsiTheme="minorEastAsia" w:eastAsiaTheme="minorEastAsia"/>
          <w:sz w:val="24"/>
        </w:rPr>
        <w:t>检测报告</w:t>
      </w:r>
      <w:r>
        <w:rPr>
          <w:rFonts w:hint="eastAsia" w:asciiTheme="minorEastAsia" w:hAnsiTheme="minorEastAsia" w:eastAsiaTheme="minorEastAsia"/>
          <w:sz w:val="24"/>
        </w:rPr>
        <w:t>、产品图片</w:t>
      </w:r>
      <w:r>
        <w:rPr>
          <w:rFonts w:asciiTheme="minorEastAsia" w:hAnsiTheme="minorEastAsia" w:eastAsiaTheme="minorEastAsia"/>
          <w:sz w:val="24"/>
        </w:rPr>
        <w:t>等，应将上述证明材料制作成扫描件上传。</w:t>
      </w:r>
    </w:p>
    <w:p>
      <w:pPr>
        <w:widowControl/>
        <w:jc w:val="left"/>
        <w:rPr>
          <w:rFonts w:ascii="宋体" w:hAnsi="宋体" w:eastAsia="宋体"/>
          <w:bCs/>
          <w:sz w:val="24"/>
        </w:rPr>
      </w:pPr>
      <w:r>
        <w:rPr>
          <w:rFonts w:asciiTheme="minorEastAsia" w:hAnsiTheme="minorEastAsia" w:eastAsiaTheme="minorEastAsia"/>
          <w:sz w:val="24"/>
        </w:rPr>
        <w:br w:type="page"/>
      </w:r>
    </w:p>
    <w:p>
      <w:pPr>
        <w:spacing w:line="360" w:lineRule="auto"/>
        <w:jc w:val="center"/>
        <w:outlineLvl w:val="1"/>
        <w:rPr>
          <w:rFonts w:asciiTheme="minorEastAsia" w:hAnsiTheme="minorEastAsia" w:eastAsiaTheme="minorEastAsia"/>
          <w:b/>
          <w:sz w:val="52"/>
        </w:rPr>
      </w:pPr>
      <w:bookmarkStart w:id="209" w:name="_Toc60582631"/>
      <w:r>
        <w:rPr>
          <w:rFonts w:hint="eastAsia" w:ascii="宋体" w:hAnsi="宋体" w:eastAsia="宋体"/>
          <w:b/>
          <w:bCs/>
          <w:sz w:val="28"/>
        </w:rPr>
        <w:t>第七章  政府采购</w:t>
      </w:r>
      <w:r>
        <w:rPr>
          <w:rFonts w:hint="eastAsia" w:asciiTheme="minorEastAsia" w:hAnsiTheme="minorEastAsia" w:eastAsiaTheme="minorEastAsia"/>
          <w:b/>
          <w:sz w:val="28"/>
        </w:rPr>
        <w:t>供应</w:t>
      </w:r>
      <w:r>
        <w:rPr>
          <w:rFonts w:hint="eastAsia" w:ascii="宋体" w:hAnsi="宋体" w:eastAsia="宋体"/>
          <w:b/>
          <w:bCs/>
          <w:sz w:val="28"/>
        </w:rPr>
        <w:t>商质疑函范本</w:t>
      </w:r>
      <w:bookmarkEnd w:id="209"/>
    </w:p>
    <w:p>
      <w:pPr>
        <w:jc w:val="center"/>
        <w:rPr>
          <w:rFonts w:ascii="仿宋" w:hAnsi="仿宋" w:eastAsia="仿宋" w:cs="仿宋"/>
          <w:b/>
          <w:bCs/>
          <w:sz w:val="32"/>
          <w:szCs w:val="44"/>
        </w:rPr>
      </w:pPr>
      <w:r>
        <w:rPr>
          <w:rFonts w:hint="eastAsia" w:ascii="仿宋" w:hAnsi="仿宋" w:eastAsia="仿宋" w:cs="仿宋"/>
          <w:b/>
          <w:bCs/>
          <w:sz w:val="32"/>
          <w:szCs w:val="44"/>
        </w:rPr>
        <w:t>质疑函范本</w:t>
      </w:r>
    </w:p>
    <w:p>
      <w:pPr>
        <w:adjustRightInd w:val="0"/>
        <w:snapToGrid w:val="0"/>
        <w:spacing w:before="312" w:beforeLines="100" w:line="360" w:lineRule="auto"/>
        <w:rPr>
          <w:rFonts w:cs="仿宋" w:asciiTheme="minorEastAsia" w:hAnsiTheme="minorEastAsia" w:eastAsiaTheme="minorEastAsia"/>
          <w:b/>
          <w:bCs/>
          <w:sz w:val="24"/>
          <w:szCs w:val="24"/>
        </w:rPr>
      </w:pPr>
      <w:r>
        <w:rPr>
          <w:rFonts w:hint="eastAsia" w:cs="仿宋" w:asciiTheme="minorEastAsia" w:hAnsiTheme="minorEastAsia" w:eastAsiaTheme="minorEastAsia"/>
          <w:b/>
          <w:bCs/>
          <w:sz w:val="24"/>
          <w:szCs w:val="24"/>
        </w:rPr>
        <w:t>一、质疑供应商基本信息</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质疑供应商：</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联系人：</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授权代表：</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r>
        <w:rPr>
          <w:rFonts w:cs="仿宋" w:asciiTheme="minorEastAsia" w:hAnsiTheme="minorEastAsia" w:eastAsiaTheme="minorEastAsia"/>
          <w:sz w:val="24"/>
          <w:szCs w:val="24"/>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b/>
          <w:bCs/>
          <w:sz w:val="24"/>
          <w:szCs w:val="24"/>
        </w:rPr>
      </w:pPr>
      <w:r>
        <w:rPr>
          <w:rFonts w:hint="eastAsia" w:cs="仿宋" w:asciiTheme="minorEastAsia" w:hAnsiTheme="minorEastAsia" w:eastAsiaTheme="minorEastAsia"/>
          <w:b/>
          <w:bCs/>
          <w:sz w:val="24"/>
          <w:szCs w:val="24"/>
        </w:rPr>
        <w:t>二、质疑项目基本情况</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质疑项目的名称：</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质疑项目的编号：</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包号：</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采购人名称：</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采购文件获取日期：</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b/>
          <w:bCs/>
          <w:sz w:val="24"/>
          <w:szCs w:val="24"/>
        </w:rPr>
      </w:pPr>
      <w:r>
        <w:rPr>
          <w:rFonts w:hint="eastAsia" w:cs="仿宋" w:asciiTheme="minorEastAsia" w:hAnsiTheme="minorEastAsia" w:eastAsiaTheme="minorEastAsia"/>
          <w:b/>
          <w:bCs/>
          <w:sz w:val="24"/>
          <w:szCs w:val="24"/>
        </w:rPr>
        <w:t>三、质疑事项具体内容</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质疑事项1：</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事实依据：</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法律依据：</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质疑事项2</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pPr>
        <w:adjustRightInd w:val="0"/>
        <w:snapToGrid w:val="0"/>
        <w:spacing w:line="360" w:lineRule="auto"/>
        <w:rPr>
          <w:rFonts w:cs="仿宋" w:asciiTheme="minorEastAsia" w:hAnsiTheme="minorEastAsia" w:eastAsiaTheme="minorEastAsia"/>
          <w:b/>
          <w:bCs/>
          <w:sz w:val="24"/>
          <w:szCs w:val="24"/>
        </w:rPr>
      </w:pPr>
      <w:r>
        <w:rPr>
          <w:rFonts w:hint="eastAsia" w:cs="仿宋" w:asciiTheme="minorEastAsia" w:hAnsiTheme="minorEastAsia" w:eastAsiaTheme="minorEastAsia"/>
          <w:b/>
          <w:bCs/>
          <w:sz w:val="24"/>
          <w:szCs w:val="24"/>
        </w:rPr>
        <w:t>四、与质疑事项相关的质疑请求</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请求：</w:t>
      </w:r>
      <w:r>
        <w:rPr>
          <w:rFonts w:hint="eastAsia" w:cs="仿宋" w:asciiTheme="minorEastAsia" w:hAnsiTheme="minorEastAsia" w:eastAsiaTheme="minorEastAsia"/>
          <w:sz w:val="24"/>
          <w:szCs w:val="24"/>
          <w:u w:val="dotted"/>
        </w:rPr>
        <w:t xml:space="preserve">                                               </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签字(签章)：                   公章：                      </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日期：    </w:t>
      </w:r>
    </w:p>
    <w:p>
      <w:pPr>
        <w:widowControl/>
        <w:jc w:val="left"/>
        <w:rPr>
          <w:rFonts w:ascii="仿宋" w:hAnsi="仿宋" w:eastAsia="仿宋" w:cs="仿宋"/>
          <w:sz w:val="32"/>
          <w:szCs w:val="32"/>
        </w:rPr>
      </w:pPr>
      <w:r>
        <w:rPr>
          <w:rFonts w:ascii="仿宋" w:hAnsi="仿宋" w:eastAsia="仿宋" w:cs="仿宋"/>
          <w:sz w:val="32"/>
          <w:szCs w:val="32"/>
        </w:rPr>
        <w:br w:type="page"/>
      </w:r>
    </w:p>
    <w:p>
      <w:pPr>
        <w:rPr>
          <w:rFonts w:asciiTheme="minorEastAsia" w:hAnsiTheme="minorEastAsia" w:eastAsiaTheme="minorEastAsia"/>
          <w:b/>
          <w:sz w:val="28"/>
          <w:szCs w:val="32"/>
        </w:rPr>
      </w:pPr>
      <w:r>
        <w:rPr>
          <w:rFonts w:hint="eastAsia" w:asciiTheme="minorEastAsia" w:hAnsiTheme="minorEastAsia" w:eastAsiaTheme="minorEastAsia"/>
          <w:b/>
          <w:sz w:val="28"/>
          <w:szCs w:val="32"/>
        </w:rPr>
        <w:t>质疑函制作说明：</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1.供应商提出质疑时，应提交质疑函和必要的证明材料。</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3.质疑供应商若对项目的某一分包进行质疑，质疑函中应列明具体分包号。</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4.质疑函的质疑事项应具体、明确，并有必要的事实依据和法律依据。</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5.质疑函的质疑请求应与质疑事项相关。</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8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48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29</w:t>
                    </w:r>
                    <w:r>
                      <w:fldChar w:fldCharType="end"/>
                    </w:r>
                  </w:p>
                </w:txbxContent>
              </v:textbox>
            </v:shape>
          </w:pict>
        </mc:Fallback>
      </mc:AlternateContent>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asciiTheme="minorEastAsia" w:hAnsiTheme="minorEastAsia" w:eastAsiaTheme="minorEastAsia"/>
      </w:rPr>
    </w:pPr>
    <w:r>
      <w:rPr>
        <w:rFonts w:hint="eastAsia" w:asciiTheme="minorEastAsia" w:hAnsiTheme="minorEastAsia" w:eastAsiaTheme="minorEastAsia"/>
      </w:rPr>
      <w:t>安徽交通职业技术学院产教融合实训基地建设项目（第一、二包）</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5OGI1NjVmZWNhZGNkYTdkODQxYjM2ZWI3ZWJhZmYifQ=="/>
  </w:docVars>
  <w:rsids>
    <w:rsidRoot w:val="00276BA1"/>
    <w:rsid w:val="0000043F"/>
    <w:rsid w:val="000049DA"/>
    <w:rsid w:val="000056B7"/>
    <w:rsid w:val="00012A13"/>
    <w:rsid w:val="000131F7"/>
    <w:rsid w:val="00016B6C"/>
    <w:rsid w:val="00020B57"/>
    <w:rsid w:val="00033B5B"/>
    <w:rsid w:val="00037DBE"/>
    <w:rsid w:val="00042139"/>
    <w:rsid w:val="00042B14"/>
    <w:rsid w:val="00044F49"/>
    <w:rsid w:val="000450C3"/>
    <w:rsid w:val="00050A3F"/>
    <w:rsid w:val="000530EC"/>
    <w:rsid w:val="000544DE"/>
    <w:rsid w:val="000648D2"/>
    <w:rsid w:val="00070E0E"/>
    <w:rsid w:val="00076DB7"/>
    <w:rsid w:val="00080FEB"/>
    <w:rsid w:val="00081B81"/>
    <w:rsid w:val="000868D6"/>
    <w:rsid w:val="00094D41"/>
    <w:rsid w:val="00097CB9"/>
    <w:rsid w:val="000A3569"/>
    <w:rsid w:val="000A4640"/>
    <w:rsid w:val="000A6345"/>
    <w:rsid w:val="000A6693"/>
    <w:rsid w:val="000A6B73"/>
    <w:rsid w:val="000A7D94"/>
    <w:rsid w:val="000B1511"/>
    <w:rsid w:val="000B54F4"/>
    <w:rsid w:val="000C1DB1"/>
    <w:rsid w:val="000D3F37"/>
    <w:rsid w:val="000D431F"/>
    <w:rsid w:val="000E3C74"/>
    <w:rsid w:val="000E3F9B"/>
    <w:rsid w:val="000E6689"/>
    <w:rsid w:val="000E7036"/>
    <w:rsid w:val="000F014C"/>
    <w:rsid w:val="000F172B"/>
    <w:rsid w:val="000F1C24"/>
    <w:rsid w:val="000F2198"/>
    <w:rsid w:val="000F39B6"/>
    <w:rsid w:val="000F6B7B"/>
    <w:rsid w:val="00100B0F"/>
    <w:rsid w:val="0010187C"/>
    <w:rsid w:val="001037E3"/>
    <w:rsid w:val="00110911"/>
    <w:rsid w:val="00116A70"/>
    <w:rsid w:val="0012143A"/>
    <w:rsid w:val="001222C6"/>
    <w:rsid w:val="00123644"/>
    <w:rsid w:val="00136D80"/>
    <w:rsid w:val="00137C7C"/>
    <w:rsid w:val="00140687"/>
    <w:rsid w:val="00141707"/>
    <w:rsid w:val="00146421"/>
    <w:rsid w:val="001479CF"/>
    <w:rsid w:val="00153D8A"/>
    <w:rsid w:val="00155F64"/>
    <w:rsid w:val="00157856"/>
    <w:rsid w:val="00160729"/>
    <w:rsid w:val="00160D83"/>
    <w:rsid w:val="001638BF"/>
    <w:rsid w:val="001644D1"/>
    <w:rsid w:val="00166ED8"/>
    <w:rsid w:val="001714C9"/>
    <w:rsid w:val="001754E2"/>
    <w:rsid w:val="0018119B"/>
    <w:rsid w:val="001826D0"/>
    <w:rsid w:val="00183344"/>
    <w:rsid w:val="00183897"/>
    <w:rsid w:val="001844AB"/>
    <w:rsid w:val="00190F1F"/>
    <w:rsid w:val="001944B8"/>
    <w:rsid w:val="00196DA3"/>
    <w:rsid w:val="00197AC4"/>
    <w:rsid w:val="001A0DCD"/>
    <w:rsid w:val="001A5D34"/>
    <w:rsid w:val="001A68E5"/>
    <w:rsid w:val="001B21DF"/>
    <w:rsid w:val="001B2A54"/>
    <w:rsid w:val="001B5014"/>
    <w:rsid w:val="001B7327"/>
    <w:rsid w:val="001C641E"/>
    <w:rsid w:val="001C67F2"/>
    <w:rsid w:val="001C762D"/>
    <w:rsid w:val="001D3BE8"/>
    <w:rsid w:val="001D46EF"/>
    <w:rsid w:val="001D53B4"/>
    <w:rsid w:val="001F28D2"/>
    <w:rsid w:val="001F2F45"/>
    <w:rsid w:val="001F3023"/>
    <w:rsid w:val="001F35F6"/>
    <w:rsid w:val="001F74CA"/>
    <w:rsid w:val="002003B6"/>
    <w:rsid w:val="002049B4"/>
    <w:rsid w:val="0020520B"/>
    <w:rsid w:val="00213C55"/>
    <w:rsid w:val="002163CF"/>
    <w:rsid w:val="0021657C"/>
    <w:rsid w:val="002168C4"/>
    <w:rsid w:val="002178B1"/>
    <w:rsid w:val="00223CF4"/>
    <w:rsid w:val="00224C4A"/>
    <w:rsid w:val="0023407E"/>
    <w:rsid w:val="00240B40"/>
    <w:rsid w:val="002440D8"/>
    <w:rsid w:val="00244182"/>
    <w:rsid w:val="00246810"/>
    <w:rsid w:val="00260860"/>
    <w:rsid w:val="00260B94"/>
    <w:rsid w:val="00264F2E"/>
    <w:rsid w:val="00271245"/>
    <w:rsid w:val="00272E6E"/>
    <w:rsid w:val="00274A9E"/>
    <w:rsid w:val="00276292"/>
    <w:rsid w:val="00276680"/>
    <w:rsid w:val="00276BA1"/>
    <w:rsid w:val="00277094"/>
    <w:rsid w:val="002A1A1D"/>
    <w:rsid w:val="002A28AD"/>
    <w:rsid w:val="002A3AEE"/>
    <w:rsid w:val="002B5318"/>
    <w:rsid w:val="002B5373"/>
    <w:rsid w:val="002B6D27"/>
    <w:rsid w:val="002C4BA9"/>
    <w:rsid w:val="002D1258"/>
    <w:rsid w:val="002D2965"/>
    <w:rsid w:val="002D3D02"/>
    <w:rsid w:val="002D4CB5"/>
    <w:rsid w:val="002D684B"/>
    <w:rsid w:val="002E3B26"/>
    <w:rsid w:val="002E4AB8"/>
    <w:rsid w:val="002F092B"/>
    <w:rsid w:val="002F5981"/>
    <w:rsid w:val="00310070"/>
    <w:rsid w:val="003110EC"/>
    <w:rsid w:val="00313029"/>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91586"/>
    <w:rsid w:val="00394128"/>
    <w:rsid w:val="003947A4"/>
    <w:rsid w:val="00395235"/>
    <w:rsid w:val="0039561A"/>
    <w:rsid w:val="00397C7D"/>
    <w:rsid w:val="003A004F"/>
    <w:rsid w:val="003A4AF3"/>
    <w:rsid w:val="003B4130"/>
    <w:rsid w:val="003B67D3"/>
    <w:rsid w:val="003B715B"/>
    <w:rsid w:val="003C4630"/>
    <w:rsid w:val="003D1D14"/>
    <w:rsid w:val="003D6C7C"/>
    <w:rsid w:val="003D6EFB"/>
    <w:rsid w:val="003D7E52"/>
    <w:rsid w:val="003E25C6"/>
    <w:rsid w:val="003E6E5B"/>
    <w:rsid w:val="003F145B"/>
    <w:rsid w:val="003F326A"/>
    <w:rsid w:val="004011AA"/>
    <w:rsid w:val="0040202C"/>
    <w:rsid w:val="00406508"/>
    <w:rsid w:val="0041456E"/>
    <w:rsid w:val="00414F7E"/>
    <w:rsid w:val="004164F8"/>
    <w:rsid w:val="00417FD0"/>
    <w:rsid w:val="00420B7F"/>
    <w:rsid w:val="004230DA"/>
    <w:rsid w:val="004234E2"/>
    <w:rsid w:val="0042488B"/>
    <w:rsid w:val="004427B7"/>
    <w:rsid w:val="0044349F"/>
    <w:rsid w:val="00445F1F"/>
    <w:rsid w:val="00451F60"/>
    <w:rsid w:val="00452BB2"/>
    <w:rsid w:val="0045656D"/>
    <w:rsid w:val="00462D98"/>
    <w:rsid w:val="00472A44"/>
    <w:rsid w:val="00473A89"/>
    <w:rsid w:val="00474D3B"/>
    <w:rsid w:val="004757D6"/>
    <w:rsid w:val="00475899"/>
    <w:rsid w:val="004802A8"/>
    <w:rsid w:val="00482C78"/>
    <w:rsid w:val="004874AE"/>
    <w:rsid w:val="00492E2B"/>
    <w:rsid w:val="00494D24"/>
    <w:rsid w:val="004951D1"/>
    <w:rsid w:val="004A27D0"/>
    <w:rsid w:val="004A4D67"/>
    <w:rsid w:val="004B2D4C"/>
    <w:rsid w:val="004C7378"/>
    <w:rsid w:val="004D3D4B"/>
    <w:rsid w:val="004D5498"/>
    <w:rsid w:val="004D66A5"/>
    <w:rsid w:val="004D6B00"/>
    <w:rsid w:val="004E1D50"/>
    <w:rsid w:val="004F0396"/>
    <w:rsid w:val="00501382"/>
    <w:rsid w:val="00503F25"/>
    <w:rsid w:val="005054B9"/>
    <w:rsid w:val="00506E4F"/>
    <w:rsid w:val="00510798"/>
    <w:rsid w:val="00514ED8"/>
    <w:rsid w:val="00515F12"/>
    <w:rsid w:val="00524A11"/>
    <w:rsid w:val="00527768"/>
    <w:rsid w:val="005327FB"/>
    <w:rsid w:val="00533FCA"/>
    <w:rsid w:val="00534582"/>
    <w:rsid w:val="0054317E"/>
    <w:rsid w:val="00546D49"/>
    <w:rsid w:val="00560679"/>
    <w:rsid w:val="005616B5"/>
    <w:rsid w:val="00571315"/>
    <w:rsid w:val="005749F1"/>
    <w:rsid w:val="00582075"/>
    <w:rsid w:val="00585EB3"/>
    <w:rsid w:val="00592509"/>
    <w:rsid w:val="00596721"/>
    <w:rsid w:val="00597B15"/>
    <w:rsid w:val="005A044C"/>
    <w:rsid w:val="005B5C95"/>
    <w:rsid w:val="005B6740"/>
    <w:rsid w:val="005D0200"/>
    <w:rsid w:val="005D44EF"/>
    <w:rsid w:val="005D4814"/>
    <w:rsid w:val="005D5112"/>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F7F"/>
    <w:rsid w:val="00662EE8"/>
    <w:rsid w:val="00663813"/>
    <w:rsid w:val="00663C3B"/>
    <w:rsid w:val="00664AFD"/>
    <w:rsid w:val="00667567"/>
    <w:rsid w:val="00671763"/>
    <w:rsid w:val="0067391A"/>
    <w:rsid w:val="00674173"/>
    <w:rsid w:val="00674602"/>
    <w:rsid w:val="0067535A"/>
    <w:rsid w:val="00683CA0"/>
    <w:rsid w:val="00690AF6"/>
    <w:rsid w:val="00690DB1"/>
    <w:rsid w:val="00693404"/>
    <w:rsid w:val="006953D9"/>
    <w:rsid w:val="00697FE9"/>
    <w:rsid w:val="006A37F5"/>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3635"/>
    <w:rsid w:val="007054AA"/>
    <w:rsid w:val="00706D4B"/>
    <w:rsid w:val="00707B8C"/>
    <w:rsid w:val="00710723"/>
    <w:rsid w:val="00710804"/>
    <w:rsid w:val="00711FC6"/>
    <w:rsid w:val="007130B1"/>
    <w:rsid w:val="00715071"/>
    <w:rsid w:val="007231E9"/>
    <w:rsid w:val="00727C59"/>
    <w:rsid w:val="00734E5D"/>
    <w:rsid w:val="00735AF1"/>
    <w:rsid w:val="00736013"/>
    <w:rsid w:val="00737661"/>
    <w:rsid w:val="00755D75"/>
    <w:rsid w:val="00756245"/>
    <w:rsid w:val="00761662"/>
    <w:rsid w:val="00764043"/>
    <w:rsid w:val="007757CF"/>
    <w:rsid w:val="00776FFC"/>
    <w:rsid w:val="0078128F"/>
    <w:rsid w:val="0078683C"/>
    <w:rsid w:val="00790EDB"/>
    <w:rsid w:val="00791538"/>
    <w:rsid w:val="0079326E"/>
    <w:rsid w:val="00796090"/>
    <w:rsid w:val="00796EDE"/>
    <w:rsid w:val="007A27A9"/>
    <w:rsid w:val="007A5A58"/>
    <w:rsid w:val="007A6740"/>
    <w:rsid w:val="007B1C56"/>
    <w:rsid w:val="007B2CCC"/>
    <w:rsid w:val="007B4996"/>
    <w:rsid w:val="007C3CD5"/>
    <w:rsid w:val="007C61EF"/>
    <w:rsid w:val="007D1C0D"/>
    <w:rsid w:val="007D2D23"/>
    <w:rsid w:val="007E27D6"/>
    <w:rsid w:val="007E3921"/>
    <w:rsid w:val="007E5DDE"/>
    <w:rsid w:val="007F3D71"/>
    <w:rsid w:val="00801028"/>
    <w:rsid w:val="00803793"/>
    <w:rsid w:val="0080643F"/>
    <w:rsid w:val="00814052"/>
    <w:rsid w:val="008149FD"/>
    <w:rsid w:val="00817A01"/>
    <w:rsid w:val="00824F21"/>
    <w:rsid w:val="00825E35"/>
    <w:rsid w:val="008334F8"/>
    <w:rsid w:val="008341AA"/>
    <w:rsid w:val="00835D8E"/>
    <w:rsid w:val="00844D03"/>
    <w:rsid w:val="00847B0F"/>
    <w:rsid w:val="00876659"/>
    <w:rsid w:val="00876677"/>
    <w:rsid w:val="0087734C"/>
    <w:rsid w:val="00882141"/>
    <w:rsid w:val="008922A8"/>
    <w:rsid w:val="00895728"/>
    <w:rsid w:val="00895BD5"/>
    <w:rsid w:val="0089742B"/>
    <w:rsid w:val="008A16C4"/>
    <w:rsid w:val="008A6FED"/>
    <w:rsid w:val="008B39C5"/>
    <w:rsid w:val="008B51AA"/>
    <w:rsid w:val="008B7932"/>
    <w:rsid w:val="008C67F2"/>
    <w:rsid w:val="008D064A"/>
    <w:rsid w:val="008D2B0F"/>
    <w:rsid w:val="008E449E"/>
    <w:rsid w:val="008E7062"/>
    <w:rsid w:val="008F187F"/>
    <w:rsid w:val="008F402F"/>
    <w:rsid w:val="008F55FA"/>
    <w:rsid w:val="008F76E8"/>
    <w:rsid w:val="008F76F5"/>
    <w:rsid w:val="008F7CD0"/>
    <w:rsid w:val="00902902"/>
    <w:rsid w:val="00902A4B"/>
    <w:rsid w:val="009078A1"/>
    <w:rsid w:val="00911E9C"/>
    <w:rsid w:val="00915083"/>
    <w:rsid w:val="00917405"/>
    <w:rsid w:val="00920035"/>
    <w:rsid w:val="00920F7C"/>
    <w:rsid w:val="00934CAE"/>
    <w:rsid w:val="00941CF0"/>
    <w:rsid w:val="0094257D"/>
    <w:rsid w:val="00942F60"/>
    <w:rsid w:val="0095211B"/>
    <w:rsid w:val="009541E0"/>
    <w:rsid w:val="0095467C"/>
    <w:rsid w:val="00954A61"/>
    <w:rsid w:val="00955C6F"/>
    <w:rsid w:val="00966C7B"/>
    <w:rsid w:val="009701DC"/>
    <w:rsid w:val="009715D8"/>
    <w:rsid w:val="00985C4B"/>
    <w:rsid w:val="00995BF9"/>
    <w:rsid w:val="00997C3C"/>
    <w:rsid w:val="009A0CAF"/>
    <w:rsid w:val="009A1474"/>
    <w:rsid w:val="009A2207"/>
    <w:rsid w:val="009A5147"/>
    <w:rsid w:val="009A74C4"/>
    <w:rsid w:val="009B6C42"/>
    <w:rsid w:val="009D31F7"/>
    <w:rsid w:val="009D32C2"/>
    <w:rsid w:val="009D50DB"/>
    <w:rsid w:val="009E3A0A"/>
    <w:rsid w:val="009F3E91"/>
    <w:rsid w:val="009F6CE7"/>
    <w:rsid w:val="00A01670"/>
    <w:rsid w:val="00A045E7"/>
    <w:rsid w:val="00A1499B"/>
    <w:rsid w:val="00A1551F"/>
    <w:rsid w:val="00A20879"/>
    <w:rsid w:val="00A20AFC"/>
    <w:rsid w:val="00A314C2"/>
    <w:rsid w:val="00A35B95"/>
    <w:rsid w:val="00A43B9C"/>
    <w:rsid w:val="00A53155"/>
    <w:rsid w:val="00A63E86"/>
    <w:rsid w:val="00A65A1C"/>
    <w:rsid w:val="00A6704B"/>
    <w:rsid w:val="00A757C3"/>
    <w:rsid w:val="00A75E5B"/>
    <w:rsid w:val="00A7684A"/>
    <w:rsid w:val="00A81193"/>
    <w:rsid w:val="00A82AED"/>
    <w:rsid w:val="00A83B69"/>
    <w:rsid w:val="00A84AF8"/>
    <w:rsid w:val="00A86533"/>
    <w:rsid w:val="00A9176A"/>
    <w:rsid w:val="00A91CA2"/>
    <w:rsid w:val="00A92FB8"/>
    <w:rsid w:val="00A948F1"/>
    <w:rsid w:val="00AA1D7D"/>
    <w:rsid w:val="00AA7525"/>
    <w:rsid w:val="00AB0EA9"/>
    <w:rsid w:val="00AB139D"/>
    <w:rsid w:val="00AB2C46"/>
    <w:rsid w:val="00AB3EFB"/>
    <w:rsid w:val="00AC0B05"/>
    <w:rsid w:val="00AD079A"/>
    <w:rsid w:val="00AD1890"/>
    <w:rsid w:val="00AE2149"/>
    <w:rsid w:val="00AE33AE"/>
    <w:rsid w:val="00AE3785"/>
    <w:rsid w:val="00AE3F91"/>
    <w:rsid w:val="00AE452F"/>
    <w:rsid w:val="00AE76E6"/>
    <w:rsid w:val="00B00ACC"/>
    <w:rsid w:val="00B039E3"/>
    <w:rsid w:val="00B043C1"/>
    <w:rsid w:val="00B0483C"/>
    <w:rsid w:val="00B22838"/>
    <w:rsid w:val="00B23212"/>
    <w:rsid w:val="00B232ED"/>
    <w:rsid w:val="00B32BC1"/>
    <w:rsid w:val="00B33E95"/>
    <w:rsid w:val="00B35B5E"/>
    <w:rsid w:val="00B3720B"/>
    <w:rsid w:val="00B40EE3"/>
    <w:rsid w:val="00B55271"/>
    <w:rsid w:val="00B5558A"/>
    <w:rsid w:val="00B56513"/>
    <w:rsid w:val="00B56B2E"/>
    <w:rsid w:val="00B64376"/>
    <w:rsid w:val="00B71533"/>
    <w:rsid w:val="00B7401F"/>
    <w:rsid w:val="00B806C3"/>
    <w:rsid w:val="00B84FCA"/>
    <w:rsid w:val="00B9089F"/>
    <w:rsid w:val="00B90B42"/>
    <w:rsid w:val="00B91AEE"/>
    <w:rsid w:val="00B94F71"/>
    <w:rsid w:val="00B95F5A"/>
    <w:rsid w:val="00B96EAD"/>
    <w:rsid w:val="00BA4B42"/>
    <w:rsid w:val="00BA79F5"/>
    <w:rsid w:val="00BB02E8"/>
    <w:rsid w:val="00BB3826"/>
    <w:rsid w:val="00BB3AB6"/>
    <w:rsid w:val="00BB766D"/>
    <w:rsid w:val="00BC007B"/>
    <w:rsid w:val="00BC15E7"/>
    <w:rsid w:val="00BC26BA"/>
    <w:rsid w:val="00BC35F8"/>
    <w:rsid w:val="00BC7140"/>
    <w:rsid w:val="00BD3944"/>
    <w:rsid w:val="00BF376F"/>
    <w:rsid w:val="00BF46A6"/>
    <w:rsid w:val="00BF62CF"/>
    <w:rsid w:val="00BF73D6"/>
    <w:rsid w:val="00C06545"/>
    <w:rsid w:val="00C1161C"/>
    <w:rsid w:val="00C220FC"/>
    <w:rsid w:val="00C22845"/>
    <w:rsid w:val="00C24DFA"/>
    <w:rsid w:val="00C4202A"/>
    <w:rsid w:val="00C4211F"/>
    <w:rsid w:val="00C46A36"/>
    <w:rsid w:val="00C47037"/>
    <w:rsid w:val="00C53625"/>
    <w:rsid w:val="00C602C1"/>
    <w:rsid w:val="00C63FC0"/>
    <w:rsid w:val="00C66392"/>
    <w:rsid w:val="00C74C5E"/>
    <w:rsid w:val="00C827A2"/>
    <w:rsid w:val="00C82B69"/>
    <w:rsid w:val="00C85394"/>
    <w:rsid w:val="00C8657D"/>
    <w:rsid w:val="00C91B28"/>
    <w:rsid w:val="00C91F3A"/>
    <w:rsid w:val="00C94A6F"/>
    <w:rsid w:val="00C94F39"/>
    <w:rsid w:val="00CA06E3"/>
    <w:rsid w:val="00CB5797"/>
    <w:rsid w:val="00CC1202"/>
    <w:rsid w:val="00CC4099"/>
    <w:rsid w:val="00CC40E9"/>
    <w:rsid w:val="00CC45C1"/>
    <w:rsid w:val="00CD09E1"/>
    <w:rsid w:val="00CD6202"/>
    <w:rsid w:val="00CE2486"/>
    <w:rsid w:val="00CE47E8"/>
    <w:rsid w:val="00CE4913"/>
    <w:rsid w:val="00CE66BD"/>
    <w:rsid w:val="00CE6906"/>
    <w:rsid w:val="00CF0671"/>
    <w:rsid w:val="00CF44AD"/>
    <w:rsid w:val="00CF4FC0"/>
    <w:rsid w:val="00D1072F"/>
    <w:rsid w:val="00D108A5"/>
    <w:rsid w:val="00D14585"/>
    <w:rsid w:val="00D20276"/>
    <w:rsid w:val="00D20EFF"/>
    <w:rsid w:val="00D30F1B"/>
    <w:rsid w:val="00D30FC0"/>
    <w:rsid w:val="00D34F0D"/>
    <w:rsid w:val="00D3516E"/>
    <w:rsid w:val="00D4064C"/>
    <w:rsid w:val="00D53ED8"/>
    <w:rsid w:val="00D56A47"/>
    <w:rsid w:val="00D60715"/>
    <w:rsid w:val="00D64857"/>
    <w:rsid w:val="00D6493A"/>
    <w:rsid w:val="00D64EE2"/>
    <w:rsid w:val="00D67875"/>
    <w:rsid w:val="00D7063F"/>
    <w:rsid w:val="00D71CBD"/>
    <w:rsid w:val="00D71E86"/>
    <w:rsid w:val="00D731C6"/>
    <w:rsid w:val="00D745C5"/>
    <w:rsid w:val="00D75327"/>
    <w:rsid w:val="00D76473"/>
    <w:rsid w:val="00D80C36"/>
    <w:rsid w:val="00D81EE7"/>
    <w:rsid w:val="00D86779"/>
    <w:rsid w:val="00D86EE1"/>
    <w:rsid w:val="00D9120E"/>
    <w:rsid w:val="00D96126"/>
    <w:rsid w:val="00DA641F"/>
    <w:rsid w:val="00DB4B1C"/>
    <w:rsid w:val="00DB5085"/>
    <w:rsid w:val="00DB7706"/>
    <w:rsid w:val="00DC1062"/>
    <w:rsid w:val="00DC132C"/>
    <w:rsid w:val="00DD43F0"/>
    <w:rsid w:val="00DD44DE"/>
    <w:rsid w:val="00DE09AB"/>
    <w:rsid w:val="00DE4A3F"/>
    <w:rsid w:val="00DE695A"/>
    <w:rsid w:val="00DE7AE9"/>
    <w:rsid w:val="00DF4367"/>
    <w:rsid w:val="00E0574A"/>
    <w:rsid w:val="00E1243D"/>
    <w:rsid w:val="00E12742"/>
    <w:rsid w:val="00E146D4"/>
    <w:rsid w:val="00E15656"/>
    <w:rsid w:val="00E20976"/>
    <w:rsid w:val="00E22079"/>
    <w:rsid w:val="00E22B44"/>
    <w:rsid w:val="00E236D8"/>
    <w:rsid w:val="00E30ACD"/>
    <w:rsid w:val="00E31E1E"/>
    <w:rsid w:val="00E32735"/>
    <w:rsid w:val="00E5391D"/>
    <w:rsid w:val="00E66E36"/>
    <w:rsid w:val="00E6781E"/>
    <w:rsid w:val="00E702ED"/>
    <w:rsid w:val="00E709A4"/>
    <w:rsid w:val="00E73822"/>
    <w:rsid w:val="00E74319"/>
    <w:rsid w:val="00E772DB"/>
    <w:rsid w:val="00E80D6C"/>
    <w:rsid w:val="00E85261"/>
    <w:rsid w:val="00E86012"/>
    <w:rsid w:val="00E86BAB"/>
    <w:rsid w:val="00E86EE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6E9A"/>
    <w:rsid w:val="00EF0BF1"/>
    <w:rsid w:val="00EF2AC4"/>
    <w:rsid w:val="00EF397E"/>
    <w:rsid w:val="00F06F68"/>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75B81"/>
    <w:rsid w:val="00F76BA3"/>
    <w:rsid w:val="00F804C4"/>
    <w:rsid w:val="00F82F83"/>
    <w:rsid w:val="00F832E5"/>
    <w:rsid w:val="00F90F40"/>
    <w:rsid w:val="00F92B30"/>
    <w:rsid w:val="00F933B9"/>
    <w:rsid w:val="00F94674"/>
    <w:rsid w:val="00F94919"/>
    <w:rsid w:val="00F94A59"/>
    <w:rsid w:val="00FA25B6"/>
    <w:rsid w:val="00FA2FAF"/>
    <w:rsid w:val="00FA5CCF"/>
    <w:rsid w:val="00FA64B1"/>
    <w:rsid w:val="00FA670C"/>
    <w:rsid w:val="00FA70F3"/>
    <w:rsid w:val="00FA71CD"/>
    <w:rsid w:val="00FB0453"/>
    <w:rsid w:val="00FB0C07"/>
    <w:rsid w:val="00FB298D"/>
    <w:rsid w:val="00FC1439"/>
    <w:rsid w:val="00FC58BE"/>
    <w:rsid w:val="00FC724B"/>
    <w:rsid w:val="00FC7910"/>
    <w:rsid w:val="00FE13AD"/>
    <w:rsid w:val="00FE4D8E"/>
    <w:rsid w:val="00FE72A6"/>
    <w:rsid w:val="00FF0DA7"/>
    <w:rsid w:val="00FF1E19"/>
    <w:rsid w:val="00FF44E0"/>
    <w:rsid w:val="00FF4CB6"/>
    <w:rsid w:val="00FF6C72"/>
    <w:rsid w:val="035974FA"/>
    <w:rsid w:val="04464E52"/>
    <w:rsid w:val="053B5D4B"/>
    <w:rsid w:val="05487F03"/>
    <w:rsid w:val="05D642B7"/>
    <w:rsid w:val="064F6C58"/>
    <w:rsid w:val="06BE4FB9"/>
    <w:rsid w:val="06D72D29"/>
    <w:rsid w:val="071C645D"/>
    <w:rsid w:val="07C25CAA"/>
    <w:rsid w:val="0A5F5B47"/>
    <w:rsid w:val="0AD16319"/>
    <w:rsid w:val="0AF562F7"/>
    <w:rsid w:val="0B493A96"/>
    <w:rsid w:val="0C4170D5"/>
    <w:rsid w:val="0D2C0F14"/>
    <w:rsid w:val="0D8D6AD7"/>
    <w:rsid w:val="0DC33D37"/>
    <w:rsid w:val="0E36247D"/>
    <w:rsid w:val="0F8A6A96"/>
    <w:rsid w:val="10CD30DE"/>
    <w:rsid w:val="12864C3F"/>
    <w:rsid w:val="13E001A9"/>
    <w:rsid w:val="13E71237"/>
    <w:rsid w:val="15582812"/>
    <w:rsid w:val="16E64EFA"/>
    <w:rsid w:val="17645343"/>
    <w:rsid w:val="190D4BB0"/>
    <w:rsid w:val="1B943177"/>
    <w:rsid w:val="1BFD0E9B"/>
    <w:rsid w:val="1C3A6266"/>
    <w:rsid w:val="1CB6711D"/>
    <w:rsid w:val="1D8E6CF2"/>
    <w:rsid w:val="1E7E1A8F"/>
    <w:rsid w:val="227A7CCA"/>
    <w:rsid w:val="2297354C"/>
    <w:rsid w:val="22B37C7D"/>
    <w:rsid w:val="22D149B0"/>
    <w:rsid w:val="23451330"/>
    <w:rsid w:val="23E45806"/>
    <w:rsid w:val="25457403"/>
    <w:rsid w:val="25C23733"/>
    <w:rsid w:val="25F441C2"/>
    <w:rsid w:val="25FA5D5B"/>
    <w:rsid w:val="26594A5E"/>
    <w:rsid w:val="267E20A4"/>
    <w:rsid w:val="26FE4EE4"/>
    <w:rsid w:val="27644345"/>
    <w:rsid w:val="285C1A77"/>
    <w:rsid w:val="289C18BC"/>
    <w:rsid w:val="29D67468"/>
    <w:rsid w:val="2A1B4A63"/>
    <w:rsid w:val="2BD623BF"/>
    <w:rsid w:val="2C430CDD"/>
    <w:rsid w:val="2C723060"/>
    <w:rsid w:val="2C944F3E"/>
    <w:rsid w:val="2C956D4E"/>
    <w:rsid w:val="2D5F080A"/>
    <w:rsid w:val="2F8C0590"/>
    <w:rsid w:val="2FC409EA"/>
    <w:rsid w:val="2FFF10AF"/>
    <w:rsid w:val="305B5D35"/>
    <w:rsid w:val="30B64C48"/>
    <w:rsid w:val="31D90660"/>
    <w:rsid w:val="32527E48"/>
    <w:rsid w:val="32E443A4"/>
    <w:rsid w:val="33184235"/>
    <w:rsid w:val="333F63BE"/>
    <w:rsid w:val="3383050A"/>
    <w:rsid w:val="33B65F28"/>
    <w:rsid w:val="33C543BD"/>
    <w:rsid w:val="3432346E"/>
    <w:rsid w:val="34893064"/>
    <w:rsid w:val="349E7B08"/>
    <w:rsid w:val="34A53D28"/>
    <w:rsid w:val="35116FCF"/>
    <w:rsid w:val="35154937"/>
    <w:rsid w:val="35396689"/>
    <w:rsid w:val="357B35F1"/>
    <w:rsid w:val="365C0A5A"/>
    <w:rsid w:val="373A3699"/>
    <w:rsid w:val="37673F5D"/>
    <w:rsid w:val="37F020B9"/>
    <w:rsid w:val="38231A9B"/>
    <w:rsid w:val="385B5E52"/>
    <w:rsid w:val="38AE38A3"/>
    <w:rsid w:val="393C6ED0"/>
    <w:rsid w:val="3A137505"/>
    <w:rsid w:val="3A151D30"/>
    <w:rsid w:val="3A2B0CF2"/>
    <w:rsid w:val="3A5136C1"/>
    <w:rsid w:val="3AD822B7"/>
    <w:rsid w:val="3C0D0AD0"/>
    <w:rsid w:val="3EE717F6"/>
    <w:rsid w:val="3F103E30"/>
    <w:rsid w:val="3F6858A5"/>
    <w:rsid w:val="3F8D23BC"/>
    <w:rsid w:val="3FB67B13"/>
    <w:rsid w:val="3FBF1311"/>
    <w:rsid w:val="41A75102"/>
    <w:rsid w:val="41BD118B"/>
    <w:rsid w:val="41EC7E8C"/>
    <w:rsid w:val="42A549CD"/>
    <w:rsid w:val="42FB2E84"/>
    <w:rsid w:val="43500CC9"/>
    <w:rsid w:val="436020DD"/>
    <w:rsid w:val="445021C9"/>
    <w:rsid w:val="447B6F3B"/>
    <w:rsid w:val="454C5E7D"/>
    <w:rsid w:val="466C691A"/>
    <w:rsid w:val="46C867D1"/>
    <w:rsid w:val="46F202F9"/>
    <w:rsid w:val="47B36991"/>
    <w:rsid w:val="48390A7E"/>
    <w:rsid w:val="484A3F34"/>
    <w:rsid w:val="48BB513D"/>
    <w:rsid w:val="49491F64"/>
    <w:rsid w:val="49DA5488"/>
    <w:rsid w:val="4AC232AC"/>
    <w:rsid w:val="4ADB406F"/>
    <w:rsid w:val="4AF76A57"/>
    <w:rsid w:val="4B200AFA"/>
    <w:rsid w:val="4C8C7F99"/>
    <w:rsid w:val="4D93478D"/>
    <w:rsid w:val="4DA76016"/>
    <w:rsid w:val="4DCF3694"/>
    <w:rsid w:val="4F0E2785"/>
    <w:rsid w:val="4FCE5F50"/>
    <w:rsid w:val="52A511EA"/>
    <w:rsid w:val="52D90E94"/>
    <w:rsid w:val="530C3727"/>
    <w:rsid w:val="54496034"/>
    <w:rsid w:val="545729B8"/>
    <w:rsid w:val="55BB4296"/>
    <w:rsid w:val="56646DA2"/>
    <w:rsid w:val="56D4320E"/>
    <w:rsid w:val="58252D2F"/>
    <w:rsid w:val="59174DEA"/>
    <w:rsid w:val="598002BB"/>
    <w:rsid w:val="59AC7199"/>
    <w:rsid w:val="5AA54226"/>
    <w:rsid w:val="5B0463A3"/>
    <w:rsid w:val="5BE410A8"/>
    <w:rsid w:val="5CB01707"/>
    <w:rsid w:val="5CE9292E"/>
    <w:rsid w:val="5D2A70F4"/>
    <w:rsid w:val="5DBD631D"/>
    <w:rsid w:val="5DEB5F1F"/>
    <w:rsid w:val="5E6006BB"/>
    <w:rsid w:val="5E7979C3"/>
    <w:rsid w:val="5F681AA7"/>
    <w:rsid w:val="5FC15795"/>
    <w:rsid w:val="60067040"/>
    <w:rsid w:val="61761FA3"/>
    <w:rsid w:val="630D57FA"/>
    <w:rsid w:val="638714EC"/>
    <w:rsid w:val="645962D8"/>
    <w:rsid w:val="6463181E"/>
    <w:rsid w:val="64D911C7"/>
    <w:rsid w:val="661C5E23"/>
    <w:rsid w:val="66640F36"/>
    <w:rsid w:val="682B7274"/>
    <w:rsid w:val="699C2F69"/>
    <w:rsid w:val="69A93CE1"/>
    <w:rsid w:val="6B560C28"/>
    <w:rsid w:val="6B802570"/>
    <w:rsid w:val="6BE97FA1"/>
    <w:rsid w:val="6C7B6B41"/>
    <w:rsid w:val="6D8C2651"/>
    <w:rsid w:val="6E113ECE"/>
    <w:rsid w:val="6FAD1713"/>
    <w:rsid w:val="70684D61"/>
    <w:rsid w:val="72D5505A"/>
    <w:rsid w:val="734F0045"/>
    <w:rsid w:val="73813156"/>
    <w:rsid w:val="76573DB4"/>
    <w:rsid w:val="76945A5B"/>
    <w:rsid w:val="78972AD3"/>
    <w:rsid w:val="79F57AA2"/>
    <w:rsid w:val="7A8403E0"/>
    <w:rsid w:val="7B6B4F35"/>
    <w:rsid w:val="7CAD6D69"/>
    <w:rsid w:val="7D491753"/>
    <w:rsid w:val="7DC16B85"/>
    <w:rsid w:val="7EE070E3"/>
    <w:rsid w:val="7FA00F71"/>
    <w:rsid w:val="DEFDA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spacing w:before="260" w:after="260" w:line="413" w:lineRule="auto"/>
      <w:jc w:val="center"/>
      <w:outlineLvl w:val="1"/>
    </w:pPr>
    <w:rPr>
      <w:rFonts w:ascii="黑体" w:hAnsi="黑体" w:eastAsia="Times New Roman"/>
      <w:b/>
      <w:kern w:val="0"/>
      <w:sz w:val="36"/>
    </w:rPr>
  </w:style>
  <w:style w:type="paragraph" w:styleId="5">
    <w:name w:val="heading 3"/>
    <w:basedOn w:val="1"/>
    <w:next w:val="1"/>
    <w:link w:val="49"/>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54"/>
    <w:qFormat/>
    <w:uiPriority w:val="0"/>
    <w:pPr>
      <w:keepNext/>
      <w:keepLines/>
      <w:spacing w:before="280" w:after="290" w:line="376" w:lineRule="auto"/>
      <w:outlineLvl w:val="3"/>
    </w:pPr>
    <w:rPr>
      <w:b/>
      <w:bCs/>
      <w:sz w:val="28"/>
      <w:szCs w:val="28"/>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pacing w:line="460" w:lineRule="exact"/>
    </w:pPr>
    <w:rPr>
      <w:sz w:val="24"/>
    </w:rPr>
  </w:style>
  <w:style w:type="paragraph" w:styleId="7">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47"/>
    <w:qFormat/>
    <w:uiPriority w:val="0"/>
    <w:pPr>
      <w:jc w:val="left"/>
    </w:pPr>
    <w:rPr>
      <w:rFonts w:ascii="Arial" w:hAnsi="Arial" w:eastAsia="黑体" w:cs="Arial"/>
    </w:rPr>
  </w:style>
  <w:style w:type="paragraph" w:styleId="9">
    <w:name w:val="Body Text Indent"/>
    <w:basedOn w:val="1"/>
    <w:next w:val="10"/>
    <w:qFormat/>
    <w:uiPriority w:val="0"/>
    <w:pPr>
      <w:spacing w:line="400" w:lineRule="exact"/>
      <w:ind w:firstLine="420" w:firstLineChars="200"/>
    </w:pPr>
    <w:rPr>
      <w:rFonts w:ascii="Wingdings" w:hAnsi="Wingdings"/>
    </w:rPr>
  </w:style>
  <w:style w:type="paragraph" w:styleId="10">
    <w:name w:val="envelope return"/>
    <w:basedOn w:val="1"/>
    <w:autoRedefine/>
    <w:qFormat/>
    <w:uiPriority w:val="0"/>
    <w:pPr>
      <w:snapToGrid w:val="0"/>
    </w:pPr>
    <w:rPr>
      <w:rFonts w:ascii="Arial" w:hAnsi="Arial"/>
    </w:rPr>
  </w:style>
  <w:style w:type="paragraph" w:styleId="11">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37"/>
    <w:autoRedefine/>
    <w:qFormat/>
    <w:uiPriority w:val="99"/>
    <w:rPr>
      <w:rFonts w:ascii="宋体" w:hAnsi="Courier New" w:eastAsiaTheme="minorEastAsia" w:cstheme="minorBidi"/>
      <w:szCs w:val="22"/>
    </w:rPr>
  </w:style>
  <w:style w:type="paragraph" w:styleId="13">
    <w:name w:val="Date"/>
    <w:basedOn w:val="1"/>
    <w:next w:val="1"/>
    <w:link w:val="44"/>
    <w:qFormat/>
    <w:uiPriority w:val="0"/>
    <w:rPr>
      <w:rFonts w:ascii="Arial" w:hAnsi="Arial" w:eastAsia="宋体" w:cs="Arial"/>
      <w:b/>
      <w:sz w:val="28"/>
    </w:rPr>
  </w:style>
  <w:style w:type="paragraph" w:styleId="14">
    <w:name w:val="Balloon Text"/>
    <w:basedOn w:val="1"/>
    <w:link w:val="31"/>
    <w:semiHidden/>
    <w:unhideWhenUsed/>
    <w:qFormat/>
    <w:uiPriority w:val="99"/>
    <w:rPr>
      <w:sz w:val="18"/>
      <w:szCs w:val="18"/>
    </w:rPr>
  </w:style>
  <w:style w:type="paragraph" w:styleId="15">
    <w:name w:val="footer"/>
    <w:basedOn w:val="1"/>
    <w:link w:val="36"/>
    <w:unhideWhenUsed/>
    <w:qFormat/>
    <w:uiPriority w:val="99"/>
    <w:pPr>
      <w:tabs>
        <w:tab w:val="center" w:pos="4153"/>
        <w:tab w:val="right" w:pos="8306"/>
      </w:tabs>
      <w:snapToGrid w:val="0"/>
      <w:jc w:val="left"/>
    </w:pPr>
    <w:rPr>
      <w:sz w:val="18"/>
      <w:szCs w:val="18"/>
    </w:rPr>
  </w:style>
  <w:style w:type="paragraph" w:styleId="16">
    <w:name w:val="header"/>
    <w:basedOn w:val="1"/>
    <w:link w:val="3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List"/>
    <w:basedOn w:val="1"/>
    <w:qFormat/>
    <w:uiPriority w:val="0"/>
    <w:pPr>
      <w:spacing w:line="480" w:lineRule="exact"/>
      <w:ind w:left="200" w:hanging="200" w:hangingChars="200"/>
    </w:pPr>
    <w:rPr>
      <w:rFonts w:ascii="宋体" w:hAnsi="宋体" w:eastAsia="宋体" w:cs="Times New Roman"/>
      <w:color w:val="000000"/>
      <w:sz w:val="24"/>
      <w:szCs w:val="24"/>
    </w:rPr>
  </w:style>
  <w:style w:type="paragraph" w:styleId="19">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index 1"/>
    <w:basedOn w:val="1"/>
    <w:next w:val="1"/>
    <w:qFormat/>
    <w:uiPriority w:val="0"/>
    <w:pPr>
      <w:jc w:val="center"/>
    </w:pPr>
    <w:rPr>
      <w:rFonts w:ascii="Arial" w:hAnsi="Arial" w:eastAsia="Arial" w:cs="Arial"/>
      <w:b/>
      <w:bCs/>
      <w:sz w:val="28"/>
    </w:rPr>
  </w:style>
  <w:style w:type="paragraph" w:styleId="21">
    <w:name w:val="annotation subject"/>
    <w:basedOn w:val="8"/>
    <w:next w:val="8"/>
    <w:link w:val="64"/>
    <w:autoRedefine/>
    <w:semiHidden/>
    <w:unhideWhenUsed/>
    <w:qFormat/>
    <w:uiPriority w:val="99"/>
    <w:rPr>
      <w:rFonts w:ascii="@仿宋_GB2312" w:hAnsi="@仿宋_GB2312" w:eastAsia="@仿宋_GB2312" w:cs="@仿宋_GB2312"/>
      <w:b/>
      <w:bCs/>
    </w:rPr>
  </w:style>
  <w:style w:type="paragraph" w:styleId="22">
    <w:name w:val="Body Text First Indent"/>
    <w:basedOn w:val="2"/>
    <w:unhideWhenUsed/>
    <w:qFormat/>
    <w:uiPriority w:val="99"/>
    <w:pPr>
      <w:ind w:firstLine="420" w:firstLineChars="100"/>
    </w:pPr>
  </w:style>
  <w:style w:type="paragraph" w:styleId="23">
    <w:name w:val="Body Text First Indent 2"/>
    <w:basedOn w:val="9"/>
    <w:autoRedefine/>
    <w:unhideWhenUsed/>
    <w:qFormat/>
    <w:uiPriority w:val="0"/>
  </w:style>
  <w:style w:type="table" w:styleId="25">
    <w:name w:val="Table Grid"/>
    <w:basedOn w:val="24"/>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Hyperlink"/>
    <w:basedOn w:val="26"/>
    <w:autoRedefine/>
    <w:unhideWhenUsed/>
    <w:qFormat/>
    <w:uiPriority w:val="99"/>
    <w:rPr>
      <w:color w:val="0000FF" w:themeColor="hyperlink"/>
      <w:u w:val="single"/>
      <w14:textFill>
        <w14:solidFill>
          <w14:schemeClr w14:val="hlink"/>
        </w14:solidFill>
      </w14:textFill>
    </w:rPr>
  </w:style>
  <w:style w:type="character" w:styleId="29">
    <w:name w:val="annotation reference"/>
    <w:basedOn w:val="26"/>
    <w:semiHidden/>
    <w:unhideWhenUsed/>
    <w:qFormat/>
    <w:uiPriority w:val="99"/>
    <w:rPr>
      <w:sz w:val="21"/>
      <w:szCs w:val="21"/>
    </w:rPr>
  </w:style>
  <w:style w:type="character" w:customStyle="1" w:styleId="30">
    <w:name w:val="标题 1 字符"/>
    <w:basedOn w:val="26"/>
    <w:link w:val="3"/>
    <w:qFormat/>
    <w:uiPriority w:val="9"/>
    <w:rPr>
      <w:rFonts w:ascii="@仿宋_GB2312" w:hAnsi="@仿宋_GB2312" w:eastAsia="@仿宋_GB2312" w:cs="@仿宋_GB2312"/>
      <w:b/>
      <w:bCs/>
      <w:kern w:val="44"/>
      <w:sz w:val="44"/>
      <w:szCs w:val="44"/>
    </w:rPr>
  </w:style>
  <w:style w:type="character" w:customStyle="1" w:styleId="31">
    <w:name w:val="批注框文本 字符"/>
    <w:basedOn w:val="26"/>
    <w:link w:val="14"/>
    <w:autoRedefine/>
    <w:semiHidden/>
    <w:qFormat/>
    <w:uiPriority w:val="99"/>
    <w:rPr>
      <w:rFonts w:ascii="@仿宋_GB2312" w:hAnsi="@仿宋_GB2312" w:eastAsia="@仿宋_GB2312" w:cs="@仿宋_GB2312"/>
      <w:sz w:val="18"/>
      <w:szCs w:val="18"/>
    </w:rPr>
  </w:style>
  <w:style w:type="paragraph" w:customStyle="1" w:styleId="32">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4">
    <w:name w:val="D&amp;L"/>
    <w:basedOn w:val="1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5">
    <w:name w:val="页眉 字符"/>
    <w:basedOn w:val="26"/>
    <w:link w:val="16"/>
    <w:autoRedefine/>
    <w:qFormat/>
    <w:uiPriority w:val="99"/>
    <w:rPr>
      <w:rFonts w:ascii="@仿宋_GB2312" w:hAnsi="@仿宋_GB2312" w:eastAsia="@仿宋_GB2312" w:cs="@仿宋_GB2312"/>
      <w:sz w:val="18"/>
      <w:szCs w:val="18"/>
    </w:rPr>
  </w:style>
  <w:style w:type="character" w:customStyle="1" w:styleId="36">
    <w:name w:val="页脚 字符"/>
    <w:basedOn w:val="26"/>
    <w:link w:val="15"/>
    <w:autoRedefine/>
    <w:qFormat/>
    <w:uiPriority w:val="99"/>
    <w:rPr>
      <w:rFonts w:ascii="@仿宋_GB2312" w:hAnsi="@仿宋_GB2312" w:eastAsia="@仿宋_GB2312" w:cs="@仿宋_GB2312"/>
      <w:sz w:val="18"/>
      <w:szCs w:val="18"/>
    </w:rPr>
  </w:style>
  <w:style w:type="character" w:customStyle="1" w:styleId="37">
    <w:name w:val="纯文本 字符"/>
    <w:link w:val="12"/>
    <w:autoRedefine/>
    <w:qFormat/>
    <w:uiPriority w:val="0"/>
    <w:rPr>
      <w:rFonts w:ascii="宋体" w:hAnsi="Courier New"/>
    </w:rPr>
  </w:style>
  <w:style w:type="character" w:customStyle="1" w:styleId="38">
    <w:name w:val="纯文本 字符1"/>
    <w:basedOn w:val="26"/>
    <w:autoRedefine/>
    <w:semiHidden/>
    <w:qFormat/>
    <w:uiPriority w:val="99"/>
    <w:rPr>
      <w:rFonts w:hAnsi="Courier New" w:cs="Courier New" w:asciiTheme="minorEastAsia"/>
      <w:szCs w:val="20"/>
    </w:rPr>
  </w:style>
  <w:style w:type="character" w:customStyle="1" w:styleId="39">
    <w:name w:val="未处理的提及1"/>
    <w:basedOn w:val="26"/>
    <w:autoRedefine/>
    <w:semiHidden/>
    <w:unhideWhenUsed/>
    <w:qFormat/>
    <w:uiPriority w:val="99"/>
    <w:rPr>
      <w:color w:val="605E5C"/>
      <w:shd w:val="clear" w:color="auto" w:fill="E1DFDD"/>
    </w:rPr>
  </w:style>
  <w:style w:type="paragraph" w:styleId="40">
    <w:name w:val="List Paragraph"/>
    <w:basedOn w:val="1"/>
    <w:autoRedefine/>
    <w:qFormat/>
    <w:uiPriority w:val="34"/>
    <w:pPr>
      <w:ind w:firstLine="420" w:firstLineChars="200"/>
    </w:pPr>
  </w:style>
  <w:style w:type="paragraph" w:customStyle="1" w:styleId="41">
    <w:name w:val="Char Char Char Char Char Char Char1 Char"/>
    <w:basedOn w:val="1"/>
    <w:autoRedefine/>
    <w:qFormat/>
    <w:uiPriority w:val="0"/>
    <w:rPr>
      <w:rFonts w:ascii="Arial" w:hAnsi="Arial" w:eastAsia="宋体" w:cs="Arial"/>
      <w:sz w:val="24"/>
    </w:rPr>
  </w:style>
  <w:style w:type="table" w:customStyle="1" w:styleId="42">
    <w:name w:val="网格表 1 浅色1"/>
    <w:basedOn w:val="24"/>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3">
    <w:name w:val="日期 字符"/>
    <w:basedOn w:val="26"/>
    <w:autoRedefine/>
    <w:semiHidden/>
    <w:qFormat/>
    <w:uiPriority w:val="99"/>
    <w:rPr>
      <w:rFonts w:ascii="@仿宋_GB2312" w:hAnsi="@仿宋_GB2312" w:eastAsia="@仿宋_GB2312" w:cs="@仿宋_GB2312"/>
      <w:szCs w:val="20"/>
    </w:rPr>
  </w:style>
  <w:style w:type="character" w:customStyle="1" w:styleId="44">
    <w:name w:val="日期 字符1"/>
    <w:link w:val="13"/>
    <w:autoRedefine/>
    <w:qFormat/>
    <w:uiPriority w:val="0"/>
    <w:rPr>
      <w:rFonts w:ascii="Arial" w:hAnsi="Arial" w:eastAsia="宋体" w:cs="Arial"/>
      <w:b/>
      <w:sz w:val="28"/>
      <w:szCs w:val="20"/>
    </w:rPr>
  </w:style>
  <w:style w:type="character" w:customStyle="1" w:styleId="45">
    <w:name w:val="纯文本 Char1"/>
    <w:autoRedefine/>
    <w:qFormat/>
    <w:locked/>
    <w:uiPriority w:val="99"/>
    <w:rPr>
      <w:rFonts w:ascii="Arial" w:hAnsi="Arial" w:eastAsia="Arial"/>
      <w:kern w:val="2"/>
      <w:sz w:val="21"/>
      <w:lang w:val="en-US" w:eastAsia="zh-CN" w:bidi="ar-SA"/>
    </w:rPr>
  </w:style>
  <w:style w:type="character" w:customStyle="1" w:styleId="46">
    <w:name w:val="批注文字 Char"/>
    <w:basedOn w:val="26"/>
    <w:autoRedefine/>
    <w:semiHidden/>
    <w:qFormat/>
    <w:uiPriority w:val="99"/>
    <w:rPr>
      <w:rFonts w:ascii="@仿宋_GB2312" w:hAnsi="@仿宋_GB2312" w:eastAsia="@仿宋_GB2312" w:cs="@仿宋_GB2312"/>
      <w:szCs w:val="20"/>
    </w:rPr>
  </w:style>
  <w:style w:type="character" w:customStyle="1" w:styleId="47">
    <w:name w:val="批注文字 字符"/>
    <w:link w:val="8"/>
    <w:autoRedefine/>
    <w:qFormat/>
    <w:uiPriority w:val="0"/>
    <w:rPr>
      <w:rFonts w:ascii="Arial" w:hAnsi="Arial" w:eastAsia="黑体" w:cs="Arial"/>
      <w:szCs w:val="20"/>
    </w:rPr>
  </w:style>
  <w:style w:type="paragraph" w:customStyle="1" w:styleId="48">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3 字符"/>
    <w:basedOn w:val="26"/>
    <w:link w:val="5"/>
    <w:autoRedefine/>
    <w:semiHidden/>
    <w:qFormat/>
    <w:uiPriority w:val="9"/>
    <w:rPr>
      <w:rFonts w:ascii="@仿宋_GB2312" w:hAnsi="@仿宋_GB2312" w:eastAsia="@仿宋_GB2312" w:cs="@仿宋_GB2312"/>
      <w:b/>
      <w:bCs/>
      <w:sz w:val="32"/>
      <w:szCs w:val="32"/>
    </w:rPr>
  </w:style>
  <w:style w:type="character" w:customStyle="1" w:styleId="50">
    <w:name w:val="fontstyle01"/>
    <w:basedOn w:val="26"/>
    <w:autoRedefine/>
    <w:qFormat/>
    <w:uiPriority w:val="0"/>
    <w:rPr>
      <w:rFonts w:hint="eastAsia" w:ascii="宋体" w:hAnsi="宋体" w:eastAsia="宋体"/>
      <w:color w:val="000000"/>
      <w:sz w:val="22"/>
      <w:szCs w:val="22"/>
    </w:rPr>
  </w:style>
  <w:style w:type="character" w:customStyle="1" w:styleId="51">
    <w:name w:val="fontstyle21"/>
    <w:basedOn w:val="26"/>
    <w:autoRedefine/>
    <w:qFormat/>
    <w:uiPriority w:val="0"/>
    <w:rPr>
      <w:rFonts w:hint="default" w:ascii="TimesNewRomanPSMT" w:hAnsi="TimesNewRomanPSMT"/>
      <w:color w:val="000000"/>
      <w:sz w:val="22"/>
      <w:szCs w:val="22"/>
    </w:rPr>
  </w:style>
  <w:style w:type="character" w:customStyle="1" w:styleId="52">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3">
    <w:name w:val="标题 4 字符"/>
    <w:basedOn w:val="26"/>
    <w:autoRedefine/>
    <w:semiHidden/>
    <w:qFormat/>
    <w:uiPriority w:val="9"/>
    <w:rPr>
      <w:rFonts w:asciiTheme="majorHAnsi" w:hAnsiTheme="majorHAnsi" w:eastAsiaTheme="majorEastAsia" w:cstheme="majorBidi"/>
      <w:b/>
      <w:bCs/>
      <w:sz w:val="28"/>
      <w:szCs w:val="28"/>
    </w:rPr>
  </w:style>
  <w:style w:type="character" w:customStyle="1" w:styleId="54">
    <w:name w:val="标题 4 字符1"/>
    <w:link w:val="6"/>
    <w:autoRedefine/>
    <w:qFormat/>
    <w:uiPriority w:val="0"/>
    <w:rPr>
      <w:rFonts w:ascii="@仿宋_GB2312" w:hAnsi="@仿宋_GB2312" w:eastAsia="@仿宋_GB2312" w:cs="@仿宋_GB2312"/>
      <w:b/>
      <w:bCs/>
      <w:sz w:val="28"/>
      <w:szCs w:val="28"/>
    </w:rPr>
  </w:style>
  <w:style w:type="character" w:customStyle="1" w:styleId="55">
    <w:name w:val="标题 4 Char"/>
    <w:autoRedefine/>
    <w:qFormat/>
    <w:uiPriority w:val="0"/>
    <w:rPr>
      <w:rFonts w:ascii="Arial" w:hAnsi="Arial" w:eastAsia="Arial"/>
      <w:b/>
      <w:bCs/>
      <w:kern w:val="2"/>
      <w:sz w:val="28"/>
      <w:szCs w:val="28"/>
      <w:lang w:val="en-US" w:eastAsia="zh-CN" w:bidi="ar-SA"/>
    </w:rPr>
  </w:style>
  <w:style w:type="table" w:customStyle="1" w:styleId="56">
    <w:name w:val="网格型1"/>
    <w:basedOn w:val="2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7">
    <w:name w:val="font31"/>
    <w:basedOn w:val="26"/>
    <w:autoRedefine/>
    <w:qFormat/>
    <w:uiPriority w:val="0"/>
    <w:rPr>
      <w:rFonts w:hint="eastAsia" w:ascii="仿宋" w:hAnsi="仿宋" w:eastAsia="仿宋" w:cs="仿宋"/>
      <w:color w:val="000000"/>
      <w:sz w:val="20"/>
      <w:szCs w:val="20"/>
      <w:u w:val="none"/>
    </w:rPr>
  </w:style>
  <w:style w:type="character" w:customStyle="1" w:styleId="58">
    <w:name w:val="font21"/>
    <w:basedOn w:val="26"/>
    <w:autoRedefine/>
    <w:qFormat/>
    <w:uiPriority w:val="0"/>
    <w:rPr>
      <w:rFonts w:hint="eastAsia" w:ascii="宋体" w:hAnsi="宋体" w:eastAsia="宋体" w:cs="宋体"/>
      <w:color w:val="000000"/>
      <w:sz w:val="20"/>
      <w:szCs w:val="20"/>
      <w:u w:val="none"/>
    </w:rPr>
  </w:style>
  <w:style w:type="character" w:customStyle="1" w:styleId="59">
    <w:name w:val="font51"/>
    <w:autoRedefine/>
    <w:qFormat/>
    <w:uiPriority w:val="0"/>
    <w:rPr>
      <w:rFonts w:hint="eastAsia" w:ascii="宋体" w:hAnsi="宋体" w:eastAsia="宋体" w:cs="宋体"/>
      <w:color w:val="000000"/>
      <w:sz w:val="22"/>
      <w:szCs w:val="22"/>
      <w:u w:val="none"/>
    </w:rPr>
  </w:style>
  <w:style w:type="character" w:customStyle="1" w:styleId="60">
    <w:name w:val="font01"/>
    <w:autoRedefine/>
    <w:qFormat/>
    <w:uiPriority w:val="0"/>
    <w:rPr>
      <w:rFonts w:hint="eastAsia" w:ascii="宋体" w:hAnsi="宋体" w:eastAsia="宋体" w:cs="宋体"/>
      <w:color w:val="000000"/>
      <w:sz w:val="24"/>
      <w:szCs w:val="24"/>
      <w:u w:val="none"/>
    </w:rPr>
  </w:style>
  <w:style w:type="paragraph" w:customStyle="1" w:styleId="61">
    <w:name w:val="Table Paragraph"/>
    <w:autoRedefine/>
    <w:qFormat/>
    <w:uiPriority w:val="1"/>
    <w:pPr>
      <w:widowControl w:val="0"/>
      <w:jc w:val="both"/>
    </w:pPr>
    <w:rPr>
      <w:rFonts w:ascii="宋体" w:hAnsi="宋体" w:eastAsia="宋体" w:cs="宋体"/>
      <w:kern w:val="2"/>
      <w:sz w:val="21"/>
      <w:lang w:val="zh-CN" w:eastAsia="zh-CN" w:bidi="zh-CN"/>
    </w:rPr>
  </w:style>
  <w:style w:type="character" w:customStyle="1" w:styleId="62">
    <w:name w:val="font11"/>
    <w:basedOn w:val="26"/>
    <w:qFormat/>
    <w:uiPriority w:val="0"/>
    <w:rPr>
      <w:rFonts w:hint="eastAsia" w:ascii="宋体" w:hAnsi="宋体" w:eastAsia="宋体" w:cs="宋体"/>
      <w:b/>
      <w:bCs/>
      <w:color w:val="000000"/>
      <w:sz w:val="24"/>
      <w:szCs w:val="24"/>
      <w:u w:val="none"/>
    </w:rPr>
  </w:style>
  <w:style w:type="paragraph" w:customStyle="1" w:styleId="63">
    <w:name w:val="修订1"/>
    <w:hidden/>
    <w:unhideWhenUsed/>
    <w:qFormat/>
    <w:uiPriority w:val="99"/>
    <w:rPr>
      <w:rFonts w:ascii="@仿宋_GB2312" w:hAnsi="@仿宋_GB2312" w:eastAsia="@仿宋_GB2312" w:cs="@仿宋_GB2312"/>
      <w:kern w:val="2"/>
      <w:sz w:val="21"/>
      <w:lang w:val="en-US" w:eastAsia="zh-CN" w:bidi="ar-SA"/>
    </w:rPr>
  </w:style>
  <w:style w:type="character" w:customStyle="1" w:styleId="64">
    <w:name w:val="批注主题 字符"/>
    <w:basedOn w:val="47"/>
    <w:link w:val="21"/>
    <w:semiHidden/>
    <w:qFormat/>
    <w:uiPriority w:val="99"/>
    <w:rPr>
      <w:rFonts w:ascii="@仿宋_GB2312" w:hAnsi="@仿宋_GB2312" w:eastAsia="@仿宋_GB2312" w:cs="@仿宋_GB2312"/>
      <w:b/>
      <w:bCs/>
      <w:kern w:val="2"/>
      <w:sz w:val="21"/>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akoosky</Company>
  <Pages>202</Pages>
  <Words>86465</Words>
  <Characters>109479</Characters>
  <Lines>850</Lines>
  <Paragraphs>239</Paragraphs>
  <TotalTime>70</TotalTime>
  <ScaleCrop>false</ScaleCrop>
  <LinksUpToDate>false</LinksUpToDate>
  <CharactersWithSpaces>114828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2020-06-30T19:16:00Z</dcterms:created>
  <dc:creator>Anakin</dc:creator>
  <cp:lastModifiedBy>老六</cp:lastModifiedBy>
  <cp:lastPrinted>2019-12-07T23:18:00Z</cp:lastPrinted>
  <dcterms:modified xsi:type="dcterms:W3CDTF">2023-12-28T08:05:03Z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D3FD8D4306264E918F8EA007D1A7D6B6_13</vt:lpwstr>
  </property>
</Properties>
</file>