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62"/>
        <w:jc w:val="center"/>
        <w:rPr>
          <w:b/>
          <w:bCs/>
          <w:sz w:val="28"/>
          <w:szCs w:val="36"/>
        </w:rPr>
      </w:pPr>
      <w:r>
        <w:rPr>
          <w:rFonts w:hint="eastAsia"/>
          <w:b/>
          <w:bCs/>
          <w:sz w:val="28"/>
          <w:szCs w:val="36"/>
        </w:rPr>
        <w:t>安徽省水上运动管理中心改造项目工程量清单编制说明</w:t>
      </w:r>
    </w:p>
    <w:p>
      <w:pPr>
        <w:numPr>
          <w:ilvl w:val="0"/>
          <w:numId w:val="1"/>
        </w:numPr>
        <w:spacing w:line="360" w:lineRule="auto"/>
        <w:ind w:firstLine="402"/>
        <w:jc w:val="left"/>
        <w:rPr>
          <w:rFonts w:asciiTheme="minorEastAsia" w:hAnsiTheme="minorEastAsia" w:cstheme="minorEastAsia"/>
          <w:b/>
          <w:bCs/>
          <w:sz w:val="20"/>
          <w:szCs w:val="20"/>
        </w:rPr>
      </w:pPr>
      <w:r>
        <w:rPr>
          <w:rFonts w:hint="eastAsia" w:asciiTheme="minorEastAsia" w:hAnsiTheme="minorEastAsia" w:cstheme="minorEastAsia"/>
          <w:b/>
          <w:bCs/>
          <w:sz w:val="20"/>
          <w:szCs w:val="20"/>
        </w:rPr>
        <w:t>工程概况</w:t>
      </w:r>
    </w:p>
    <w:p>
      <w:pPr>
        <w:spacing w:line="400" w:lineRule="exact"/>
        <w:ind w:firstLine="440" w:firstLineChars="200"/>
        <w:rPr>
          <w:bCs/>
          <w:sz w:val="22"/>
          <w:szCs w:val="22"/>
        </w:rPr>
      </w:pPr>
      <w:r>
        <w:rPr>
          <w:rFonts w:hint="eastAsia"/>
          <w:sz w:val="22"/>
          <w:szCs w:val="22"/>
        </w:rPr>
        <w:t>工程地点</w:t>
      </w:r>
      <w:r>
        <w:rPr>
          <w:rFonts w:hint="eastAsia" w:ascii="宋体" w:hAnsi="宋体" w:cs="仿宋_GB2312"/>
          <w:sz w:val="22"/>
          <w:szCs w:val="22"/>
        </w:rPr>
        <w:t>：</w:t>
      </w:r>
      <w:r>
        <w:rPr>
          <w:rFonts w:hint="eastAsia"/>
          <w:bCs/>
          <w:sz w:val="22"/>
          <w:szCs w:val="22"/>
        </w:rPr>
        <w:t>安徽省水上运动管理中心</w:t>
      </w:r>
    </w:p>
    <w:p>
      <w:pPr>
        <w:spacing w:line="400" w:lineRule="exact"/>
        <w:ind w:firstLine="440" w:firstLineChars="200"/>
        <w:rPr>
          <w:bCs/>
          <w:sz w:val="22"/>
          <w:szCs w:val="22"/>
        </w:rPr>
      </w:pPr>
      <w:r>
        <w:rPr>
          <w:rFonts w:hint="eastAsia"/>
          <w:bCs/>
          <w:sz w:val="22"/>
          <w:szCs w:val="22"/>
        </w:rPr>
        <w:t>建设单位：安徽省体育局</w:t>
      </w:r>
    </w:p>
    <w:p>
      <w:pPr>
        <w:spacing w:line="400" w:lineRule="exact"/>
        <w:ind w:firstLine="440" w:firstLineChars="200"/>
        <w:rPr>
          <w:rFonts w:ascii="宋体" w:hAnsi="宋体" w:cs="仿宋_GB2312"/>
          <w:sz w:val="22"/>
          <w:szCs w:val="22"/>
        </w:rPr>
      </w:pPr>
      <w:r>
        <w:rPr>
          <w:rFonts w:hint="eastAsia" w:ascii="宋体" w:hAnsi="宋体" w:cs="仿宋_GB2312"/>
          <w:sz w:val="22"/>
          <w:szCs w:val="22"/>
        </w:rPr>
        <w:t>建筑规模：维修改造工程</w:t>
      </w:r>
    </w:p>
    <w:p>
      <w:pPr>
        <w:numPr>
          <w:ilvl w:val="0"/>
          <w:numId w:val="1"/>
        </w:numPr>
        <w:spacing w:line="360" w:lineRule="auto"/>
        <w:ind w:firstLine="402"/>
        <w:jc w:val="left"/>
        <w:rPr>
          <w:rFonts w:asciiTheme="minorEastAsia" w:hAnsiTheme="minorEastAsia" w:cstheme="minorEastAsia"/>
          <w:b/>
          <w:bCs/>
          <w:sz w:val="20"/>
          <w:szCs w:val="20"/>
        </w:rPr>
      </w:pPr>
      <w:r>
        <w:rPr>
          <w:rFonts w:hint="eastAsia" w:asciiTheme="minorEastAsia" w:hAnsiTheme="minorEastAsia" w:cstheme="minorEastAsia"/>
          <w:b/>
          <w:bCs/>
          <w:sz w:val="20"/>
          <w:szCs w:val="20"/>
        </w:rPr>
        <w:t>招标范围</w:t>
      </w:r>
    </w:p>
    <w:p>
      <w:pPr>
        <w:spacing w:line="360" w:lineRule="auto"/>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1、</w:t>
      </w:r>
      <w:r>
        <w:rPr>
          <w:rFonts w:hint="eastAsia"/>
          <w:sz w:val="22"/>
          <w:szCs w:val="22"/>
        </w:rPr>
        <w:t>宿舍楼、食堂、浴室、划浆池、医疗康复楼、锅炉房外立面及屋面改造</w:t>
      </w:r>
    </w:p>
    <w:p>
      <w:pPr>
        <w:pStyle w:val="2"/>
        <w:widowControl/>
        <w:spacing w:beforeAutospacing="0" w:afterAutospacing="0"/>
        <w:ind w:left="400"/>
        <w:rPr>
          <w:rFonts w:asciiTheme="minorEastAsia" w:hAnsiTheme="minorEastAsia" w:cstheme="minorEastAsia"/>
          <w:sz w:val="20"/>
          <w:szCs w:val="20"/>
        </w:rPr>
      </w:pPr>
      <w:r>
        <w:rPr>
          <w:rFonts w:hint="eastAsia" w:asciiTheme="minorEastAsia" w:hAnsiTheme="minorEastAsia" w:cstheme="minorEastAsia"/>
          <w:sz w:val="20"/>
          <w:szCs w:val="20"/>
        </w:rPr>
        <w:t>2、体能训练房改造、室外停车场改造以及食堂、浴室公区改造。</w:t>
      </w:r>
    </w:p>
    <w:p>
      <w:pPr>
        <w:numPr>
          <w:ilvl w:val="0"/>
          <w:numId w:val="1"/>
        </w:numPr>
        <w:spacing w:line="360" w:lineRule="auto"/>
        <w:ind w:firstLine="402"/>
        <w:jc w:val="left"/>
        <w:rPr>
          <w:rFonts w:asciiTheme="minorEastAsia" w:hAnsiTheme="minorEastAsia" w:cstheme="minorEastAsia"/>
          <w:b/>
          <w:bCs/>
          <w:sz w:val="20"/>
          <w:szCs w:val="20"/>
        </w:rPr>
      </w:pPr>
      <w:r>
        <w:rPr>
          <w:rFonts w:hint="eastAsia" w:asciiTheme="minorEastAsia" w:hAnsiTheme="minorEastAsia" w:cstheme="minorEastAsia"/>
          <w:b/>
          <w:bCs/>
          <w:sz w:val="20"/>
          <w:szCs w:val="20"/>
        </w:rPr>
        <w:t>编制依据</w:t>
      </w:r>
    </w:p>
    <w:p>
      <w:pPr>
        <w:pStyle w:val="2"/>
        <w:widowControl/>
        <w:spacing w:beforeAutospacing="0" w:afterAutospacing="0" w:line="360" w:lineRule="auto"/>
        <w:rPr>
          <w:rFonts w:asciiTheme="minorEastAsia" w:hAnsiTheme="minorEastAsia" w:cstheme="minorEastAsia"/>
          <w:sz w:val="20"/>
          <w:szCs w:val="20"/>
        </w:rPr>
      </w:pPr>
      <w:r>
        <w:rPr>
          <w:rFonts w:hint="eastAsia" w:asciiTheme="minorEastAsia" w:hAnsiTheme="minorEastAsia" w:cstheme="minorEastAsia"/>
          <w:sz w:val="20"/>
          <w:szCs w:val="20"/>
        </w:rPr>
        <w:t xml:space="preserve">    1、根据中城科泽工程设计集团有限责任公司设计的“安徽省水上运动管理中心改造建筑(建筑立面、屋面改造)20240527”、“安徽省水上运动管理中心公区改造建筑20240529”、“安徽省水上运动管理中心改造项目05.27”相关设计图纸；</w:t>
      </w:r>
    </w:p>
    <w:p>
      <w:pPr>
        <w:spacing w:line="360" w:lineRule="auto"/>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2、图纸答疑资料；</w:t>
      </w:r>
    </w:p>
    <w:p>
      <w:pPr>
        <w:spacing w:line="360" w:lineRule="auto"/>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3、《 2018 版安徽省建设工程计价依据 》等相关规定执行；</w:t>
      </w:r>
    </w:p>
    <w:p>
      <w:pPr>
        <w:spacing w:line="360" w:lineRule="auto"/>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4、其他相关文件。</w:t>
      </w:r>
    </w:p>
    <w:p>
      <w:pPr>
        <w:spacing w:line="360" w:lineRule="auto"/>
        <w:ind w:firstLine="402" w:firstLineChars="200"/>
        <w:jc w:val="left"/>
        <w:rPr>
          <w:rFonts w:asciiTheme="minorEastAsia" w:hAnsiTheme="minorEastAsia" w:cstheme="minorEastAsia"/>
          <w:b/>
          <w:bCs/>
          <w:sz w:val="20"/>
          <w:szCs w:val="20"/>
        </w:rPr>
      </w:pPr>
      <w:r>
        <w:rPr>
          <w:rFonts w:hint="eastAsia" w:asciiTheme="minorEastAsia" w:hAnsiTheme="minorEastAsia" w:cstheme="minorEastAsia"/>
          <w:b/>
          <w:bCs/>
          <w:sz w:val="20"/>
          <w:szCs w:val="20"/>
        </w:rPr>
        <w:t>四、工程量清单编制界面说明</w:t>
      </w:r>
    </w:p>
    <w:p>
      <w:pPr>
        <w:spacing w:line="360" w:lineRule="auto"/>
        <w:ind w:firstLine="400" w:firstLineChars="200"/>
        <w:jc w:val="left"/>
        <w:rPr>
          <w:rFonts w:asciiTheme="minorEastAsia" w:hAnsiTheme="minorEastAsia" w:cstheme="minorEastAsia"/>
          <w:sz w:val="20"/>
          <w:szCs w:val="20"/>
        </w:rPr>
      </w:pPr>
      <w:r>
        <w:rPr>
          <w:rFonts w:hint="eastAsia" w:asciiTheme="minorEastAsia" w:hAnsiTheme="minorEastAsia" w:cstheme="minorEastAsia"/>
          <w:sz w:val="20"/>
          <w:szCs w:val="20"/>
        </w:rPr>
        <w:t>1、本次计算范围为体能训练房改造、室外停车场改造以及食堂、浴室公区改造，包括电气工程、给排水工程等，具体如下：</w:t>
      </w:r>
    </w:p>
    <w:p>
      <w:pPr>
        <w:pStyle w:val="2"/>
        <w:widowControl/>
        <w:spacing w:beforeAutospacing="0" w:afterAutospacing="0" w:line="360" w:lineRule="auto"/>
        <w:ind w:firstLine="400"/>
        <w:rPr>
          <w:rFonts w:asciiTheme="minorEastAsia" w:hAnsiTheme="minorEastAsia" w:cstheme="minorEastAsia"/>
          <w:sz w:val="20"/>
          <w:szCs w:val="20"/>
        </w:rPr>
      </w:pPr>
      <w:r>
        <w:rPr>
          <w:rFonts w:hint="eastAsia" w:asciiTheme="minorEastAsia" w:hAnsiTheme="minorEastAsia" w:cstheme="minorEastAsia"/>
          <w:sz w:val="20"/>
          <w:szCs w:val="20"/>
        </w:rPr>
        <w:t>①、体能训练房改造：</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A、电气工程：单体内</w:t>
      </w:r>
      <w:r>
        <w:rPr>
          <w:rFonts w:ascii="宋体" w:hAnsi="宋体" w:eastAsia="宋体" w:cs="宋体"/>
          <w:sz w:val="22"/>
          <w:szCs w:val="22"/>
        </w:rPr>
        <w:t>AP1</w:t>
      </w:r>
      <w:r>
        <w:rPr>
          <w:rFonts w:hint="eastAsia" w:asciiTheme="minorEastAsia" w:hAnsiTheme="minorEastAsia" w:cstheme="minorEastAsia"/>
          <w:sz w:val="20"/>
          <w:szCs w:val="20"/>
        </w:rPr>
        <w:t>配电箱至室内末端用电点位的全部工作内容，包括配电箱、线缆、配管、灯具、插座等的采购安装和调试；其中</w:t>
      </w:r>
      <w:r>
        <w:rPr>
          <w:rFonts w:ascii="宋体" w:hAnsi="宋体" w:eastAsia="宋体" w:cs="宋体"/>
          <w:sz w:val="22"/>
          <w:szCs w:val="22"/>
        </w:rPr>
        <w:t>AP1</w:t>
      </w:r>
      <w:r>
        <w:rPr>
          <w:rFonts w:hint="eastAsia" w:asciiTheme="minorEastAsia" w:hAnsiTheme="minorEastAsia" w:cstheme="minorEastAsia"/>
          <w:sz w:val="20"/>
          <w:szCs w:val="20"/>
        </w:rPr>
        <w:t>配电箱进线暂按50米预估，结算按实计取；</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B、给排水工程：a、给水接卫生间已有给水管至用水点位的全部工作内容，包括原给水管接驳、管道及其附件等的采购安装和冲洗消毒；b、排水自室内各排水点位引至外墙1.5米处止的全部工作内容，包括管道、套管、开洞、封堵等的采购安装和试验；c、卫生洁具按图计取；</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C、其它工程：本区域改造安装工程涉及的墙、地、顶面切槽及恢复的全部内容按项包干，投标人自行综合考虑后报价；</w:t>
      </w:r>
    </w:p>
    <w:p>
      <w:pPr>
        <w:pStyle w:val="2"/>
        <w:widowControl/>
        <w:spacing w:beforeAutospacing="0" w:afterAutospacing="0" w:line="360" w:lineRule="auto"/>
        <w:ind w:firstLine="400"/>
        <w:rPr>
          <w:rFonts w:asciiTheme="minorEastAsia" w:hAnsiTheme="minorEastAsia" w:cstheme="minorEastAsia"/>
          <w:sz w:val="20"/>
          <w:szCs w:val="20"/>
        </w:rPr>
      </w:pPr>
      <w:r>
        <w:rPr>
          <w:rFonts w:hint="eastAsia" w:asciiTheme="minorEastAsia" w:hAnsiTheme="minorEastAsia" w:cstheme="minorEastAsia"/>
          <w:sz w:val="20"/>
          <w:szCs w:val="20"/>
        </w:rPr>
        <w:t>②、室外停车场改造：</w:t>
      </w:r>
    </w:p>
    <w:p>
      <w:pPr>
        <w:pStyle w:val="2"/>
        <w:widowControl/>
        <w:spacing w:beforeAutospacing="0" w:afterAutospacing="0"/>
        <w:ind w:firstLine="400" w:firstLineChars="200"/>
        <w:rPr>
          <w:rFonts w:hint="default" w:asciiTheme="minorEastAsia" w:hAnsiTheme="minorEastAsia" w:eastAsiaTheme="minorEastAsia" w:cstheme="minorEastAsia"/>
          <w:sz w:val="20"/>
          <w:szCs w:val="20"/>
          <w:lang w:val="en-US" w:eastAsia="zh-CN"/>
        </w:rPr>
      </w:pPr>
      <w:r>
        <w:rPr>
          <w:rFonts w:hint="eastAsia" w:asciiTheme="minorEastAsia" w:hAnsiTheme="minorEastAsia" w:cstheme="minorEastAsia"/>
          <w:sz w:val="20"/>
          <w:szCs w:val="20"/>
        </w:rPr>
        <w:t>A、电气工程：自室外箱变（不含箱变）至末端用电点位的全部</w:t>
      </w:r>
      <w:r>
        <w:rPr>
          <w:rFonts w:hint="eastAsia" w:asciiTheme="minorEastAsia" w:hAnsiTheme="minorEastAsia" w:cstheme="minorEastAsia"/>
          <w:sz w:val="20"/>
          <w:szCs w:val="20"/>
          <w:lang w:val="en-US" w:eastAsia="zh-CN"/>
        </w:rPr>
        <w:t>预埋</w:t>
      </w:r>
      <w:r>
        <w:rPr>
          <w:rFonts w:hint="eastAsia" w:asciiTheme="minorEastAsia" w:hAnsiTheme="minorEastAsia" w:cstheme="minorEastAsia"/>
          <w:sz w:val="20"/>
          <w:szCs w:val="20"/>
        </w:rPr>
        <w:t>工作内容，包括配管、工井、车位均衡性施工等的采购安装和调试；不包含充电桩</w:t>
      </w:r>
      <w:r>
        <w:rPr>
          <w:rFonts w:hint="eastAsia" w:asciiTheme="minorEastAsia" w:hAnsiTheme="minorEastAsia" w:cstheme="minorEastAsia"/>
          <w:sz w:val="20"/>
          <w:szCs w:val="20"/>
          <w:lang w:eastAsia="zh-CN"/>
        </w:rPr>
        <w:t>、</w:t>
      </w:r>
      <w:r>
        <w:rPr>
          <w:rFonts w:hint="eastAsia" w:asciiTheme="minorEastAsia" w:hAnsiTheme="minorEastAsia" w:cstheme="minorEastAsia"/>
          <w:sz w:val="20"/>
          <w:szCs w:val="20"/>
          <w:lang w:val="en-US" w:eastAsia="zh-CN"/>
        </w:rPr>
        <w:t>电缆。</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B、其它工程：本区域改造工程涉及的施工路面、绿化等现场原状开挖、恢复及管道垫层铺设、砂回填等全部内容按项包干，投标人自行综合考虑后报价；</w:t>
      </w:r>
    </w:p>
    <w:p>
      <w:pPr>
        <w:pStyle w:val="2"/>
        <w:widowControl/>
        <w:spacing w:beforeAutospacing="0" w:afterAutospacing="0" w:line="360" w:lineRule="auto"/>
        <w:ind w:firstLine="400"/>
        <w:rPr>
          <w:rFonts w:asciiTheme="minorEastAsia" w:hAnsiTheme="minorEastAsia" w:cstheme="minorEastAsia"/>
          <w:sz w:val="20"/>
          <w:szCs w:val="20"/>
        </w:rPr>
      </w:pPr>
      <w:r>
        <w:rPr>
          <w:rFonts w:hint="eastAsia" w:asciiTheme="minorEastAsia" w:hAnsiTheme="minorEastAsia" w:cstheme="minorEastAsia"/>
          <w:sz w:val="20"/>
          <w:szCs w:val="20"/>
        </w:rPr>
        <w:t>③、食堂、浴室公区改造：</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A、电气工程：单体内</w:t>
      </w:r>
      <w:r>
        <w:rPr>
          <w:rFonts w:ascii="宋体" w:hAnsi="宋体" w:eastAsia="宋体" w:cs="宋体"/>
          <w:sz w:val="22"/>
          <w:szCs w:val="22"/>
        </w:rPr>
        <w:t>AP1</w:t>
      </w:r>
      <w:r>
        <w:rPr>
          <w:rFonts w:hint="eastAsia" w:asciiTheme="minorEastAsia" w:hAnsiTheme="minorEastAsia" w:cstheme="minorEastAsia"/>
          <w:sz w:val="20"/>
          <w:szCs w:val="20"/>
        </w:rPr>
        <w:t>配电箱至室内末端用电点位的全部工作内容，包括配电箱、线缆、配管、灯具、插座等的采购安装和调试；其中</w:t>
      </w:r>
      <w:r>
        <w:rPr>
          <w:rFonts w:ascii="宋体" w:hAnsi="宋体" w:eastAsia="宋体" w:cs="宋体"/>
          <w:sz w:val="22"/>
          <w:szCs w:val="22"/>
        </w:rPr>
        <w:t>AP1</w:t>
      </w:r>
      <w:r>
        <w:rPr>
          <w:rFonts w:hint="eastAsia" w:asciiTheme="minorEastAsia" w:hAnsiTheme="minorEastAsia" w:cstheme="minorEastAsia"/>
          <w:sz w:val="20"/>
          <w:szCs w:val="20"/>
        </w:rPr>
        <w:t>配电箱进线暂按50米预估，结算按实计取；同时普通照明及应急照明接原回路的均按图示计取；</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B、给排水工程：a、给水接卫生间已有给水管至用水点位的全部工作内容，包括原给水管接驳、管道及其附件等的采购安装和冲洗消毒；其中因给水管标高未标注，本次暂按3.6米计取；b、排水自室内各排水点位引至原排水立管（WL-1、2）处止的全部工作内容，包括接驳、管道等的采购安装和试验；c、卫生洁具按图计取；</w:t>
      </w:r>
    </w:p>
    <w:p>
      <w:pPr>
        <w:pStyle w:val="2"/>
        <w:widowControl/>
        <w:spacing w:beforeAutospacing="0" w:afterAutospacing="0"/>
        <w:ind w:firstLine="400" w:firstLineChars="200"/>
        <w:rPr>
          <w:rFonts w:asciiTheme="minorEastAsia" w:hAnsiTheme="minorEastAsia" w:cstheme="minorEastAsia"/>
          <w:sz w:val="20"/>
          <w:szCs w:val="20"/>
        </w:rPr>
      </w:pPr>
      <w:r>
        <w:rPr>
          <w:rFonts w:hint="eastAsia" w:asciiTheme="minorEastAsia" w:hAnsiTheme="minorEastAsia" w:cstheme="minorEastAsia"/>
          <w:sz w:val="20"/>
          <w:szCs w:val="20"/>
        </w:rPr>
        <w:t>C、其它工程：本区域改造安装工程涉及的墙、地、顶面切槽及恢复的全部内容按项包干，投标人自行综合考虑后报价；</w:t>
      </w:r>
    </w:p>
    <w:p>
      <w:pPr>
        <w:ind w:firstLine="400" w:firstLineChars="200"/>
        <w:rPr>
          <w:rFonts w:hint="eastAsia" w:asciiTheme="minorEastAsia" w:hAnsiTheme="minorEastAsia" w:cstheme="minorEastAsia"/>
          <w:kern w:val="0"/>
          <w:sz w:val="20"/>
          <w:szCs w:val="20"/>
        </w:rPr>
      </w:pPr>
      <w:r>
        <w:rPr>
          <w:rFonts w:hint="eastAsia" w:asciiTheme="minorEastAsia" w:hAnsiTheme="minorEastAsia" w:cstheme="minorEastAsia"/>
          <w:kern w:val="0"/>
          <w:sz w:val="20"/>
          <w:szCs w:val="20"/>
        </w:rPr>
        <w:t>2、电缆不在本次报价范围</w:t>
      </w:r>
    </w:p>
    <w:p>
      <w:pPr>
        <w:spacing w:line="400" w:lineRule="exact"/>
        <w:ind w:firstLine="440"/>
        <w:rPr>
          <w:rFonts w:ascii="宋体" w:hAnsi="宋体" w:cs="仿宋_GB2312"/>
          <w:b/>
          <w:bCs/>
          <w:sz w:val="22"/>
          <w:szCs w:val="22"/>
        </w:rPr>
      </w:pPr>
      <w:r>
        <w:rPr>
          <w:rFonts w:hint="eastAsia" w:ascii="宋体" w:hAnsi="宋体" w:cs="仿宋_GB2312"/>
          <w:b/>
          <w:bCs/>
          <w:sz w:val="22"/>
          <w:szCs w:val="22"/>
        </w:rPr>
        <w:t>五、清单编制及报价要求</w:t>
      </w:r>
    </w:p>
    <w:p>
      <w:pPr>
        <w:spacing w:line="400" w:lineRule="exact"/>
        <w:ind w:firstLine="440" w:firstLineChars="200"/>
        <w:rPr>
          <w:rFonts w:ascii="宋体" w:hAnsi="宋体" w:cs="仿宋_GB2312"/>
          <w:sz w:val="22"/>
          <w:szCs w:val="22"/>
        </w:rPr>
      </w:pPr>
      <w:r>
        <w:rPr>
          <w:rFonts w:hint="eastAsia" w:ascii="宋体" w:hAnsi="宋体" w:cs="仿宋_GB2312"/>
          <w:sz w:val="22"/>
          <w:szCs w:val="22"/>
        </w:rPr>
        <w:t>1、工程量清单列出的每个细目已包括涉及与该细目有关的全部工程内容，投标人应将工程量清单与招标文件、合同通用条款、专用条款以及技术规范和图纸一起对照阅读。</w:t>
      </w:r>
    </w:p>
    <w:p>
      <w:pPr>
        <w:spacing w:line="400" w:lineRule="exact"/>
        <w:ind w:firstLine="440" w:firstLineChars="200"/>
        <w:rPr>
          <w:rFonts w:ascii="宋体" w:hAnsi="宋体" w:cs="仿宋_GB2312"/>
          <w:sz w:val="22"/>
          <w:szCs w:val="22"/>
        </w:rPr>
      </w:pPr>
      <w:r>
        <w:rPr>
          <w:rFonts w:hint="eastAsia" w:ascii="宋体" w:hAnsi="宋体" w:cs="仿宋_GB2312"/>
          <w:sz w:val="22"/>
          <w:szCs w:val="22"/>
        </w:rPr>
        <w:t>2、除非合同另有规定，工程量清单中每一项单价均应已包括完成相应该项目的工程 内容所需的所有人工、设备、材料和其他伴随服务所发生的所有费用。</w:t>
      </w:r>
    </w:p>
    <w:p>
      <w:pPr>
        <w:spacing w:line="400" w:lineRule="exact"/>
        <w:ind w:firstLine="440" w:firstLineChars="200"/>
        <w:rPr>
          <w:rFonts w:ascii="宋体" w:hAnsi="宋体" w:cs="仿宋_GB2312"/>
          <w:sz w:val="22"/>
          <w:szCs w:val="22"/>
        </w:rPr>
      </w:pPr>
      <w:r>
        <w:rPr>
          <w:rFonts w:hint="eastAsia" w:ascii="宋体" w:hAnsi="宋体" w:cs="仿宋_GB2312"/>
          <w:sz w:val="22"/>
          <w:szCs w:val="22"/>
        </w:rPr>
        <w:t>3、投标人应填写工程量清单中所有工程细目的价格，凡技术规范和图纸中注明的工程内容，如在清单中未列项，均应视为包含在其它相关项目中。</w:t>
      </w:r>
    </w:p>
    <w:p>
      <w:pPr>
        <w:spacing w:line="400" w:lineRule="exact"/>
        <w:ind w:firstLine="440" w:firstLineChars="200"/>
        <w:rPr>
          <w:rFonts w:ascii="宋体" w:hAnsi="宋体" w:cs="仿宋_GB2312"/>
          <w:sz w:val="22"/>
          <w:szCs w:val="22"/>
        </w:rPr>
      </w:pPr>
      <w:r>
        <w:rPr>
          <w:rFonts w:hint="eastAsia" w:ascii="宋体" w:hAnsi="宋体" w:cs="仿宋_GB2312"/>
          <w:sz w:val="22"/>
          <w:szCs w:val="22"/>
        </w:rPr>
        <w:t>4、清单描述不明确的，以施工图设计文件和相关施工验收规范、图集为准；清单与图纸技术标准不一致的，以较优的技术标准为准。</w:t>
      </w:r>
    </w:p>
    <w:p>
      <w:pPr>
        <w:spacing w:line="400" w:lineRule="exact"/>
        <w:ind w:firstLine="440" w:firstLineChars="200"/>
        <w:rPr>
          <w:rFonts w:ascii="宋体" w:hAnsi="宋体" w:cs="仿宋_GB2312"/>
          <w:sz w:val="22"/>
          <w:szCs w:val="22"/>
        </w:rPr>
      </w:pPr>
      <w:r>
        <w:rPr>
          <w:rFonts w:hint="eastAsia" w:ascii="宋体" w:hAnsi="宋体" w:cs="仿宋_GB2312"/>
          <w:sz w:val="22"/>
          <w:szCs w:val="22"/>
        </w:rPr>
        <w:t>5、投标人对工程量清单有任何疑问，应于招标文件规定的疑问提交截止日前提出，否则视为投标人认可该工程量清单已包括了招标范围的全部内容。</w:t>
      </w:r>
    </w:p>
    <w:p>
      <w:pPr>
        <w:spacing w:line="400" w:lineRule="exact"/>
        <w:ind w:firstLine="440"/>
        <w:rPr>
          <w:rFonts w:ascii="宋体" w:hAnsi="宋体" w:cs="仿宋_GB2312"/>
          <w:b/>
          <w:bCs/>
          <w:sz w:val="22"/>
          <w:szCs w:val="22"/>
        </w:rPr>
      </w:pPr>
      <w:r>
        <w:rPr>
          <w:rFonts w:hint="eastAsia"/>
          <w:b/>
          <w:bCs/>
          <w:sz w:val="22"/>
          <w:szCs w:val="22"/>
        </w:rPr>
        <w:t>六、其它说明：</w:t>
      </w:r>
    </w:p>
    <w:p>
      <w:pPr>
        <w:spacing w:line="360" w:lineRule="auto"/>
        <w:ind w:firstLine="440" w:firstLineChars="200"/>
        <w:jc w:val="left"/>
        <w:rPr>
          <w:rFonts w:asciiTheme="minorEastAsia" w:hAnsiTheme="minorEastAsia" w:cstheme="minorEastAsia"/>
          <w:sz w:val="20"/>
          <w:szCs w:val="20"/>
        </w:rPr>
      </w:pPr>
      <w:r>
        <w:rPr>
          <w:rFonts w:hint="eastAsia" w:ascii="宋体" w:hAnsi="宋体"/>
          <w:sz w:val="22"/>
          <w:szCs w:val="22"/>
        </w:rPr>
        <w:t>本工程设置</w:t>
      </w:r>
      <w:r>
        <w:rPr>
          <w:rFonts w:hint="eastAsia" w:ascii="宋体" w:hAnsi="宋体"/>
          <w:sz w:val="22"/>
          <w:szCs w:val="22"/>
          <w:lang w:val="en-US" w:eastAsia="zh-CN"/>
        </w:rPr>
        <w:t>暂列</w:t>
      </w:r>
      <w:r>
        <w:rPr>
          <w:rFonts w:hint="eastAsia" w:ascii="宋体" w:hAnsi="宋体"/>
          <w:sz w:val="22"/>
          <w:szCs w:val="22"/>
        </w:rPr>
        <w:t>金</w:t>
      </w:r>
      <w:r>
        <w:rPr>
          <w:rFonts w:hint="eastAsia" w:ascii="宋体" w:hAnsi="宋体"/>
          <w:sz w:val="22"/>
          <w:szCs w:val="22"/>
          <w:lang w:eastAsia="zh-CN"/>
        </w:rPr>
        <w:t>额</w:t>
      </w:r>
      <w:r>
        <w:rPr>
          <w:rFonts w:hint="eastAsia" w:ascii="宋体" w:hAnsi="宋体"/>
          <w:sz w:val="22"/>
          <w:szCs w:val="22"/>
          <w:lang w:val="en-US" w:eastAsia="zh-CN"/>
        </w:rPr>
        <w:t>捌</w:t>
      </w:r>
      <w:bookmarkStart w:id="0" w:name="_GoBack"/>
      <w:bookmarkEnd w:id="0"/>
      <w:r>
        <w:rPr>
          <w:rFonts w:hint="eastAsia" w:ascii="宋体" w:hAnsi="宋体"/>
          <w:sz w:val="22"/>
          <w:szCs w:val="22"/>
        </w:rPr>
        <w:t>万元整。</w:t>
      </w:r>
    </w:p>
    <w:sectPr>
      <w:pgSz w:w="11906" w:h="16838"/>
      <w:pgMar w:top="600" w:right="1286" w:bottom="1440" w:left="9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3FB66F"/>
    <w:multiLevelType w:val="singleLevel"/>
    <w:tmpl w:val="F73FB66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0ZjRhYzQ2MGQ4NjI0ODZkMzFiOTM0YTdkYTViNzMifQ=="/>
  </w:docVars>
  <w:rsids>
    <w:rsidRoot w:val="27A06B53"/>
    <w:rsid w:val="00037C12"/>
    <w:rsid w:val="00465E25"/>
    <w:rsid w:val="00A32023"/>
    <w:rsid w:val="00A444B9"/>
    <w:rsid w:val="00BA5A77"/>
    <w:rsid w:val="00F4437B"/>
    <w:rsid w:val="14AC3EEB"/>
    <w:rsid w:val="16ED5C2D"/>
    <w:rsid w:val="223274E3"/>
    <w:rsid w:val="27A06B53"/>
    <w:rsid w:val="32083545"/>
    <w:rsid w:val="5C06493B"/>
    <w:rsid w:val="5F9C2B81"/>
    <w:rsid w:val="681A1D8A"/>
    <w:rsid w:val="6DC74156"/>
    <w:rsid w:val="750D68CD"/>
    <w:rsid w:val="791A2131"/>
    <w:rsid w:val="7EB05D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1449</Words>
  <Characters>1488</Characters>
  <Lines>10</Lines>
  <Paragraphs>3</Paragraphs>
  <TotalTime>41</TotalTime>
  <ScaleCrop>false</ScaleCrop>
  <LinksUpToDate>false</LinksUpToDate>
  <CharactersWithSpaces>1496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2024-02-21T02:07:00Z</dcterms:created>
  <dc:creator>等我长大了我要养只萨摩耶</dc:creator>
  <cp:lastModifiedBy>风之歌</cp:lastModifiedBy>
  <dcterms:modified xsi:type="dcterms:W3CDTF">2024-05-31T04:22:44Z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58B311D208084EBEAC037B51AFBCB1D9_13</vt:lpwstr>
  </property>
</Properties>
</file>