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3E3C921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79E083D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（服务类）</w:t>
      </w:r>
    </w:p>
    <w:p w14:paraId="2AF24AD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（2026年版）</w:t>
      </w:r>
    </w:p>
    <w:p w14:paraId="4418C7B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F5F7B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1B62ED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2E7AA3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tabs>
          <w:tab w:val="left" w:pos="2410"/>
        </w:tabs>
        <w:autoSpaceDE w:val="0"/>
        <w:autoSpaceDN w:val="0"/>
        <w:adjustRightInd w:val="0"/>
        <w:snapToGrid w:val="0"/>
        <w:spacing w:line="360" w:lineRule="auto"/>
        <w:ind w:left="2444" w:leftChars="304" w:hanging="1806" w:hangingChars="5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项目名称：安徽财贸职业学院中华老字号文化资源库项目</w:t>
      </w:r>
    </w:p>
    <w:p w14:paraId="0745F10F">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项目编号：ZFCG-202617700051</w:t>
      </w:r>
    </w:p>
    <w:p w14:paraId="76D15578">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人：安徽财贸职业学院</w:t>
      </w:r>
    </w:p>
    <w:p w14:paraId="4BB3B7DE">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采购代理机构：安徽中技工程咨询有限公司</w:t>
      </w:r>
    </w:p>
    <w:p w14:paraId="528EC12B">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6BEC08B">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 xml:space="preserve"> 2026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42CEDB1B">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45ADF1E7">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605B6E">
      <w:pPr>
        <w:pStyle w:val="2"/>
        <w:rPr>
          <w:color w:val="auto"/>
          <w:highlight w:val="none"/>
        </w:rPr>
      </w:pPr>
    </w:p>
    <w:p w14:paraId="61817AD9">
      <w:pPr>
        <w:pStyle w:val="15"/>
        <w:tabs>
          <w:tab w:val="right" w:leader="dot" w:pos="8306"/>
        </w:tabs>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"_Toc18702" </w:instrText>
      </w:r>
      <w:r>
        <w:rPr>
          <w:color w:val="auto"/>
          <w:highlight w:val="none"/>
        </w:rPr>
        <w:fldChar w:fldCharType="separate"/>
      </w:r>
      <w:r>
        <w:rPr>
          <w:rFonts w:hint="eastAsia" w:asciiTheme="minorEastAsia" w:hAnsiTheme="minorEastAsia"/>
          <w:color w:val="auto"/>
          <w:highlight w:val="none"/>
        </w:rPr>
        <w:t xml:space="preserve">第一章 </w:t>
      </w:r>
      <w:r>
        <w:rPr>
          <w:rFonts w:asciiTheme="minorEastAsia" w:hAnsi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_Toc18702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22DB7414">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"_Toc430" </w:instrText>
      </w:r>
      <w:r>
        <w:rPr>
          <w:color w:val="auto"/>
          <w:highlight w:val="none"/>
        </w:rPr>
        <w:fldChar w:fldCharType="separate"/>
      </w:r>
      <w:r>
        <w:rPr>
          <w:rFonts w:hint="eastAsia" w:asciiTheme="minorEastAsia" w:hAnsiTheme="minorEastAsia"/>
          <w:color w:val="auto"/>
          <w:highlight w:val="none"/>
        </w:rPr>
        <w:t>第二章</w:t>
      </w:r>
      <w:r>
        <w:rPr>
          <w:rFonts w:asciiTheme="minorEastAsia" w:hAnsiTheme="minorEastAsia"/>
          <w:color w:val="auto"/>
          <w:highlight w:val="none"/>
        </w:rPr>
        <w:t xml:space="preserve"> </w:t>
      </w:r>
      <w:r>
        <w:rPr>
          <w:rFonts w:hint="eastAsia" w:asciiTheme="minorEastAsia" w:hAnsiTheme="minorEastAsia"/>
          <w:color w:val="auto"/>
          <w:highlight w:val="none"/>
        </w:rPr>
        <w:t xml:space="preserve"> </w:t>
      </w:r>
      <w:r>
        <w:rPr>
          <w:rFonts w:asciiTheme="minorEastAsia" w:hAnsi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_Toc430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ECE0E21">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"_Toc24680" </w:instrText>
      </w:r>
      <w:r>
        <w:rPr>
          <w:color w:val="auto"/>
          <w:highlight w:val="none"/>
        </w:rPr>
        <w:fldChar w:fldCharType="separate"/>
      </w:r>
      <w:r>
        <w:rPr>
          <w:rFonts w:hint="eastAsia" w:asciiTheme="minorEastAsia" w:hAnsi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_Toc24680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A019F34">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"_Toc24794" </w:instrText>
      </w:r>
      <w:r>
        <w:rPr>
          <w:color w:val="auto"/>
          <w:highlight w:val="none"/>
        </w:rPr>
        <w:fldChar w:fldCharType="separate"/>
      </w:r>
      <w:r>
        <w:rPr>
          <w:rFonts w:hint="eastAsia" w:asciiTheme="minorEastAsia" w:hAnsiTheme="minorEastAsia"/>
          <w:color w:val="auto"/>
          <w:highlight w:val="none"/>
        </w:rPr>
        <w:t>第四章  评标方法和标准（最低评标价法）</w:t>
      </w:r>
      <w:r>
        <w:rPr>
          <w:color w:val="auto"/>
          <w:highlight w:val="none"/>
        </w:rPr>
        <w:tab/>
      </w:r>
      <w:r>
        <w:rPr>
          <w:color w:val="auto"/>
          <w:highlight w:val="none"/>
        </w:rPr>
        <w:fldChar w:fldCharType="begin"/>
      </w:r>
      <w:r>
        <w:rPr>
          <w:color w:val="auto"/>
          <w:highlight w:val="none"/>
        </w:rPr>
        <w:instrText xml:space="preserve"> PAGEREF _Toc24794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6E3590CD">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"_Toc9814" </w:instrText>
      </w:r>
      <w:r>
        <w:rPr>
          <w:color w:val="auto"/>
          <w:highlight w:val="none"/>
        </w:rPr>
        <w:fldChar w:fldCharType="separate"/>
      </w:r>
      <w:r>
        <w:rPr>
          <w:rFonts w:hint="eastAsia" w:asciiTheme="minorEastAsia" w:hAnsiTheme="minorEastAsia"/>
          <w:color w:val="auto"/>
          <w:highlight w:val="none"/>
        </w:rPr>
        <w:t xml:space="preserve">第五章  </w:t>
      </w:r>
      <w:r>
        <w:rPr>
          <w:rFonts w:asciiTheme="minorEastAsia" w:hAnsi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_Toc9814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164093F">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"_Toc27483" </w:instrText>
      </w:r>
      <w:r>
        <w:rPr>
          <w:color w:val="auto"/>
          <w:highlight w:val="none"/>
        </w:rPr>
        <w:fldChar w:fldCharType="separate"/>
      </w:r>
      <w:r>
        <w:rPr>
          <w:rFonts w:hint="eastAsia" w:asciiTheme="minorEastAsia" w:hAnsi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_Toc27483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1BE96EE4">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"_Toc24076" </w:instrText>
      </w:r>
      <w:r>
        <w:rPr>
          <w:color w:val="auto"/>
          <w:highlight w:val="none"/>
        </w:rPr>
        <w:fldChar w:fldCharType="separate"/>
      </w:r>
      <w:r>
        <w:rPr>
          <w:rFonts w:hint="eastAsia" w:asciiTheme="minorEastAsia" w:hAnsiTheme="minorEastAsia"/>
          <w:color w:val="auto"/>
          <w:highlight w:val="none"/>
        </w:rPr>
        <w:t>第七章</w:t>
      </w:r>
      <w:r>
        <w:rPr>
          <w:rFonts w:hint="eastAsia" w:ascii="宋体" w:hAnsi="宋体" w:eastAsia="宋体"/>
          <w:bCs/>
          <w:color w:val="auto"/>
          <w:highlight w:val="none"/>
        </w:rPr>
        <w:t xml:space="preserve">  政府采购</w:t>
      </w:r>
      <w:r>
        <w:rPr>
          <w:rFonts w:hint="eastAsia" w:asciiTheme="minorEastAsia" w:hAnsi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_Toc24076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69DEF537">
      <w:pPr>
        <w:rPr>
          <w:color w:val="auto"/>
          <w:highlight w:val="none"/>
        </w:rPr>
      </w:pPr>
      <w:r>
        <w:rPr>
          <w:color w:val="auto"/>
          <w:highlight w:val="none"/>
        </w:rPr>
        <w:fldChar w:fldCharType="end"/>
      </w:r>
    </w:p>
    <w:p w14:paraId="4D048809">
      <w:pPr>
        <w:spacing w:line="360" w:lineRule="auto"/>
        <w:rPr>
          <w:rFonts w:asciiTheme="minorEastAsia" w:hAnsiTheme="minorEastAsia" w:eastAsiaTheme="minorEastAsia"/>
          <w:b/>
          <w:color w:val="auto"/>
          <w:sz w:val="32"/>
          <w:highlight w:val="none"/>
        </w:rPr>
      </w:pPr>
    </w:p>
    <w:p w14:paraId="30989348">
      <w:pPr>
        <w:spacing w:line="360" w:lineRule="auto"/>
        <w:rPr>
          <w:rFonts w:asciiTheme="minorEastAsia" w:hAnsiTheme="minorEastAsia" w:eastAsiaTheme="minorEastAsia"/>
          <w:b/>
          <w:color w:val="auto"/>
          <w:sz w:val="32"/>
          <w:highlight w:val="none"/>
        </w:rPr>
      </w:pPr>
    </w:p>
    <w:p w14:paraId="30563B08">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spacing w:line="360" w:lineRule="auto"/>
        <w:jc w:val="center"/>
        <w:outlineLvl w:val="0"/>
        <w:rPr>
          <w:rFonts w:asciiTheme="minorEastAsia" w:hAnsiTheme="minorEastAsia" w:eastAsiaTheme="minorEastAsia"/>
          <w:b/>
          <w:color w:val="auto"/>
          <w:sz w:val="28"/>
          <w:highlight w:val="none"/>
        </w:rPr>
      </w:pPr>
      <w:bookmarkStart w:id="1" w:name="_Toc18702"/>
      <w:bookmarkStart w:id="2" w:name="_Toc12494"/>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bookmarkEnd w:id="2"/>
    </w:p>
    <w:p w14:paraId="7AA45134">
      <w:pPr>
        <w:spacing w:line="360" w:lineRule="auto"/>
        <w:ind w:firstLine="437"/>
        <w:outlineLvl w:val="1"/>
        <w:rPr>
          <w:rFonts w:ascii="宋体" w:hAnsi="宋体" w:eastAsia="宋体"/>
          <w:b/>
          <w:bCs/>
          <w:color w:val="auto"/>
          <w:sz w:val="24"/>
          <w:szCs w:val="18"/>
          <w:highlight w:val="none"/>
        </w:rPr>
      </w:pPr>
      <w:bookmarkStart w:id="3" w:name="_Toc1381"/>
      <w:bookmarkStart w:id="4" w:name="_Toc31518"/>
      <w:bookmarkStart w:id="5" w:name="_Toc16448"/>
      <w:r>
        <w:rPr>
          <w:rFonts w:hint="eastAsia" w:ascii="宋体" w:hAnsi="宋体" w:eastAsia="宋体"/>
          <w:b/>
          <w:bCs/>
          <w:color w:val="auto"/>
          <w:sz w:val="24"/>
          <w:szCs w:val="18"/>
          <w:highlight w:val="none"/>
        </w:rPr>
        <w:t>一、</w:t>
      </w:r>
      <w:bookmarkEnd w:id="3"/>
      <w:r>
        <w:rPr>
          <w:rFonts w:hint="eastAsia" w:ascii="宋体" w:hAnsi="宋体" w:eastAsia="宋体"/>
          <w:b/>
          <w:bCs/>
          <w:color w:val="auto"/>
          <w:sz w:val="24"/>
          <w:szCs w:val="18"/>
          <w:highlight w:val="none"/>
        </w:rPr>
        <w:t>项目基本情况</w:t>
      </w:r>
      <w:bookmarkEnd w:id="4"/>
      <w:bookmarkEnd w:id="5"/>
    </w:p>
    <w:p w14:paraId="6D97CF7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hint="eastAsia" w:ascii="宋体" w:hAnsi="宋体" w:eastAsia="宋体"/>
          <w:color w:val="auto"/>
          <w:sz w:val="24"/>
          <w:szCs w:val="18"/>
          <w:highlight w:val="none"/>
        </w:rPr>
        <w:t>项目编号：ZFCG-202617700051</w:t>
      </w:r>
    </w:p>
    <w:p w14:paraId="73FE865B">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2.项目名称：安徽财贸职业学院中华老字号文化资源库项目</w:t>
      </w:r>
    </w:p>
    <w:p w14:paraId="06753C96">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3.预算金额：125万元</w:t>
      </w:r>
    </w:p>
    <w:p w14:paraId="5AA1ECC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4.最高限价：125万元</w:t>
      </w:r>
    </w:p>
    <w:p w14:paraId="1105878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5.采购需求：安徽财贸职业学院根据承担中华老字号文化资源库建设任务，打造集历史性、知识性、技艺性与趣味性于一体的开放、共享、优质的中华老字号文化传承与创新教学平台，结合本校专业建设、人才培养、课程教学需要，本次采购项目为新建10门在线课程，具体详见招标文件。</w:t>
      </w:r>
    </w:p>
    <w:p w14:paraId="43F6CBA7">
      <w:pPr>
        <w:spacing w:line="360" w:lineRule="auto"/>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6.合同履行期限：</w:t>
      </w:r>
      <w:r>
        <w:rPr>
          <w:rFonts w:hint="eastAsia" w:ascii="宋体" w:hAnsi="宋体" w:eastAsia="宋体"/>
          <w:color w:val="auto"/>
          <w:sz w:val="24"/>
          <w:szCs w:val="18"/>
          <w:highlight w:val="none"/>
          <w:u w:val="none"/>
          <w:lang w:val="en-US" w:eastAsia="zh-CN"/>
        </w:rPr>
        <w:t>自合同生效之日起120天内完成</w:t>
      </w:r>
      <w:r>
        <w:rPr>
          <w:rFonts w:hint="eastAsia" w:ascii="宋体" w:hAnsi="宋体" w:eastAsia="宋体"/>
          <w:color w:val="auto"/>
          <w:sz w:val="24"/>
          <w:szCs w:val="18"/>
          <w:highlight w:val="none"/>
          <w:u w:val="none"/>
        </w:rPr>
        <w:t xml:space="preserve"> </w:t>
      </w:r>
    </w:p>
    <w:p w14:paraId="7C84F21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szCs w:val="18"/>
          <w:highlight w:val="none"/>
        </w:rPr>
        <w:t>7.本项目不接受联合体</w:t>
      </w:r>
      <w:r>
        <w:rPr>
          <w:rFonts w:hint="eastAsia" w:asciiTheme="minorEastAsia" w:hAnsiTheme="minorEastAsia" w:eastAsiaTheme="minorEastAsia"/>
          <w:color w:val="auto"/>
          <w:sz w:val="24"/>
          <w:highlight w:val="none"/>
        </w:rPr>
        <w:t>。</w:t>
      </w:r>
    </w:p>
    <w:p w14:paraId="4F901199">
      <w:pPr>
        <w:spacing w:line="360" w:lineRule="auto"/>
        <w:ind w:firstLine="437"/>
        <w:outlineLvl w:val="1"/>
        <w:rPr>
          <w:rFonts w:ascii="宋体" w:hAnsi="宋体" w:eastAsia="宋体"/>
          <w:b/>
          <w:bCs/>
          <w:color w:val="auto"/>
          <w:sz w:val="24"/>
          <w:szCs w:val="18"/>
          <w:highlight w:val="none"/>
        </w:rPr>
      </w:pPr>
      <w:bookmarkStart w:id="6" w:name="_Toc13530"/>
      <w:bookmarkStart w:id="7" w:name="_Toc9204"/>
      <w:bookmarkStart w:id="8" w:name="_Toc9564"/>
      <w:r>
        <w:rPr>
          <w:rFonts w:hint="eastAsia" w:ascii="宋体" w:hAnsi="宋体" w:eastAsia="宋体"/>
          <w:b/>
          <w:bCs/>
          <w:color w:val="auto"/>
          <w:sz w:val="24"/>
          <w:szCs w:val="18"/>
          <w:highlight w:val="none"/>
        </w:rPr>
        <w:t>二、</w:t>
      </w:r>
      <w:bookmarkEnd w:id="6"/>
      <w:r>
        <w:rPr>
          <w:rFonts w:hint="eastAsia" w:ascii="宋体" w:hAnsi="宋体" w:eastAsia="宋体"/>
          <w:b/>
          <w:bCs/>
          <w:color w:val="auto"/>
          <w:sz w:val="24"/>
          <w:szCs w:val="18"/>
          <w:highlight w:val="none"/>
        </w:rPr>
        <w:t>申请人的资格要求</w:t>
      </w:r>
      <w:bookmarkEnd w:id="7"/>
      <w:bookmarkEnd w:id="8"/>
    </w:p>
    <w:p w14:paraId="503C6E60">
      <w:pPr>
        <w:spacing w:line="360" w:lineRule="auto"/>
        <w:ind w:firstLine="435"/>
        <w:rPr>
          <w:rFonts w:asciiTheme="minorEastAsia" w:hAnsiTheme="minorEastAsia" w:eastAsiaTheme="minorEastAsia"/>
          <w:color w:val="auto"/>
          <w:sz w:val="24"/>
          <w:highlight w:val="none"/>
        </w:rPr>
      </w:pPr>
      <w:bookmarkStart w:id="9" w:name="_Toc30110"/>
      <w:r>
        <w:rPr>
          <w:rFonts w:hint="eastAsia" w:asciiTheme="minorEastAsia" w:hAnsiTheme="minorEastAsia" w:eastAsiaTheme="minorEastAsia"/>
          <w:color w:val="auto"/>
          <w:sz w:val="24"/>
          <w:highlight w:val="none"/>
        </w:rPr>
        <w:t>1.满足《中华人民共和国政府采购法》第二十二条规定；</w:t>
      </w:r>
    </w:p>
    <w:p w14:paraId="3F6826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179732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7D88942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本项目专门面向</w:t>
      </w:r>
      <w:r>
        <w:rPr>
          <w:rFonts w:hint="eastAsia" w:asciiTheme="minorEastAsia" w:hAnsiTheme="minorEastAsia" w:eastAsiaTheme="minorEastAsia"/>
          <w:color w:val="auto"/>
          <w:sz w:val="24"/>
          <w:highlight w:val="none"/>
          <w:lang w:val="en-US" w:eastAsia="zh-CN"/>
        </w:rPr>
        <w:t>中小企业</w:t>
      </w:r>
      <w:r>
        <w:rPr>
          <w:rFonts w:hint="eastAsia" w:asciiTheme="minorEastAsia" w:hAnsiTheme="minorEastAsia" w:eastAsiaTheme="minorEastAsia"/>
          <w:color w:val="auto"/>
          <w:sz w:val="24"/>
          <w:highlight w:val="none"/>
        </w:rPr>
        <w:t>采购（即投标人所提供的服务由中小微企业、监狱企业或残疾人福利性单位承接）。</w:t>
      </w:r>
    </w:p>
    <w:p w14:paraId="3C5FA458">
      <w:pPr>
        <w:numPr>
          <w:ilvl w:val="0"/>
          <w:numId w:val="1"/>
        </w:num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本项目的特定资格要求：</w:t>
      </w:r>
    </w:p>
    <w:p w14:paraId="3A97E46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3.1信誉要求：</w:t>
      </w:r>
      <w:r>
        <w:rPr>
          <w:rFonts w:hint="eastAsia" w:asciiTheme="minorEastAsia" w:hAnsiTheme="minorEastAsia" w:eastAsiaTheme="minorEastAsia"/>
          <w:color w:val="auto"/>
          <w:sz w:val="24"/>
          <w:highlight w:val="none"/>
          <w:lang w:val="en-US" w:eastAsia="zh-CN"/>
        </w:rPr>
        <w:t>投标人</w:t>
      </w:r>
      <w:r>
        <w:rPr>
          <w:rFonts w:hint="eastAsia" w:asciiTheme="minorEastAsia" w:hAnsiTheme="minorEastAsia" w:eastAsiaTheme="minorEastAsia"/>
          <w:color w:val="auto"/>
          <w:sz w:val="24"/>
          <w:highlight w:val="none"/>
        </w:rPr>
        <w:t>存在以下不良信用记录情形之一的，不得推荐为</w:t>
      </w:r>
      <w:r>
        <w:rPr>
          <w:rFonts w:hint="eastAsia" w:asciiTheme="minorEastAsia" w:hAnsiTheme="minorEastAsia" w:eastAsiaTheme="minorEastAsia"/>
          <w:color w:val="auto"/>
          <w:sz w:val="24"/>
          <w:highlight w:val="none"/>
          <w:lang w:val="en-US" w:eastAsia="zh-CN"/>
        </w:rPr>
        <w:t>中标</w:t>
      </w:r>
      <w:r>
        <w:rPr>
          <w:rFonts w:hint="eastAsia" w:asciiTheme="minorEastAsia" w:hAnsiTheme="minorEastAsia" w:eastAsiaTheme="minorEastAsia"/>
          <w:color w:val="auto"/>
          <w:sz w:val="24"/>
          <w:highlight w:val="none"/>
        </w:rPr>
        <w:t>候选人，不得确定为中标人：</w:t>
      </w:r>
    </w:p>
    <w:p w14:paraId="63E997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Theme="minorEastAsia" w:hAnsiTheme="minorEastAsia" w:eastAsiaTheme="minorEastAsia"/>
          <w:color w:val="auto"/>
          <w:sz w:val="24"/>
          <w:highlight w:val="none"/>
          <w:lang w:val="en-US" w:eastAsia="zh-CN"/>
        </w:rPr>
        <w:t>投标人</w:t>
      </w:r>
      <w:r>
        <w:rPr>
          <w:rFonts w:hint="eastAsia" w:ascii="宋体" w:hAnsi="宋体" w:eastAsia="宋体" w:cs="宋体"/>
          <w:color w:val="auto"/>
          <w:sz w:val="24"/>
          <w:szCs w:val="24"/>
          <w:highlight w:val="none"/>
        </w:rPr>
        <w:t>被人民法院列入失信被执行人的；</w:t>
      </w:r>
    </w:p>
    <w:p w14:paraId="46CFEF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投标人</w:t>
      </w:r>
      <w:r>
        <w:rPr>
          <w:rFonts w:hint="eastAsia" w:asciiTheme="minorEastAsia" w:hAnsiTheme="minorEastAsia" w:eastAsiaTheme="minorEastAsia"/>
          <w:color w:val="auto"/>
          <w:sz w:val="24"/>
          <w:highlight w:val="none"/>
        </w:rPr>
        <w:t>被税务部门列入重大税收违法案件当事人名单的；</w:t>
      </w:r>
    </w:p>
    <w:p w14:paraId="7C8C0D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投标人</w:t>
      </w:r>
      <w:r>
        <w:rPr>
          <w:rFonts w:hint="eastAsia" w:asciiTheme="minorEastAsia" w:hAnsiTheme="minorEastAsia" w:eastAsiaTheme="minorEastAsia"/>
          <w:color w:val="auto"/>
          <w:sz w:val="24"/>
          <w:highlight w:val="none"/>
        </w:rPr>
        <w:t>被政府采购监管部门列入政府采购严重违法失信行为记录名单。</w:t>
      </w:r>
    </w:p>
    <w:p w14:paraId="5D66E263">
      <w:pPr>
        <w:spacing w:line="360" w:lineRule="auto"/>
        <w:ind w:firstLine="437"/>
        <w:outlineLvl w:val="1"/>
        <w:rPr>
          <w:rFonts w:ascii="宋体" w:hAnsi="宋体" w:eastAsia="宋体"/>
          <w:b/>
          <w:bCs/>
          <w:color w:val="auto"/>
          <w:sz w:val="24"/>
          <w:szCs w:val="18"/>
          <w:highlight w:val="none"/>
        </w:rPr>
      </w:pPr>
      <w:bookmarkStart w:id="10" w:name="_Toc21681"/>
      <w:bookmarkStart w:id="11" w:name="_Toc27041"/>
      <w:r>
        <w:rPr>
          <w:rFonts w:hint="eastAsia" w:ascii="宋体" w:hAnsi="宋体" w:eastAsia="宋体"/>
          <w:b/>
          <w:bCs/>
          <w:color w:val="auto"/>
          <w:sz w:val="24"/>
          <w:szCs w:val="18"/>
          <w:highlight w:val="none"/>
        </w:rPr>
        <w:t>三、</w:t>
      </w:r>
      <w:bookmarkEnd w:id="9"/>
      <w:r>
        <w:rPr>
          <w:rFonts w:hint="eastAsia" w:ascii="宋体" w:hAnsi="宋体" w:eastAsia="宋体"/>
          <w:b/>
          <w:bCs/>
          <w:color w:val="auto"/>
          <w:sz w:val="24"/>
          <w:szCs w:val="18"/>
          <w:highlight w:val="none"/>
        </w:rPr>
        <w:t>获取招标文件</w:t>
      </w:r>
      <w:bookmarkEnd w:id="10"/>
      <w:bookmarkEnd w:id="11"/>
    </w:p>
    <w:p w14:paraId="1C08AC21">
      <w:pPr>
        <w:pStyle w:val="17"/>
        <w:widowControl/>
        <w:spacing w:before="50" w:beforeAutospacing="0" w:after="50" w:afterAutospacing="0" w:line="420" w:lineRule="atLeast"/>
        <w:ind w:firstLine="420"/>
        <w:rPr>
          <w:rFonts w:asciiTheme="minorEastAsia" w:hAnsiTheme="minorEastAsia" w:eastAsiaTheme="minorEastAsia" w:cstheme="minorEastAsia"/>
          <w:color w:val="auto"/>
          <w:szCs w:val="24"/>
          <w:highlight w:val="none"/>
        </w:rPr>
      </w:pPr>
      <w:bookmarkStart w:id="12" w:name="_Toc7957"/>
      <w:r>
        <w:rPr>
          <w:rFonts w:hint="eastAsia" w:asciiTheme="minorEastAsia" w:hAnsiTheme="minorEastAsia" w:eastAsiaTheme="minorEastAsia" w:cstheme="minorEastAsia"/>
          <w:color w:val="auto"/>
          <w:szCs w:val="24"/>
          <w:highlight w:val="none"/>
        </w:rPr>
        <w:t>时间：</w:t>
      </w:r>
      <w:r>
        <w:rPr>
          <w:rFonts w:hint="eastAsia" w:cs="@仿宋_GB2312" w:asciiTheme="minorEastAsia" w:hAnsiTheme="minorEastAsia" w:eastAsiaTheme="minorEastAsia"/>
          <w:color w:val="auto"/>
          <w:kern w:val="2"/>
          <w:sz w:val="24"/>
          <w:highlight w:val="none"/>
          <w:lang w:val="en-US" w:eastAsia="zh-CN" w:bidi="ar-SA"/>
        </w:rPr>
        <w:t>2026年</w:t>
      </w:r>
      <w:r>
        <w:rPr>
          <w:rFonts w:hint="eastAsia" w:cs="@仿宋_GB2312" w:asciiTheme="minorEastAsia" w:hAnsiTheme="minorEastAsia" w:eastAsiaTheme="minorEastAsia"/>
          <w:color w:val="auto"/>
          <w:kern w:val="2"/>
          <w:sz w:val="24"/>
          <w:highlight w:val="none"/>
          <w:lang w:val="en-US" w:eastAsia="zh-CN" w:bidi="ar-SA"/>
        </w:rPr>
        <w:t>7月2日至2026年7月9日</w:t>
      </w:r>
      <w:r>
        <w:rPr>
          <w:rFonts w:hint="eastAsia" w:cs="@仿宋_GB2312" w:asciiTheme="minorEastAsia" w:hAnsiTheme="minorEastAsia" w:eastAsiaTheme="minorEastAsia"/>
          <w:color w:val="auto"/>
          <w:kern w:val="2"/>
          <w:sz w:val="24"/>
          <w:highlight w:val="none"/>
          <w:lang w:val="en-US" w:eastAsia="zh-CN" w:bidi="ar-SA"/>
        </w:rPr>
        <w:t xml:space="preserve">，每天上午00:00至12:00，下午12:00至23:59（北京时间）      </w:t>
      </w:r>
      <w:r>
        <w:rPr>
          <w:rFonts w:hint="eastAsia" w:asciiTheme="minorEastAsia" w:hAnsiTheme="minorEastAsia" w:eastAsiaTheme="minorEastAsia" w:cstheme="minorEastAsia"/>
          <w:color w:val="auto"/>
          <w:szCs w:val="24"/>
          <w:highlight w:val="none"/>
        </w:rPr>
        <w:t>     </w:t>
      </w:r>
    </w:p>
    <w:p w14:paraId="6124FFC3">
      <w:pPr>
        <w:pStyle w:val="17"/>
        <w:widowControl/>
        <w:spacing w:before="50" w:beforeAutospacing="0" w:after="50" w:afterAutospacing="0" w:line="420" w:lineRule="atLeast"/>
        <w:ind w:firstLine="420"/>
        <w:rPr>
          <w:rStyle w:val="28"/>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地点：</w:t>
      </w:r>
      <w:r>
        <w:rPr>
          <w:rStyle w:val="28"/>
          <w:rFonts w:hint="eastAsia" w:asciiTheme="minorEastAsia" w:hAnsiTheme="minorEastAsia" w:eastAsiaTheme="minorEastAsia" w:cstheme="minorEastAsia"/>
          <w:color w:val="auto"/>
          <w:szCs w:val="24"/>
          <w:highlight w:val="none"/>
        </w:rPr>
        <w:t>“徽采云”电子交易系统。</w:t>
      </w:r>
    </w:p>
    <w:p w14:paraId="51F7BE03">
      <w:pPr>
        <w:pStyle w:val="17"/>
        <w:widowControl/>
        <w:spacing w:before="50" w:beforeAutospacing="0" w:after="50" w:afterAutospacing="0" w:line="420" w:lineRule="atLeast"/>
        <w:ind w:firstLine="420"/>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方式：投标人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137178B1">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采购文件获取过程中有任何疑问，请在工作时间（8:00-18:00节假日休息）拨打技术支持热线（非项目咨询）：95763。</w:t>
      </w:r>
    </w:p>
    <w:p w14:paraId="31005CF8">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项目咨询请拨打电话：0551-65149581-631、826。</w:t>
      </w:r>
    </w:p>
    <w:p w14:paraId="2905087D">
      <w:pPr>
        <w:adjustRightInd w:val="0"/>
        <w:snapToGrid w:val="0"/>
        <w:spacing w:line="360" w:lineRule="auto"/>
        <w:ind w:firstLine="480" w:firstLineChars="2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售价（元）：0元</w:t>
      </w:r>
    </w:p>
    <w:p w14:paraId="60C8CB18">
      <w:pPr>
        <w:spacing w:line="360" w:lineRule="auto"/>
        <w:ind w:firstLine="437"/>
        <w:outlineLvl w:val="1"/>
        <w:rPr>
          <w:rFonts w:ascii="宋体" w:hAnsi="宋体" w:eastAsia="宋体"/>
          <w:b/>
          <w:bCs/>
          <w:color w:val="auto"/>
          <w:sz w:val="24"/>
          <w:szCs w:val="18"/>
          <w:highlight w:val="none"/>
        </w:rPr>
      </w:pPr>
      <w:bookmarkStart w:id="13" w:name="_Toc25902"/>
      <w:bookmarkStart w:id="14" w:name="_Toc30778"/>
      <w:r>
        <w:rPr>
          <w:rFonts w:hint="eastAsia" w:ascii="宋体" w:hAnsi="宋体" w:eastAsia="宋体"/>
          <w:b/>
          <w:bCs/>
          <w:color w:val="auto"/>
          <w:sz w:val="24"/>
          <w:szCs w:val="18"/>
          <w:highlight w:val="none"/>
        </w:rPr>
        <w:t>四、</w:t>
      </w:r>
      <w:bookmarkEnd w:id="12"/>
      <w:r>
        <w:rPr>
          <w:rFonts w:hint="eastAsia" w:ascii="宋体" w:hAnsi="宋体" w:eastAsia="宋体"/>
          <w:b/>
          <w:bCs/>
          <w:color w:val="auto"/>
          <w:sz w:val="24"/>
          <w:szCs w:val="18"/>
          <w:highlight w:val="none"/>
        </w:rPr>
        <w:t>提交投标文件截止时间、开标时间和地点</w:t>
      </w:r>
      <w:bookmarkEnd w:id="13"/>
      <w:bookmarkEnd w:id="14"/>
    </w:p>
    <w:p w14:paraId="65F16BDF">
      <w:pPr>
        <w:spacing w:line="360" w:lineRule="auto"/>
        <w:ind w:firstLine="480" w:firstLineChars="200"/>
        <w:rPr>
          <w:rFonts w:asciiTheme="minorEastAsia" w:hAnsiTheme="minorEastAsia" w:eastAsiaTheme="minorEastAsia" w:cstheme="minorEastAsia"/>
          <w:bCs/>
          <w:color w:val="auto"/>
          <w:sz w:val="24"/>
          <w:szCs w:val="24"/>
          <w:highlight w:val="none"/>
        </w:rPr>
      </w:pPr>
      <w:bookmarkStart w:id="15" w:name="_Toc5082"/>
      <w:r>
        <w:rPr>
          <w:rFonts w:hint="eastAsia" w:asciiTheme="minorEastAsia" w:hAnsiTheme="minorEastAsia" w:eastAsiaTheme="minorEastAsia" w:cstheme="minorEastAsia"/>
          <w:bCs/>
          <w:color w:val="auto"/>
          <w:sz w:val="24"/>
          <w:szCs w:val="24"/>
          <w:highlight w:val="none"/>
          <w:u w:val="none"/>
          <w:lang w:val="en-US" w:eastAsia="zh-CN"/>
        </w:rPr>
        <w:t>时间：</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lang w:val="en-US" w:eastAsia="zh-CN"/>
        </w:rPr>
        <w:t>7</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lang w:val="en-US" w:eastAsia="zh-CN"/>
        </w:rPr>
        <w:t>23</w:t>
      </w:r>
      <w:r>
        <w:rPr>
          <w:rFonts w:hint="eastAsia" w:asciiTheme="minorEastAsia" w:hAnsiTheme="minorEastAsia" w:eastAsiaTheme="minorEastAsia" w:cstheme="minorEastAsia"/>
          <w:bCs/>
          <w:color w:val="auto"/>
          <w:sz w:val="24"/>
          <w:szCs w:val="24"/>
          <w:highlight w:val="non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rPr>
        <w:t>点</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rPr>
        <w:t>分</w:t>
      </w:r>
      <w:r>
        <w:rPr>
          <w:rFonts w:hint="eastAsia" w:asciiTheme="minorEastAsia" w:hAnsiTheme="minorEastAsia" w:eastAsiaTheme="minorEastAsia" w:cstheme="minorEastAsia"/>
          <w:bCs/>
          <w:i/>
          <w:iCs/>
          <w:color w:val="auto"/>
          <w:sz w:val="24"/>
          <w:szCs w:val="24"/>
          <w:highlight w:val="none"/>
        </w:rPr>
        <w:t>（</w:t>
      </w:r>
      <w:r>
        <w:rPr>
          <w:rFonts w:hint="eastAsia" w:asciiTheme="minorEastAsia" w:hAnsiTheme="minorEastAsia" w:eastAsiaTheme="minorEastAsia" w:cstheme="minorEastAsia"/>
          <w:bCs/>
          <w:i/>
          <w:iCs/>
          <w:color w:val="auto"/>
          <w:sz w:val="24"/>
          <w:szCs w:val="24"/>
          <w:highlight w:val="none"/>
        </w:rPr>
        <w:t>北京时间）</w:t>
      </w:r>
    </w:p>
    <w:p w14:paraId="7C856E1C">
      <w:pPr>
        <w:spacing w:line="360" w:lineRule="auto"/>
        <w:ind w:firstLine="435"/>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rPr>
        <w:t>“徽采云”电子交易系统</w:t>
      </w:r>
    </w:p>
    <w:p w14:paraId="3E3E9A06">
      <w:pPr>
        <w:spacing w:line="360" w:lineRule="auto"/>
        <w:ind w:firstLine="437"/>
        <w:outlineLvl w:val="1"/>
        <w:rPr>
          <w:rFonts w:ascii="宋体" w:hAnsi="宋体" w:eastAsia="宋体"/>
          <w:b/>
          <w:bCs/>
          <w:color w:val="auto"/>
          <w:sz w:val="24"/>
          <w:szCs w:val="18"/>
          <w:highlight w:val="none"/>
        </w:rPr>
      </w:pPr>
      <w:bookmarkStart w:id="16" w:name="_Toc7753"/>
      <w:bookmarkStart w:id="17" w:name="_Toc22437"/>
      <w:r>
        <w:rPr>
          <w:rFonts w:hint="eastAsia" w:ascii="宋体" w:hAnsi="宋体" w:eastAsia="宋体"/>
          <w:b/>
          <w:bCs/>
          <w:color w:val="auto"/>
          <w:sz w:val="24"/>
          <w:szCs w:val="18"/>
          <w:highlight w:val="none"/>
        </w:rPr>
        <w:t>五、</w:t>
      </w:r>
      <w:bookmarkEnd w:id="15"/>
      <w:r>
        <w:rPr>
          <w:rFonts w:hint="eastAsia" w:ascii="宋体" w:hAnsi="宋体" w:eastAsia="宋体"/>
          <w:b/>
          <w:bCs/>
          <w:color w:val="auto"/>
          <w:sz w:val="24"/>
          <w:szCs w:val="18"/>
          <w:highlight w:val="none"/>
        </w:rPr>
        <w:t>公告期限</w:t>
      </w:r>
      <w:bookmarkEnd w:id="16"/>
      <w:bookmarkEnd w:id="17"/>
    </w:p>
    <w:p w14:paraId="79DF27E5">
      <w:pPr>
        <w:spacing w:line="360" w:lineRule="auto"/>
        <w:ind w:firstLine="437"/>
        <w:rPr>
          <w:rFonts w:ascii="宋体" w:hAnsi="宋体" w:eastAsia="宋体"/>
          <w:color w:val="auto"/>
          <w:sz w:val="24"/>
          <w:szCs w:val="18"/>
          <w:highlight w:val="none"/>
        </w:rPr>
      </w:pPr>
      <w:bookmarkStart w:id="18" w:name="_Toc1215"/>
      <w:r>
        <w:rPr>
          <w:rFonts w:hint="eastAsia" w:ascii="宋体" w:hAnsi="宋体" w:eastAsia="宋体"/>
          <w:color w:val="auto"/>
          <w:sz w:val="24"/>
          <w:szCs w:val="18"/>
          <w:highlight w:val="none"/>
        </w:rPr>
        <w:t>自本公告发布之日起5个工作日。</w:t>
      </w:r>
    </w:p>
    <w:p w14:paraId="1CB1D7C4">
      <w:pPr>
        <w:spacing w:line="360" w:lineRule="auto"/>
        <w:ind w:firstLine="437"/>
        <w:outlineLvl w:val="1"/>
        <w:rPr>
          <w:rFonts w:ascii="宋体" w:hAnsi="宋体" w:eastAsia="宋体"/>
          <w:b/>
          <w:bCs/>
          <w:color w:val="auto"/>
          <w:sz w:val="24"/>
          <w:szCs w:val="18"/>
          <w:highlight w:val="none"/>
        </w:rPr>
      </w:pPr>
      <w:bookmarkStart w:id="19" w:name="_Toc31539"/>
      <w:bookmarkStart w:id="20" w:name="_Toc35393626"/>
      <w:bookmarkStart w:id="21" w:name="_Toc32626"/>
      <w:bookmarkStart w:id="22" w:name="_Toc35393795"/>
      <w:r>
        <w:rPr>
          <w:rFonts w:hint="eastAsia" w:ascii="宋体" w:hAnsi="宋体" w:eastAsia="宋体"/>
          <w:b/>
          <w:bCs/>
          <w:color w:val="auto"/>
          <w:sz w:val="24"/>
          <w:szCs w:val="18"/>
          <w:highlight w:val="none"/>
        </w:rPr>
        <w:t>六、其他补充事宜</w:t>
      </w:r>
      <w:bookmarkEnd w:id="19"/>
      <w:bookmarkEnd w:id="20"/>
      <w:bookmarkEnd w:id="21"/>
      <w:bookmarkEnd w:id="22"/>
    </w:p>
    <w:p w14:paraId="7809A082">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1.本项目落实节能环保、中小微型企业扶持等相关政府采购政策。</w:t>
      </w:r>
    </w:p>
    <w:p w14:paraId="0F59E3D0">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2.本次招标公告在安徽省政府采购网发布。</w:t>
      </w:r>
    </w:p>
    <w:p w14:paraId="23F628A6">
      <w:pPr>
        <w:pStyle w:val="2"/>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3.投标文件的提交要求：投标人应当在投标文件提交截止时间前通过“徽采云”电子交易系统上传加密的电子投标文件，未在投标文件提交截止时间前完成上传的，视为逾期送达，拒绝接收。</w:t>
      </w:r>
    </w:p>
    <w:p w14:paraId="45CD6406">
      <w:pPr>
        <w:pStyle w:val="2"/>
        <w:spacing w:line="360" w:lineRule="auto"/>
        <w:ind w:firstLine="480" w:firstLineChars="200"/>
        <w:jc w:val="left"/>
        <w:rPr>
          <w:rFonts w:hint="eastAsia" w:ascii="宋体" w:hAnsi="宋体" w:eastAsia="仿宋"/>
          <w:color w:val="auto"/>
          <w:sz w:val="24"/>
          <w:highlight w:val="none"/>
          <w:lang w:val="en-US" w:eastAsia="zh-CN"/>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按照财政部、工业和信息化部制定的《政府采购促进中小企业发展管理办法》，本项目为专门面向中小企业采购项目。企业划型标准按照《关于印发中小企业划型标准规定的通知》（工信部联企业〔2011〕300号）规定执行</w:t>
      </w:r>
      <w:r>
        <w:rPr>
          <w:rFonts w:hint="eastAsia" w:ascii="宋体" w:hAnsi="宋体" w:eastAsia="宋体"/>
          <w:color w:val="auto"/>
          <w:sz w:val="24"/>
          <w:highlight w:val="none"/>
          <w:lang w:eastAsia="zh-CN"/>
        </w:rPr>
        <w:t>。</w:t>
      </w:r>
    </w:p>
    <w:p w14:paraId="4721F29E">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.电子招投标的说明</w:t>
      </w:r>
    </w:p>
    <w:p w14:paraId="13D63704">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.1电子招投标：本项目以数据电文形式，依托“徽采云”电子交易系统进行招投标活动；</w:t>
      </w:r>
    </w:p>
    <w:p w14:paraId="20C41C1C">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2DB4562E">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.3招标文件的获取：使用CA登录“徽采云”电子交易系统；进入“项目采购”应用，在获取招标文件菜单中选择项目，获取招标文件；</w:t>
      </w:r>
    </w:p>
    <w:p w14:paraId="63FBEB04">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.4投标文件的制作：在“徽采云投标客户端”中完成“填写基本信息”、“制作和导入投标（响应）文件”、“标书关联”、“标书检查”、“电子签名”、“生成电子标书”等操作；</w:t>
      </w:r>
    </w:p>
    <w:p w14:paraId="4FF37828">
      <w:pPr>
        <w:pStyle w:val="2"/>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.5投标文件的上传：使用CA登录“徽采云”电子交易系统；进入“项目采购”应用，在投标文件上传菜单中选择项目，上传加密的投标文件（*.jmbs）；</w:t>
      </w:r>
    </w:p>
    <w:p w14:paraId="74323DAA">
      <w:pPr>
        <w:pStyle w:val="2"/>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.6投标文件的解密：</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按照系统提示和招标文件规定,在规定时间内完成在线解密；</w:t>
      </w:r>
    </w:p>
    <w:p w14:paraId="66F841ED">
      <w:pPr>
        <w:pStyle w:val="2"/>
        <w:spacing w:line="360" w:lineRule="auto"/>
        <w:ind w:firstLine="240" w:firstLineChars="100"/>
        <w:rPr>
          <w:rFonts w:ascii="宋体" w:hAnsi="宋体" w:eastAsia="宋体"/>
          <w:color w:val="auto"/>
          <w:sz w:val="24"/>
          <w:highlight w:val="none"/>
        </w:rPr>
      </w:pPr>
      <w:r>
        <w:rPr>
          <w:rFonts w:hint="eastAsia" w:ascii="宋体" w:hAnsi="宋体" w:eastAsia="宋体"/>
          <w:color w:val="auto"/>
          <w:sz w:val="24"/>
          <w:highlight w:val="none"/>
        </w:rPr>
        <w:t xml:space="preserve">   </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.7“徽采云”电子交易系统具体操作指南：详见安徽省政府采购网-徽采学院-电子交易系统学习专题-供应商-操作手册。</w:t>
      </w:r>
    </w:p>
    <w:p w14:paraId="47B42AB0">
      <w:pPr>
        <w:pStyle w:val="2"/>
        <w:spacing w:after="0" w:line="360" w:lineRule="auto"/>
        <w:ind w:firstLine="420" w:firstLineChars="200"/>
        <w:rPr>
          <w:rFonts w:ascii="宋体" w:hAnsi="宋体" w:eastAsia="宋体"/>
          <w:color w:val="auto"/>
          <w:sz w:val="24"/>
          <w:szCs w:val="18"/>
          <w:highlight w:val="none"/>
          <w:lang w:val="en-US"/>
        </w:rPr>
      </w:pPr>
      <w:r>
        <w:rPr>
          <w:rFonts w:hint="eastAsia" w:ascii="宋体" w:hAnsi="宋体" w:eastAsia="宋体"/>
          <w:color w:val="auto"/>
          <w:highlight w:val="none"/>
        </w:rPr>
        <w:t xml:space="preserve">  </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.8 CA问题联系电话：安徽CA 400-880-4959；翔晟CA 0551-68105136。</w:t>
      </w:r>
    </w:p>
    <w:bookmarkEnd w:id="18"/>
    <w:p w14:paraId="11B3181C">
      <w:pPr>
        <w:spacing w:line="360" w:lineRule="auto"/>
        <w:ind w:firstLine="437"/>
        <w:outlineLvl w:val="1"/>
        <w:rPr>
          <w:rFonts w:ascii="宋体" w:hAnsi="宋体" w:eastAsia="宋体"/>
          <w:b/>
          <w:bCs/>
          <w:color w:val="auto"/>
          <w:sz w:val="24"/>
          <w:szCs w:val="18"/>
          <w:highlight w:val="none"/>
        </w:rPr>
      </w:pPr>
      <w:bookmarkStart w:id="23" w:name="_Toc7265"/>
      <w:bookmarkStart w:id="24" w:name="_Toc16082"/>
      <w:bookmarkStart w:id="25" w:name="_Toc13296"/>
      <w:r>
        <w:rPr>
          <w:rFonts w:hint="eastAsia" w:ascii="宋体" w:hAnsi="宋体" w:eastAsia="宋体"/>
          <w:b/>
          <w:bCs/>
          <w:color w:val="auto"/>
          <w:sz w:val="24"/>
          <w:szCs w:val="18"/>
          <w:highlight w:val="none"/>
        </w:rPr>
        <w:t>七、</w:t>
      </w:r>
      <w:bookmarkEnd w:id="23"/>
      <w:r>
        <w:rPr>
          <w:rFonts w:hint="eastAsia" w:ascii="宋体" w:hAnsi="宋体" w:eastAsia="宋体"/>
          <w:b/>
          <w:bCs/>
          <w:color w:val="auto"/>
          <w:sz w:val="24"/>
          <w:szCs w:val="18"/>
          <w:highlight w:val="none"/>
        </w:rPr>
        <w:t>对本次招标提出询问，请按以下方式联系</w:t>
      </w:r>
      <w:bookmarkEnd w:id="24"/>
      <w:bookmarkEnd w:id="25"/>
    </w:p>
    <w:p w14:paraId="5C3A77AB">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5D14EAF4">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名  称：安徽财贸职业学院</w:t>
      </w:r>
    </w:p>
    <w:p w14:paraId="1A34FCF5">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址：合肥市翡翠路900号</w:t>
      </w:r>
    </w:p>
    <w:p w14:paraId="69D6B39B">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联系人：孟老师</w:t>
      </w:r>
    </w:p>
    <w:p w14:paraId="380E9475">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ascii="宋体" w:hAnsi="宋体" w:eastAsia="宋体"/>
          <w:color w:val="auto"/>
          <w:sz w:val="24"/>
          <w:szCs w:val="18"/>
          <w:highlight w:val="none"/>
        </w:rPr>
        <w:t>0551-63865858</w:t>
      </w:r>
    </w:p>
    <w:p w14:paraId="35D983B7">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6C9A251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名  称：安徽中技工程咨询有限公司</w:t>
      </w:r>
    </w:p>
    <w:p w14:paraId="1E352E65">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rPr>
        <w:t>合肥市蜀山区合作化南路27号</w:t>
      </w:r>
    </w:p>
    <w:p w14:paraId="4CF89B38">
      <w:pPr>
        <w:spacing w:line="360" w:lineRule="auto"/>
        <w:ind w:firstLine="435"/>
        <w:rPr>
          <w:rFonts w:eastAsia="宋体"/>
          <w:color w:val="auto"/>
          <w:highlight w:val="none"/>
        </w:rPr>
      </w:pPr>
      <w:r>
        <w:rPr>
          <w:rFonts w:hint="eastAsia" w:ascii="宋体" w:hAnsi="宋体" w:eastAsia="宋体"/>
          <w:color w:val="auto"/>
          <w:sz w:val="24"/>
          <w:szCs w:val="18"/>
          <w:highlight w:val="none"/>
        </w:rPr>
        <w:t>联系人：罗欣欣、李建华</w:t>
      </w:r>
    </w:p>
    <w:p w14:paraId="175F745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联系方式：0551-65149581-631/826</w:t>
      </w:r>
    </w:p>
    <w:p w14:paraId="77A8BDA7">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7442CF92">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名  称：安徽省财政厅</w:t>
      </w:r>
    </w:p>
    <w:p w14:paraId="71C2E2A4">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地  址：安徽省合肥市阜南西路238号</w:t>
      </w:r>
    </w:p>
    <w:p w14:paraId="466F1E9B">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联系方式：0551-68150505</w:t>
      </w:r>
      <w:r>
        <w:rPr>
          <w:rFonts w:ascii="宋体" w:hAnsi="宋体" w:eastAsia="宋体"/>
          <w:color w:val="auto"/>
          <w:sz w:val="24"/>
          <w:szCs w:val="18"/>
          <w:highlight w:val="none"/>
        </w:rPr>
        <w:br w:type="page"/>
      </w:r>
    </w:p>
    <w:p w14:paraId="6C0D93D1">
      <w:pPr>
        <w:spacing w:line="360" w:lineRule="auto"/>
        <w:jc w:val="center"/>
        <w:outlineLvl w:val="0"/>
        <w:rPr>
          <w:rFonts w:asciiTheme="minorEastAsia" w:hAnsiTheme="minorEastAsia" w:eastAsiaTheme="minorEastAsia"/>
          <w:b/>
          <w:color w:val="auto"/>
          <w:sz w:val="28"/>
          <w:highlight w:val="none"/>
        </w:rPr>
      </w:pPr>
      <w:bookmarkStart w:id="26" w:name="_Toc430"/>
      <w:bookmarkStart w:id="27" w:name="_Toc39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6"/>
      <w:bookmarkEnd w:id="27"/>
    </w:p>
    <w:p w14:paraId="01CD8525">
      <w:pPr>
        <w:spacing w:line="360" w:lineRule="auto"/>
        <w:jc w:val="center"/>
        <w:outlineLvl w:val="1"/>
        <w:rPr>
          <w:rFonts w:asciiTheme="minorEastAsia" w:hAnsiTheme="minorEastAsia" w:eastAsiaTheme="minorEastAsia"/>
          <w:b/>
          <w:color w:val="auto"/>
          <w:sz w:val="24"/>
          <w:highlight w:val="none"/>
        </w:rPr>
      </w:pPr>
      <w:bookmarkStart w:id="28" w:name="_Toc1861"/>
      <w:bookmarkStart w:id="29" w:name="_Toc7178"/>
      <w:bookmarkStart w:id="30" w:name="_Toc13589"/>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bookmarkEnd w:id="30"/>
    </w:p>
    <w:p w14:paraId="7C98F457">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1"/>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9"/>
        <w:gridCol w:w="6161"/>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201BED8">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kern w:val="2"/>
                <w:sz w:val="24"/>
                <w:szCs w:val="22"/>
                <w:highlight w:val="none"/>
              </w:rPr>
              <w:t>现场考察或标前答疑会</w:t>
            </w:r>
          </w:p>
        </w:tc>
        <w:tc>
          <w:tcPr>
            <w:tcW w:w="3244" w:type="pct"/>
            <w:vAlign w:val="center"/>
          </w:tcPr>
          <w:p w14:paraId="787C2EEC">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5538208A">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5D60B83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5597B14">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BB18306">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1961A8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1174" w:type="pct"/>
            <w:vAlign w:val="center"/>
          </w:tcPr>
          <w:p w14:paraId="23D9F55D">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31"/>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1174" w:type="pct"/>
            <w:vAlign w:val="center"/>
          </w:tcPr>
          <w:p w14:paraId="33B57292">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6D33CB9C">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ascii="宋体" w:hAnsi="宋体" w:eastAsia="宋体"/>
                <w:b w:val="0"/>
                <w:color w:val="auto"/>
                <w:sz w:val="24"/>
                <w:highlight w:val="none"/>
              </w:rPr>
              <w:t>不分包     □分为  个包</w:t>
            </w:r>
          </w:p>
          <w:p w14:paraId="0E03C3B1">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1174" w:type="pct"/>
            <w:vAlign w:val="center"/>
          </w:tcPr>
          <w:p w14:paraId="6207F513">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1174" w:type="pct"/>
            <w:vAlign w:val="center"/>
          </w:tcPr>
          <w:p w14:paraId="2D69C8F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510CB0A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2B44367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31"/>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4E8FB0E4">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1174" w:type="pct"/>
            <w:vAlign w:val="center"/>
          </w:tcPr>
          <w:p w14:paraId="1BEDD8B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F10826A">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1174" w:type="pct"/>
            <w:vAlign w:val="center"/>
          </w:tcPr>
          <w:p w14:paraId="77E99FD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2DC138">
            <w:pPr>
              <w:pStyle w:val="31"/>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w:t>
            </w:r>
            <w:r>
              <w:rPr>
                <w:rFonts w:hint="eastAsia" w:ascii="宋体" w:hAnsi="宋体" w:eastAsia="宋体"/>
                <w:b w:val="0"/>
                <w:i/>
                <w:color w:val="auto"/>
                <w:sz w:val="24"/>
                <w:highlight w:val="none"/>
                <w:lang w:val="en-US" w:eastAsia="zh-CN"/>
              </w:rPr>
              <w:t>本项目不适用</w:t>
            </w:r>
            <w:r>
              <w:rPr>
                <w:rFonts w:hint="eastAsia" w:ascii="宋体" w:hAnsi="宋体" w:eastAsia="宋体"/>
                <w:b w:val="0"/>
                <w:i/>
                <w:color w:val="auto"/>
                <w:sz w:val="24"/>
                <w:highlight w:val="none"/>
              </w:rPr>
              <w:t>）</w:t>
            </w:r>
          </w:p>
        </w:tc>
        <w:tc>
          <w:tcPr>
            <w:tcW w:w="3244" w:type="pct"/>
            <w:vAlign w:val="center"/>
          </w:tcPr>
          <w:p w14:paraId="5786DA7C">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w:t>
            </w:r>
          </w:p>
          <w:p w14:paraId="69DED8F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683D57B4">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2BACCFB">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rPr>
              <w:t>。</w:t>
            </w:r>
          </w:p>
          <w:p w14:paraId="0C483FE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32"/>
              <w:pBdr>
                <w:bottom w:val="none" w:color="auto" w:sz="0" w:space="0"/>
              </w:pBdr>
              <w:tabs>
                <w:tab w:val="clear" w:pos="4153"/>
                <w:tab w:val="clear" w:pos="8306"/>
              </w:tabs>
              <w:adjustRightIn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17.4</w:t>
            </w:r>
          </w:p>
        </w:tc>
        <w:tc>
          <w:tcPr>
            <w:tcW w:w="2229" w:type="dxa"/>
            <w:vAlign w:val="center"/>
          </w:tcPr>
          <w:p w14:paraId="3D29FA5E">
            <w:pPr>
              <w:spacing w:line="360" w:lineRule="auto"/>
              <w:rPr>
                <w:rFonts w:ascii="宋体" w:hAnsi="宋体" w:eastAsia="宋体"/>
                <w:i/>
                <w:color w:val="auto"/>
                <w:sz w:val="24"/>
                <w:highlight w:val="none"/>
              </w:rPr>
            </w:pPr>
            <w:r>
              <w:rPr>
                <w:rFonts w:hint="eastAsia" w:ascii="宋体" w:hAnsi="宋体" w:eastAsia="宋体"/>
                <w:color w:val="auto"/>
                <w:sz w:val="24"/>
                <w:highlight w:val="none"/>
              </w:rPr>
              <w:t>本国产品价格扣除</w:t>
            </w:r>
            <w:r>
              <w:rPr>
                <w:rFonts w:hint="eastAsia" w:ascii="宋体" w:hAnsi="宋体" w:eastAsia="宋体" w:cs="Times New Roman"/>
                <w:i/>
                <w:iCs/>
                <w:color w:val="auto"/>
                <w:sz w:val="24"/>
                <w:highlight w:val="none"/>
              </w:rPr>
              <w:t>（本项目不适用）</w:t>
            </w:r>
          </w:p>
        </w:tc>
        <w:tc>
          <w:tcPr>
            <w:tcW w:w="6161" w:type="dxa"/>
            <w:vAlign w:val="center"/>
          </w:tcPr>
          <w:p w14:paraId="099EDD3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（1）项目或者采购包中采购内容为单一产品的，既有本国产品又有非本国产品参与竞争的，对本国产品给予价格扣除</w:t>
            </w:r>
            <w:r>
              <w:rPr>
                <w:rFonts w:hint="eastAsia" w:ascii="宋体" w:hAnsi="宋体" w:eastAsia="宋体"/>
                <w:b w:val="0"/>
                <w:color w:val="auto"/>
                <w:sz w:val="24"/>
                <w:highlight w:val="none"/>
                <w:u w:val="single"/>
              </w:rPr>
              <w:t>/%</w:t>
            </w:r>
            <w:r>
              <w:rPr>
                <w:rFonts w:hint="eastAsia" w:ascii="宋体" w:hAnsi="宋体" w:eastAsia="宋体"/>
                <w:b w:val="0"/>
                <w:color w:val="auto"/>
                <w:sz w:val="24"/>
                <w:highlight w:val="none"/>
              </w:rPr>
              <w:t>。</w:t>
            </w:r>
          </w:p>
          <w:p w14:paraId="3509C6F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w:t>
            </w:r>
            <w:r>
              <w:rPr>
                <w:rFonts w:hint="eastAsia" w:ascii="宋体" w:hAnsi="宋体" w:eastAsia="宋体"/>
                <w:b w:val="0"/>
                <w:color w:val="auto"/>
                <w:sz w:val="24"/>
                <w:highlight w:val="none"/>
                <w:u w:val="single"/>
              </w:rPr>
              <w:t>/%</w:t>
            </w:r>
            <w:r>
              <w:rPr>
                <w:rFonts w:hint="eastAsia" w:ascii="宋体" w:hAnsi="宋体" w:eastAsia="宋体"/>
                <w:b w:val="0"/>
                <w:color w:val="auto"/>
                <w:sz w:val="24"/>
                <w:highlight w:val="none"/>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推荐3名中标候选人</w:t>
            </w:r>
            <w:r>
              <w:rPr>
                <w:rFonts w:ascii="宋体" w:hAnsi="宋体" w:eastAsia="宋体"/>
                <w:b w:val="0"/>
                <w:color w:val="auto"/>
                <w:sz w:val="24"/>
                <w:highlight w:val="none"/>
                <w:u w:val="single"/>
              </w:rPr>
              <w:t xml:space="preserve"> </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A4428D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1174" w:type="pct"/>
            <w:vAlign w:val="center"/>
          </w:tcPr>
          <w:p w14:paraId="3FEDA85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3244" w:type="pct"/>
            <w:vAlign w:val="center"/>
          </w:tcPr>
          <w:p w14:paraId="5F062076">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747147DC">
            <w:pPr>
              <w:pStyle w:val="31"/>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18289587">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rPr>
              <w:t>（3）中标（成交）供应商的评审报价</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1174" w:type="pct"/>
            <w:vAlign w:val="center"/>
          </w:tcPr>
          <w:p w14:paraId="0C3BDEB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1174" w:type="pct"/>
            <w:vAlign w:val="center"/>
          </w:tcPr>
          <w:p w14:paraId="581DC84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20A3A332">
            <w:pPr>
              <w:pStyle w:val="31"/>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7" w:hRule="atLeast"/>
          <w:jc w:val="center"/>
        </w:trPr>
        <w:tc>
          <w:tcPr>
            <w:tcW w:w="581" w:type="pct"/>
            <w:vAlign w:val="center"/>
          </w:tcPr>
          <w:p w14:paraId="407870D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1174" w:type="pct"/>
            <w:vAlign w:val="center"/>
          </w:tcPr>
          <w:p w14:paraId="7FAEFF6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☑免收</w:t>
            </w:r>
          </w:p>
          <w:p w14:paraId="637BAE17">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F4438EE">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1AFB7B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2B09311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w:t>
            </w:r>
          </w:p>
          <w:p w14:paraId="00EEFF76">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24082C05">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1174" w:type="pct"/>
            <w:vAlign w:val="center"/>
          </w:tcPr>
          <w:p w14:paraId="7B2FA7B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04418340">
            <w:pPr>
              <w:adjustRightInd w:val="0"/>
              <w:snapToGrid w:val="0"/>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adjustRightInd w:val="0"/>
              <w:snapToGrid w:val="0"/>
              <w:spacing w:line="360" w:lineRule="auto"/>
              <w:rPr>
                <w:rFonts w:ascii="宋体" w:hAnsi="宋体" w:eastAsia="宋体"/>
                <w:b/>
                <w:bCs/>
                <w:color w:val="auto"/>
                <w:kern w:val="0"/>
                <w:sz w:val="24"/>
                <w:szCs w:val="24"/>
                <w:highlight w:val="none"/>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1174" w:type="pct"/>
            <w:vAlign w:val="center"/>
          </w:tcPr>
          <w:p w14:paraId="2D4A228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vAlign w:val="center"/>
          </w:tcPr>
          <w:p w14:paraId="5CA668E1">
            <w:pPr>
              <w:numPr>
                <w:ilvl w:val="0"/>
                <w:numId w:val="2"/>
              </w:numPr>
              <w:spacing w:before="39" w:line="360" w:lineRule="auto"/>
              <w:rPr>
                <w:rFonts w:ascii="宋体" w:hAnsi="宋体" w:eastAsia="宋体" w:cs="宋体"/>
                <w:color w:val="auto"/>
                <w:spacing w:val="14"/>
                <w:sz w:val="24"/>
                <w:szCs w:val="24"/>
                <w:highlight w:val="none"/>
              </w:rPr>
            </w:pP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中标人</w:t>
            </w:r>
          </w:p>
          <w:p w14:paraId="36431609">
            <w:pPr>
              <w:numPr>
                <w:ilvl w:val="0"/>
                <w:numId w:val="2"/>
              </w:numPr>
              <w:spacing w:before="39" w:line="360" w:lineRule="auto"/>
              <w:rPr>
                <w:rFonts w:ascii="宋体" w:hAnsi="宋体" w:eastAsia="宋体"/>
                <w:color w:val="auto"/>
                <w:sz w:val="24"/>
                <w:highlight w:val="none"/>
              </w:rPr>
            </w:pPr>
            <w:r>
              <w:rPr>
                <w:rFonts w:hint="eastAsia" w:ascii="宋体" w:hAnsi="宋体" w:eastAsia="宋体"/>
                <w:color w:val="auto"/>
                <w:sz w:val="24"/>
                <w:highlight w:val="none"/>
              </w:rPr>
              <w:t>金额：中标人</w:t>
            </w:r>
            <w:r>
              <w:rPr>
                <w:rFonts w:ascii="宋体" w:hAnsi="宋体" w:eastAsia="宋体"/>
                <w:color w:val="auto"/>
                <w:sz w:val="24"/>
                <w:highlight w:val="none"/>
              </w:rPr>
              <w:t>按</w:t>
            </w:r>
            <w:r>
              <w:rPr>
                <w:rFonts w:hint="eastAsia" w:ascii="宋体" w:hAnsi="宋体" w:eastAsia="宋体"/>
                <w:color w:val="auto"/>
                <w:sz w:val="24"/>
                <w:highlight w:val="none"/>
              </w:rPr>
              <w:t>合价服〔2009〕216号</w:t>
            </w:r>
            <w:r>
              <w:rPr>
                <w:rFonts w:ascii="宋体" w:hAnsi="宋体" w:eastAsia="宋体"/>
                <w:color w:val="auto"/>
                <w:sz w:val="24"/>
                <w:highlight w:val="none"/>
              </w:rPr>
              <w:t>文规定标准的60%（</w:t>
            </w:r>
            <w:r>
              <w:rPr>
                <w:rFonts w:hint="eastAsia" w:ascii="宋体" w:hAnsi="宋体" w:eastAsia="宋体"/>
                <w:color w:val="auto"/>
                <w:sz w:val="24"/>
                <w:highlight w:val="none"/>
              </w:rPr>
              <w:t>不足4000元的，按固定金额4000元计取</w:t>
            </w:r>
            <w:r>
              <w:rPr>
                <w:rFonts w:ascii="宋体" w:hAnsi="宋体" w:eastAsia="宋体"/>
                <w:color w:val="auto"/>
                <w:sz w:val="24"/>
                <w:highlight w:val="none"/>
              </w:rPr>
              <w:t>）向安徽中技工程咨询有限公司交纳咨询服务费。</w:t>
            </w:r>
          </w:p>
          <w:p w14:paraId="6C3C0E5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（3）支付方式：</w:t>
            </w:r>
            <w:r>
              <w:rPr>
                <w:rFonts w:ascii="宋体" w:hAnsi="宋体" w:eastAsia="宋体"/>
                <w:b w:val="0"/>
                <w:color w:val="auto"/>
                <w:sz w:val="24"/>
                <w:highlight w:val="none"/>
              </w:rPr>
              <w:sym w:font="Wingdings 2" w:char="0052"/>
            </w:r>
            <w:r>
              <w:rPr>
                <w:rFonts w:ascii="宋体" w:hAnsi="宋体" w:eastAsia="宋体"/>
                <w:b w:val="0"/>
                <w:color w:val="auto"/>
                <w:sz w:val="24"/>
                <w:highlight w:val="none"/>
              </w:rPr>
              <w:t>转账/电汇</w:t>
            </w:r>
          </w:p>
          <w:p w14:paraId="4C22058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（4）收取单位：安徽中技工程咨询有限公司</w:t>
            </w:r>
          </w:p>
          <w:p w14:paraId="73EDB4EF">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（5）缴纳时间：领取中标通知书前</w:t>
            </w:r>
          </w:p>
          <w:p w14:paraId="0F379C3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开户名称：安徽中技工程咨询有限公司  </w:t>
            </w:r>
          </w:p>
          <w:p w14:paraId="7D45BE84">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开户银行：交通银行合肥分行黄山路支行</w:t>
            </w:r>
          </w:p>
          <w:p w14:paraId="28B6F28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银行账号：341314000018150070757</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vAlign w:val="center"/>
          </w:tcPr>
          <w:p w14:paraId="7E28CF0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11451BA3">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递交方式：书面形式</w:t>
            </w:r>
          </w:p>
          <w:p w14:paraId="765B0F91">
            <w:pPr>
              <w:pStyle w:val="31"/>
              <w:widowControl w:val="0"/>
              <w:spacing w:before="0" w:beforeAutospacing="0" w:after="0" w:afterAutospacing="0" w:line="360" w:lineRule="auto"/>
              <w:jc w:val="both"/>
              <w:rPr>
                <w:rFonts w:ascii="宋体" w:hAnsi="宋体" w:eastAsia="宋体"/>
                <w:b w:val="0"/>
                <w:bCs w:val="0"/>
                <w:color w:val="auto"/>
                <w:sz w:val="24"/>
                <w:szCs w:val="18"/>
                <w:highlight w:val="none"/>
                <w:u w:val="none"/>
              </w:rPr>
            </w:pPr>
            <w:r>
              <w:rPr>
                <w:rFonts w:hint="eastAsia" w:ascii="宋体" w:hAnsi="宋体" w:eastAsia="宋体"/>
                <w:b w:val="0"/>
                <w:color w:val="auto"/>
                <w:sz w:val="24"/>
                <w:highlight w:val="none"/>
                <w:u w:val="none"/>
              </w:rPr>
              <w:t>接收部门：安徽中技工程咨询有限公司</w:t>
            </w:r>
          </w:p>
          <w:p w14:paraId="2071B8A8">
            <w:pPr>
              <w:pStyle w:val="31"/>
              <w:widowControl w:val="0"/>
              <w:spacing w:before="0" w:beforeAutospacing="0" w:after="0" w:afterAutospacing="0" w:line="360" w:lineRule="auto"/>
              <w:jc w:val="both"/>
              <w:rPr>
                <w:rFonts w:ascii="宋体" w:hAnsi="宋体" w:eastAsia="宋体"/>
                <w:b w:val="0"/>
                <w:bCs w:val="0"/>
                <w:color w:val="auto"/>
                <w:sz w:val="24"/>
                <w:szCs w:val="18"/>
                <w:highlight w:val="none"/>
                <w:u w:val="none"/>
              </w:rPr>
            </w:pPr>
            <w:r>
              <w:rPr>
                <w:rFonts w:ascii="宋体" w:hAnsi="宋体" w:eastAsia="宋体"/>
                <w:b w:val="0"/>
                <w:color w:val="auto"/>
                <w:sz w:val="24"/>
                <w:highlight w:val="none"/>
                <w:u w:val="none"/>
              </w:rPr>
              <w:t>联系电话：</w:t>
            </w:r>
            <w:r>
              <w:rPr>
                <w:rFonts w:hint="eastAsia" w:ascii="宋体" w:hAnsi="宋体" w:eastAsia="宋体"/>
                <w:b w:val="0"/>
                <w:bCs w:val="0"/>
                <w:color w:val="auto"/>
                <w:sz w:val="24"/>
                <w:szCs w:val="18"/>
                <w:highlight w:val="none"/>
                <w:u w:val="none"/>
              </w:rPr>
              <w:t>0551-65149581转631</w:t>
            </w:r>
          </w:p>
          <w:p w14:paraId="4C01683A">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通讯地址：</w:t>
            </w:r>
            <w:r>
              <w:rPr>
                <w:rFonts w:hint="eastAsia" w:ascii="宋体" w:hAnsi="宋体" w:eastAsia="宋体"/>
                <w:b w:val="0"/>
                <w:bCs w:val="0"/>
                <w:color w:val="auto"/>
                <w:sz w:val="24"/>
                <w:szCs w:val="18"/>
                <w:highlight w:val="none"/>
                <w:u w:val="none"/>
              </w:rPr>
              <w:t>安徽省合肥市合作化南路27号</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vAlign w:val="center"/>
          </w:tcPr>
          <w:p w14:paraId="434193E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vAlign w:val="center"/>
          </w:tcPr>
          <w:p w14:paraId="399DCF9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1582DF0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31"/>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432A3E6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5AB124DF">
            <w:pPr>
              <w:pStyle w:val="31"/>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447D020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1" w:name="_Toc23322"/>
      <w:bookmarkStart w:id="32" w:name="_Toc9427"/>
      <w:bookmarkStart w:id="33" w:name="_Toc24882"/>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1"/>
      <w:bookmarkEnd w:id="32"/>
      <w:bookmarkEnd w:id="33"/>
    </w:p>
    <w:p w14:paraId="487646C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0D6B5A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01E88A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7EB9E9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2D1EDD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0CFCD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5E0240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47EFF7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B3626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B5DD7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70F4D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49E2859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华人民共和国政府采购法实施条例》及本项目本级和上级财政部门、政府采购监督管理部门的政府采购有关规定的约束，其权利受到上述法律法规的保护。</w:t>
      </w:r>
    </w:p>
    <w:p w14:paraId="0F4059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5AB9EF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494EA3E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9BF273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7CEE7D6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48D6CF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02C599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92C629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宋体" w:hAnsi="宋体" w:eastAsia="宋体"/>
          <w:bCs/>
          <w:color w:val="auto"/>
          <w:sz w:val="24"/>
          <w:szCs w:val="22"/>
          <w:highlight w:val="none"/>
        </w:rPr>
        <w:t>标前答疑会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spacing w:line="360" w:lineRule="auto"/>
        <w:ind w:firstLine="435"/>
        <w:rPr>
          <w:rFonts w:asciiTheme="minorEastAsia" w:hAnsiTheme="minorEastAsia" w:eastAsiaTheme="minorEastAsia"/>
          <w:color w:val="auto"/>
          <w:sz w:val="24"/>
          <w:highlight w:val="none"/>
        </w:rPr>
      </w:pPr>
      <w:bookmarkStart w:id="34"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投标人所投货物、服务及工程（如有）均应符合国家强制性标准。</w:t>
      </w:r>
    </w:p>
    <w:bookmarkEnd w:id="34"/>
    <w:p w14:paraId="296C83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877C9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35" w:name="_Hlk11703583"/>
      <w:r>
        <w:rPr>
          <w:rFonts w:hint="eastAsia" w:asciiTheme="minorEastAsia" w:hAnsiTheme="minorEastAsia" w:eastAsiaTheme="minorEastAsia"/>
          <w:color w:val="auto"/>
          <w:sz w:val="24"/>
          <w:highlight w:val="none"/>
        </w:rPr>
        <w:t>等。</w:t>
      </w:r>
    </w:p>
    <w:bookmarkEnd w:id="35"/>
    <w:p w14:paraId="451C6F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50D4E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0149B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4E74BDC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32509C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7CEA839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spacing w:line="360" w:lineRule="auto"/>
        <w:ind w:firstLine="435"/>
        <w:rPr>
          <w:rFonts w:ascii="宋体" w:hAnsi="宋体" w:eastAsia="宋体" w:cs="宋体"/>
          <w:color w:val="auto"/>
          <w:sz w:val="24"/>
          <w:szCs w:val="24"/>
          <w:highlight w:val="none"/>
        </w:rPr>
      </w:pPr>
      <w:bookmarkStart w:id="36"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6"/>
    <w:p w14:paraId="4839F53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2投标文件的澄清</w:t>
      </w:r>
    </w:p>
    <w:p w14:paraId="7399CD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15.3</w:t>
      </w:r>
      <w:r>
        <w:rPr>
          <w:rFonts w:ascii="宋体" w:hAnsi="宋体" w:eastAsia="宋体"/>
          <w:color w:val="auto"/>
          <w:sz w:val="24"/>
          <w:highlight w:val="none"/>
        </w:rPr>
        <w:t>投标文件报价出现前后不一致的，按照下列规定修正：</w:t>
      </w:r>
    </w:p>
    <w:p w14:paraId="4CC914C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177CC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6FECBB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w:t>
      </w:r>
      <w:r>
        <w:rPr>
          <w:rFonts w:hint="eastAsia" w:ascii="宋体" w:hAnsi="宋体" w:eastAsia="宋体" w:cs="Times New Roman"/>
          <w:color w:val="auto"/>
          <w:sz w:val="24"/>
          <w:highlight w:val="none"/>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rPr>
        <w:t>和</w:t>
      </w:r>
      <w:r>
        <w:rPr>
          <w:rFonts w:ascii="宋体" w:hAnsi="宋体" w:eastAsia="宋体"/>
          <w:color w:val="auto"/>
          <w:sz w:val="24"/>
          <w:highlight w:val="none"/>
        </w:rPr>
        <w:t>《财政部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1"/>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1"/>
        <w:widowControl w:val="0"/>
        <w:spacing w:before="0" w:beforeAutospacing="0" w:after="0" w:afterAutospacing="0" w:line="360" w:lineRule="auto"/>
        <w:ind w:firstLine="480" w:firstLineChars="2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1"/>
        <w:widowControl w:val="0"/>
        <w:spacing w:before="0" w:beforeAutospacing="0" w:after="0" w:afterAutospacing="0" w:line="360" w:lineRule="auto"/>
        <w:ind w:firstLine="240" w:firstLineChars="100"/>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31"/>
        <w:widowControl w:val="0"/>
        <w:spacing w:before="0" w:beforeAutospacing="0" w:after="0" w:afterAutospacing="0" w:line="360" w:lineRule="auto"/>
        <w:ind w:firstLine="240" w:firstLineChars="100"/>
        <w:jc w:val="both"/>
        <w:rPr>
          <w:color w:val="auto"/>
          <w:highlight w:val="none"/>
        </w:rPr>
      </w:pPr>
      <w:r>
        <w:rPr>
          <w:rFonts w:hint="eastAsia" w:ascii="宋体" w:hAnsi="宋体" w:eastAsia="宋体" w:cs="宋体"/>
          <w:b w:val="0"/>
          <w:color w:val="auto"/>
          <w:sz w:val="24"/>
          <w:szCs w:val="24"/>
          <w:highlight w:val="none"/>
        </w:rPr>
        <w:t>17.5同时符合17.4和17.5的价格评审优惠时，评标价为投标报价分别扣除促进中小企业发展政策的价格评审优惠和本国产品支持政策的价格评审优惠后的价格。</w:t>
      </w:r>
    </w:p>
    <w:p w14:paraId="1E8B70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3B9979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77C96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4AC8F8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spacing w:line="360" w:lineRule="auto"/>
        <w:ind w:firstLine="435"/>
        <w:rPr>
          <w:rFonts w:eastAsiaTheme="minorEastAsia"/>
          <w:color w:val="auto"/>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4BD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66C17B7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063512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6A1079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spacing w:line="360" w:lineRule="auto"/>
        <w:ind w:firstLine="437"/>
        <w:outlineLvl w:val="2"/>
        <w:rPr>
          <w:rFonts w:asciiTheme="minorEastAsia" w:hAnsiTheme="minorEastAsia" w:eastAsiaTheme="minorEastAsia"/>
          <w:b/>
          <w:color w:val="auto"/>
          <w:sz w:val="24"/>
          <w:highlight w:val="none"/>
        </w:rPr>
      </w:pPr>
      <w:bookmarkStart w:id="37" w:name="_Toc2583661"/>
      <w:bookmarkStart w:id="38"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37"/>
      <w:bookmarkEnd w:id="38"/>
    </w:p>
    <w:p w14:paraId="4F9EC1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spacing w:line="360" w:lineRule="auto"/>
        <w:ind w:firstLine="437"/>
        <w:outlineLvl w:val="2"/>
        <w:rPr>
          <w:rFonts w:asciiTheme="minorEastAsia" w:hAnsiTheme="minorEastAsia" w:eastAsiaTheme="minorEastAsia"/>
          <w:b/>
          <w:color w:val="auto"/>
          <w:sz w:val="24"/>
          <w:highlight w:val="none"/>
        </w:rPr>
      </w:pPr>
      <w:bookmarkStart w:id="39" w:name="_Toc518923101"/>
      <w:bookmarkStart w:id="40" w:name="_Toc2583662"/>
      <w:r>
        <w:rPr>
          <w:rFonts w:hint="eastAsia" w:asciiTheme="minorEastAsia" w:hAnsiTheme="minorEastAsia" w:eastAsiaTheme="minorEastAsia"/>
          <w:b/>
          <w:color w:val="auto"/>
          <w:sz w:val="24"/>
          <w:highlight w:val="none"/>
        </w:rPr>
        <w:t>30.人员回避</w:t>
      </w:r>
      <w:bookmarkEnd w:id="39"/>
      <w:bookmarkEnd w:id="40"/>
    </w:p>
    <w:p w14:paraId="078ED923">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18B2B7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5F15E1D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00C0CF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7CC415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numPr>
          <w:ilvl w:val="0"/>
          <w:numId w:val="3"/>
        </w:num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 </w:t>
      </w:r>
      <w:bookmarkStart w:id="41" w:name="_Toc1152"/>
      <w:bookmarkStart w:id="42" w:name="_Toc24680"/>
      <w:r>
        <w:rPr>
          <w:rFonts w:hint="eastAsia" w:asciiTheme="minorEastAsia" w:hAnsiTheme="minorEastAsia" w:eastAsiaTheme="minorEastAsia"/>
          <w:b/>
          <w:color w:val="auto"/>
          <w:sz w:val="28"/>
          <w:highlight w:val="none"/>
        </w:rPr>
        <w:t xml:space="preserve"> 采购需求</w:t>
      </w:r>
      <w:bookmarkEnd w:id="41"/>
      <w:bookmarkEnd w:id="42"/>
    </w:p>
    <w:p w14:paraId="6A5DD343">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1.本采购需求中提出的服务方案仅为参考，如无明确限制，投标人可以进行优化，提供满足采购人实际需要的更优（或者性能实质上不低于的）服务方案，且此方案须经评标委员会评审认可。</w:t>
      </w:r>
    </w:p>
    <w:p w14:paraId="1B2FF7F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p>
    <w:p w14:paraId="5C5786C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4B27F2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4C4E16E">
      <w:pPr>
        <w:spacing w:line="360" w:lineRule="auto"/>
        <w:ind w:firstLine="437"/>
        <w:outlineLvl w:val="1"/>
        <w:rPr>
          <w:rFonts w:ascii="宋体" w:hAnsi="宋体" w:eastAsia="宋体"/>
          <w:b/>
          <w:color w:val="auto"/>
          <w:sz w:val="24"/>
          <w:szCs w:val="18"/>
          <w:highlight w:val="none"/>
        </w:rPr>
      </w:pPr>
      <w:bookmarkStart w:id="43" w:name="_Toc21798"/>
      <w:bookmarkStart w:id="44" w:name="_Toc24020"/>
      <w:bookmarkStart w:id="45" w:name="_Toc4148"/>
      <w:bookmarkStart w:id="46" w:name="_Hlk23621890"/>
      <w:r>
        <w:rPr>
          <w:rFonts w:hint="eastAsia" w:ascii="宋体" w:hAnsi="宋体" w:eastAsia="宋体"/>
          <w:b/>
          <w:color w:val="auto"/>
          <w:sz w:val="24"/>
          <w:szCs w:val="18"/>
          <w:highlight w:val="none"/>
        </w:rPr>
        <w:t>一、采购需求前附表</w:t>
      </w:r>
      <w:bookmarkEnd w:id="43"/>
      <w:bookmarkEnd w:id="44"/>
      <w:bookmarkEnd w:id="45"/>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041"/>
        <w:gridCol w:w="6201"/>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092" w:type="pct"/>
            <w:vAlign w:val="center"/>
          </w:tcPr>
          <w:p w14:paraId="3383168B">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17" w:type="pct"/>
            <w:vAlign w:val="center"/>
          </w:tcPr>
          <w:p w14:paraId="58F59389">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092" w:type="pct"/>
            <w:vAlign w:val="center"/>
          </w:tcPr>
          <w:p w14:paraId="1BFE8AAF">
            <w:pPr>
              <w:pStyle w:val="31"/>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付款方式</w:t>
            </w:r>
          </w:p>
        </w:tc>
        <w:tc>
          <w:tcPr>
            <w:tcW w:w="3317" w:type="pct"/>
            <w:vAlign w:val="center"/>
          </w:tcPr>
          <w:p w14:paraId="73B802E7">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 验收合格后付款 </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092" w:type="pct"/>
            <w:vAlign w:val="center"/>
          </w:tcPr>
          <w:p w14:paraId="1C182C68">
            <w:pPr>
              <w:pStyle w:val="31"/>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服务地点</w:t>
            </w:r>
          </w:p>
        </w:tc>
        <w:tc>
          <w:tcPr>
            <w:tcW w:w="3317" w:type="pct"/>
            <w:vAlign w:val="center"/>
          </w:tcPr>
          <w:p w14:paraId="3F86AE39">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092" w:type="pct"/>
            <w:vAlign w:val="center"/>
          </w:tcPr>
          <w:p w14:paraId="616F3567">
            <w:pPr>
              <w:pStyle w:val="31"/>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服务期限</w:t>
            </w:r>
          </w:p>
        </w:tc>
        <w:tc>
          <w:tcPr>
            <w:tcW w:w="3317" w:type="pct"/>
            <w:vAlign w:val="center"/>
          </w:tcPr>
          <w:p w14:paraId="70AF4A40">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自合同生效之日起120天内完成全部建设服务内容</w:t>
            </w:r>
            <w:r>
              <w:rPr>
                <w:rFonts w:hint="eastAsia" w:ascii="宋体" w:hAnsi="宋体" w:eastAsia="宋体"/>
                <w:b w:val="0"/>
                <w:color w:val="auto"/>
                <w:sz w:val="24"/>
                <w:highlight w:val="none"/>
                <w:u w:val="none"/>
              </w:rPr>
              <w:t xml:space="preserve">   </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Theme="majorEastAsia" w:hAnsiTheme="majorEastAsia" w:eastAsiaTheme="majorEastAsia"/>
                <w:bCs/>
                <w:color w:val="auto"/>
                <w:kern w:val="2"/>
                <w:highlight w:val="none"/>
              </w:rPr>
              <w:t>4</w:t>
            </w:r>
          </w:p>
        </w:tc>
        <w:tc>
          <w:tcPr>
            <w:tcW w:w="1092" w:type="pct"/>
            <w:vAlign w:val="center"/>
          </w:tcPr>
          <w:p w14:paraId="51BB34FC">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317" w:type="pct"/>
            <w:vAlign w:val="center"/>
          </w:tcPr>
          <w:p w14:paraId="2C481CD6">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标的名称：安徽财贸职业学院中华老字号文化资源库项目</w:t>
            </w:r>
          </w:p>
          <w:p w14:paraId="26B2D68D">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所属行业：其他未列明行业</w:t>
            </w:r>
          </w:p>
        </w:tc>
      </w:tr>
    </w:tbl>
    <w:p w14:paraId="10D929B0">
      <w:pPr>
        <w:spacing w:line="360" w:lineRule="auto"/>
        <w:rPr>
          <w:rFonts w:ascii="宋体" w:hAnsi="宋体" w:eastAsia="宋体"/>
          <w:b/>
          <w:color w:val="auto"/>
          <w:sz w:val="24"/>
          <w:szCs w:val="18"/>
          <w:highlight w:val="none"/>
        </w:rPr>
      </w:pPr>
      <w:bookmarkStart w:id="47" w:name="_Toc16543"/>
      <w:bookmarkStart w:id="48" w:name="_Hlk16461016"/>
    </w:p>
    <w:bookmarkEnd w:id="47"/>
    <w:p w14:paraId="59813A0D">
      <w:pPr>
        <w:spacing w:line="360" w:lineRule="auto"/>
        <w:ind w:firstLine="482" w:firstLineChars="200"/>
        <w:outlineLvl w:val="1"/>
        <w:rPr>
          <w:rFonts w:ascii="宋体" w:hAnsi="宋体" w:eastAsia="宋体"/>
          <w:b/>
          <w:color w:val="auto"/>
          <w:sz w:val="24"/>
          <w:szCs w:val="18"/>
          <w:highlight w:val="none"/>
        </w:rPr>
      </w:pPr>
      <w:bookmarkStart w:id="49" w:name="_Toc2134"/>
      <w:r>
        <w:rPr>
          <w:rFonts w:hint="eastAsia" w:ascii="宋体" w:hAnsi="宋体" w:eastAsia="宋体"/>
          <w:b/>
          <w:color w:val="auto"/>
          <w:sz w:val="24"/>
          <w:szCs w:val="18"/>
          <w:highlight w:val="none"/>
        </w:rPr>
        <w:t>二、项目概况</w:t>
      </w:r>
      <w:bookmarkEnd w:id="49"/>
    </w:p>
    <w:p w14:paraId="7FE043D4">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安徽财贸职业学院根据承担中华老字号文化资源库建设任务，打造集历史性、知识性、技艺性与趣味性于一体的开放、共享、优质的中华老字号文化传承与创新教学平台，结合本校专业建设、人才培养、课程教学需要，本次采购项目为新建10门在线课程。</w:t>
      </w:r>
    </w:p>
    <w:p w14:paraId="3A6A8F93">
      <w:pPr>
        <w:rPr>
          <w:rFonts w:ascii="宋体" w:hAnsi="宋体" w:eastAsia="宋体"/>
          <w:b/>
          <w:color w:val="auto"/>
          <w:sz w:val="24"/>
          <w:szCs w:val="18"/>
          <w:highlight w:val="none"/>
        </w:rPr>
      </w:pPr>
      <w:bookmarkStart w:id="50" w:name="_Toc24967"/>
      <w:bookmarkStart w:id="51" w:name="_Toc4312"/>
      <w:bookmarkStart w:id="52" w:name="_Toc22831"/>
      <w:r>
        <w:rPr>
          <w:rFonts w:hint="eastAsia" w:ascii="宋体" w:hAnsi="宋体" w:eastAsia="宋体"/>
          <w:b/>
          <w:color w:val="auto"/>
          <w:sz w:val="24"/>
          <w:szCs w:val="18"/>
          <w:highlight w:val="none"/>
        </w:rPr>
        <w:br w:type="page"/>
      </w:r>
    </w:p>
    <w:p w14:paraId="63E7FE35">
      <w:pPr>
        <w:spacing w:line="360" w:lineRule="auto"/>
        <w:ind w:firstLine="482" w:firstLineChars="200"/>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三、服务需求</w:t>
      </w:r>
      <w:bookmarkEnd w:id="50"/>
      <w:bookmarkEnd w:id="51"/>
      <w:bookmarkEnd w:id="52"/>
    </w:p>
    <w:tbl>
      <w:tblPr>
        <w:tblStyle w:val="22"/>
        <w:tblW w:w="9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750"/>
        <w:gridCol w:w="6997"/>
        <w:gridCol w:w="514"/>
        <w:gridCol w:w="537"/>
      </w:tblGrid>
      <w:tr w14:paraId="131E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28" w:type="dxa"/>
            <w:vAlign w:val="center"/>
          </w:tcPr>
          <w:p w14:paraId="6097DC63">
            <w:pPr>
              <w:pStyle w:val="7"/>
              <w:ind w:firstLine="0"/>
              <w:jc w:val="center"/>
              <w:rPr>
                <w:color w:val="auto"/>
                <w:highlight w:val="none"/>
                <w:lang w:eastAsia="zh-Hans"/>
              </w:rPr>
            </w:pPr>
            <w:r>
              <w:rPr>
                <w:rFonts w:hint="eastAsia"/>
                <w:color w:val="auto"/>
                <w:highlight w:val="none"/>
              </w:rPr>
              <w:t>序号</w:t>
            </w:r>
          </w:p>
        </w:tc>
        <w:tc>
          <w:tcPr>
            <w:tcW w:w="764" w:type="dxa"/>
            <w:vAlign w:val="center"/>
          </w:tcPr>
          <w:p w14:paraId="6191DE0E">
            <w:pPr>
              <w:pStyle w:val="7"/>
              <w:ind w:firstLine="0"/>
              <w:jc w:val="center"/>
              <w:rPr>
                <w:color w:val="auto"/>
                <w:highlight w:val="none"/>
                <w:lang w:eastAsia="zh-Hans"/>
              </w:rPr>
            </w:pPr>
            <w:r>
              <w:rPr>
                <w:rFonts w:hint="eastAsia"/>
                <w:color w:val="auto"/>
                <w:highlight w:val="none"/>
              </w:rPr>
              <w:t>名称</w:t>
            </w:r>
          </w:p>
        </w:tc>
        <w:tc>
          <w:tcPr>
            <w:tcW w:w="7206" w:type="dxa"/>
            <w:vAlign w:val="center"/>
          </w:tcPr>
          <w:p w14:paraId="57403622">
            <w:pPr>
              <w:pStyle w:val="7"/>
              <w:ind w:firstLine="0"/>
              <w:jc w:val="center"/>
              <w:rPr>
                <w:color w:val="auto"/>
                <w:highlight w:val="none"/>
                <w:lang w:eastAsia="zh-Hans"/>
              </w:rPr>
            </w:pPr>
            <w:r>
              <w:rPr>
                <w:rFonts w:hint="eastAsia"/>
                <w:color w:val="auto"/>
                <w:highlight w:val="none"/>
              </w:rPr>
              <w:t>技术参数</w:t>
            </w:r>
          </w:p>
        </w:tc>
        <w:tc>
          <w:tcPr>
            <w:tcW w:w="516" w:type="dxa"/>
            <w:vAlign w:val="center"/>
          </w:tcPr>
          <w:p w14:paraId="36265A5C">
            <w:pPr>
              <w:pStyle w:val="7"/>
              <w:ind w:firstLine="0"/>
              <w:jc w:val="center"/>
              <w:rPr>
                <w:color w:val="auto"/>
                <w:highlight w:val="none"/>
              </w:rPr>
            </w:pPr>
            <w:r>
              <w:rPr>
                <w:rFonts w:hint="eastAsia"/>
                <w:color w:val="auto"/>
                <w:highlight w:val="none"/>
              </w:rPr>
              <w:t>数量</w:t>
            </w:r>
          </w:p>
        </w:tc>
        <w:tc>
          <w:tcPr>
            <w:tcW w:w="540" w:type="dxa"/>
            <w:vAlign w:val="center"/>
          </w:tcPr>
          <w:p w14:paraId="4FC435EF">
            <w:pPr>
              <w:pStyle w:val="7"/>
              <w:ind w:firstLine="0"/>
              <w:jc w:val="center"/>
              <w:rPr>
                <w:color w:val="auto"/>
                <w:highlight w:val="none"/>
              </w:rPr>
            </w:pPr>
            <w:r>
              <w:rPr>
                <w:rFonts w:hint="eastAsia"/>
                <w:color w:val="auto"/>
                <w:highlight w:val="none"/>
              </w:rPr>
              <w:t>单位</w:t>
            </w:r>
          </w:p>
        </w:tc>
      </w:tr>
      <w:tr w14:paraId="0420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281232B1">
            <w:pPr>
              <w:pStyle w:val="7"/>
              <w:rPr>
                <w:color w:val="auto"/>
                <w:highlight w:val="none"/>
                <w:lang w:eastAsia="zh-Hans"/>
              </w:rPr>
            </w:pPr>
            <w:r>
              <w:rPr>
                <w:rFonts w:hint="eastAsia"/>
                <w:color w:val="auto"/>
                <w:highlight w:val="none"/>
              </w:rPr>
              <w:t>1</w:t>
            </w:r>
          </w:p>
        </w:tc>
        <w:tc>
          <w:tcPr>
            <w:tcW w:w="764" w:type="dxa"/>
            <w:vAlign w:val="center"/>
          </w:tcPr>
          <w:p w14:paraId="5EC714A3">
            <w:pPr>
              <w:pStyle w:val="7"/>
              <w:ind w:firstLine="0"/>
              <w:jc w:val="center"/>
              <w:rPr>
                <w:color w:val="auto"/>
                <w:highlight w:val="none"/>
                <w:lang w:eastAsia="zh-Hans"/>
              </w:rPr>
            </w:pPr>
            <w:r>
              <w:rPr>
                <w:rFonts w:hint="eastAsia"/>
                <w:color w:val="auto"/>
                <w:highlight w:val="none"/>
              </w:rPr>
              <w:t>课程建设</w:t>
            </w:r>
          </w:p>
        </w:tc>
        <w:tc>
          <w:tcPr>
            <w:tcW w:w="7206" w:type="dxa"/>
            <w:vAlign w:val="center"/>
          </w:tcPr>
          <w:p w14:paraId="51DA19FF">
            <w:pPr>
              <w:pStyle w:val="7"/>
              <w:rPr>
                <w:color w:val="auto"/>
                <w:highlight w:val="none"/>
              </w:rPr>
            </w:pPr>
            <w:r>
              <w:rPr>
                <w:rFonts w:hint="eastAsia"/>
                <w:color w:val="auto"/>
                <w:highlight w:val="none"/>
              </w:rPr>
              <w:t>本项目涵盖10门课程，包括《老字号茶门店运营》《中华老字号茶产品开发》《中华老字号茶文化》《中华老字号茶空间经营》《茶旅融合产品策划》《中华传统商业空间设计》《中华老字号产品包装设计》《中华老字号徽菜文化》《徽商文化》《安徽文化与物产》。</w:t>
            </w:r>
          </w:p>
          <w:p w14:paraId="761168EB">
            <w:pPr>
              <w:pStyle w:val="7"/>
              <w:rPr>
                <w:color w:val="auto"/>
                <w:highlight w:val="none"/>
              </w:rPr>
            </w:pPr>
            <w:r>
              <w:rPr>
                <w:rFonts w:hint="eastAsia"/>
                <w:color w:val="auto"/>
                <w:highlight w:val="none"/>
              </w:rPr>
              <w:t>其中，《中华老字号茶文化》为国际化课程，配备以下教学资源：课程介绍视频（中文版）1个、课程介绍视频（英文版）1个、微课（中文版）40个、微课（英文版）40个、动画（中文版）5个、动画（英文版）5个、PPT课件（中文版）10个、PPT课件（英文版）10个、题库（中文版）100道、题库（英文版）100道。</w:t>
            </w:r>
          </w:p>
          <w:p w14:paraId="1B197EC7">
            <w:pPr>
              <w:pStyle w:val="7"/>
              <w:rPr>
                <w:color w:val="auto"/>
                <w:highlight w:val="none"/>
              </w:rPr>
            </w:pPr>
            <w:r>
              <w:rPr>
                <w:rFonts w:hint="eastAsia"/>
                <w:color w:val="auto"/>
                <w:highlight w:val="none"/>
              </w:rPr>
              <w:t>其余9门课程资源汇总如下：课程介绍视频（中文版）9个、微课（中文版）293个、动画（中文版）28个、PPT课件（中文版）183个、题库（中文版）960道。</w:t>
            </w:r>
            <w:r>
              <w:rPr>
                <w:rFonts w:hint="eastAsia"/>
                <w:color w:val="auto"/>
                <w:highlight w:val="none"/>
              </w:rPr>
              <w:br w:type="textWrapping"/>
            </w:r>
            <w:r>
              <w:rPr>
                <w:rFonts w:hint="eastAsia"/>
                <w:color w:val="auto"/>
                <w:highlight w:val="none"/>
              </w:rPr>
              <w:t>此外，项目共设7个实训任务，包含虚拟仿真实训6个、销售AI对练平台1个。</w:t>
            </w:r>
          </w:p>
          <w:p w14:paraId="78B767EE">
            <w:pPr>
              <w:pStyle w:val="7"/>
              <w:rPr>
                <w:color w:val="auto"/>
                <w:highlight w:val="none"/>
              </w:rPr>
            </w:pPr>
            <w:r>
              <w:rPr>
                <w:color w:val="auto"/>
                <w:highlight w:val="none"/>
              </w:rPr>
              <w:t>一、课程结构设计咨询</w:t>
            </w:r>
          </w:p>
          <w:p w14:paraId="46A7AC97">
            <w:pPr>
              <w:pStyle w:val="7"/>
              <w:rPr>
                <w:color w:val="auto"/>
                <w:highlight w:val="none"/>
              </w:rPr>
            </w:pPr>
            <w:r>
              <w:rPr>
                <w:rFonts w:hint="eastAsia"/>
                <w:color w:val="auto"/>
                <w:highlight w:val="none"/>
              </w:rPr>
              <w:t>1.</w:t>
            </w:r>
            <w:r>
              <w:rPr>
                <w:color w:val="auto"/>
                <w:highlight w:val="none"/>
              </w:rPr>
              <w:t>课程结构计划与设计：安排课程顾问同课程教学团队根据课程要求制定整体教学设计。为教师团队提供课程颗粒化、层次化、主题化设计咨询，从课程教学大纲、学时安排、教学内容组织与安排、教学策略、知识点地图、教学课件等多个维度进行设计。</w:t>
            </w:r>
          </w:p>
          <w:p w14:paraId="4AE6ABA4">
            <w:pPr>
              <w:pStyle w:val="7"/>
              <w:rPr>
                <w:color w:val="auto"/>
                <w:highlight w:val="none"/>
              </w:rPr>
            </w:pPr>
            <w:r>
              <w:rPr>
                <w:rFonts w:hint="eastAsia"/>
                <w:color w:val="auto"/>
                <w:highlight w:val="none"/>
              </w:rPr>
              <w:t>2.</w:t>
            </w:r>
            <w:r>
              <w:rPr>
                <w:color w:val="auto"/>
                <w:highlight w:val="none"/>
              </w:rPr>
              <w:t>教学风格塑造：指导教师塑造理性严谨、情绪感染、自然朴素、风趣幽默等类型的教学风格。</w:t>
            </w:r>
          </w:p>
          <w:p w14:paraId="7C4C1EDE">
            <w:pPr>
              <w:pStyle w:val="7"/>
              <w:rPr>
                <w:color w:val="auto"/>
                <w:highlight w:val="none"/>
              </w:rPr>
            </w:pPr>
            <w:r>
              <w:rPr>
                <w:rFonts w:hint="eastAsia"/>
                <w:color w:val="auto"/>
                <w:highlight w:val="none"/>
              </w:rPr>
              <w:t>3.</w:t>
            </w:r>
            <w:r>
              <w:rPr>
                <w:color w:val="auto"/>
                <w:highlight w:val="none"/>
              </w:rPr>
              <w:t>教学方法设计咨询：课程顾问帮助教师进行适合混合式在线开放课程的教学方法设计。包括线上教学方法如内容呈现法、讨论互动法、自主探究法；线下课堂教学方法如课堂面授法、参观教学、角色模拟、操作演示、讨论互动等教学方法设计。</w:t>
            </w:r>
          </w:p>
          <w:p w14:paraId="63729F6E">
            <w:pPr>
              <w:pStyle w:val="7"/>
              <w:rPr>
                <w:color w:val="auto"/>
                <w:highlight w:val="none"/>
              </w:rPr>
            </w:pPr>
            <w:r>
              <w:rPr>
                <w:rFonts w:hint="eastAsia"/>
                <w:color w:val="auto"/>
                <w:highlight w:val="none"/>
              </w:rPr>
              <w:t>4.</w:t>
            </w:r>
            <w:r>
              <w:rPr>
                <w:color w:val="auto"/>
                <w:highlight w:val="none"/>
              </w:rPr>
              <w:t>教学仪态、语言咨询：为教师提供教师形象、教学动作、教学语言等咨询与建议。</w:t>
            </w:r>
          </w:p>
          <w:p w14:paraId="7FB5BBE6">
            <w:pPr>
              <w:pStyle w:val="7"/>
              <w:rPr>
                <w:color w:val="auto"/>
                <w:highlight w:val="none"/>
              </w:rPr>
            </w:pPr>
            <w:r>
              <w:rPr>
                <w:rFonts w:hint="eastAsia"/>
                <w:color w:val="auto"/>
                <w:highlight w:val="none"/>
              </w:rPr>
              <w:t>5.</w:t>
            </w:r>
            <w:r>
              <w:rPr>
                <w:color w:val="auto"/>
                <w:highlight w:val="none"/>
              </w:rPr>
              <w:t>课程顾问根据教师的课程设计，帮助教师选择设定合适的拍摄方案，并制定完善拍摄计划，形成课程建设开发时间表。根据拍摄计划，与课程教师确定拍摄章节和知识点，根据课程内容策划制作效果，选择场地、布置现场、服装搭配，协调拍摄注意事项等问题。根据拍摄技术标准和课程内容，设计贴合教师授课特点的拍摄形式，与教师沟通说明拍摄要求，并协助提供着装意见。课程顾问协助教师搜集各类课程资料和辅助资源，包括图片、视频、文档等，美化设计PPT课件等教学资源。</w:t>
            </w:r>
          </w:p>
          <w:p w14:paraId="25F3956B">
            <w:pPr>
              <w:pStyle w:val="7"/>
              <w:rPr>
                <w:color w:val="auto"/>
                <w:highlight w:val="none"/>
              </w:rPr>
            </w:pPr>
            <w:r>
              <w:rPr>
                <w:color w:val="auto"/>
                <w:highlight w:val="none"/>
              </w:rPr>
              <w:t>二、服务团队</w:t>
            </w:r>
          </w:p>
          <w:p w14:paraId="4D1094F5">
            <w:pPr>
              <w:pStyle w:val="7"/>
              <w:rPr>
                <w:color w:val="auto"/>
                <w:highlight w:val="none"/>
              </w:rPr>
            </w:pPr>
            <w:r>
              <w:rPr>
                <w:rFonts w:hint="eastAsia"/>
                <w:color w:val="auto"/>
                <w:highlight w:val="none"/>
              </w:rPr>
              <w:t>1.</w:t>
            </w:r>
            <w:r>
              <w:rPr>
                <w:color w:val="auto"/>
                <w:highlight w:val="none"/>
              </w:rPr>
              <w:t>每门课程配备专门的课程顾问。协助教师团队分析课程，完成课程标准、课程设计及实施。与教师深度沟通，一对一地提供课程咨询服务，收集材料，辅助教师策划设计课程，协助教师团队对课程知识点进行设计。协助教师团队进行知识点视频脚本设计，拟定分组镜头大纲，提出内容呈现方式建议，并制作教学课件、文本等模板。</w:t>
            </w:r>
          </w:p>
          <w:p w14:paraId="5225847E">
            <w:pPr>
              <w:pStyle w:val="7"/>
              <w:rPr>
                <w:color w:val="auto"/>
                <w:highlight w:val="none"/>
              </w:rPr>
            </w:pPr>
            <w:r>
              <w:rPr>
                <w:rFonts w:hint="eastAsia"/>
                <w:color w:val="auto"/>
                <w:highlight w:val="none"/>
              </w:rPr>
              <w:t>2.</w:t>
            </w:r>
            <w:r>
              <w:rPr>
                <w:color w:val="auto"/>
                <w:highlight w:val="none"/>
              </w:rPr>
              <w:t xml:space="preserve">配备资深专业摄像师、摄像助理等的专业摄像团队提供拍摄现场服务，包括拍摄前及拍摄过程中摄像机的调试、机位位置、音频设备信号测试、灯光调试及布置，拍摄进度、时间、内容、景别等内容的记录。 </w:t>
            </w:r>
          </w:p>
          <w:p w14:paraId="22A6CC26">
            <w:pPr>
              <w:pStyle w:val="7"/>
              <w:rPr>
                <w:color w:val="auto"/>
                <w:highlight w:val="none"/>
              </w:rPr>
            </w:pPr>
            <w:r>
              <w:rPr>
                <w:rFonts w:hint="eastAsia"/>
                <w:color w:val="auto"/>
                <w:highlight w:val="none"/>
              </w:rPr>
              <w:t>3.</w:t>
            </w:r>
            <w:r>
              <w:rPr>
                <w:color w:val="auto"/>
                <w:highlight w:val="none"/>
              </w:rPr>
              <w:t>具备专业的视频剪辑与动画制作团队，通过视频剪辑、调色渲染、特效包装、动画制作、特效字幕制作、视频格式转换等专业技术方式对课程视频进行专业化的后期处理。</w:t>
            </w:r>
          </w:p>
          <w:p w14:paraId="14F14013">
            <w:pPr>
              <w:pStyle w:val="7"/>
              <w:rPr>
                <w:color w:val="auto"/>
                <w:highlight w:val="none"/>
              </w:rPr>
            </w:pPr>
            <w:r>
              <w:rPr>
                <w:rFonts w:hint="eastAsia"/>
                <w:color w:val="auto"/>
                <w:highlight w:val="none"/>
              </w:rPr>
              <w:t>4.</w:t>
            </w:r>
            <w:r>
              <w:rPr>
                <w:color w:val="auto"/>
                <w:highlight w:val="none"/>
              </w:rPr>
              <w:t>协助学校把</w:t>
            </w:r>
            <w:r>
              <w:rPr>
                <w:rFonts w:hint="eastAsia"/>
                <w:color w:val="auto"/>
                <w:highlight w:val="none"/>
              </w:rPr>
              <w:t>《中华老字号茶文化》双语</w:t>
            </w:r>
            <w:r>
              <w:rPr>
                <w:color w:val="auto"/>
                <w:highlight w:val="none"/>
              </w:rPr>
              <w:t>课程搭建到</w:t>
            </w:r>
            <w:r>
              <w:rPr>
                <w:rFonts w:hint="eastAsia"/>
                <w:color w:val="auto"/>
                <w:highlight w:val="none"/>
              </w:rPr>
              <w:t>双语学习</w:t>
            </w:r>
            <w:r>
              <w:rPr>
                <w:color w:val="auto"/>
                <w:highlight w:val="none"/>
              </w:rPr>
              <w:t>平台，助力</w:t>
            </w:r>
            <w:r>
              <w:rPr>
                <w:rFonts w:hint="eastAsia"/>
                <w:color w:val="auto"/>
                <w:highlight w:val="none"/>
              </w:rPr>
              <w:t>一带一路国家</w:t>
            </w:r>
            <w:r>
              <w:rPr>
                <w:color w:val="auto"/>
                <w:highlight w:val="none"/>
              </w:rPr>
              <w:t>职业教育发展，提升我国职业教育在世界范围内的影响力。</w:t>
            </w:r>
          </w:p>
          <w:p w14:paraId="37404DE5">
            <w:pPr>
              <w:pStyle w:val="7"/>
              <w:rPr>
                <w:color w:val="auto"/>
                <w:highlight w:val="none"/>
              </w:rPr>
            </w:pPr>
            <w:r>
              <w:rPr>
                <w:color w:val="auto"/>
                <w:highlight w:val="none"/>
              </w:rPr>
              <w:t>三、录制设备</w:t>
            </w:r>
          </w:p>
          <w:p w14:paraId="5D42D172">
            <w:pPr>
              <w:pStyle w:val="7"/>
              <w:rPr>
                <w:color w:val="auto"/>
                <w:highlight w:val="none"/>
              </w:rPr>
            </w:pPr>
            <w:r>
              <w:rPr>
                <w:color w:val="auto"/>
                <w:highlight w:val="none"/>
              </w:rPr>
              <w:t>根据课程需要采用具备专业级水准的高清摄像机，摄像机拍摄时采用分辨率不低于1920×1080，录像视频宽16:9，帧率设定为25帧；拍摄设备要同型同款，保证录制效果的一致性。主机位用于拍摄教师全景。录音设备要求使用专业级话筒，保证录音质量。</w:t>
            </w:r>
          </w:p>
          <w:p w14:paraId="199B28DA">
            <w:pPr>
              <w:pStyle w:val="7"/>
              <w:rPr>
                <w:color w:val="auto"/>
                <w:highlight w:val="none"/>
              </w:rPr>
            </w:pPr>
            <w:r>
              <w:rPr>
                <w:rFonts w:hint="eastAsia"/>
                <w:color w:val="auto"/>
                <w:highlight w:val="none"/>
              </w:rPr>
              <w:t>1.</w:t>
            </w:r>
            <w:r>
              <w:rPr>
                <w:color w:val="auto"/>
                <w:highlight w:val="none"/>
              </w:rPr>
              <w:t>录像设备：提供专业级高清摄像机，确保设备能正常完成拍摄任务。所用摄像机分辨率不低于1920×1080，录制视频宽高比16:9，视频帧率为25帧/秒。</w:t>
            </w:r>
          </w:p>
          <w:p w14:paraId="3DB6A59E">
            <w:pPr>
              <w:pStyle w:val="7"/>
              <w:rPr>
                <w:color w:val="auto"/>
                <w:highlight w:val="none"/>
              </w:rPr>
            </w:pPr>
            <w:r>
              <w:rPr>
                <w:rFonts w:hint="eastAsia"/>
                <w:color w:val="auto"/>
                <w:highlight w:val="none"/>
              </w:rPr>
              <w:t>2.</w:t>
            </w:r>
            <w:r>
              <w:rPr>
                <w:color w:val="auto"/>
                <w:highlight w:val="none"/>
              </w:rPr>
              <w:t>收音设备：使用专业领夹收声设备，保证教师录音质量。</w:t>
            </w:r>
          </w:p>
          <w:p w14:paraId="0070A882">
            <w:pPr>
              <w:pStyle w:val="7"/>
              <w:rPr>
                <w:color w:val="auto"/>
                <w:highlight w:val="none"/>
              </w:rPr>
            </w:pPr>
            <w:r>
              <w:rPr>
                <w:rFonts w:hint="eastAsia"/>
                <w:color w:val="auto"/>
                <w:highlight w:val="none"/>
              </w:rPr>
              <w:t>3.</w:t>
            </w:r>
            <w:r>
              <w:rPr>
                <w:color w:val="auto"/>
                <w:highlight w:val="none"/>
              </w:rPr>
              <w:t>监听监视提词设备：授课教师能回看录制效果以调整姿态，并起到台词提示功能。</w:t>
            </w:r>
          </w:p>
          <w:p w14:paraId="4DB3684D">
            <w:pPr>
              <w:pStyle w:val="7"/>
              <w:rPr>
                <w:color w:val="auto"/>
                <w:highlight w:val="none"/>
              </w:rPr>
            </w:pPr>
            <w:r>
              <w:rPr>
                <w:rFonts w:hint="eastAsia"/>
                <w:color w:val="auto"/>
                <w:highlight w:val="none"/>
              </w:rPr>
              <w:t>4.</w:t>
            </w:r>
            <w:r>
              <w:rPr>
                <w:color w:val="auto"/>
                <w:highlight w:val="none"/>
              </w:rPr>
              <w:t>后期制作设备：2套正版非线性编辑系统及字幕包装系统。</w:t>
            </w:r>
          </w:p>
          <w:p w14:paraId="30D5E023">
            <w:pPr>
              <w:pStyle w:val="7"/>
              <w:rPr>
                <w:color w:val="auto"/>
                <w:highlight w:val="none"/>
              </w:rPr>
            </w:pPr>
            <w:r>
              <w:rPr>
                <w:color w:val="auto"/>
                <w:highlight w:val="none"/>
              </w:rPr>
              <w:t>四、国际化双语服务</w:t>
            </w:r>
          </w:p>
          <w:p w14:paraId="70ED91B2">
            <w:pPr>
              <w:pStyle w:val="7"/>
              <w:rPr>
                <w:color w:val="auto"/>
                <w:highlight w:val="none"/>
              </w:rPr>
            </w:pPr>
            <w:r>
              <w:rPr>
                <w:rFonts w:hint="eastAsia"/>
                <w:color w:val="auto"/>
                <w:highlight w:val="none"/>
              </w:rPr>
              <w:t>1.《中华老字号茶文化》</w:t>
            </w:r>
            <w:r>
              <w:rPr>
                <w:color w:val="auto"/>
                <w:highlight w:val="none"/>
              </w:rPr>
              <w:t>课程资源制作为</w:t>
            </w:r>
            <w:r>
              <w:rPr>
                <w:rFonts w:hint="eastAsia"/>
                <w:color w:val="auto"/>
                <w:highlight w:val="none"/>
              </w:rPr>
              <w:t>中文、英文各一版</w:t>
            </w:r>
            <w:r>
              <w:rPr>
                <w:color w:val="auto"/>
                <w:highlight w:val="none"/>
              </w:rPr>
              <w:t>，</w:t>
            </w:r>
            <w:r>
              <w:rPr>
                <w:rFonts w:hint="eastAsia"/>
                <w:color w:val="auto"/>
                <w:highlight w:val="none"/>
              </w:rPr>
              <w:t>中文版</w:t>
            </w:r>
            <w:r>
              <w:rPr>
                <w:color w:val="auto"/>
                <w:highlight w:val="none"/>
              </w:rPr>
              <w:t>视频类资源为</w:t>
            </w:r>
            <w:r>
              <w:rPr>
                <w:rFonts w:hint="eastAsia"/>
                <w:color w:val="auto"/>
                <w:highlight w:val="none"/>
              </w:rPr>
              <w:t>中文讲解、中文字幕；英文版视频类资源英文讲解、英文字幕</w:t>
            </w:r>
            <w:r>
              <w:rPr>
                <w:color w:val="auto"/>
                <w:highlight w:val="none"/>
              </w:rPr>
              <w:t>，并对英语译文的格式进行统一的编辑、排版。</w:t>
            </w:r>
          </w:p>
          <w:p w14:paraId="4EECCAD5">
            <w:pPr>
              <w:pStyle w:val="7"/>
              <w:rPr>
                <w:color w:val="auto"/>
                <w:highlight w:val="none"/>
              </w:rPr>
            </w:pPr>
            <w:r>
              <w:rPr>
                <w:rFonts w:hint="eastAsia"/>
                <w:color w:val="auto"/>
                <w:highlight w:val="none"/>
              </w:rPr>
              <w:t>2.</w:t>
            </w:r>
            <w:r>
              <w:rPr>
                <w:color w:val="auto"/>
                <w:highlight w:val="none"/>
              </w:rPr>
              <w:t>英语译文要求信息准确，准确传达原文信息，没有添加、删减、遗漏、扭曲、错乱。人名、地名、团体名、机构名、商标名等专有名词使用惯用译名。外国人名、地名和机构名称的译名，以《新华社人名大全》《外国地名译名手册》（商务印书社）和《英汉大词典》（陆谷孙）为主要参照标准。无惯用译名的，可自行翻译。国家、政府和国际组织重要的法律、法令、文件等名称应采用官方或既定译法。</w:t>
            </w:r>
          </w:p>
          <w:p w14:paraId="444F4B8B">
            <w:pPr>
              <w:pStyle w:val="7"/>
              <w:rPr>
                <w:color w:val="auto"/>
                <w:highlight w:val="none"/>
              </w:rPr>
            </w:pPr>
            <w:r>
              <w:rPr>
                <w:rFonts w:hint="eastAsia"/>
                <w:color w:val="auto"/>
                <w:highlight w:val="none"/>
              </w:rPr>
              <w:t>3.</w:t>
            </w:r>
            <w:r>
              <w:rPr>
                <w:color w:val="auto"/>
                <w:highlight w:val="none"/>
              </w:rPr>
              <w:t>英语译文要求表达恰当，词语达意、语法正确、逻辑清晰、术语标准，当采用原文的句型结构或修辞方式不能使译文通顺时，可以在不影响原文语义的前提下，在译文中改变句型结构或修辞或增删某些词句，以使译文更符合目标语言的表达习惯。</w:t>
            </w:r>
          </w:p>
          <w:p w14:paraId="52555642">
            <w:pPr>
              <w:pStyle w:val="7"/>
              <w:rPr>
                <w:color w:val="auto"/>
                <w:highlight w:val="none"/>
              </w:rPr>
            </w:pPr>
            <w:r>
              <w:rPr>
                <w:color w:val="auto"/>
                <w:highlight w:val="none"/>
              </w:rPr>
              <w:t>五、课程介绍视频（</w:t>
            </w:r>
            <w:r>
              <w:rPr>
                <w:rFonts w:hint="eastAsia"/>
                <w:color w:val="auto"/>
                <w:highlight w:val="none"/>
              </w:rPr>
              <w:t>中文版</w:t>
            </w:r>
            <w:r>
              <w:rPr>
                <w:color w:val="auto"/>
                <w:highlight w:val="none"/>
              </w:rPr>
              <w:t>）</w:t>
            </w:r>
          </w:p>
          <w:p w14:paraId="3BE6BB2B">
            <w:pPr>
              <w:pStyle w:val="7"/>
              <w:rPr>
                <w:color w:val="auto"/>
                <w:highlight w:val="none"/>
              </w:rPr>
            </w:pPr>
            <w:r>
              <w:rPr>
                <w:color w:val="auto"/>
                <w:highlight w:val="none"/>
              </w:rPr>
              <w:t>课程介绍视频是对课程的整体介绍，一般包括课程概览、教学团队介绍、课程特色、教学反馈、课程效果等。</w:t>
            </w:r>
          </w:p>
          <w:p w14:paraId="1FF0D957">
            <w:pPr>
              <w:pStyle w:val="7"/>
              <w:rPr>
                <w:color w:val="auto"/>
                <w:highlight w:val="none"/>
              </w:rPr>
            </w:pPr>
            <w:r>
              <w:rPr>
                <w:color w:val="auto"/>
                <w:highlight w:val="none"/>
              </w:rPr>
              <w:t>1.内容要求：</w:t>
            </w:r>
          </w:p>
          <w:p w14:paraId="4C1A9399">
            <w:pPr>
              <w:pStyle w:val="7"/>
              <w:rPr>
                <w:color w:val="auto"/>
                <w:highlight w:val="none"/>
              </w:rPr>
            </w:pPr>
            <w:r>
              <w:rPr>
                <w:color w:val="auto"/>
                <w:highlight w:val="none"/>
              </w:rPr>
              <w:t>（1）课程宣传片内容符合我国法律法规，尊重各民族的风俗习惯，版权不存在争议。</w:t>
            </w:r>
          </w:p>
          <w:p w14:paraId="1DBECF50">
            <w:pPr>
              <w:pStyle w:val="7"/>
              <w:rPr>
                <w:color w:val="auto"/>
                <w:highlight w:val="none"/>
              </w:rPr>
            </w:pPr>
            <w:r>
              <w:rPr>
                <w:color w:val="auto"/>
                <w:highlight w:val="none"/>
              </w:rPr>
              <w:t>（2）外国语言文字信息，应遵循其原内容完整性，使用原语言进行处理。</w:t>
            </w:r>
          </w:p>
          <w:p w14:paraId="28866F64">
            <w:pPr>
              <w:pStyle w:val="7"/>
              <w:rPr>
                <w:color w:val="auto"/>
                <w:highlight w:val="none"/>
              </w:rPr>
            </w:pPr>
            <w:r>
              <w:rPr>
                <w:color w:val="auto"/>
                <w:highlight w:val="none"/>
              </w:rPr>
              <w:t>2.技术要求：</w:t>
            </w:r>
          </w:p>
          <w:p w14:paraId="546F967D">
            <w:pPr>
              <w:pStyle w:val="7"/>
              <w:rPr>
                <w:color w:val="auto"/>
                <w:highlight w:val="none"/>
              </w:rPr>
            </w:pPr>
            <w:r>
              <w:rPr>
                <w:color w:val="auto"/>
                <w:highlight w:val="none"/>
              </w:rPr>
              <w:t>（1）课程宣传片资源帧速率为25帧/秒，声音频道为2（立体声），时长1-3分钟。</w:t>
            </w:r>
          </w:p>
          <w:p w14:paraId="10DC2A32">
            <w:pPr>
              <w:pStyle w:val="7"/>
              <w:rPr>
                <w:color w:val="auto"/>
                <w:highlight w:val="none"/>
              </w:rPr>
            </w:pPr>
            <w:r>
              <w:rPr>
                <w:color w:val="auto"/>
                <w:highlight w:val="none"/>
              </w:rPr>
              <w:t>（2）视频信号源：由专业的视频制作团队使用非线性编辑软件premiere、final cut pro以及片头特效软件制作。</w:t>
            </w:r>
          </w:p>
          <w:p w14:paraId="58B2712C">
            <w:pPr>
              <w:pStyle w:val="7"/>
              <w:rPr>
                <w:color w:val="auto"/>
                <w:highlight w:val="none"/>
              </w:rPr>
            </w:pPr>
            <w:r>
              <w:rPr>
                <w:color w:val="auto"/>
                <w:highlight w:val="none"/>
              </w:rPr>
              <w:t>稳定性：全片图像同步性能稳定，无失步现象，图像无抖动跳跃，色彩无突变，编辑点处图像稳定；</w:t>
            </w:r>
          </w:p>
          <w:p w14:paraId="219FAE8F">
            <w:pPr>
              <w:pStyle w:val="7"/>
              <w:rPr>
                <w:color w:val="auto"/>
                <w:highlight w:val="none"/>
              </w:rPr>
            </w:pPr>
            <w:r>
              <w:rPr>
                <w:color w:val="auto"/>
                <w:highlight w:val="none"/>
              </w:rPr>
              <w:t>色调：白平衡正确，无明显偏色，多机拍摄的镜头衔接处无明显色差；</w:t>
            </w:r>
          </w:p>
          <w:p w14:paraId="1CEDDE20">
            <w:pPr>
              <w:pStyle w:val="7"/>
              <w:rPr>
                <w:color w:val="auto"/>
                <w:highlight w:val="none"/>
              </w:rPr>
            </w:pPr>
            <w:r>
              <w:rPr>
                <w:color w:val="auto"/>
                <w:highlight w:val="none"/>
              </w:rPr>
              <w:t>画幅：建议采用16:9，720p或1080p。</w:t>
            </w:r>
          </w:p>
          <w:p w14:paraId="5CDCCCB6">
            <w:pPr>
              <w:pStyle w:val="7"/>
              <w:rPr>
                <w:color w:val="auto"/>
                <w:highlight w:val="none"/>
              </w:rPr>
            </w:pPr>
            <w:r>
              <w:rPr>
                <w:color w:val="auto"/>
                <w:highlight w:val="none"/>
              </w:rPr>
              <w:t>（3）音频信号源：声音和画面要求同步，无交流声或其他杂音等缺陷；伴音清晰、饱满、圆润，无失真、噪声杂音干扰、音量忽大忽小现象，解说声与现场声无明显比例失调，解说声与背景音乐无明显比例失调；</w:t>
            </w:r>
          </w:p>
          <w:p w14:paraId="2D4510CC">
            <w:pPr>
              <w:pStyle w:val="7"/>
              <w:rPr>
                <w:color w:val="auto"/>
                <w:highlight w:val="none"/>
              </w:rPr>
            </w:pPr>
            <w:r>
              <w:rPr>
                <w:color w:val="auto"/>
                <w:highlight w:val="none"/>
              </w:rPr>
              <w:t>（4）制定统一的参数标准，确保每一段视频素材画面的色彩、曝光、白平衡协调一致，确保本项目所制作的视频画面风格保持一致。</w:t>
            </w:r>
          </w:p>
          <w:p w14:paraId="43E0B22D">
            <w:pPr>
              <w:pStyle w:val="7"/>
              <w:rPr>
                <w:color w:val="auto"/>
                <w:highlight w:val="none"/>
              </w:rPr>
            </w:pPr>
            <w:r>
              <w:rPr>
                <w:color w:val="auto"/>
                <w:highlight w:val="none"/>
              </w:rPr>
              <w:t>（5）视频压缩格式及技术参数：视频压缩采用H.264编码方式，包含字幕的MP4格式、M4V（苹果设备常用格式，相当于MP4）等其他常见的主流封装格式，保证教师能够在日常教学中正常使用；</w:t>
            </w:r>
          </w:p>
          <w:p w14:paraId="59B01B46">
            <w:pPr>
              <w:pStyle w:val="7"/>
              <w:rPr>
                <w:color w:val="auto"/>
                <w:highlight w:val="none"/>
              </w:rPr>
            </w:pPr>
            <w:r>
              <w:rPr>
                <w:color w:val="auto"/>
                <w:highlight w:val="none"/>
              </w:rPr>
              <w:t>视频码流率：动态码流的最低码率不得低于2048Kb；</w:t>
            </w:r>
          </w:p>
          <w:p w14:paraId="53F1E46C">
            <w:pPr>
              <w:pStyle w:val="7"/>
              <w:rPr>
                <w:color w:val="auto"/>
                <w:highlight w:val="none"/>
              </w:rPr>
            </w:pPr>
            <w:r>
              <w:rPr>
                <w:color w:val="auto"/>
                <w:highlight w:val="none"/>
              </w:rPr>
              <w:t>视频分辨率:前期采用高清16:9拍摄，分辨率要≥1920*1080。</w:t>
            </w:r>
          </w:p>
          <w:p w14:paraId="0E8D54F7">
            <w:pPr>
              <w:pStyle w:val="7"/>
              <w:rPr>
                <w:color w:val="auto"/>
                <w:highlight w:val="none"/>
              </w:rPr>
            </w:pPr>
            <w:r>
              <w:rPr>
                <w:color w:val="auto"/>
                <w:highlight w:val="none"/>
              </w:rPr>
              <w:t>（6）音频压缩格式及技术参数：音频压缩采用AAC(MPEG4Part3</w:t>
            </w:r>
            <w:r>
              <w:rPr>
                <w:rFonts w:hint="eastAsia"/>
                <w:color w:val="auto"/>
                <w:highlight w:val="none"/>
              </w:rPr>
              <w:t>）</w:t>
            </w:r>
            <w:r>
              <w:rPr>
                <w:color w:val="auto"/>
                <w:highlight w:val="none"/>
              </w:rPr>
              <w:t>格式；采样率48KHz；音频码流率128Kbps。</w:t>
            </w:r>
          </w:p>
          <w:p w14:paraId="5DA4F9CD">
            <w:pPr>
              <w:pStyle w:val="7"/>
              <w:rPr>
                <w:color w:val="auto"/>
                <w:highlight w:val="none"/>
              </w:rPr>
            </w:pPr>
            <w:r>
              <w:rPr>
                <w:color w:val="auto"/>
                <w:highlight w:val="none"/>
              </w:rPr>
              <w:t>（7）语言及字幕要求：中文讲解，单行中文字幕；字幕使用符合国家标准的标准字，不出现繁体字、异体字（国家规定技术要求的除外）、错别字；字幕的字体、大小、色彩搭配、摆放位置、停留时间、出入屏方式力求与其他要素（画面、解说词、音乐）配适宜当，不能破坏原有画面。</w:t>
            </w:r>
          </w:p>
          <w:p w14:paraId="06C53F6A">
            <w:pPr>
              <w:pStyle w:val="7"/>
              <w:rPr>
                <w:color w:val="auto"/>
                <w:highlight w:val="none"/>
              </w:rPr>
            </w:pPr>
            <w:r>
              <w:rPr>
                <w:rFonts w:hint="eastAsia"/>
                <w:color w:val="auto"/>
                <w:highlight w:val="none"/>
              </w:rPr>
              <w:t>六</w:t>
            </w:r>
            <w:r>
              <w:rPr>
                <w:color w:val="auto"/>
                <w:highlight w:val="none"/>
              </w:rPr>
              <w:t>、课程介绍视频（</w:t>
            </w:r>
            <w:r>
              <w:rPr>
                <w:rFonts w:hint="eastAsia"/>
                <w:color w:val="auto"/>
                <w:highlight w:val="none"/>
              </w:rPr>
              <w:t>英文版</w:t>
            </w:r>
            <w:r>
              <w:rPr>
                <w:color w:val="auto"/>
                <w:highlight w:val="none"/>
              </w:rPr>
              <w:t>）</w:t>
            </w:r>
          </w:p>
          <w:p w14:paraId="69755D03">
            <w:pPr>
              <w:pStyle w:val="7"/>
              <w:rPr>
                <w:color w:val="auto"/>
                <w:highlight w:val="none"/>
              </w:rPr>
            </w:pPr>
            <w:r>
              <w:rPr>
                <w:color w:val="auto"/>
                <w:highlight w:val="none"/>
              </w:rPr>
              <w:t>以中文版课程介绍视频为基准，严格遵循不同国家的语言使用习惯及相关规范标准开展翻译与制作工作，其中讲解语音、字幕文本及画面文字均由专业人员翻译而成，确保内容、表达风格与中文版课程介绍视频核心主旨一致，同时适配英文受众的认知习惯。</w:t>
            </w:r>
          </w:p>
          <w:p w14:paraId="4A81C2DD">
            <w:pPr>
              <w:pStyle w:val="7"/>
              <w:rPr>
                <w:color w:val="auto"/>
                <w:highlight w:val="none"/>
              </w:rPr>
            </w:pPr>
            <w:r>
              <w:rPr>
                <w:color w:val="auto"/>
                <w:highlight w:val="none"/>
              </w:rPr>
              <w:t>1.出镜方式：真人出镜录制与使用大模型创建数字人二者选其一。</w:t>
            </w:r>
          </w:p>
          <w:p w14:paraId="1923A913">
            <w:pPr>
              <w:pStyle w:val="7"/>
              <w:rPr>
                <w:color w:val="auto"/>
                <w:highlight w:val="none"/>
              </w:rPr>
            </w:pPr>
            <w:r>
              <w:rPr>
                <w:color w:val="auto"/>
                <w:highlight w:val="none"/>
              </w:rPr>
              <w:t>（1）真人出镜录制：采用真人出镜的形式，教师出镜录制课程介绍视频脚本的英文翻译，录制过程中应保证英文发音标准、语调自然。</w:t>
            </w:r>
          </w:p>
          <w:p w14:paraId="43613804">
            <w:pPr>
              <w:pStyle w:val="7"/>
              <w:rPr>
                <w:color w:val="auto"/>
                <w:highlight w:val="none"/>
              </w:rPr>
            </w:pPr>
            <w:r>
              <w:rPr>
                <w:color w:val="auto"/>
                <w:highlight w:val="none"/>
              </w:rPr>
              <w:t>（2）大模型创建数字人：通过多种采集设备，获取真实人物形象与声音的多维度数据，运用人工智能技术、深度学习算法，借助高算力服务器，对采集到的数据进行分析、学习与处理。基于学习到的特征和模式，使用大模型创建数字人的虚拟形象、合成声音。数字人的外观应达到与真实人类相近的水平。数字人口型应与所发出的声音在时间上基本同步，形状和开合程度应大致符合所发音的常见口型特征。合成出的声音与原始声音在音色、音调和语速等方面有较高的相似性。合成的声音连贯、平稳，没有明显的卡顿、重复或跳跃。</w:t>
            </w:r>
          </w:p>
          <w:p w14:paraId="6BF0780B">
            <w:pPr>
              <w:pStyle w:val="7"/>
              <w:rPr>
                <w:color w:val="auto"/>
                <w:highlight w:val="none"/>
              </w:rPr>
            </w:pPr>
            <w:r>
              <w:rPr>
                <w:color w:val="auto"/>
                <w:highlight w:val="none"/>
              </w:rPr>
              <w:t>2.时长要求：以中文版课程介绍视频时长为基础参照，结合英文语言的表达节奏、句式结构特点进行适当调整，确保完整覆盖核心内容。</w:t>
            </w:r>
          </w:p>
          <w:p w14:paraId="0F7BAB90">
            <w:pPr>
              <w:pStyle w:val="7"/>
              <w:rPr>
                <w:color w:val="auto"/>
                <w:highlight w:val="none"/>
              </w:rPr>
            </w:pPr>
            <w:r>
              <w:rPr>
                <w:color w:val="auto"/>
                <w:highlight w:val="none"/>
              </w:rPr>
              <w:t>3.语言及字幕要求：英文讲解，单行英文字幕，字幕文本与讲解语音同步。</w:t>
            </w:r>
          </w:p>
          <w:p w14:paraId="507958B3">
            <w:pPr>
              <w:pStyle w:val="7"/>
              <w:rPr>
                <w:color w:val="auto"/>
                <w:highlight w:val="none"/>
              </w:rPr>
            </w:pPr>
            <w:r>
              <w:rPr>
                <w:rFonts w:hint="eastAsia"/>
                <w:color w:val="auto"/>
                <w:highlight w:val="none"/>
              </w:rPr>
              <w:t>七、微课（中文版）</w:t>
            </w:r>
            <w:r>
              <w:rPr>
                <w:color w:val="auto"/>
                <w:highlight w:val="none"/>
              </w:rPr>
              <w:br w:type="textWrapping"/>
            </w:r>
            <w:r>
              <w:rPr>
                <w:color w:val="auto"/>
                <w:highlight w:val="none"/>
              </w:rPr>
              <w:t>微课是对课程中知识点/技能点的完整呈现。根据课程大纲中的内容撰写脚本，采用真人出镜的形式拍摄，并剪辑制作完成。也可采用基于AI技术完成，通过多种采集设备，获取真实人物的形象与声音的多维度数据，运用人工智能技术、深度学习算法，借助高算力服务器，对采集到的数据进行分析、学习与处理。基于学习到的特征和模式，使用大模型创建数字人的虚拟形象、合成声音，用于课程后期制作。这能够有效减少教师的课程录制时间，减轻老师的负担，提高教学效率与效果。</w:t>
            </w:r>
          </w:p>
          <w:p w14:paraId="182AB5C5">
            <w:pPr>
              <w:pStyle w:val="7"/>
              <w:rPr>
                <w:color w:val="auto"/>
                <w:highlight w:val="none"/>
              </w:rPr>
            </w:pPr>
            <w:r>
              <w:rPr>
                <w:color w:val="auto"/>
                <w:highlight w:val="none"/>
              </w:rPr>
              <w:t>1.内容要求：</w:t>
            </w:r>
          </w:p>
          <w:p w14:paraId="249A00AE">
            <w:pPr>
              <w:pStyle w:val="7"/>
              <w:rPr>
                <w:color w:val="auto"/>
                <w:highlight w:val="none"/>
              </w:rPr>
            </w:pPr>
            <w:r>
              <w:rPr>
                <w:color w:val="auto"/>
                <w:highlight w:val="none"/>
              </w:rPr>
              <w:t>（1）使用资料、图片、外景实拍、实验和表演等形象化教学手段，应符合教学内容要求，与讲授内容联系紧密，手段选用恰当；</w:t>
            </w:r>
          </w:p>
          <w:p w14:paraId="62C4AA91">
            <w:pPr>
              <w:pStyle w:val="7"/>
              <w:rPr>
                <w:color w:val="auto"/>
                <w:highlight w:val="none"/>
              </w:rPr>
            </w:pPr>
            <w:r>
              <w:rPr>
                <w:color w:val="auto"/>
                <w:highlight w:val="none"/>
              </w:rPr>
              <w:t>（2）选用影视作品或自拍素材时，应注明素材来源，影视作品或自拍素材中涉及人物访谈内容时，应加注人物介绍；</w:t>
            </w:r>
          </w:p>
          <w:p w14:paraId="4A8B5EB3">
            <w:pPr>
              <w:pStyle w:val="7"/>
              <w:rPr>
                <w:color w:val="auto"/>
                <w:highlight w:val="none"/>
              </w:rPr>
            </w:pPr>
            <w:r>
              <w:rPr>
                <w:color w:val="auto"/>
                <w:highlight w:val="none"/>
              </w:rPr>
              <w:t>（3）选用的资料、图片等素材画面应清楚，对于历史资料、图片应进行再加工，选用的资料、图片等素材应注明素材来源及原始信息（如字画的作品、生卒年月，影视片段的作品名称、创作年代等信息）。</w:t>
            </w:r>
          </w:p>
          <w:p w14:paraId="5117F073">
            <w:pPr>
              <w:pStyle w:val="7"/>
              <w:rPr>
                <w:color w:val="auto"/>
                <w:highlight w:val="none"/>
              </w:rPr>
            </w:pPr>
            <w:r>
              <w:rPr>
                <w:color w:val="auto"/>
                <w:highlight w:val="none"/>
              </w:rPr>
              <w:t>2.制作要求：</w:t>
            </w:r>
          </w:p>
          <w:p w14:paraId="08DD20BA">
            <w:pPr>
              <w:pStyle w:val="7"/>
              <w:rPr>
                <w:color w:val="auto"/>
                <w:highlight w:val="none"/>
              </w:rPr>
            </w:pPr>
            <w:r>
              <w:rPr>
                <w:color w:val="auto"/>
                <w:highlight w:val="none"/>
              </w:rPr>
              <w:t>（1）屏幕图像的构图合理，画面主体突出，人像及肢体动作以及配合讲授选用的板书、画板、教具实物、模型和实验设备等均不能超出镜头所及范围。</w:t>
            </w:r>
          </w:p>
          <w:p w14:paraId="60530A9F">
            <w:pPr>
              <w:pStyle w:val="7"/>
              <w:rPr>
                <w:color w:val="auto"/>
                <w:highlight w:val="none"/>
              </w:rPr>
            </w:pPr>
            <w:r>
              <w:rPr>
                <w:color w:val="auto"/>
                <w:highlight w:val="none"/>
              </w:rPr>
              <w:t>（2）微课的背景可采用彩色喷绘、电脑虚拟或现场实景等背景，背景的颜色、图案</w:t>
            </w:r>
            <w:r>
              <w:rPr>
                <w:rFonts w:hint="eastAsia"/>
                <w:color w:val="auto"/>
                <w:highlight w:val="none"/>
              </w:rPr>
              <w:t>不宜</w:t>
            </w:r>
            <w:r>
              <w:rPr>
                <w:color w:val="auto"/>
                <w:highlight w:val="none"/>
              </w:rPr>
              <w:t>过多，应保持静态，画面应简洁、明快，有利于营造学习气氛。</w:t>
            </w:r>
          </w:p>
          <w:p w14:paraId="71604A7A">
            <w:pPr>
              <w:pStyle w:val="7"/>
              <w:rPr>
                <w:color w:val="auto"/>
                <w:highlight w:val="none"/>
              </w:rPr>
            </w:pPr>
            <w:r>
              <w:rPr>
                <w:color w:val="auto"/>
                <w:highlight w:val="none"/>
              </w:rPr>
              <w:t>（3）摄像镜头应保持与主讲教师目光平视的角度，主讲教师不应较长时间仰视或俯视。</w:t>
            </w:r>
          </w:p>
          <w:p w14:paraId="72A3CC52">
            <w:pPr>
              <w:pStyle w:val="7"/>
              <w:rPr>
                <w:color w:val="auto"/>
                <w:highlight w:val="none"/>
              </w:rPr>
            </w:pPr>
            <w:r>
              <w:rPr>
                <w:color w:val="auto"/>
                <w:highlight w:val="none"/>
              </w:rPr>
              <w:t>（4）微课资源帧速率为25帧/秒，声音频道为2（立体声），每个时长5—10分钟。</w:t>
            </w:r>
          </w:p>
          <w:p w14:paraId="358019A7">
            <w:pPr>
              <w:pStyle w:val="7"/>
              <w:rPr>
                <w:color w:val="auto"/>
                <w:highlight w:val="none"/>
              </w:rPr>
            </w:pPr>
            <w:r>
              <w:rPr>
                <w:color w:val="auto"/>
                <w:highlight w:val="none"/>
              </w:rPr>
              <w:t>（5）视频信号源：</w:t>
            </w:r>
          </w:p>
          <w:p w14:paraId="13134912">
            <w:pPr>
              <w:pStyle w:val="7"/>
              <w:rPr>
                <w:color w:val="auto"/>
                <w:highlight w:val="none"/>
              </w:rPr>
            </w:pPr>
            <w:r>
              <w:rPr>
                <w:color w:val="auto"/>
                <w:highlight w:val="none"/>
              </w:rPr>
              <w:t>稳定性：全片图像同步性能稳定，无失步现象，图像无抖动跳跃，色彩无突变，编辑点处图像稳定；</w:t>
            </w:r>
          </w:p>
          <w:p w14:paraId="3D9C0ED2">
            <w:pPr>
              <w:pStyle w:val="7"/>
              <w:rPr>
                <w:color w:val="auto"/>
                <w:highlight w:val="none"/>
              </w:rPr>
            </w:pPr>
            <w:r>
              <w:rPr>
                <w:color w:val="auto"/>
                <w:highlight w:val="none"/>
              </w:rPr>
              <w:t>色调：白平衡正确，无明显偏色，多机拍摄的镜头衔接处无明显色差；</w:t>
            </w:r>
          </w:p>
          <w:p w14:paraId="55DC1204">
            <w:pPr>
              <w:pStyle w:val="7"/>
              <w:rPr>
                <w:color w:val="auto"/>
                <w:highlight w:val="none"/>
              </w:rPr>
            </w:pPr>
            <w:r>
              <w:rPr>
                <w:color w:val="auto"/>
                <w:highlight w:val="none"/>
              </w:rPr>
              <w:t>画幅：建议采用16:9，720p或1080p。</w:t>
            </w:r>
          </w:p>
          <w:p w14:paraId="14B7B83C">
            <w:pPr>
              <w:pStyle w:val="7"/>
              <w:rPr>
                <w:color w:val="auto"/>
                <w:highlight w:val="none"/>
              </w:rPr>
            </w:pPr>
            <w:r>
              <w:rPr>
                <w:color w:val="auto"/>
                <w:highlight w:val="none"/>
              </w:rPr>
              <w:t>（6）音频信号源：声音要求采用指向型专业级别话筒配备专业录音机，保障素材的高品质音质，确保素材伴音清晰、饱满，声音和画面同步，无交流声或其他杂音等缺陷；伴音清晰、饱满、圆润，无失真、噪声杂音干扰、音量忽大忽小现象，解说声与现场声无明显比例失调，解说声与背景音乐无明显比例失调。</w:t>
            </w:r>
          </w:p>
          <w:p w14:paraId="75425B8E">
            <w:pPr>
              <w:pStyle w:val="7"/>
              <w:rPr>
                <w:color w:val="auto"/>
                <w:highlight w:val="none"/>
              </w:rPr>
            </w:pPr>
            <w:r>
              <w:rPr>
                <w:color w:val="auto"/>
                <w:highlight w:val="none"/>
              </w:rPr>
              <w:t>（7）语言及字幕要求：中文讲解，单行中文字幕；字幕使用符合国家标准的标准字，不出现繁体字、异体字（国家规定技术要求的除外）、错别字；字幕的字体、大小、色彩搭配、摆放位置、停留时间、出入屏方式力求与其他要素（画面、解说词、音乐）配适宜当，不能破坏原有画面。</w:t>
            </w:r>
          </w:p>
          <w:p w14:paraId="20478801">
            <w:pPr>
              <w:pStyle w:val="7"/>
              <w:rPr>
                <w:color w:val="auto"/>
                <w:highlight w:val="none"/>
              </w:rPr>
            </w:pPr>
            <w:r>
              <w:rPr>
                <w:color w:val="auto"/>
                <w:highlight w:val="none"/>
              </w:rPr>
              <w:t>（8）视频压缩格式及技术参数：压缩采用H.264/AVC</w:t>
            </w:r>
            <w:r>
              <w:rPr>
                <w:rFonts w:hint="eastAsia"/>
                <w:color w:val="auto"/>
                <w:highlight w:val="none"/>
              </w:rPr>
              <w:t>（</w:t>
            </w:r>
            <w:r>
              <w:rPr>
                <w:color w:val="auto"/>
                <w:highlight w:val="none"/>
              </w:rPr>
              <w:t>MPEG-4Part10）编码、使用二次编码，包含字幕的MP4格式；</w:t>
            </w:r>
          </w:p>
          <w:p w14:paraId="50118CD1">
            <w:pPr>
              <w:pStyle w:val="7"/>
              <w:rPr>
                <w:color w:val="auto"/>
                <w:highlight w:val="none"/>
              </w:rPr>
            </w:pPr>
            <w:r>
              <w:rPr>
                <w:color w:val="auto"/>
                <w:highlight w:val="none"/>
              </w:rPr>
              <w:t>视频码流率：动态码流的最低码率不得低于1024Kb；</w:t>
            </w:r>
          </w:p>
          <w:p w14:paraId="1272C4B8">
            <w:pPr>
              <w:pStyle w:val="7"/>
              <w:rPr>
                <w:color w:val="auto"/>
                <w:highlight w:val="none"/>
              </w:rPr>
            </w:pPr>
            <w:r>
              <w:rPr>
                <w:color w:val="auto"/>
                <w:highlight w:val="none"/>
              </w:rPr>
              <w:t>视频分辨率：前期采用高清16:9拍摄，像素分辨率要≥1920*1080。</w:t>
            </w:r>
          </w:p>
          <w:p w14:paraId="4D033730">
            <w:pPr>
              <w:pStyle w:val="7"/>
              <w:rPr>
                <w:color w:val="auto"/>
                <w:highlight w:val="none"/>
              </w:rPr>
            </w:pPr>
            <w:r>
              <w:rPr>
                <w:color w:val="auto"/>
                <w:highlight w:val="none"/>
              </w:rPr>
              <w:t>（9）音频压缩格式及技术参数：音频压缩采用AAC</w:t>
            </w:r>
            <w:r>
              <w:rPr>
                <w:rFonts w:hint="eastAsia"/>
                <w:color w:val="auto"/>
                <w:highlight w:val="none"/>
              </w:rPr>
              <w:t>（</w:t>
            </w:r>
            <w:r>
              <w:rPr>
                <w:color w:val="auto"/>
                <w:highlight w:val="none"/>
              </w:rPr>
              <w:t>MPEG4Part3）格式；采样率48KHz；音频码流率128Kbps。</w:t>
            </w:r>
          </w:p>
          <w:p w14:paraId="04D3A154">
            <w:pPr>
              <w:pStyle w:val="7"/>
              <w:rPr>
                <w:color w:val="auto"/>
                <w:highlight w:val="none"/>
              </w:rPr>
            </w:pPr>
            <w:r>
              <w:rPr>
                <w:color w:val="auto"/>
                <w:highlight w:val="none"/>
              </w:rPr>
              <w:t>（10）对拍摄的视频进行后期非线性编辑工作，加入片头及片尾，根据需要加入字幕并进行部分后期录音及混音工作，对部分画面语言内容加入字幕，适当加入特效（如：重要文字信息的信息字幕条）。</w:t>
            </w:r>
          </w:p>
          <w:p w14:paraId="2B9E3CFD">
            <w:pPr>
              <w:pStyle w:val="7"/>
              <w:rPr>
                <w:color w:val="auto"/>
                <w:highlight w:val="none"/>
              </w:rPr>
            </w:pPr>
            <w:r>
              <w:rPr>
                <w:rFonts w:hint="eastAsia"/>
                <w:color w:val="auto"/>
                <w:highlight w:val="none"/>
              </w:rPr>
              <w:t>八、微课（英文版）</w:t>
            </w:r>
          </w:p>
          <w:p w14:paraId="2295EEB7">
            <w:pPr>
              <w:pStyle w:val="7"/>
              <w:rPr>
                <w:color w:val="auto"/>
                <w:highlight w:val="none"/>
              </w:rPr>
            </w:pPr>
            <w:r>
              <w:rPr>
                <w:color w:val="auto"/>
                <w:highlight w:val="none"/>
              </w:rPr>
              <w:t>以中文版微课为基准，严格遵循不同国家的语言使用习惯及相关规范标准开展翻译与制作工作，其中讲解语音、字幕文本及画面文字均由专业人员翻译而成，确保内容、表达风格与中文版微课核心主旨一致，同时适配英文受众的认知习惯。</w:t>
            </w:r>
          </w:p>
          <w:p w14:paraId="3FD5DA7C">
            <w:pPr>
              <w:pStyle w:val="7"/>
              <w:rPr>
                <w:color w:val="auto"/>
                <w:highlight w:val="none"/>
              </w:rPr>
            </w:pPr>
            <w:r>
              <w:rPr>
                <w:color w:val="auto"/>
                <w:highlight w:val="none"/>
              </w:rPr>
              <w:t>1.出镜方式：真人出镜录制与使用大模型创建数字人二者选其一。</w:t>
            </w:r>
          </w:p>
          <w:p w14:paraId="38743CDD">
            <w:pPr>
              <w:pStyle w:val="7"/>
              <w:rPr>
                <w:color w:val="auto"/>
                <w:highlight w:val="none"/>
              </w:rPr>
            </w:pPr>
            <w:r>
              <w:rPr>
                <w:color w:val="auto"/>
                <w:highlight w:val="none"/>
              </w:rPr>
              <w:t>（1）真人出镜录制：采用真人出镜的形式，教师出镜录制微课脚本的英文翻译，录制过程中应保证英文发音标准、语调自然。</w:t>
            </w:r>
          </w:p>
          <w:p w14:paraId="5BD38B59">
            <w:pPr>
              <w:pStyle w:val="7"/>
              <w:rPr>
                <w:color w:val="auto"/>
                <w:highlight w:val="none"/>
              </w:rPr>
            </w:pPr>
            <w:r>
              <w:rPr>
                <w:color w:val="auto"/>
                <w:highlight w:val="none"/>
              </w:rPr>
              <w:t>（2）大模型创建数字人：通过多种采集设备，获取真实人物形象与声音的多维度数据，运用人工智能技术、深度学习算法，借助高算力服务器，对采集到的数据进行分析、学习与处理。基于学习到的特征和模式，使用大模型创建数字人的虚拟形象、合成声音。数字人的外观应达到与真实人类相近的水平。数字人口型应与所发出的声音在时间上基本同步，形状和开合程度应大致符合所发音的常见口型特征。合成出的声音与原始声音在音色、音调和语速等方面有较高的相似性。合成的声音连贯、平稳，没有明显的卡顿、重复或跳跃。</w:t>
            </w:r>
          </w:p>
          <w:p w14:paraId="62CBB6E8">
            <w:pPr>
              <w:pStyle w:val="7"/>
              <w:rPr>
                <w:color w:val="auto"/>
                <w:highlight w:val="none"/>
              </w:rPr>
            </w:pPr>
            <w:r>
              <w:rPr>
                <w:color w:val="auto"/>
                <w:highlight w:val="none"/>
              </w:rPr>
              <w:t>2.时长要求：以中文版微课时长为基础参照，结合英文语言的表达节奏、句式结构特点进行适当调整，确保完整覆盖核心内容。</w:t>
            </w:r>
          </w:p>
          <w:p w14:paraId="48DD8E95">
            <w:pPr>
              <w:pStyle w:val="7"/>
              <w:rPr>
                <w:color w:val="auto"/>
                <w:highlight w:val="none"/>
              </w:rPr>
            </w:pPr>
            <w:r>
              <w:rPr>
                <w:color w:val="auto"/>
                <w:highlight w:val="none"/>
              </w:rPr>
              <w:t>3.语言及字幕要求：英文讲解，单行英文字幕，字幕文本与讲解语音同步。</w:t>
            </w:r>
          </w:p>
          <w:p w14:paraId="2B82953D">
            <w:pPr>
              <w:pStyle w:val="7"/>
              <w:rPr>
                <w:color w:val="auto"/>
                <w:highlight w:val="none"/>
              </w:rPr>
            </w:pPr>
            <w:r>
              <w:rPr>
                <w:rFonts w:hint="eastAsia"/>
                <w:color w:val="auto"/>
                <w:highlight w:val="none"/>
              </w:rPr>
              <w:t>九、动画（中文版）</w:t>
            </w:r>
          </w:p>
          <w:p w14:paraId="49894469">
            <w:pPr>
              <w:pStyle w:val="7"/>
              <w:rPr>
                <w:color w:val="auto"/>
                <w:highlight w:val="none"/>
              </w:rPr>
            </w:pPr>
            <w:r>
              <w:rPr>
                <w:color w:val="auto"/>
                <w:highlight w:val="none"/>
              </w:rPr>
              <w:t>利用二维动画技术来展示和解释概念、原理、流程等知识，一般选取教学任务中难实施、难观摩、难再现的内容制作而成。本次项目所涉及的动画主要指以使用 2D专业动画设计软件制作完成的动画。视频制作软件中自带的转场动画效果、PowerPoint中的动画及课件录屏效果均不包含在此范围内。</w:t>
            </w:r>
          </w:p>
          <w:p w14:paraId="26C12FC4">
            <w:pPr>
              <w:pStyle w:val="7"/>
              <w:rPr>
                <w:color w:val="auto"/>
                <w:highlight w:val="none"/>
              </w:rPr>
            </w:pPr>
            <w:r>
              <w:rPr>
                <w:color w:val="auto"/>
                <w:highlight w:val="none"/>
              </w:rPr>
              <w:t>1.内容要求：</w:t>
            </w:r>
          </w:p>
          <w:p w14:paraId="2DFB1C6A">
            <w:pPr>
              <w:pStyle w:val="7"/>
              <w:rPr>
                <w:color w:val="auto"/>
                <w:highlight w:val="none"/>
              </w:rPr>
            </w:pPr>
            <w:r>
              <w:rPr>
                <w:color w:val="auto"/>
                <w:highlight w:val="none"/>
              </w:rPr>
              <w:t>（1）动画内容符合我国法律法规，尊重各民族的风俗习惯，版权不存在争议。</w:t>
            </w:r>
          </w:p>
          <w:p w14:paraId="77C01DA5">
            <w:pPr>
              <w:pStyle w:val="7"/>
              <w:rPr>
                <w:color w:val="auto"/>
                <w:highlight w:val="none"/>
              </w:rPr>
            </w:pPr>
            <w:r>
              <w:rPr>
                <w:color w:val="auto"/>
                <w:highlight w:val="none"/>
              </w:rPr>
              <w:t>（2）假设其中包含少数民族或外国语言文字信息，应遵循其原内容完整性，使用原语言进行处理。</w:t>
            </w:r>
          </w:p>
          <w:p w14:paraId="5E3D8E02">
            <w:pPr>
              <w:pStyle w:val="7"/>
              <w:rPr>
                <w:color w:val="auto"/>
                <w:highlight w:val="none"/>
              </w:rPr>
            </w:pPr>
            <w:r>
              <w:rPr>
                <w:color w:val="auto"/>
                <w:highlight w:val="none"/>
              </w:rPr>
              <w:t>2.技术要求：</w:t>
            </w:r>
          </w:p>
          <w:p w14:paraId="34941B49">
            <w:pPr>
              <w:pStyle w:val="7"/>
              <w:rPr>
                <w:color w:val="auto"/>
                <w:highlight w:val="none"/>
              </w:rPr>
            </w:pPr>
            <w:r>
              <w:rPr>
                <w:color w:val="auto"/>
                <w:highlight w:val="none"/>
              </w:rPr>
              <w:t>（1）动画的开始要有醒目的、意义明确的标题，标题要能够体现动画所表现的内容，且具有一定的趣味性；</w:t>
            </w:r>
          </w:p>
          <w:p w14:paraId="6C28383B">
            <w:pPr>
              <w:pStyle w:val="7"/>
              <w:rPr>
                <w:color w:val="auto"/>
                <w:highlight w:val="none"/>
              </w:rPr>
            </w:pPr>
            <w:r>
              <w:rPr>
                <w:color w:val="auto"/>
                <w:highlight w:val="none"/>
              </w:rPr>
              <w:t>（2）动画中如果有文字，文字要醒目，文字的字体、字号与内容协调，字体颜色避免与背景色相近；</w:t>
            </w:r>
          </w:p>
          <w:p w14:paraId="67CEBCC1">
            <w:pPr>
              <w:pStyle w:val="7"/>
              <w:rPr>
                <w:color w:val="auto"/>
                <w:highlight w:val="none"/>
              </w:rPr>
            </w:pPr>
            <w:r>
              <w:rPr>
                <w:color w:val="auto"/>
                <w:highlight w:val="none"/>
              </w:rPr>
              <w:t xml:space="preserve">（3）动画色彩造型应和谐，画面简洁清晰，界面友好； </w:t>
            </w:r>
          </w:p>
          <w:p w14:paraId="5B5D8ED4">
            <w:pPr>
              <w:pStyle w:val="7"/>
              <w:rPr>
                <w:color w:val="auto"/>
                <w:highlight w:val="none"/>
              </w:rPr>
            </w:pPr>
            <w:r>
              <w:rPr>
                <w:color w:val="auto"/>
                <w:highlight w:val="none"/>
              </w:rPr>
              <w:t>（4）动画连续，节奏合适，帧和帧之间的关联性要强；</w:t>
            </w:r>
          </w:p>
          <w:p w14:paraId="65DFDFC8">
            <w:pPr>
              <w:pStyle w:val="7"/>
              <w:rPr>
                <w:color w:val="auto"/>
                <w:highlight w:val="none"/>
              </w:rPr>
            </w:pPr>
            <w:r>
              <w:rPr>
                <w:color w:val="auto"/>
                <w:highlight w:val="none"/>
              </w:rPr>
              <w:t>（5）聘请专业配音人员对动画进行中文配音、解说，配音要求普通话，咬字清楚，声音悦耳，音量适当，快慢适度。</w:t>
            </w:r>
          </w:p>
          <w:p w14:paraId="6409663A">
            <w:pPr>
              <w:pStyle w:val="7"/>
              <w:rPr>
                <w:color w:val="auto"/>
                <w:highlight w:val="none"/>
              </w:rPr>
            </w:pPr>
            <w:r>
              <w:rPr>
                <w:color w:val="auto"/>
                <w:highlight w:val="none"/>
              </w:rPr>
              <w:t>（6）动画如果有背景音乐，背景音乐音量不宜过大，音乐与内容相符。</w:t>
            </w:r>
          </w:p>
          <w:p w14:paraId="1186EDC9">
            <w:pPr>
              <w:pStyle w:val="7"/>
              <w:rPr>
                <w:color w:val="auto"/>
                <w:highlight w:val="none"/>
              </w:rPr>
            </w:pPr>
            <w:r>
              <w:rPr>
                <w:color w:val="auto"/>
                <w:highlight w:val="none"/>
              </w:rPr>
              <w:t>（7）动画演播过程要简洁、清晰、流畅，静止画面时间不超过5秒钟，且对主频2GHz的电脑CPU资源占用率低于30%；</w:t>
            </w:r>
          </w:p>
          <w:p w14:paraId="4F24B835">
            <w:pPr>
              <w:pStyle w:val="7"/>
              <w:rPr>
                <w:color w:val="auto"/>
                <w:highlight w:val="none"/>
              </w:rPr>
            </w:pPr>
            <w:r>
              <w:rPr>
                <w:color w:val="auto"/>
                <w:highlight w:val="none"/>
              </w:rPr>
              <w:t>（8）一般情况下，应设置暂停与播放控制按钮，当动画时间较长时应设置进度拖动条。</w:t>
            </w:r>
          </w:p>
          <w:p w14:paraId="6530471C">
            <w:pPr>
              <w:pStyle w:val="7"/>
              <w:rPr>
                <w:color w:val="auto"/>
                <w:highlight w:val="none"/>
              </w:rPr>
            </w:pPr>
            <w:r>
              <w:rPr>
                <w:color w:val="auto"/>
                <w:highlight w:val="none"/>
              </w:rPr>
              <w:t>（9）动画资源帧速率为25帧/秒，声音频道为2（立体声），每个时长1分钟以内。</w:t>
            </w:r>
          </w:p>
          <w:p w14:paraId="4293E654">
            <w:pPr>
              <w:pStyle w:val="7"/>
              <w:rPr>
                <w:color w:val="auto"/>
                <w:highlight w:val="none"/>
              </w:rPr>
            </w:pPr>
            <w:r>
              <w:rPr>
                <w:color w:val="auto"/>
                <w:highlight w:val="none"/>
              </w:rPr>
              <w:t>（10）支持*mp4格式。</w:t>
            </w:r>
          </w:p>
          <w:p w14:paraId="1BFFF606">
            <w:pPr>
              <w:pStyle w:val="7"/>
              <w:rPr>
                <w:color w:val="auto"/>
                <w:highlight w:val="none"/>
              </w:rPr>
            </w:pPr>
            <w:r>
              <w:rPr>
                <w:color w:val="auto"/>
                <w:highlight w:val="none"/>
              </w:rPr>
              <w:t>（11）存储格式：采用mp4存储格式。</w:t>
            </w:r>
          </w:p>
          <w:p w14:paraId="5D72D92E">
            <w:pPr>
              <w:pStyle w:val="7"/>
              <w:rPr>
                <w:color w:val="auto"/>
                <w:highlight w:val="none"/>
              </w:rPr>
            </w:pPr>
            <w:r>
              <w:rPr>
                <w:color w:val="auto"/>
                <w:highlight w:val="none"/>
              </w:rPr>
              <w:t>（12）语言及字幕要求：中文讲解，单行中文字幕；字幕使用符合国家标准的标准字，不出现繁体字、异体字（国家规定技术要求的除外）、错别字；字幕的字体、大小、色彩搭配、摆放位置、停留时间、出入屏方式力求与其他要素（画面、解说词、音乐）配适宜当，不能破坏原有画面。</w:t>
            </w:r>
          </w:p>
          <w:p w14:paraId="157FA904">
            <w:pPr>
              <w:pStyle w:val="7"/>
              <w:rPr>
                <w:color w:val="auto"/>
                <w:highlight w:val="none"/>
              </w:rPr>
            </w:pPr>
            <w:r>
              <w:rPr>
                <w:rFonts w:hint="eastAsia"/>
                <w:color w:val="auto"/>
                <w:highlight w:val="none"/>
              </w:rPr>
              <w:t>十、动画（英文版）</w:t>
            </w:r>
          </w:p>
          <w:p w14:paraId="52016784">
            <w:pPr>
              <w:pStyle w:val="7"/>
              <w:rPr>
                <w:color w:val="auto"/>
                <w:highlight w:val="none"/>
              </w:rPr>
            </w:pPr>
            <w:r>
              <w:rPr>
                <w:rFonts w:hint="eastAsia"/>
                <w:color w:val="auto"/>
                <w:highlight w:val="none"/>
              </w:rPr>
              <w:t>以中文版二维动画为基准，严格遵循不同国家的语言使用习惯及相关规范标准开展翻译与制作工作，其中讲解语音、字幕文本及画面文字均由专业人员翻译而成，确保内容、表达风格与中文版二维动画核心主旨一致，同时适配英文受众的认知习惯。</w:t>
            </w:r>
          </w:p>
          <w:p w14:paraId="45FA4545">
            <w:pPr>
              <w:pStyle w:val="7"/>
              <w:rPr>
                <w:color w:val="auto"/>
                <w:highlight w:val="none"/>
              </w:rPr>
            </w:pPr>
            <w:r>
              <w:rPr>
                <w:rFonts w:hint="eastAsia"/>
                <w:color w:val="auto"/>
                <w:highlight w:val="none"/>
              </w:rPr>
              <w:t>1.时长要求：以中文版二维动画时长为基础参照，结合英文语言的表达节奏、句式结构特点进行适当调整，确保完整覆盖核心内容。</w:t>
            </w:r>
          </w:p>
          <w:p w14:paraId="10F2BE44">
            <w:pPr>
              <w:pStyle w:val="7"/>
              <w:rPr>
                <w:color w:val="auto"/>
                <w:highlight w:val="none"/>
              </w:rPr>
            </w:pPr>
            <w:r>
              <w:rPr>
                <w:rFonts w:hint="eastAsia"/>
                <w:color w:val="auto"/>
                <w:highlight w:val="none"/>
              </w:rPr>
              <w:t>2.语言及字幕要求：英文讲解，单行英文字幕，字幕文本与讲解语音同步。</w:t>
            </w:r>
          </w:p>
          <w:p w14:paraId="4C12B418">
            <w:pPr>
              <w:pStyle w:val="7"/>
              <w:rPr>
                <w:color w:val="auto"/>
                <w:highlight w:val="none"/>
              </w:rPr>
            </w:pPr>
            <w:r>
              <w:rPr>
                <w:rFonts w:hint="eastAsia"/>
                <w:color w:val="auto"/>
                <w:highlight w:val="none"/>
              </w:rPr>
              <w:t>十一、题库（中文版）</w:t>
            </w:r>
          </w:p>
          <w:p w14:paraId="48317EED">
            <w:pPr>
              <w:pStyle w:val="7"/>
              <w:rPr>
                <w:color w:val="auto"/>
                <w:highlight w:val="none"/>
              </w:rPr>
            </w:pPr>
            <w:r>
              <w:rPr>
                <w:color w:val="auto"/>
                <w:highlight w:val="none"/>
              </w:rPr>
              <w:t>理论题库是用于课内练习的习题或课后布置给学生完成的作业。</w:t>
            </w:r>
          </w:p>
          <w:p w14:paraId="277529BD">
            <w:pPr>
              <w:pStyle w:val="7"/>
              <w:rPr>
                <w:color w:val="auto"/>
                <w:highlight w:val="none"/>
              </w:rPr>
            </w:pPr>
            <w:r>
              <w:rPr>
                <w:color w:val="auto"/>
                <w:highlight w:val="none"/>
              </w:rPr>
              <w:t>内容要求：</w:t>
            </w:r>
          </w:p>
          <w:p w14:paraId="42391738">
            <w:pPr>
              <w:pStyle w:val="7"/>
              <w:rPr>
                <w:color w:val="auto"/>
                <w:highlight w:val="none"/>
              </w:rPr>
            </w:pPr>
            <w:r>
              <w:rPr>
                <w:color w:val="auto"/>
                <w:highlight w:val="none"/>
              </w:rPr>
              <w:t>（1）确保考核全面、客观，题库中所含题目涉及每个知识点，并根据其难易程度及教学目标设置不同的难度系数及数量。</w:t>
            </w:r>
          </w:p>
          <w:p w14:paraId="5995FD8D">
            <w:pPr>
              <w:pStyle w:val="7"/>
              <w:rPr>
                <w:color w:val="auto"/>
                <w:highlight w:val="none"/>
              </w:rPr>
            </w:pPr>
            <w:r>
              <w:rPr>
                <w:color w:val="auto"/>
                <w:highlight w:val="none"/>
              </w:rPr>
              <w:t>（2）题型可以是单选、多选、判断、简答、案例分析等多种类型。</w:t>
            </w:r>
          </w:p>
          <w:p w14:paraId="55D3592A">
            <w:pPr>
              <w:pStyle w:val="7"/>
              <w:rPr>
                <w:color w:val="auto"/>
                <w:highlight w:val="none"/>
              </w:rPr>
            </w:pPr>
            <w:r>
              <w:rPr>
                <w:color w:val="auto"/>
                <w:highlight w:val="none"/>
              </w:rPr>
              <w:t>（3）每套理论题库包含200道题目。</w:t>
            </w:r>
          </w:p>
          <w:p w14:paraId="57E178AC">
            <w:pPr>
              <w:pStyle w:val="7"/>
              <w:rPr>
                <w:color w:val="auto"/>
                <w:highlight w:val="none"/>
              </w:rPr>
            </w:pPr>
            <w:r>
              <w:rPr>
                <w:color w:val="auto"/>
                <w:highlight w:val="none"/>
              </w:rPr>
              <w:t>（4）以中文形式呈现。</w:t>
            </w:r>
          </w:p>
          <w:p w14:paraId="1FE10CB4">
            <w:pPr>
              <w:pStyle w:val="7"/>
              <w:rPr>
                <w:color w:val="auto"/>
                <w:highlight w:val="none"/>
              </w:rPr>
            </w:pPr>
            <w:r>
              <w:rPr>
                <w:rFonts w:hint="eastAsia"/>
                <w:color w:val="auto"/>
                <w:highlight w:val="none"/>
              </w:rPr>
              <w:t>十二、题库（英文版）</w:t>
            </w:r>
          </w:p>
          <w:p w14:paraId="0324E558">
            <w:pPr>
              <w:pStyle w:val="7"/>
              <w:rPr>
                <w:color w:val="auto"/>
                <w:highlight w:val="none"/>
              </w:rPr>
            </w:pPr>
            <w:r>
              <w:rPr>
                <w:color w:val="auto"/>
                <w:highlight w:val="none"/>
              </w:rPr>
              <w:t>以中文版理论题库为基准，严格遵循不同国家的语言使用习惯及相关规范标准开展翻译与制作工作，题干、答案等均以英文形式呈现。</w:t>
            </w:r>
          </w:p>
          <w:p w14:paraId="66AC425B">
            <w:pPr>
              <w:pStyle w:val="7"/>
              <w:rPr>
                <w:color w:val="auto"/>
                <w:highlight w:val="none"/>
              </w:rPr>
            </w:pPr>
            <w:r>
              <w:rPr>
                <w:rFonts w:hint="eastAsia"/>
                <w:color w:val="auto"/>
                <w:highlight w:val="none"/>
              </w:rPr>
              <w:t>十三、PPT课件（中文版）</w:t>
            </w:r>
          </w:p>
          <w:p w14:paraId="4A35D428">
            <w:pPr>
              <w:pStyle w:val="7"/>
              <w:rPr>
                <w:color w:val="auto"/>
                <w:highlight w:val="none"/>
              </w:rPr>
            </w:pPr>
            <w:r>
              <w:rPr>
                <w:color w:val="auto"/>
                <w:highlight w:val="none"/>
              </w:rPr>
              <w:t>根据课程大纲内容，立足于方便教学、逻辑梳理的原则，采取按照任务或按照项目的方式制作。</w:t>
            </w:r>
          </w:p>
          <w:p w14:paraId="1355FA83">
            <w:pPr>
              <w:pStyle w:val="7"/>
              <w:rPr>
                <w:color w:val="auto"/>
                <w:highlight w:val="none"/>
              </w:rPr>
            </w:pPr>
            <w:r>
              <w:rPr>
                <w:color w:val="auto"/>
                <w:highlight w:val="none"/>
              </w:rPr>
              <w:t>1</w:t>
            </w:r>
            <w:r>
              <w:rPr>
                <w:rFonts w:hint="eastAsia"/>
                <w:color w:val="auto"/>
                <w:highlight w:val="none"/>
              </w:rPr>
              <w:t>.</w:t>
            </w:r>
            <w:r>
              <w:rPr>
                <w:color w:val="auto"/>
                <w:highlight w:val="none"/>
              </w:rPr>
              <w:t>内容要求：</w:t>
            </w:r>
          </w:p>
          <w:p w14:paraId="1C37E95B">
            <w:pPr>
              <w:pStyle w:val="7"/>
              <w:rPr>
                <w:color w:val="auto"/>
                <w:highlight w:val="none"/>
              </w:rPr>
            </w:pPr>
            <w:r>
              <w:rPr>
                <w:color w:val="auto"/>
                <w:highlight w:val="none"/>
              </w:rPr>
              <w:t>（1）教学课件内容需要根据课程大纲中的任务或者知识点进行撰写，字体、字号根据制作要求进行设置，内容呈现多用图形、图表形式展示，尽量少用简单的图片加文字的形式。</w:t>
            </w:r>
          </w:p>
          <w:p w14:paraId="1BD7858B">
            <w:pPr>
              <w:pStyle w:val="7"/>
              <w:rPr>
                <w:color w:val="auto"/>
                <w:highlight w:val="none"/>
              </w:rPr>
            </w:pPr>
            <w:r>
              <w:rPr>
                <w:color w:val="auto"/>
                <w:highlight w:val="none"/>
              </w:rPr>
              <w:t>（2）制作要求每个在10-20页。</w:t>
            </w:r>
          </w:p>
          <w:p w14:paraId="4EB20502">
            <w:pPr>
              <w:pStyle w:val="7"/>
              <w:rPr>
                <w:color w:val="auto"/>
                <w:highlight w:val="none"/>
              </w:rPr>
            </w:pPr>
            <w:r>
              <w:rPr>
                <w:color w:val="auto"/>
                <w:highlight w:val="none"/>
              </w:rPr>
              <w:t>2</w:t>
            </w:r>
            <w:r>
              <w:rPr>
                <w:rFonts w:hint="eastAsia"/>
                <w:color w:val="auto"/>
                <w:highlight w:val="none"/>
              </w:rPr>
              <w:t>.</w:t>
            </w:r>
            <w:r>
              <w:rPr>
                <w:color w:val="auto"/>
                <w:highlight w:val="none"/>
              </w:rPr>
              <w:t>技术要求：</w:t>
            </w:r>
          </w:p>
          <w:p w14:paraId="55965261">
            <w:pPr>
              <w:pStyle w:val="7"/>
              <w:rPr>
                <w:color w:val="auto"/>
                <w:highlight w:val="none"/>
              </w:rPr>
            </w:pPr>
            <w:r>
              <w:rPr>
                <w:color w:val="auto"/>
                <w:highlight w:val="none"/>
              </w:rPr>
              <w:t>（1）教学课件（PPT）内容丰富，可集文字、图形、图像、声音以及视频等多种媒体元素于一体；页面设置要求符合高清格式比例，幻灯片大小为“全屏显示16：9”；整体效果应风格统一、色彩协调、美观大方。</w:t>
            </w:r>
          </w:p>
          <w:p w14:paraId="7CA7ADA9">
            <w:pPr>
              <w:pStyle w:val="7"/>
              <w:rPr>
                <w:color w:val="auto"/>
                <w:highlight w:val="none"/>
              </w:rPr>
            </w:pPr>
            <w:r>
              <w:rPr>
                <w:color w:val="auto"/>
                <w:highlight w:val="none"/>
              </w:rPr>
              <w:t>（2）字体与字号：字体、字号、颜色、行间距等要美观、统一。</w:t>
            </w:r>
          </w:p>
          <w:p w14:paraId="54932686">
            <w:pPr>
              <w:pStyle w:val="7"/>
              <w:rPr>
                <w:color w:val="auto"/>
                <w:highlight w:val="none"/>
              </w:rPr>
            </w:pPr>
            <w:r>
              <w:rPr>
                <w:color w:val="auto"/>
                <w:highlight w:val="none"/>
              </w:rPr>
              <w:t>（3）版心与版式：每页四周留出空白，应避免内容顶到页面边缘，边界安全区域分别为左、右130像素内，上、下90像素内。</w:t>
            </w:r>
          </w:p>
          <w:p w14:paraId="433A6A37">
            <w:pPr>
              <w:pStyle w:val="7"/>
              <w:rPr>
                <w:color w:val="auto"/>
                <w:highlight w:val="none"/>
              </w:rPr>
            </w:pPr>
            <w:r>
              <w:rPr>
                <w:color w:val="auto"/>
                <w:highlight w:val="none"/>
              </w:rPr>
              <w:t>（4）背景：背景色以简洁适中饱和度为主（颜色保持在一至两种色系内）；背景和场景不宜变化过多；文字、图形等内容应与背景对比醒目。</w:t>
            </w:r>
          </w:p>
          <w:p w14:paraId="00A5FE93">
            <w:pPr>
              <w:pStyle w:val="7"/>
              <w:rPr>
                <w:color w:val="auto"/>
                <w:highlight w:val="none"/>
              </w:rPr>
            </w:pPr>
            <w:r>
              <w:rPr>
                <w:color w:val="auto"/>
                <w:highlight w:val="none"/>
              </w:rPr>
              <w:t>（5）色调：色彩的选配应与课程科目相吻合；可选一种主色调再加上一至两种辅助色进行匹配；同一屏里文字不宜超出三种颜色。</w:t>
            </w:r>
          </w:p>
          <w:p w14:paraId="13451BE0">
            <w:pPr>
              <w:pStyle w:val="7"/>
              <w:rPr>
                <w:color w:val="auto"/>
                <w:highlight w:val="none"/>
              </w:rPr>
            </w:pPr>
            <w:r>
              <w:rPr>
                <w:color w:val="auto"/>
                <w:highlight w:val="none"/>
              </w:rPr>
              <w:t>（6）字距与行距：</w:t>
            </w:r>
          </w:p>
          <w:p w14:paraId="259144B7">
            <w:pPr>
              <w:pStyle w:val="7"/>
              <w:rPr>
                <w:color w:val="auto"/>
                <w:highlight w:val="none"/>
              </w:rPr>
            </w:pPr>
            <w:r>
              <w:rPr>
                <w:color w:val="auto"/>
                <w:highlight w:val="none"/>
              </w:rPr>
              <w:t>标题：在文字少的情形下，字距放宽一倍体现舒展性；</w:t>
            </w:r>
          </w:p>
          <w:p w14:paraId="61630F44">
            <w:pPr>
              <w:pStyle w:val="7"/>
              <w:rPr>
                <w:color w:val="auto"/>
                <w:highlight w:val="none"/>
              </w:rPr>
            </w:pPr>
            <w:r>
              <w:rPr>
                <w:color w:val="auto"/>
                <w:highlight w:val="none"/>
              </w:rPr>
              <w:t>正文：行距使用1行或1.5行，便于阅读。</w:t>
            </w:r>
          </w:p>
          <w:p w14:paraId="4DD58C83">
            <w:pPr>
              <w:pStyle w:val="7"/>
              <w:rPr>
                <w:color w:val="auto"/>
                <w:highlight w:val="none"/>
              </w:rPr>
            </w:pPr>
            <w:r>
              <w:rPr>
                <w:color w:val="auto"/>
                <w:highlight w:val="none"/>
              </w:rPr>
              <w:t>（7）配图：图像应清晰并能反映出内容主题思想，分辨率应上72dpi以上；图片不可加长或压窄，防止变形；图形使用应通俗易懂，便于理解。</w:t>
            </w:r>
          </w:p>
          <w:p w14:paraId="6615C495">
            <w:pPr>
              <w:pStyle w:val="7"/>
              <w:rPr>
                <w:color w:val="auto"/>
                <w:highlight w:val="none"/>
              </w:rPr>
            </w:pPr>
            <w:r>
              <w:rPr>
                <w:color w:val="auto"/>
                <w:highlight w:val="none"/>
              </w:rPr>
              <w:t>（8）修饰：细线条的运用比粗线条更显精致；扁平式的装饰更接近时代审美；有趣味的装饰通常更能吸引人。</w:t>
            </w:r>
          </w:p>
          <w:p w14:paraId="62BAA3C6">
            <w:pPr>
              <w:pStyle w:val="7"/>
              <w:rPr>
                <w:color w:val="auto"/>
                <w:highlight w:val="none"/>
              </w:rPr>
            </w:pPr>
            <w:r>
              <w:rPr>
                <w:color w:val="auto"/>
                <w:highlight w:val="none"/>
              </w:rPr>
              <w:t>（9）模板：模板朴素、大方，颜色适宜，便于长时间观看；在模板的适当位置标明课程名称、模块</w:t>
            </w:r>
            <w:r>
              <w:rPr>
                <w:rFonts w:hint="eastAsia"/>
                <w:color w:val="auto"/>
                <w:highlight w:val="none"/>
              </w:rPr>
              <w:t>（</w:t>
            </w:r>
            <w:r>
              <w:rPr>
                <w:color w:val="auto"/>
                <w:highlight w:val="none"/>
              </w:rPr>
              <w:t>章或节</w:t>
            </w:r>
            <w:r>
              <w:rPr>
                <w:rFonts w:hint="eastAsia"/>
                <w:color w:val="auto"/>
                <w:highlight w:val="none"/>
              </w:rPr>
              <w:t>）</w:t>
            </w:r>
            <w:r>
              <w:rPr>
                <w:color w:val="auto"/>
                <w:highlight w:val="none"/>
              </w:rPr>
              <w:t>序号与模块</w:t>
            </w:r>
            <w:r>
              <w:rPr>
                <w:rFonts w:hint="eastAsia"/>
                <w:color w:val="auto"/>
                <w:highlight w:val="none"/>
              </w:rPr>
              <w:t>（</w:t>
            </w:r>
            <w:r>
              <w:rPr>
                <w:color w:val="auto"/>
                <w:highlight w:val="none"/>
              </w:rPr>
              <w:t>章或节</w:t>
            </w:r>
            <w:r>
              <w:rPr>
                <w:rFonts w:hint="eastAsia"/>
                <w:color w:val="auto"/>
                <w:highlight w:val="none"/>
              </w:rPr>
              <w:t>）</w:t>
            </w:r>
            <w:r>
              <w:rPr>
                <w:color w:val="auto"/>
                <w:highlight w:val="none"/>
              </w:rPr>
              <w:t>的名称。</w:t>
            </w:r>
          </w:p>
          <w:p w14:paraId="66511C70">
            <w:pPr>
              <w:pStyle w:val="7"/>
              <w:rPr>
                <w:color w:val="auto"/>
                <w:highlight w:val="none"/>
              </w:rPr>
            </w:pPr>
            <w:r>
              <w:rPr>
                <w:color w:val="auto"/>
                <w:highlight w:val="none"/>
              </w:rPr>
              <w:t>（10）以中文形式呈现。</w:t>
            </w:r>
          </w:p>
          <w:p w14:paraId="5C410983">
            <w:pPr>
              <w:pStyle w:val="7"/>
              <w:rPr>
                <w:color w:val="auto"/>
                <w:highlight w:val="none"/>
              </w:rPr>
            </w:pPr>
            <w:r>
              <w:rPr>
                <w:rFonts w:hint="eastAsia"/>
                <w:color w:val="auto"/>
                <w:highlight w:val="none"/>
              </w:rPr>
              <w:t>十四、PPT课件（英文版）</w:t>
            </w:r>
          </w:p>
          <w:p w14:paraId="34C8074D">
            <w:pPr>
              <w:pStyle w:val="7"/>
              <w:rPr>
                <w:color w:val="auto"/>
                <w:highlight w:val="none"/>
              </w:rPr>
            </w:pPr>
            <w:r>
              <w:rPr>
                <w:color w:val="auto"/>
                <w:highlight w:val="none"/>
              </w:rPr>
              <w:t>以中文版教学课件为基准，严格遵循不同国家的语言使用习惯及相关规范标准开展翻译与制作工作。</w:t>
            </w:r>
          </w:p>
          <w:p w14:paraId="31C9BCED">
            <w:pPr>
              <w:pStyle w:val="7"/>
              <w:rPr>
                <w:color w:val="auto"/>
                <w:highlight w:val="none"/>
              </w:rPr>
            </w:pPr>
            <w:r>
              <w:rPr>
                <w:color w:val="auto"/>
                <w:highlight w:val="none"/>
              </w:rPr>
              <w:t>版式设计与内容编排均以教学课件（中文）为基准，课件数量和页数与教学课件（中文）相对应。</w:t>
            </w:r>
          </w:p>
          <w:p w14:paraId="4F2278FE">
            <w:pPr>
              <w:pStyle w:val="7"/>
              <w:rPr>
                <w:color w:val="auto"/>
                <w:highlight w:val="none"/>
              </w:rPr>
            </w:pPr>
            <w:r>
              <w:rPr>
                <w:rFonts w:hint="eastAsia"/>
                <w:color w:val="auto"/>
                <w:highlight w:val="none"/>
              </w:rPr>
              <w:t>十五、课程标准</w:t>
            </w:r>
          </w:p>
          <w:p w14:paraId="48F27F7B">
            <w:pPr>
              <w:pStyle w:val="7"/>
              <w:rPr>
                <w:color w:val="auto"/>
                <w:highlight w:val="none"/>
              </w:rPr>
            </w:pPr>
            <w:r>
              <w:rPr>
                <w:color w:val="auto"/>
                <w:highlight w:val="none"/>
              </w:rPr>
              <w:t>1.完成</w:t>
            </w:r>
            <w:r>
              <w:rPr>
                <w:rFonts w:hint="eastAsia"/>
                <w:color w:val="auto"/>
                <w:highlight w:val="none"/>
              </w:rPr>
              <w:t>《中华老字号茶文化》</w:t>
            </w:r>
            <w:r>
              <w:rPr>
                <w:color w:val="auto"/>
                <w:highlight w:val="none"/>
              </w:rPr>
              <w:t>课程的</w:t>
            </w:r>
            <w:r>
              <w:rPr>
                <w:rFonts w:hint="eastAsia"/>
                <w:color w:val="auto"/>
                <w:highlight w:val="none"/>
              </w:rPr>
              <w:t>一带一路国家</w:t>
            </w:r>
            <w:r>
              <w:rPr>
                <w:color w:val="auto"/>
                <w:highlight w:val="none"/>
              </w:rPr>
              <w:t>认证工作。认证单位为</w:t>
            </w:r>
            <w:r>
              <w:rPr>
                <w:rFonts w:hint="eastAsia"/>
                <w:color w:val="auto"/>
                <w:highlight w:val="none"/>
              </w:rPr>
              <w:t>一带一路国家的</w:t>
            </w:r>
            <w:r>
              <w:rPr>
                <w:color w:val="auto"/>
                <w:highlight w:val="none"/>
              </w:rPr>
              <w:t>省级及以上职业教育主管机构</w:t>
            </w:r>
            <w:r>
              <w:rPr>
                <w:color w:val="auto"/>
                <w:highlight w:val="none"/>
              </w:rPr>
              <w:t>。</w:t>
            </w:r>
            <w:r>
              <w:rPr>
                <w:rFonts w:hint="eastAsia"/>
                <w:color w:val="auto"/>
                <w:highlight w:val="none"/>
              </w:rPr>
              <w:t>（</w:t>
            </w:r>
            <w:r>
              <w:rPr>
                <w:rFonts w:hint="eastAsia"/>
                <w:b/>
                <w:bCs/>
                <w:color w:val="auto"/>
                <w:highlight w:val="none"/>
              </w:rPr>
              <w:t>投标人</w:t>
            </w:r>
            <w:r>
              <w:rPr>
                <w:b/>
                <w:bCs/>
                <w:color w:val="auto"/>
                <w:highlight w:val="none"/>
              </w:rPr>
              <w:t>须在</w:t>
            </w:r>
            <w:r>
              <w:rPr>
                <w:rFonts w:hint="eastAsia"/>
                <w:b/>
                <w:bCs/>
                <w:color w:val="auto"/>
                <w:highlight w:val="none"/>
              </w:rPr>
              <w:t>投标文件</w:t>
            </w:r>
            <w:r>
              <w:rPr>
                <w:b/>
                <w:bCs/>
                <w:color w:val="auto"/>
                <w:highlight w:val="none"/>
              </w:rPr>
              <w:t>中对其作出专项承诺</w:t>
            </w:r>
            <w:r>
              <w:rPr>
                <w:rFonts w:hint="eastAsia"/>
                <w:color w:val="auto"/>
                <w:highlight w:val="none"/>
              </w:rPr>
              <w:t>）</w:t>
            </w:r>
            <w:r>
              <w:rPr>
                <w:color w:val="auto"/>
                <w:highlight w:val="none"/>
              </w:rPr>
              <w:br w:type="textWrapping"/>
            </w:r>
            <w:r>
              <w:rPr>
                <w:rFonts w:hint="eastAsia"/>
                <w:color w:val="auto"/>
                <w:highlight w:val="none"/>
              </w:rPr>
              <w:t xml:space="preserve">   </w:t>
            </w:r>
            <w:r>
              <w:rPr>
                <w:color w:val="auto"/>
                <w:highlight w:val="none"/>
              </w:rPr>
              <w:t>2.获得</w:t>
            </w:r>
            <w:r>
              <w:rPr>
                <w:rFonts w:hint="eastAsia"/>
                <w:color w:val="auto"/>
                <w:highlight w:val="none"/>
              </w:rPr>
              <w:t>一带一路国家的</w:t>
            </w:r>
            <w:r>
              <w:rPr>
                <w:color w:val="auto"/>
                <w:highlight w:val="none"/>
              </w:rPr>
              <w:t>省级及以上职业教育主管机构</w:t>
            </w:r>
            <w:r>
              <w:rPr>
                <w:rFonts w:hint="eastAsia"/>
                <w:color w:val="auto"/>
                <w:highlight w:val="none"/>
              </w:rPr>
              <w:t>签章</w:t>
            </w:r>
            <w:r>
              <w:rPr>
                <w:color w:val="auto"/>
                <w:highlight w:val="none"/>
              </w:rPr>
              <w:t>的认证证书。</w:t>
            </w:r>
            <w:r>
              <w:rPr>
                <w:rFonts w:hint="eastAsia"/>
                <w:color w:val="auto"/>
                <w:highlight w:val="none"/>
              </w:rPr>
              <w:t>（</w:t>
            </w:r>
            <w:r>
              <w:rPr>
                <w:rFonts w:hint="eastAsia"/>
                <w:b/>
                <w:bCs/>
                <w:color w:val="auto"/>
                <w:highlight w:val="none"/>
              </w:rPr>
              <w:t>投标人</w:t>
            </w:r>
            <w:r>
              <w:rPr>
                <w:b/>
                <w:bCs/>
                <w:color w:val="auto"/>
                <w:highlight w:val="none"/>
              </w:rPr>
              <w:t>须在</w:t>
            </w:r>
            <w:r>
              <w:rPr>
                <w:rFonts w:hint="eastAsia"/>
                <w:b/>
                <w:bCs/>
                <w:color w:val="auto"/>
                <w:highlight w:val="none"/>
              </w:rPr>
              <w:t>投标文件</w:t>
            </w:r>
            <w:r>
              <w:rPr>
                <w:b/>
                <w:bCs/>
                <w:color w:val="auto"/>
                <w:highlight w:val="none"/>
              </w:rPr>
              <w:t>中对其作出专项承诺</w:t>
            </w:r>
            <w:r>
              <w:rPr>
                <w:rFonts w:hint="eastAsia"/>
                <w:color w:val="auto"/>
                <w:highlight w:val="none"/>
              </w:rPr>
              <w:t>，</w:t>
            </w:r>
            <w:r>
              <w:rPr>
                <w:rFonts w:hint="eastAsia"/>
                <w:b/>
                <w:bCs/>
                <w:color w:val="auto"/>
                <w:highlight w:val="none"/>
              </w:rPr>
              <w:t>并提供国际化课程认证证书项目案例佐证：一带一路国家的</w:t>
            </w:r>
            <w:r>
              <w:rPr>
                <w:b/>
                <w:bCs/>
                <w:color w:val="auto"/>
                <w:highlight w:val="none"/>
              </w:rPr>
              <w:t>省级及以上职业教育主管机构</w:t>
            </w:r>
            <w:r>
              <w:rPr>
                <w:rFonts w:hint="eastAsia"/>
                <w:b/>
                <w:bCs/>
                <w:color w:val="auto"/>
                <w:highlight w:val="none"/>
              </w:rPr>
              <w:t>签章的认证证书）</w:t>
            </w:r>
          </w:p>
          <w:p w14:paraId="402C44F0">
            <w:pPr>
              <w:pStyle w:val="7"/>
              <w:rPr>
                <w:color w:val="auto"/>
                <w:highlight w:val="none"/>
              </w:rPr>
            </w:pPr>
            <w:r>
              <w:rPr>
                <w:color w:val="auto"/>
                <w:highlight w:val="none"/>
              </w:rPr>
              <w:t>3</w:t>
            </w:r>
            <w:r>
              <w:rPr>
                <w:b/>
                <w:bCs/>
                <w:color w:val="auto"/>
                <w:highlight w:val="none"/>
              </w:rPr>
              <w:t>.</w:t>
            </w:r>
            <w:r>
              <w:rPr>
                <w:rFonts w:hint="eastAsia"/>
                <w:b/>
                <w:bCs/>
                <w:color w:val="auto"/>
                <w:highlight w:val="none"/>
              </w:rPr>
              <w:t>投标人</w:t>
            </w:r>
            <w:r>
              <w:rPr>
                <w:b/>
                <w:bCs/>
                <w:color w:val="auto"/>
                <w:highlight w:val="none"/>
              </w:rPr>
              <w:t>承诺具备完成本项目</w:t>
            </w:r>
            <w:r>
              <w:rPr>
                <w:rFonts w:hint="eastAsia"/>
                <w:b/>
                <w:bCs/>
                <w:color w:val="auto"/>
                <w:highlight w:val="none"/>
              </w:rPr>
              <w:t>国际化</w:t>
            </w:r>
            <w:r>
              <w:rPr>
                <w:b/>
                <w:bCs/>
                <w:color w:val="auto"/>
                <w:highlight w:val="none"/>
              </w:rPr>
              <w:t>认证工作的能力，须在</w:t>
            </w:r>
            <w:r>
              <w:rPr>
                <w:rFonts w:hint="eastAsia"/>
                <w:b/>
                <w:bCs/>
                <w:color w:val="auto"/>
                <w:highlight w:val="none"/>
              </w:rPr>
              <w:t>投标文件</w:t>
            </w:r>
            <w:r>
              <w:rPr>
                <w:b/>
                <w:bCs/>
                <w:color w:val="auto"/>
                <w:highlight w:val="none"/>
              </w:rPr>
              <w:t>中对其作出专项承诺</w:t>
            </w:r>
            <w:r>
              <w:rPr>
                <w:color w:val="auto"/>
                <w:highlight w:val="none"/>
              </w:rPr>
              <w:t>。</w:t>
            </w:r>
          </w:p>
          <w:p w14:paraId="07503FB9">
            <w:pPr>
              <w:pStyle w:val="7"/>
              <w:rPr>
                <w:color w:val="auto"/>
                <w:highlight w:val="none"/>
              </w:rPr>
            </w:pPr>
            <w:r>
              <w:rPr>
                <w:rFonts w:hint="eastAsia"/>
                <w:color w:val="auto"/>
                <w:highlight w:val="none"/>
              </w:rPr>
              <w:t>十六、课程使用推广证明</w:t>
            </w:r>
          </w:p>
          <w:p w14:paraId="58A402ED">
            <w:pPr>
              <w:pStyle w:val="7"/>
              <w:rPr>
                <w:color w:val="auto"/>
                <w:highlight w:val="none"/>
              </w:rPr>
            </w:pPr>
            <w:r>
              <w:rPr>
                <w:color w:val="auto"/>
                <w:highlight w:val="none"/>
              </w:rPr>
              <w:t>1</w:t>
            </w:r>
            <w:r>
              <w:rPr>
                <w:rFonts w:hint="eastAsia"/>
                <w:color w:val="auto"/>
                <w:highlight w:val="none"/>
              </w:rPr>
              <w:t>.投标人</w:t>
            </w:r>
            <w:r>
              <w:rPr>
                <w:color w:val="auto"/>
                <w:highlight w:val="none"/>
              </w:rPr>
              <w:t>需协调</w:t>
            </w:r>
            <w:r>
              <w:rPr>
                <w:rFonts w:hint="eastAsia"/>
                <w:color w:val="auto"/>
                <w:highlight w:val="none"/>
              </w:rPr>
              <w:t>《中华老字号茶文化》</w:t>
            </w:r>
            <w:r>
              <w:rPr>
                <w:color w:val="auto"/>
                <w:highlight w:val="none"/>
              </w:rPr>
              <w:t>课程在</w:t>
            </w:r>
            <w:r>
              <w:rPr>
                <w:rFonts w:hint="eastAsia"/>
                <w:color w:val="auto"/>
                <w:highlight w:val="none"/>
              </w:rPr>
              <w:t>一带一路国家的</w:t>
            </w:r>
            <w:r>
              <w:rPr>
                <w:color w:val="auto"/>
                <w:highlight w:val="none"/>
              </w:rPr>
              <w:t>职业院校进</w:t>
            </w:r>
            <w:r>
              <w:rPr>
                <w:rFonts w:hint="eastAsia"/>
                <w:color w:val="auto"/>
                <w:highlight w:val="none"/>
              </w:rPr>
              <w:t>行</w:t>
            </w:r>
            <w:r>
              <w:rPr>
                <w:color w:val="auto"/>
                <w:highlight w:val="none"/>
              </w:rPr>
              <w:t>推广使用；</w:t>
            </w:r>
            <w:r>
              <w:rPr>
                <w:color w:val="auto"/>
                <w:highlight w:val="none"/>
              </w:rPr>
              <w:br w:type="textWrapping"/>
            </w:r>
            <w:r>
              <w:rPr>
                <w:rFonts w:hint="eastAsia"/>
                <w:color w:val="auto"/>
                <w:highlight w:val="none"/>
              </w:rPr>
              <w:t xml:space="preserve">    </w:t>
            </w:r>
            <w:r>
              <w:rPr>
                <w:rFonts w:hint="eastAsia"/>
                <w:color w:val="auto"/>
                <w:highlight w:val="none"/>
                <w:lang w:val="en-US" w:eastAsia="zh-CN"/>
              </w:rPr>
              <w:t>2</w:t>
            </w:r>
            <w:r>
              <w:rPr>
                <w:rFonts w:hint="eastAsia"/>
                <w:color w:val="auto"/>
                <w:highlight w:val="none"/>
              </w:rPr>
              <w:t>.</w:t>
            </w:r>
            <w:r>
              <w:rPr>
                <w:rFonts w:hint="eastAsia"/>
                <w:b/>
                <w:bCs/>
                <w:color w:val="auto"/>
                <w:highlight w:val="none"/>
              </w:rPr>
              <w:t>投标人</w:t>
            </w:r>
            <w:r>
              <w:rPr>
                <w:b/>
                <w:bCs/>
                <w:color w:val="auto"/>
                <w:highlight w:val="none"/>
              </w:rPr>
              <w:t>需提供</w:t>
            </w:r>
            <w:r>
              <w:rPr>
                <w:rFonts w:hint="eastAsia"/>
                <w:b/>
                <w:bCs/>
                <w:color w:val="auto"/>
                <w:highlight w:val="none"/>
              </w:rPr>
              <w:t>一带一路国家的</w:t>
            </w:r>
            <w:r>
              <w:rPr>
                <w:b/>
                <w:bCs/>
                <w:color w:val="auto"/>
                <w:highlight w:val="none"/>
              </w:rPr>
              <w:t>推广</w:t>
            </w:r>
            <w:r>
              <w:rPr>
                <w:rFonts w:hint="eastAsia"/>
                <w:b/>
                <w:bCs/>
                <w:color w:val="auto"/>
                <w:highlight w:val="none"/>
              </w:rPr>
              <w:t>单位</w:t>
            </w:r>
            <w:r>
              <w:rPr>
                <w:b/>
                <w:bCs/>
                <w:color w:val="auto"/>
                <w:highlight w:val="none"/>
              </w:rPr>
              <w:t>盖章的使用证明文件</w:t>
            </w:r>
            <w:r>
              <w:rPr>
                <w:rFonts w:hint="eastAsia"/>
                <w:b/>
                <w:bCs/>
                <w:color w:val="auto"/>
                <w:highlight w:val="none"/>
              </w:rPr>
              <w:t>。</w:t>
            </w:r>
            <w:r>
              <w:rPr>
                <w:rFonts w:hint="eastAsia"/>
                <w:color w:val="auto"/>
                <w:highlight w:val="none"/>
              </w:rPr>
              <w:t>（</w:t>
            </w:r>
            <w:r>
              <w:rPr>
                <w:rFonts w:hint="eastAsia"/>
                <w:b/>
                <w:bCs/>
                <w:color w:val="auto"/>
                <w:highlight w:val="none"/>
                <w:lang w:val="en-US" w:eastAsia="zh-CN"/>
              </w:rPr>
              <w:t>须</w:t>
            </w:r>
            <w:r>
              <w:rPr>
                <w:rFonts w:hint="eastAsia"/>
                <w:b/>
                <w:bCs/>
                <w:color w:val="auto"/>
                <w:highlight w:val="none"/>
                <w:lang w:val="en-US" w:eastAsia="zh-CN"/>
              </w:rPr>
              <w:t>在投标文件中</w:t>
            </w:r>
            <w:r>
              <w:rPr>
                <w:rFonts w:hint="eastAsia"/>
                <w:b/>
                <w:bCs/>
                <w:color w:val="auto"/>
                <w:highlight w:val="none"/>
                <w:lang w:val="en-US" w:eastAsia="zh-CN"/>
              </w:rPr>
              <w:t>提供</w:t>
            </w:r>
            <w:r>
              <w:rPr>
                <w:rFonts w:hint="eastAsia"/>
                <w:b/>
                <w:bCs/>
                <w:color w:val="auto"/>
                <w:highlight w:val="none"/>
              </w:rPr>
              <w:t>同类项目</w:t>
            </w:r>
            <w:r>
              <w:rPr>
                <w:b/>
                <w:bCs/>
                <w:color w:val="auto"/>
                <w:highlight w:val="none"/>
              </w:rPr>
              <w:t>推广</w:t>
            </w:r>
            <w:r>
              <w:rPr>
                <w:rFonts w:hint="eastAsia"/>
                <w:b/>
                <w:bCs/>
                <w:color w:val="auto"/>
                <w:highlight w:val="none"/>
              </w:rPr>
              <w:t>单位</w:t>
            </w:r>
            <w:r>
              <w:rPr>
                <w:b/>
                <w:bCs/>
                <w:color w:val="auto"/>
                <w:highlight w:val="none"/>
              </w:rPr>
              <w:t>盖章的使用证明文件</w:t>
            </w:r>
            <w:r>
              <w:rPr>
                <w:rFonts w:hint="eastAsia"/>
                <w:color w:val="auto"/>
                <w:highlight w:val="none"/>
              </w:rPr>
              <w:t>）</w:t>
            </w:r>
          </w:p>
          <w:p w14:paraId="25B4AB59">
            <w:pPr>
              <w:pStyle w:val="7"/>
              <w:rPr>
                <w:color w:val="auto"/>
                <w:highlight w:val="none"/>
              </w:rPr>
            </w:pPr>
            <w:r>
              <w:rPr>
                <w:rFonts w:hint="eastAsia"/>
                <w:color w:val="auto"/>
                <w:highlight w:val="none"/>
              </w:rPr>
              <w:t>十七、</w:t>
            </w:r>
            <w:r>
              <w:rPr>
                <w:color w:val="auto"/>
                <w:highlight w:val="none"/>
              </w:rPr>
              <w:t>实训任务</w:t>
            </w:r>
            <w:r>
              <w:rPr>
                <w:rFonts w:hint="eastAsia"/>
                <w:color w:val="auto"/>
                <w:highlight w:val="none"/>
              </w:rPr>
              <w:t>制作要求及技术参数：</w:t>
            </w:r>
          </w:p>
          <w:p w14:paraId="696FC844">
            <w:pPr>
              <w:pStyle w:val="7"/>
              <w:rPr>
                <w:color w:val="auto"/>
                <w:highlight w:val="none"/>
              </w:rPr>
            </w:pPr>
            <w:r>
              <w:rPr>
                <w:color w:val="auto"/>
                <w:highlight w:val="none"/>
              </w:rPr>
              <w:t>利用计算机模拟实际工作场景、设施设备、工具材料、工作对象等要素，方便学生按照工作过程、操作标准进行仿真实操训练的系统。</w:t>
            </w:r>
          </w:p>
          <w:p w14:paraId="7B5E85E2">
            <w:pPr>
              <w:pStyle w:val="7"/>
              <w:rPr>
                <w:color w:val="auto"/>
                <w:highlight w:val="none"/>
              </w:rPr>
            </w:pPr>
            <w:r>
              <w:rPr>
                <w:color w:val="auto"/>
                <w:highlight w:val="none"/>
              </w:rPr>
              <w:t>1</w:t>
            </w:r>
            <w:r>
              <w:rPr>
                <w:rFonts w:hint="eastAsia"/>
                <w:color w:val="auto"/>
                <w:highlight w:val="none"/>
              </w:rPr>
              <w:t>.</w:t>
            </w:r>
            <w:r>
              <w:rPr>
                <w:color w:val="auto"/>
                <w:highlight w:val="none"/>
              </w:rPr>
              <w:t>内容要求：</w:t>
            </w:r>
          </w:p>
          <w:p w14:paraId="0C6A800B">
            <w:pPr>
              <w:pStyle w:val="7"/>
              <w:rPr>
                <w:color w:val="auto"/>
                <w:highlight w:val="none"/>
              </w:rPr>
            </w:pPr>
            <w:r>
              <w:rPr>
                <w:color w:val="auto"/>
                <w:highlight w:val="none"/>
              </w:rPr>
              <w:t>围绕技能点有针对性地开发虚拟仿真实训，切实遵循“以实带虚、以虚助实、虚实结合”原则，避免“为虚而虚”。</w:t>
            </w:r>
          </w:p>
          <w:p w14:paraId="6B6AF553">
            <w:pPr>
              <w:pStyle w:val="7"/>
              <w:rPr>
                <w:color w:val="auto"/>
                <w:highlight w:val="none"/>
              </w:rPr>
            </w:pPr>
            <w:r>
              <w:rPr>
                <w:color w:val="auto"/>
                <w:highlight w:val="none"/>
              </w:rPr>
              <w:t>（1）单项实训任务需要反映该课程所对应岗位的关键工作要求，每个单项实训任务包含一个或多个技能点。</w:t>
            </w:r>
          </w:p>
          <w:p w14:paraId="6EE115ED">
            <w:pPr>
              <w:pStyle w:val="7"/>
              <w:rPr>
                <w:color w:val="auto"/>
                <w:highlight w:val="none"/>
              </w:rPr>
            </w:pPr>
            <w:r>
              <w:rPr>
                <w:color w:val="auto"/>
                <w:highlight w:val="none"/>
              </w:rPr>
              <w:t>（2）每个单项实训任务需包含任务名称、任务目标、任务背景、任务要求、得分详情等内容。</w:t>
            </w:r>
          </w:p>
          <w:p w14:paraId="68230813">
            <w:pPr>
              <w:pStyle w:val="7"/>
              <w:rPr>
                <w:color w:val="auto"/>
                <w:highlight w:val="none"/>
              </w:rPr>
            </w:pPr>
            <w:r>
              <w:rPr>
                <w:color w:val="auto"/>
                <w:highlight w:val="none"/>
              </w:rPr>
              <w:t>（3）每个单项实训任务都可以独立进行赋分和评价。</w:t>
            </w:r>
          </w:p>
          <w:p w14:paraId="2B9C2B15">
            <w:pPr>
              <w:pStyle w:val="7"/>
              <w:rPr>
                <w:color w:val="auto"/>
                <w:highlight w:val="none"/>
              </w:rPr>
            </w:pPr>
            <w:r>
              <w:rPr>
                <w:color w:val="auto"/>
                <w:highlight w:val="none"/>
              </w:rPr>
              <w:t>（4）每个单项实训任务允许教师和学生多次、反复使用。</w:t>
            </w:r>
          </w:p>
          <w:p w14:paraId="62C05261">
            <w:pPr>
              <w:pStyle w:val="7"/>
              <w:rPr>
                <w:color w:val="auto"/>
                <w:highlight w:val="none"/>
              </w:rPr>
            </w:pPr>
            <w:r>
              <w:rPr>
                <w:color w:val="auto"/>
                <w:highlight w:val="none"/>
              </w:rPr>
              <w:t>（5）任务背景可以根据实际需要，通过文字、图表、视频一种或多种形式进行展示。</w:t>
            </w:r>
          </w:p>
          <w:p w14:paraId="7A43EEB2">
            <w:pPr>
              <w:pStyle w:val="7"/>
              <w:rPr>
                <w:color w:val="auto"/>
                <w:highlight w:val="none"/>
              </w:rPr>
            </w:pPr>
            <w:r>
              <w:rPr>
                <w:color w:val="auto"/>
                <w:highlight w:val="none"/>
              </w:rPr>
              <w:t>2</w:t>
            </w:r>
            <w:r>
              <w:rPr>
                <w:rFonts w:hint="eastAsia"/>
                <w:color w:val="auto"/>
                <w:highlight w:val="none"/>
              </w:rPr>
              <w:t>.</w:t>
            </w:r>
            <w:r>
              <w:rPr>
                <w:color w:val="auto"/>
                <w:highlight w:val="none"/>
              </w:rPr>
              <w:t>技术要求：</w:t>
            </w:r>
          </w:p>
          <w:p w14:paraId="42278670">
            <w:pPr>
              <w:pStyle w:val="7"/>
              <w:rPr>
                <w:color w:val="auto"/>
                <w:highlight w:val="none"/>
              </w:rPr>
            </w:pPr>
            <w:r>
              <w:rPr>
                <w:color w:val="auto"/>
                <w:highlight w:val="none"/>
              </w:rPr>
              <w:t>（1）采用B/S架构，支持最新的HTML5标准，兼容火狐、谷歌等主流浏览器。</w:t>
            </w:r>
          </w:p>
          <w:p w14:paraId="3684B7E9">
            <w:pPr>
              <w:pStyle w:val="7"/>
              <w:rPr>
                <w:color w:val="auto"/>
                <w:highlight w:val="none"/>
              </w:rPr>
            </w:pPr>
            <w:r>
              <w:rPr>
                <w:color w:val="auto"/>
                <w:highlight w:val="none"/>
              </w:rPr>
              <w:t>（2）采用前后端分离的架构模式，降低系统耦合度，减小服务器压力。</w:t>
            </w:r>
          </w:p>
          <w:p w14:paraId="504D568D">
            <w:pPr>
              <w:pStyle w:val="7"/>
              <w:rPr>
                <w:color w:val="auto"/>
                <w:highlight w:val="none"/>
              </w:rPr>
            </w:pPr>
            <w:r>
              <w:rPr>
                <w:color w:val="auto"/>
                <w:highlight w:val="none"/>
              </w:rPr>
              <w:t>（3）引入缓存机制，避免数据的重复创建、处理和传输，可有效提高性能。</w:t>
            </w:r>
          </w:p>
          <w:p w14:paraId="03A9B509">
            <w:pPr>
              <w:pStyle w:val="7"/>
              <w:rPr>
                <w:color w:val="auto"/>
                <w:highlight w:val="none"/>
              </w:rPr>
            </w:pPr>
            <w:r>
              <w:rPr>
                <w:color w:val="auto"/>
                <w:highlight w:val="none"/>
              </w:rPr>
              <w:t>（4）前端采用Html5框架layUI、JQuery等，实现跨浏览器和跨屏的兼容支持、响应式布局，实现B/S平台多终端适应。</w:t>
            </w:r>
          </w:p>
          <w:p w14:paraId="7068FEE6">
            <w:pPr>
              <w:pStyle w:val="7"/>
              <w:rPr>
                <w:color w:val="auto"/>
                <w:highlight w:val="none"/>
              </w:rPr>
            </w:pPr>
            <w:r>
              <w:rPr>
                <w:color w:val="auto"/>
                <w:highlight w:val="none"/>
              </w:rPr>
              <w:t>（5）支持主流数据库，数据库使用索引，保证数据库数据的唯一性，提高系统的性能。</w:t>
            </w:r>
          </w:p>
          <w:p w14:paraId="0BE97E2E">
            <w:pPr>
              <w:pStyle w:val="7"/>
              <w:rPr>
                <w:color w:val="auto"/>
                <w:highlight w:val="none"/>
              </w:rPr>
            </w:pPr>
            <w:r>
              <w:rPr>
                <w:color w:val="auto"/>
                <w:highlight w:val="none"/>
              </w:rPr>
              <w:t>（6）采用安全处理机制，如：防SQL注入、敏感数据加密处理。</w:t>
            </w:r>
          </w:p>
          <w:p w14:paraId="5311CA17">
            <w:pPr>
              <w:pStyle w:val="7"/>
              <w:rPr>
                <w:color w:val="auto"/>
                <w:highlight w:val="none"/>
              </w:rPr>
            </w:pPr>
            <w:r>
              <w:rPr>
                <w:rFonts w:hint="eastAsia"/>
                <w:color w:val="auto"/>
                <w:highlight w:val="none"/>
              </w:rPr>
              <w:t>3.</w:t>
            </w:r>
            <w:r>
              <w:rPr>
                <w:color w:val="auto"/>
                <w:highlight w:val="none"/>
              </w:rPr>
              <w:t>销售AI对练平台</w:t>
            </w:r>
          </w:p>
          <w:p w14:paraId="10614B50">
            <w:pPr>
              <w:pStyle w:val="7"/>
              <w:rPr>
                <w:color w:val="auto"/>
                <w:highlight w:val="none"/>
              </w:rPr>
            </w:pPr>
            <w:r>
              <w:rPr>
                <w:color w:val="auto"/>
                <w:highlight w:val="none"/>
              </w:rPr>
              <w:t>内容要求</w:t>
            </w:r>
            <w:r>
              <w:rPr>
                <w:rFonts w:hint="eastAsia"/>
                <w:color w:val="auto"/>
                <w:highlight w:val="none"/>
              </w:rPr>
              <w:t>：</w:t>
            </w:r>
            <w:r>
              <w:rPr>
                <w:color w:val="auto"/>
                <w:highlight w:val="none"/>
              </w:rPr>
              <w:t>销售 AI 对练平台</w:t>
            </w:r>
            <w:r>
              <w:rPr>
                <w:rFonts w:hint="eastAsia"/>
                <w:color w:val="auto"/>
                <w:highlight w:val="none"/>
              </w:rPr>
              <w:t>需要</w:t>
            </w:r>
            <w:r>
              <w:rPr>
                <w:color w:val="auto"/>
                <w:highlight w:val="none"/>
              </w:rPr>
              <w:t>依托大语言模型构建多元化消费者模拟体系，</w:t>
            </w:r>
            <w:r>
              <w:rPr>
                <w:rFonts w:hint="eastAsia"/>
                <w:color w:val="auto"/>
                <w:highlight w:val="none"/>
              </w:rPr>
              <w:t>且</w:t>
            </w:r>
            <w:r>
              <w:rPr>
                <w:color w:val="auto"/>
                <w:highlight w:val="none"/>
              </w:rPr>
              <w:t>该体系能精准模拟低附加值产品对应的理智分析型、犹豫不决型、主导决策型、情感驱动型四类客户，以及高附加值产品对应的产品决策者、产品使用者、产品影响者、内部支持者四类客户，高度还原不同决策风格、角色属性的虚拟客户与学生的销售对话交互。</w:t>
            </w:r>
          </w:p>
          <w:p w14:paraId="0F106645">
            <w:pPr>
              <w:pStyle w:val="7"/>
              <w:rPr>
                <w:color w:val="auto"/>
                <w:highlight w:val="none"/>
              </w:rPr>
            </w:pPr>
            <w:r>
              <w:rPr>
                <w:color w:val="auto"/>
                <w:highlight w:val="none"/>
              </w:rPr>
              <w:t>平台对练内容</w:t>
            </w:r>
            <w:r>
              <w:rPr>
                <w:rFonts w:hint="eastAsia"/>
                <w:color w:val="auto"/>
                <w:highlight w:val="none"/>
              </w:rPr>
              <w:t>应</w:t>
            </w:r>
            <w:r>
              <w:rPr>
                <w:color w:val="auto"/>
                <w:highlight w:val="none"/>
              </w:rPr>
              <w:t>全面覆盖低附加值产品销售与高附加值解决方案销售两大销售体系，</w:t>
            </w:r>
            <w:r>
              <w:rPr>
                <w:rFonts w:hint="eastAsia"/>
                <w:color w:val="auto"/>
                <w:highlight w:val="none"/>
              </w:rPr>
              <w:t>且</w:t>
            </w:r>
            <w:r>
              <w:rPr>
                <w:color w:val="auto"/>
                <w:highlight w:val="none"/>
              </w:rPr>
              <w:t>分别围绕低附加值产品销售六大核心环节与高附加值解决方案五大关键阶段构建训练流程</w:t>
            </w:r>
            <w:r>
              <w:rPr>
                <w:rFonts w:hint="eastAsia"/>
                <w:color w:val="auto"/>
                <w:highlight w:val="none"/>
              </w:rPr>
              <w:t>，同时需要支</w:t>
            </w:r>
            <w:r>
              <w:rPr>
                <w:color w:val="auto"/>
                <w:highlight w:val="none"/>
              </w:rPr>
              <w:t>持文字、语音、视频三种交互模式，广泛适配多种行业场景，为学生提供全流程、精细化、可定制的销售技能训练环境。</w:t>
            </w:r>
          </w:p>
          <w:p w14:paraId="781A2BAE">
            <w:pPr>
              <w:pStyle w:val="7"/>
              <w:rPr>
                <w:color w:val="auto"/>
                <w:highlight w:val="none"/>
              </w:rPr>
            </w:pPr>
            <w:r>
              <w:rPr>
                <w:rFonts w:hint="eastAsia"/>
                <w:color w:val="auto"/>
                <w:highlight w:val="none"/>
              </w:rPr>
              <w:t>（1）</w:t>
            </w:r>
            <w:r>
              <w:rPr>
                <w:color w:val="auto"/>
                <w:highlight w:val="none"/>
              </w:rPr>
              <w:t>技术要求</w:t>
            </w:r>
            <w:r>
              <w:rPr>
                <w:rFonts w:hint="eastAsia"/>
                <w:color w:val="auto"/>
                <w:highlight w:val="none"/>
              </w:rPr>
              <w:t>：</w:t>
            </w:r>
          </w:p>
          <w:p w14:paraId="483CA2D4">
            <w:pPr>
              <w:pStyle w:val="7"/>
              <w:rPr>
                <w:color w:val="auto"/>
                <w:highlight w:val="none"/>
              </w:rPr>
            </w:pPr>
            <w:r>
              <w:rPr>
                <w:color w:val="auto"/>
                <w:highlight w:val="none"/>
              </w:rPr>
              <w:t>①平台</w:t>
            </w:r>
            <w:r>
              <w:rPr>
                <w:rFonts w:hint="eastAsia"/>
                <w:color w:val="auto"/>
                <w:highlight w:val="none"/>
              </w:rPr>
              <w:t>需</w:t>
            </w:r>
            <w:r>
              <w:rPr>
                <w:color w:val="auto"/>
                <w:highlight w:val="none"/>
              </w:rPr>
              <w:t>采用B/S架构，支持最新的HTML5标准，兼容火狐、谷歌等主流浏览器。</w:t>
            </w:r>
          </w:p>
          <w:p w14:paraId="4E89C19A">
            <w:pPr>
              <w:pStyle w:val="7"/>
              <w:rPr>
                <w:color w:val="auto"/>
                <w:highlight w:val="none"/>
              </w:rPr>
            </w:pPr>
            <w:r>
              <w:rPr>
                <w:rFonts w:hint="eastAsia"/>
                <w:color w:val="auto"/>
                <w:highlight w:val="none"/>
              </w:rPr>
              <w:t>②</w:t>
            </w:r>
            <w:r>
              <w:rPr>
                <w:color w:val="auto"/>
                <w:highlight w:val="none"/>
              </w:rPr>
              <w:t>平台</w:t>
            </w:r>
            <w:r>
              <w:rPr>
                <w:rFonts w:hint="eastAsia"/>
                <w:color w:val="auto"/>
                <w:highlight w:val="none"/>
              </w:rPr>
              <w:t>需采</w:t>
            </w:r>
            <w:r>
              <w:rPr>
                <w:color w:val="auto"/>
                <w:highlight w:val="none"/>
              </w:rPr>
              <w:t>用前后端分离的架构模式，降低系统耦合度，减小服务器压力。 </w:t>
            </w:r>
          </w:p>
          <w:p w14:paraId="0F27F8D5">
            <w:pPr>
              <w:pStyle w:val="7"/>
              <w:rPr>
                <w:color w:val="auto"/>
                <w:highlight w:val="none"/>
              </w:rPr>
            </w:pPr>
            <w:r>
              <w:rPr>
                <w:rFonts w:hint="eastAsia"/>
                <w:color w:val="auto"/>
                <w:highlight w:val="none"/>
              </w:rPr>
              <w:t>③</w:t>
            </w:r>
            <w:r>
              <w:rPr>
                <w:color w:val="auto"/>
                <w:highlight w:val="none"/>
              </w:rPr>
              <w:t>平台</w:t>
            </w:r>
            <w:r>
              <w:rPr>
                <w:rFonts w:hint="eastAsia"/>
                <w:color w:val="auto"/>
                <w:highlight w:val="none"/>
              </w:rPr>
              <w:t>需</w:t>
            </w:r>
            <w:r>
              <w:rPr>
                <w:color w:val="auto"/>
                <w:highlight w:val="none"/>
              </w:rPr>
              <w:t>引入缓存机制，避免数据的重复创建、处理和传输，可有效提高性能。</w:t>
            </w:r>
          </w:p>
          <w:p w14:paraId="580DA3CD">
            <w:pPr>
              <w:pStyle w:val="7"/>
              <w:rPr>
                <w:color w:val="auto"/>
                <w:highlight w:val="none"/>
              </w:rPr>
            </w:pPr>
            <w:r>
              <w:rPr>
                <w:color w:val="auto"/>
                <w:highlight w:val="none"/>
              </w:rPr>
              <w:t>④平台前端</w:t>
            </w:r>
            <w:r>
              <w:rPr>
                <w:rFonts w:hint="eastAsia"/>
                <w:color w:val="auto"/>
                <w:highlight w:val="none"/>
              </w:rPr>
              <w:t>需</w:t>
            </w:r>
            <w:r>
              <w:rPr>
                <w:color w:val="auto"/>
                <w:highlight w:val="none"/>
              </w:rPr>
              <w:t>采用Html5框架layUI、JQuery等，实现跨浏览器和跨屏的兼容支持、响应式布局，实现B/S平台多终端适应。</w:t>
            </w:r>
          </w:p>
          <w:p w14:paraId="7AEBFCC1">
            <w:pPr>
              <w:pStyle w:val="7"/>
              <w:rPr>
                <w:color w:val="auto"/>
                <w:highlight w:val="none"/>
              </w:rPr>
            </w:pPr>
            <w:r>
              <w:rPr>
                <w:color w:val="auto"/>
                <w:highlight w:val="none"/>
              </w:rPr>
              <w:t>⑤平台</w:t>
            </w:r>
            <w:r>
              <w:rPr>
                <w:rFonts w:hint="eastAsia"/>
                <w:color w:val="auto"/>
                <w:highlight w:val="none"/>
              </w:rPr>
              <w:t>需</w:t>
            </w:r>
            <w:r>
              <w:rPr>
                <w:color w:val="auto"/>
                <w:highlight w:val="none"/>
              </w:rPr>
              <w:t>支持主流数据库，数据库使用索引，保证数据库数据的唯一性，提高数据的搜索及检索速度，提高平台的性能。</w:t>
            </w:r>
          </w:p>
          <w:p w14:paraId="25CB926B">
            <w:pPr>
              <w:pStyle w:val="7"/>
              <w:rPr>
                <w:color w:val="auto"/>
                <w:highlight w:val="none"/>
              </w:rPr>
            </w:pPr>
            <w:r>
              <w:rPr>
                <w:rFonts w:hint="eastAsia"/>
                <w:color w:val="auto"/>
                <w:highlight w:val="none"/>
              </w:rPr>
              <w:t>⑥</w:t>
            </w:r>
            <w:r>
              <w:rPr>
                <w:color w:val="auto"/>
                <w:highlight w:val="none"/>
              </w:rPr>
              <w:t>平台</w:t>
            </w:r>
            <w:r>
              <w:rPr>
                <w:rFonts w:hint="eastAsia"/>
                <w:color w:val="auto"/>
                <w:highlight w:val="none"/>
              </w:rPr>
              <w:t>应</w:t>
            </w:r>
            <w:r>
              <w:rPr>
                <w:color w:val="auto"/>
                <w:highlight w:val="none"/>
              </w:rPr>
              <w:t>采用安全处理机制，如：防SQL注入、敏感数据加密处理。</w:t>
            </w:r>
          </w:p>
          <w:p w14:paraId="2D721D38">
            <w:pPr>
              <w:pStyle w:val="7"/>
              <w:rPr>
                <w:color w:val="auto"/>
                <w:highlight w:val="none"/>
              </w:rPr>
            </w:pPr>
            <w:r>
              <w:rPr>
                <w:color w:val="auto"/>
                <w:highlight w:val="none"/>
              </w:rPr>
              <w:t>⑦平台</w:t>
            </w:r>
            <w:r>
              <w:rPr>
                <w:rFonts w:hint="eastAsia"/>
                <w:color w:val="auto"/>
                <w:highlight w:val="none"/>
              </w:rPr>
              <w:t>需</w:t>
            </w:r>
            <w:r>
              <w:rPr>
                <w:color w:val="auto"/>
                <w:highlight w:val="none"/>
              </w:rPr>
              <w:t>支持分布式计算，结合GPU/TPU加速，满足大规模AIGC模型推理需求。</w:t>
            </w:r>
          </w:p>
          <w:p w14:paraId="21C81602">
            <w:pPr>
              <w:pStyle w:val="7"/>
              <w:rPr>
                <w:color w:val="auto"/>
                <w:highlight w:val="none"/>
              </w:rPr>
            </w:pPr>
            <w:r>
              <w:rPr>
                <w:rFonts w:hint="eastAsia"/>
                <w:color w:val="auto"/>
                <w:highlight w:val="none"/>
              </w:rPr>
              <w:t>（2）</w:t>
            </w:r>
            <w:r>
              <w:rPr>
                <w:color w:val="auto"/>
                <w:highlight w:val="none"/>
              </w:rPr>
              <w:t>功能要求</w:t>
            </w:r>
            <w:r>
              <w:rPr>
                <w:rFonts w:hint="eastAsia"/>
                <w:color w:val="auto"/>
                <w:highlight w:val="none"/>
              </w:rPr>
              <w:t>：</w:t>
            </w:r>
          </w:p>
          <w:p w14:paraId="673CB24E">
            <w:pPr>
              <w:pStyle w:val="7"/>
              <w:rPr>
                <w:color w:val="auto"/>
                <w:highlight w:val="none"/>
              </w:rPr>
            </w:pPr>
            <w:r>
              <w:rPr>
                <w:color w:val="auto"/>
                <w:highlight w:val="none"/>
              </w:rPr>
              <w:t>①教师端需具备班级管理功能，支持自定义班级名称，选择班级模式为训练模式或考核模式，并可对班级基础数据进行初始化及批量删除操作。</w:t>
            </w:r>
          </w:p>
          <w:p w14:paraId="3C0BB192">
            <w:pPr>
              <w:pStyle w:val="7"/>
              <w:rPr>
                <w:color w:val="auto"/>
                <w:highlight w:val="none"/>
              </w:rPr>
            </w:pPr>
            <w:r>
              <w:rPr>
                <w:color w:val="auto"/>
                <w:highlight w:val="none"/>
              </w:rPr>
              <w:t>②教师端具备学生管理功能，支持新增、导入、批量生成学生账号、批量删除无效账号、初始化登录密码，并可导出学生成绩报表。</w:t>
            </w:r>
          </w:p>
          <w:p w14:paraId="7D2C95D4">
            <w:pPr>
              <w:pStyle w:val="7"/>
              <w:rPr>
                <w:color w:val="auto"/>
                <w:highlight w:val="none"/>
              </w:rPr>
            </w:pPr>
            <w:r>
              <w:rPr>
                <w:color w:val="auto"/>
                <w:highlight w:val="none"/>
              </w:rPr>
              <w:t>③教师端具备班级任务管理功能，支持实时查看任务分配状态，可按班级批量分配或取消任务，也支持对单个任务的精准分配与取消操作。</w:t>
            </w:r>
          </w:p>
          <w:p w14:paraId="0C4B842E">
            <w:pPr>
              <w:pStyle w:val="7"/>
              <w:rPr>
                <w:color w:val="auto"/>
                <w:highlight w:val="none"/>
              </w:rPr>
            </w:pPr>
            <w:r>
              <w:rPr>
                <w:color w:val="auto"/>
                <w:highlight w:val="none"/>
              </w:rPr>
              <w:t>④教师端具备批量初始化学生实训数据的功能，支持对全班学生实训数据进行批量重置，也可针对单个学生账号单独初始化实训进度。</w:t>
            </w:r>
          </w:p>
          <w:p w14:paraId="313E5DE4">
            <w:pPr>
              <w:pStyle w:val="7"/>
              <w:rPr>
                <w:color w:val="auto"/>
                <w:highlight w:val="none"/>
              </w:rPr>
            </w:pPr>
            <w:r>
              <w:rPr>
                <w:color w:val="auto"/>
                <w:highlight w:val="none"/>
              </w:rPr>
              <w:t>⑤教师端可以查看学生得分，包括实训总分及各任务分项得分详情。</w:t>
            </w:r>
          </w:p>
          <w:p w14:paraId="09CEFC47">
            <w:pPr>
              <w:pStyle w:val="7"/>
              <w:rPr>
                <w:color w:val="auto"/>
                <w:highlight w:val="none"/>
              </w:rPr>
            </w:pPr>
            <w:r>
              <w:rPr>
                <w:color w:val="auto"/>
                <w:highlight w:val="none"/>
              </w:rPr>
              <w:t>⑥教师端具备学情分析功能，可查看各任务完成率、分数段分布，最高分、最低分、平均分、学生成绩排行等多维度成绩分析结果。</w:t>
            </w:r>
          </w:p>
          <w:p w14:paraId="2B41C0A2">
            <w:pPr>
              <w:pStyle w:val="7"/>
              <w:rPr>
                <w:color w:val="auto"/>
                <w:highlight w:val="none"/>
              </w:rPr>
            </w:pPr>
            <w:r>
              <w:rPr>
                <w:color w:val="auto"/>
                <w:highlight w:val="none"/>
              </w:rPr>
              <w:t>⑦教师端可以控制任务时长，支持对单个或多个任务进行批量延时，同时提供一键延长所有任务截止时间的快捷操作。</w:t>
            </w:r>
          </w:p>
          <w:p w14:paraId="493B5A3E">
            <w:pPr>
              <w:pStyle w:val="7"/>
              <w:rPr>
                <w:color w:val="auto"/>
                <w:highlight w:val="none"/>
              </w:rPr>
            </w:pPr>
            <w:r>
              <w:rPr>
                <w:color w:val="auto"/>
                <w:highlight w:val="none"/>
              </w:rPr>
              <w:t>⑧学生端应涵盖从开场到售后跟进的销售全流程，包括低附加值产品销售与高附加值解决方案销售两大训练体系不少于11个专项对练任务。</w:t>
            </w:r>
          </w:p>
          <w:p w14:paraId="0F279103">
            <w:pPr>
              <w:pStyle w:val="7"/>
              <w:rPr>
                <w:color w:val="auto"/>
                <w:highlight w:val="none"/>
              </w:rPr>
            </w:pPr>
            <w:r>
              <w:rPr>
                <w:color w:val="auto"/>
                <w:highlight w:val="none"/>
              </w:rPr>
              <w:t>⑨每个专项对练任务均提供当前任务的教学PPT资源，辅助学生理解当前专项训练的核心技能点。</w:t>
            </w:r>
          </w:p>
          <w:p w14:paraId="677C056A">
            <w:pPr>
              <w:pStyle w:val="7"/>
              <w:rPr>
                <w:color w:val="auto"/>
                <w:highlight w:val="none"/>
              </w:rPr>
            </w:pPr>
            <w:r>
              <w:rPr>
                <w:color w:val="auto"/>
                <w:highlight w:val="none"/>
              </w:rPr>
              <w:t>⑩平台支持客户画像自定义选择，可灵活配置客户类型（如理智分析型、犹豫不决型、主导决策型、情感驱动型）等核心参数，满足个性化训练需求。</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3D09E6AA">
            <w:pPr>
              <w:pStyle w:val="7"/>
              <w:rPr>
                <w:color w:val="auto"/>
                <w:highlight w:val="none"/>
              </w:rPr>
            </w:pPr>
            <w:r>
              <w:rPr>
                <w:color w:val="auto"/>
                <w:highlight w:val="none"/>
              </w:rPr>
              <w:t>⑪平台支持训练难度自定义选择，内置简单、一般、困难三种难度等级，以适配不同训练阶段的需求。</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03DCE8CD">
            <w:pPr>
              <w:pStyle w:val="7"/>
              <w:rPr>
                <w:color w:val="auto"/>
                <w:highlight w:val="none"/>
              </w:rPr>
            </w:pPr>
            <w:r>
              <w:rPr>
                <w:color w:val="auto"/>
                <w:highlight w:val="none"/>
              </w:rPr>
              <w:t>⑫平台支持文字输入、语音对话、视频交流三种交互模式，通过多模态沟通方式全方位模拟真实销售场景中的对话情境。</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697E2A03">
            <w:pPr>
              <w:pStyle w:val="7"/>
              <w:rPr>
                <w:color w:val="auto"/>
                <w:highlight w:val="none"/>
              </w:rPr>
            </w:pPr>
            <w:r>
              <w:rPr>
                <w:color w:val="auto"/>
                <w:highlight w:val="none"/>
              </w:rPr>
              <w:t>⑬平台对练内容覆盖低附加值产品销售——含销售开场、痛点挖掘、产品介绍、异议处理、成交促进、附加销售六大核心环节，与高附加值解决方案销售——含拜访预约、痛点深度挖掘、解决方案沟通、商务洽谈、长期价值深耕五大关键阶段两大体系，支持学生针对薄弱环节进行单一技能，单一场景重复训练与专项强化。</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34A4308F">
            <w:pPr>
              <w:pStyle w:val="7"/>
              <w:rPr>
                <w:b/>
                <w:bCs/>
                <w:color w:val="auto"/>
                <w:highlight w:val="none"/>
              </w:rPr>
            </w:pPr>
            <w:r>
              <w:rPr>
                <w:color w:val="auto"/>
                <w:highlight w:val="none"/>
              </w:rPr>
              <w:t>⑭平台具备销售话术质检评分功能，在对练结束后，生成包含扣分原因、成绩分析及改进建议的可视化数据化报告网页，帮助明确话术优化方向与改进建议，同时会基于对话数据多维度量化评估学生销售能力长处与短板，支持销售能力画像生成。</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60AE69CF">
            <w:pPr>
              <w:pStyle w:val="7"/>
              <w:rPr>
                <w:color w:val="auto"/>
                <w:highlight w:val="none"/>
              </w:rPr>
            </w:pPr>
            <w:r>
              <w:rPr>
                <w:color w:val="auto"/>
                <w:highlight w:val="none"/>
              </w:rPr>
              <w:t>⑮平台支持对话复盘分析与优质话术自动萃取，复盘对话内容并基于AI分析高分话术，帮助学生构建可持续迭代销售话术资源库。</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7C398C33">
            <w:pPr>
              <w:pStyle w:val="7"/>
              <w:rPr>
                <w:color w:val="auto"/>
                <w:highlight w:val="none"/>
              </w:rPr>
            </w:pPr>
            <w:r>
              <w:rPr>
                <w:color w:val="auto"/>
                <w:highlight w:val="none"/>
              </w:rPr>
              <w:t>⑯在智能体对练阶段，平台支持对练过程全程记录与回放，可以追踪工作流中各个节点的实际执行顺序；数据在节点间的传递和转换情况；每个节点的运行时长和资源消耗；以及各节点的运行状态与最终运行结果。</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p w14:paraId="7A7AED95">
            <w:pPr>
              <w:pStyle w:val="7"/>
              <w:rPr>
                <w:color w:val="auto"/>
                <w:highlight w:val="none"/>
              </w:rPr>
            </w:pPr>
            <w:r>
              <w:rPr>
                <w:color w:val="auto"/>
                <w:highlight w:val="none"/>
              </w:rPr>
              <w:t>⑰在智能体对练阶段，平台</w:t>
            </w:r>
            <w:r>
              <w:rPr>
                <w:rFonts w:hint="eastAsia"/>
                <w:color w:val="auto"/>
                <w:highlight w:val="none"/>
              </w:rPr>
              <w:t>需</w:t>
            </w:r>
            <w:r>
              <w:rPr>
                <w:color w:val="auto"/>
                <w:highlight w:val="none"/>
              </w:rPr>
              <w:t>通过任务目标任务、任务背景、任务要求提供当前对练任务的情景及对练要求，并提供必要的产品资料，辅助学生完成</w:t>
            </w:r>
            <w:r>
              <w:rPr>
                <w:rFonts w:hint="eastAsia"/>
                <w:color w:val="auto"/>
                <w:highlight w:val="none"/>
              </w:rPr>
              <w:t>对应的</w:t>
            </w:r>
            <w:r>
              <w:rPr>
                <w:color w:val="auto"/>
                <w:highlight w:val="none"/>
              </w:rPr>
              <w:t>对练任务。</w:t>
            </w:r>
            <w:r>
              <w:rPr>
                <w:rFonts w:hint="eastAsia"/>
                <w:b/>
                <w:bCs/>
                <w:color w:val="auto"/>
                <w:highlight w:val="none"/>
              </w:rPr>
              <w:t>（</w:t>
            </w:r>
            <w:r>
              <w:rPr>
                <w:rFonts w:hint="eastAsia"/>
                <w:b/>
                <w:bCs/>
                <w:color w:val="auto"/>
                <w:highlight w:val="none"/>
                <w:lang w:val="en-US" w:eastAsia="zh-CN"/>
              </w:rPr>
              <w:t>须在投标文件中</w:t>
            </w:r>
            <w:r>
              <w:rPr>
                <w:rFonts w:hint="eastAsia"/>
                <w:b/>
                <w:bCs/>
                <w:color w:val="auto"/>
                <w:highlight w:val="none"/>
              </w:rPr>
              <w:t>提供软件截图或视频）</w:t>
            </w:r>
          </w:p>
        </w:tc>
        <w:tc>
          <w:tcPr>
            <w:tcW w:w="516" w:type="dxa"/>
            <w:vAlign w:val="center"/>
          </w:tcPr>
          <w:p w14:paraId="56F1B75B">
            <w:pPr>
              <w:pStyle w:val="7"/>
              <w:ind w:firstLine="0"/>
              <w:jc w:val="center"/>
              <w:rPr>
                <w:color w:val="auto"/>
                <w:highlight w:val="none"/>
                <w:lang w:eastAsia="zh-Hans"/>
              </w:rPr>
            </w:pPr>
            <w:r>
              <w:rPr>
                <w:rFonts w:hint="eastAsia"/>
                <w:color w:val="auto"/>
                <w:highlight w:val="none"/>
              </w:rPr>
              <w:t>1</w:t>
            </w:r>
          </w:p>
        </w:tc>
        <w:tc>
          <w:tcPr>
            <w:tcW w:w="540" w:type="dxa"/>
            <w:vAlign w:val="center"/>
          </w:tcPr>
          <w:p w14:paraId="41BAD874">
            <w:pPr>
              <w:pStyle w:val="7"/>
              <w:ind w:firstLine="0"/>
              <w:jc w:val="center"/>
              <w:rPr>
                <w:color w:val="auto"/>
                <w:highlight w:val="none"/>
                <w:lang w:eastAsia="zh-Hans"/>
              </w:rPr>
            </w:pPr>
            <w:r>
              <w:rPr>
                <w:rFonts w:hint="eastAsia"/>
                <w:color w:val="auto"/>
                <w:highlight w:val="none"/>
              </w:rPr>
              <w:t>套</w:t>
            </w:r>
          </w:p>
        </w:tc>
      </w:tr>
    </w:tbl>
    <w:p w14:paraId="5CCA5548">
      <w:pPr>
        <w:spacing w:line="360" w:lineRule="auto"/>
        <w:ind w:firstLine="482" w:firstLineChars="200"/>
        <w:rPr>
          <w:rFonts w:ascii="宋体" w:hAnsi="宋体" w:eastAsia="宋体"/>
          <w:b/>
          <w:color w:val="auto"/>
          <w:sz w:val="24"/>
          <w:szCs w:val="18"/>
          <w:highlight w:val="none"/>
        </w:rPr>
      </w:pPr>
    </w:p>
    <w:p w14:paraId="3FA34BBC">
      <w:pPr>
        <w:spacing w:line="360" w:lineRule="auto"/>
        <w:ind w:firstLine="482" w:firstLineChars="200"/>
        <w:outlineLvl w:val="1"/>
        <w:rPr>
          <w:rFonts w:ascii="宋体" w:hAnsi="宋体" w:eastAsia="宋体"/>
          <w:b/>
          <w:color w:val="auto"/>
          <w:sz w:val="24"/>
          <w:szCs w:val="18"/>
          <w:highlight w:val="none"/>
        </w:rPr>
      </w:pPr>
      <w:bookmarkStart w:id="53" w:name="_Toc30537"/>
      <w:bookmarkStart w:id="54" w:name="_Toc15927"/>
      <w:bookmarkStart w:id="55" w:name="_Toc26537"/>
      <w:r>
        <w:rPr>
          <w:rFonts w:hint="eastAsia" w:ascii="宋体" w:hAnsi="宋体" w:eastAsia="宋体"/>
          <w:b/>
          <w:color w:val="auto"/>
          <w:sz w:val="24"/>
          <w:szCs w:val="18"/>
          <w:highlight w:val="none"/>
        </w:rPr>
        <w:t>四、报价要求</w:t>
      </w:r>
      <w:bookmarkEnd w:id="53"/>
      <w:bookmarkEnd w:id="54"/>
      <w:bookmarkEnd w:id="55"/>
    </w:p>
    <w:p w14:paraId="10A8CA35">
      <w:pPr>
        <w:spacing w:line="360" w:lineRule="auto"/>
        <w:ind w:firstLine="420" w:firstLineChars="200"/>
        <w:rPr>
          <w:rFonts w:ascii="宋体" w:hAnsi="宋体" w:eastAsia="宋体"/>
          <w:b/>
          <w:color w:val="auto"/>
          <w:sz w:val="24"/>
          <w:szCs w:val="18"/>
          <w:highlight w:val="none"/>
        </w:rPr>
      </w:pPr>
      <w:r>
        <w:rPr>
          <w:rFonts w:hint="eastAsia" w:asciiTheme="minorEastAsia" w:hAnsiTheme="minorEastAsia" w:eastAsiaTheme="minorEastAsia" w:cstheme="minorEastAsia"/>
          <w:color w:val="auto"/>
          <w:szCs w:val="21"/>
          <w:highlight w:val="none"/>
        </w:rPr>
        <w:t>本项目报总价，投标人的投标报价包括完成本项目所有服务的一切成本和费用。</w:t>
      </w:r>
    </w:p>
    <w:p w14:paraId="7A58C046">
      <w:pPr>
        <w:spacing w:line="360" w:lineRule="auto"/>
        <w:ind w:firstLine="482" w:firstLineChars="200"/>
        <w:outlineLvl w:val="1"/>
        <w:rPr>
          <w:rFonts w:ascii="宋体" w:hAnsi="宋体" w:eastAsia="宋体"/>
          <w:b/>
          <w:color w:val="auto"/>
          <w:sz w:val="24"/>
          <w:szCs w:val="18"/>
          <w:highlight w:val="none"/>
        </w:rPr>
      </w:pPr>
      <w:bookmarkStart w:id="56" w:name="_Toc30810"/>
      <w:bookmarkStart w:id="57" w:name="_Toc6830"/>
      <w:bookmarkStart w:id="58" w:name="_Toc20190"/>
      <w:r>
        <w:rPr>
          <w:rFonts w:hint="eastAsia" w:ascii="宋体" w:hAnsi="宋体" w:eastAsia="宋体"/>
          <w:b/>
          <w:color w:val="auto"/>
          <w:sz w:val="24"/>
          <w:szCs w:val="18"/>
          <w:highlight w:val="none"/>
        </w:rPr>
        <w:t>五、其他要求</w:t>
      </w:r>
      <w:bookmarkEnd w:id="56"/>
      <w:bookmarkEnd w:id="57"/>
      <w:bookmarkEnd w:id="58"/>
    </w:p>
    <w:p w14:paraId="1A798FF7">
      <w:pPr>
        <w:autoSpaceDE w:val="0"/>
        <w:autoSpaceDN w:val="0"/>
        <w:adjustRightIn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1.中标人交货时必须提供质量保证材料（包括出厂检验报告、合格证等）；并派技术人员现场安装。  </w:t>
      </w:r>
    </w:p>
    <w:p w14:paraId="43EB7AC1">
      <w:pPr>
        <w:autoSpaceDE w:val="0"/>
        <w:autoSpaceDN w:val="0"/>
        <w:adjustRightIn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2.验收按国家颁布的有关标准、规格以及产品描述等要求执行。</w:t>
      </w:r>
    </w:p>
    <w:p w14:paraId="08C696B3">
      <w:pPr>
        <w:spacing w:line="360" w:lineRule="auto"/>
        <w:ind w:firstLine="437"/>
        <w:outlineLvl w:val="1"/>
        <w:rPr>
          <w:rFonts w:ascii="宋体" w:hAnsi="宋体" w:eastAsia="宋体"/>
          <w:b/>
          <w:color w:val="auto"/>
          <w:sz w:val="24"/>
          <w:szCs w:val="18"/>
          <w:highlight w:val="none"/>
        </w:rPr>
      </w:pPr>
      <w:r>
        <w:rPr>
          <w:rFonts w:hint="eastAsia" w:asciiTheme="minorEastAsia" w:hAnsiTheme="minorEastAsia" w:eastAsiaTheme="minorEastAsia" w:cstheme="minorEastAsia"/>
          <w:color w:val="auto"/>
          <w:szCs w:val="21"/>
          <w:highlight w:val="none"/>
        </w:rPr>
        <w:t>3.免费质保期内，中标人应在接到采购人通知24小时内到场保修，货物因质量问题造成的任何故障或损坏，中标人必须及时维修或更换，一切费用由中标人承担。</w:t>
      </w:r>
    </w:p>
    <w:bookmarkEnd w:id="46"/>
    <w:bookmarkEnd w:id="48"/>
    <w:p w14:paraId="4DB6C70E">
      <w:pPr>
        <w:pStyle w:val="2"/>
        <w:rPr>
          <w:bCs/>
          <w:color w:val="auto"/>
          <w:highlight w:val="none"/>
        </w:rPr>
      </w:pPr>
    </w:p>
    <w:p w14:paraId="2A1481A5">
      <w:pPr>
        <w:pStyle w:val="2"/>
        <w:rPr>
          <w:bCs/>
          <w:color w:val="auto"/>
          <w:highlight w:val="none"/>
        </w:rPr>
      </w:pPr>
    </w:p>
    <w:p w14:paraId="6B498DBD">
      <w:pPr>
        <w:pStyle w:val="2"/>
        <w:rPr>
          <w:bCs/>
          <w:color w:val="auto"/>
          <w:highlight w:val="none"/>
        </w:rPr>
      </w:pPr>
    </w:p>
    <w:p w14:paraId="03632BEF">
      <w:pPr>
        <w:pStyle w:val="2"/>
        <w:rPr>
          <w:bCs/>
          <w:color w:val="auto"/>
          <w:highlight w:val="none"/>
        </w:rPr>
      </w:pPr>
    </w:p>
    <w:p w14:paraId="6C041071">
      <w:pP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6C5C1F11">
      <w:pPr>
        <w:spacing w:line="360" w:lineRule="auto"/>
        <w:jc w:val="center"/>
        <w:outlineLvl w:val="0"/>
        <w:rPr>
          <w:rFonts w:asciiTheme="minorEastAsia" w:hAnsiTheme="minorEastAsia" w:eastAsiaTheme="minorEastAsia"/>
          <w:b/>
          <w:color w:val="auto"/>
          <w:sz w:val="28"/>
          <w:highlight w:val="none"/>
        </w:rPr>
      </w:pPr>
      <w:bookmarkStart w:id="59" w:name="_Toc27413"/>
      <w:bookmarkStart w:id="60" w:name="_Toc24794"/>
      <w:r>
        <w:rPr>
          <w:rFonts w:hint="eastAsia" w:asciiTheme="minorEastAsia" w:hAnsiTheme="minorEastAsia" w:eastAsiaTheme="minorEastAsia"/>
          <w:b/>
          <w:color w:val="auto"/>
          <w:sz w:val="28"/>
          <w:highlight w:val="none"/>
        </w:rPr>
        <w:t>第四章  评标方法和标准（最低评标价法）</w:t>
      </w:r>
      <w:bookmarkEnd w:id="59"/>
      <w:bookmarkEnd w:id="60"/>
    </w:p>
    <w:p w14:paraId="032F94D2">
      <w:pPr>
        <w:spacing w:line="360" w:lineRule="auto"/>
        <w:ind w:firstLine="437"/>
        <w:outlineLvl w:val="1"/>
        <w:rPr>
          <w:rFonts w:asciiTheme="minorEastAsia" w:hAnsiTheme="minorEastAsia" w:eastAsiaTheme="minorEastAsia"/>
          <w:b/>
          <w:color w:val="auto"/>
          <w:sz w:val="24"/>
          <w:highlight w:val="none"/>
        </w:rPr>
      </w:pPr>
      <w:bookmarkStart w:id="61" w:name="_Toc6560"/>
      <w:bookmarkStart w:id="62" w:name="_Toc10401"/>
      <w:bookmarkStart w:id="63" w:name="_Toc14026"/>
      <w:r>
        <w:rPr>
          <w:rFonts w:hint="eastAsia" w:asciiTheme="minorEastAsia" w:hAnsiTheme="minorEastAsia" w:eastAsiaTheme="minorEastAsia"/>
          <w:b/>
          <w:color w:val="auto"/>
          <w:sz w:val="24"/>
          <w:highlight w:val="none"/>
        </w:rPr>
        <w:t>一、总则</w:t>
      </w:r>
      <w:bookmarkEnd w:id="61"/>
      <w:bookmarkEnd w:id="62"/>
      <w:bookmarkEnd w:id="63"/>
    </w:p>
    <w:p w14:paraId="6D449E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3C71C2A7">
      <w:pPr>
        <w:spacing w:line="360" w:lineRule="auto"/>
        <w:ind w:firstLine="437"/>
        <w:outlineLvl w:val="1"/>
        <w:rPr>
          <w:rFonts w:asciiTheme="minorEastAsia" w:hAnsiTheme="minorEastAsia" w:eastAsiaTheme="minorEastAsia"/>
          <w:b/>
          <w:color w:val="auto"/>
          <w:sz w:val="24"/>
          <w:highlight w:val="none"/>
        </w:rPr>
      </w:pPr>
      <w:bookmarkStart w:id="64" w:name="_Toc28533"/>
      <w:bookmarkStart w:id="65" w:name="_Toc17743"/>
      <w:bookmarkStart w:id="66" w:name="_Toc2186"/>
      <w:r>
        <w:rPr>
          <w:rFonts w:hint="eastAsia" w:asciiTheme="minorEastAsia" w:hAnsiTheme="minorEastAsia" w:eastAsiaTheme="minorEastAsia"/>
          <w:b/>
          <w:color w:val="auto"/>
          <w:sz w:val="24"/>
          <w:highlight w:val="none"/>
        </w:rPr>
        <w:t>二、评标方法</w:t>
      </w:r>
      <w:bookmarkEnd w:id="64"/>
      <w:bookmarkEnd w:id="65"/>
      <w:bookmarkEnd w:id="66"/>
    </w:p>
    <w:p w14:paraId="1F4EEBC9">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1"/>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810"/>
        <w:gridCol w:w="4998"/>
        <w:gridCol w:w="2073"/>
      </w:tblGrid>
      <w:tr w14:paraId="730E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FA6F9C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64C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D6B1A4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A572113">
            <w:pPr>
              <w:pStyle w:val="32"/>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601" w:type="pct"/>
            <w:tcBorders>
              <w:bottom w:val="single" w:color="auto" w:sz="4" w:space="0"/>
            </w:tcBorders>
            <w:vAlign w:val="center"/>
          </w:tcPr>
          <w:p w14:paraId="2AD531B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1077" w:type="pct"/>
            <w:tcBorders>
              <w:bottom w:val="single" w:color="auto" w:sz="4" w:space="0"/>
            </w:tcBorders>
            <w:vAlign w:val="center"/>
          </w:tcPr>
          <w:p w14:paraId="2E9E7B9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B48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6E93674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3E1DB71C">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1" w:type="pct"/>
            <w:tcBorders>
              <w:bottom w:val="single" w:color="auto" w:sz="4" w:space="0"/>
            </w:tcBorders>
            <w:vAlign w:val="center"/>
          </w:tcPr>
          <w:p w14:paraId="7F88A94A">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44648AFC">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377B7431">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449713AE">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6814F60">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rPr>
              <w:t>；</w:t>
            </w:r>
          </w:p>
        </w:tc>
        <w:tc>
          <w:tcPr>
            <w:tcW w:w="1077" w:type="pct"/>
            <w:vAlign w:val="center"/>
          </w:tcPr>
          <w:p w14:paraId="32AA9654">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2B54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23FA1F8F">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942" w:type="pct"/>
            <w:tcBorders>
              <w:bottom w:val="single" w:color="auto" w:sz="4" w:space="0"/>
            </w:tcBorders>
            <w:vAlign w:val="center"/>
          </w:tcPr>
          <w:p w14:paraId="54316F5C">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601" w:type="pct"/>
            <w:tcBorders>
              <w:bottom w:val="single" w:color="auto" w:sz="4" w:space="0"/>
            </w:tcBorders>
            <w:vAlign w:val="center"/>
          </w:tcPr>
          <w:p w14:paraId="00498122">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077" w:type="pct"/>
            <w:vAlign w:val="center"/>
          </w:tcPr>
          <w:p w14:paraId="04CB15D9">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22B3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2CA23A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942" w:type="pct"/>
            <w:tcBorders>
              <w:bottom w:val="single" w:color="auto" w:sz="4" w:space="0"/>
            </w:tcBorders>
            <w:vAlign w:val="center"/>
          </w:tcPr>
          <w:p w14:paraId="12059D40">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1" w:type="pct"/>
            <w:tcBorders>
              <w:bottom w:val="single" w:color="auto" w:sz="4" w:space="0"/>
            </w:tcBorders>
            <w:vAlign w:val="center"/>
          </w:tcPr>
          <w:p w14:paraId="17CBED16">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7" w:type="pct"/>
            <w:tcBorders>
              <w:bottom w:val="single" w:color="auto" w:sz="4" w:space="0"/>
            </w:tcBorders>
            <w:vAlign w:val="center"/>
          </w:tcPr>
          <w:p w14:paraId="0A2531CD">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6604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76ACB9E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4</w:t>
            </w:r>
          </w:p>
        </w:tc>
        <w:tc>
          <w:tcPr>
            <w:tcW w:w="942" w:type="pct"/>
            <w:tcBorders>
              <w:bottom w:val="single" w:color="auto" w:sz="4" w:space="0"/>
            </w:tcBorders>
            <w:vAlign w:val="center"/>
          </w:tcPr>
          <w:p w14:paraId="324A2D26">
            <w:pPr>
              <w:spacing w:after="50" w:line="360" w:lineRule="auto"/>
              <w:ind w:right="-1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中小企业证明文件</w:t>
            </w:r>
          </w:p>
        </w:tc>
        <w:tc>
          <w:tcPr>
            <w:tcW w:w="2601" w:type="pct"/>
            <w:tcBorders>
              <w:bottom w:val="single" w:color="auto" w:sz="4" w:space="0"/>
            </w:tcBorders>
          </w:tcPr>
          <w:p w14:paraId="46E759F1">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olor w:val="auto"/>
                <w:sz w:val="24"/>
                <w:szCs w:val="28"/>
                <w:highlight w:val="none"/>
              </w:rPr>
              <w:t>符合申请人的资格要求中落实政府采购政策需满足的资格要求：</w:t>
            </w:r>
          </w:p>
          <w:p w14:paraId="69464492">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专门面向中小企业采购的，</w:t>
            </w:r>
            <w:r>
              <w:rPr>
                <w:rFonts w:hint="eastAsia" w:ascii="宋体" w:hAnsi="宋体" w:eastAsia="宋体" w:cs="宋体"/>
                <w:color w:val="auto"/>
                <w:sz w:val="24"/>
                <w:szCs w:val="24"/>
                <w:highlight w:val="none"/>
                <w:lang w:val="zh-CN"/>
              </w:rPr>
              <w:t>投标人</w:t>
            </w:r>
            <w:r>
              <w:rPr>
                <w:rFonts w:hint="eastAsia" w:ascii="宋体" w:hAnsi="宋体" w:eastAsia="宋体" w:cs="宋体"/>
                <w:color w:val="auto"/>
                <w:sz w:val="24"/>
                <w:szCs w:val="24"/>
                <w:highlight w:val="none"/>
              </w:rPr>
              <w:t>应提供《中小企业声明函》或《残疾人福利性单位声明函》或由省级以上监狱管理局、戒毒管理局（含新疆生产建设兵团）出具的属于监狱企业的证明文件。</w:t>
            </w:r>
          </w:p>
        </w:tc>
        <w:tc>
          <w:tcPr>
            <w:tcW w:w="1077" w:type="pct"/>
            <w:tcBorders>
              <w:bottom w:val="single" w:color="auto" w:sz="4" w:space="0"/>
            </w:tcBorders>
            <w:vAlign w:val="center"/>
          </w:tcPr>
          <w:p w14:paraId="5221AB54">
            <w:pPr>
              <w:spacing w:after="50" w:line="360" w:lineRule="auto"/>
              <w:ind w:right="-10"/>
              <w:jc w:val="center"/>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bl>
    <w:p w14:paraId="0ACD23F1">
      <w:pPr>
        <w:spacing w:line="360" w:lineRule="auto"/>
        <w:ind w:firstLine="435"/>
        <w:rPr>
          <w:rFonts w:asciiTheme="minorEastAsia" w:hAnsiTheme="minorEastAsia" w:eastAsiaTheme="minorEastAsia"/>
          <w:color w:val="auto"/>
          <w:sz w:val="24"/>
          <w:highlight w:val="none"/>
        </w:rPr>
      </w:pPr>
      <w:bookmarkStart w:id="67"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67"/>
    <w:p w14:paraId="1BC05EA4">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2BB65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2319"/>
        <w:gridCol w:w="3430"/>
        <w:gridCol w:w="2757"/>
      </w:tblGrid>
      <w:tr w14:paraId="2598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59FD7059">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B63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7C4A6A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1" w:type="pct"/>
            <w:tcBorders>
              <w:bottom w:val="single" w:color="auto" w:sz="4" w:space="0"/>
            </w:tcBorders>
            <w:vAlign w:val="center"/>
          </w:tcPr>
          <w:p w14:paraId="767FD51A">
            <w:pPr>
              <w:pStyle w:val="32"/>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1835" w:type="pct"/>
            <w:tcBorders>
              <w:bottom w:val="single" w:color="auto" w:sz="4" w:space="0"/>
            </w:tcBorders>
            <w:vAlign w:val="center"/>
          </w:tcPr>
          <w:p w14:paraId="1164684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1472" w:type="pct"/>
            <w:tcBorders>
              <w:bottom w:val="single" w:color="auto" w:sz="4" w:space="0"/>
            </w:tcBorders>
            <w:vAlign w:val="center"/>
          </w:tcPr>
          <w:p w14:paraId="3C03E30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3F81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3860FE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1" w:type="pct"/>
            <w:vAlign w:val="center"/>
          </w:tcPr>
          <w:p w14:paraId="2C68F46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3317495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722C9B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48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7C8D011">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1" w:type="pct"/>
            <w:vAlign w:val="center"/>
          </w:tcPr>
          <w:p w14:paraId="2E7BDE2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2809CF0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1DC9CF9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E73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7824B504">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1" w:type="pct"/>
            <w:vAlign w:val="center"/>
          </w:tcPr>
          <w:p w14:paraId="05B3C70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280BFD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6130C8A1">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4494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A522FD1">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1" w:type="pct"/>
            <w:vAlign w:val="center"/>
          </w:tcPr>
          <w:p w14:paraId="53A16A8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227A649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1472" w:type="pct"/>
            <w:vAlign w:val="center"/>
          </w:tcPr>
          <w:p w14:paraId="547171F1">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3F74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73DA1DB2">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241" w:type="pct"/>
            <w:vAlign w:val="center"/>
          </w:tcPr>
          <w:p w14:paraId="4C7144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153F3FC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符合招标文件采购需求中对付款方式、服务地点、服务期限等实质性要求</w:t>
            </w:r>
          </w:p>
        </w:tc>
        <w:tc>
          <w:tcPr>
            <w:tcW w:w="1472" w:type="pct"/>
            <w:vAlign w:val="center"/>
          </w:tcPr>
          <w:p w14:paraId="1AA8DC5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B4B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17CB49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241" w:type="pct"/>
            <w:vAlign w:val="center"/>
          </w:tcPr>
          <w:p w14:paraId="5A6087D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450342D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72" w:type="pct"/>
            <w:vAlign w:val="center"/>
          </w:tcPr>
          <w:p w14:paraId="2E5E1E80">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79DC1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2A459D7">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2.3异常低价投标审查</w:t>
      </w:r>
    </w:p>
    <w:tbl>
      <w:tblPr>
        <w:tblStyle w:val="21"/>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s="Times New Roman"/>
                <w:b/>
                <w:bCs/>
                <w:color w:val="auto"/>
                <w:sz w:val="24"/>
                <w:highlight w:val="none"/>
              </w:rPr>
              <w:t>异常低价投标审查表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szCs w:val="24"/>
                <w:highlight w:val="none"/>
              </w:rPr>
            </w:pPr>
            <w:r>
              <w:rPr>
                <w:rFonts w:hint="eastAsia" w:ascii="宋体" w:hAnsi="宋体" w:eastAsia="宋体" w:cs="Times New Roman"/>
                <w:color w:val="auto"/>
                <w:sz w:val="24"/>
                <w:highlight w:val="none"/>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450" w:type="dxa"/>
            <w:tcBorders>
              <w:bottom w:val="single" w:color="auto" w:sz="4" w:space="0"/>
            </w:tcBorders>
            <w:vAlign w:val="center"/>
          </w:tcPr>
          <w:p w14:paraId="4828CEF5">
            <w:pPr>
              <w:spacing w:line="360" w:lineRule="auto"/>
              <w:rPr>
                <w:rFonts w:ascii="宋体" w:hAnsi="宋体" w:eastAsia="宋体" w:cs="宋体"/>
                <w:color w:val="auto"/>
                <w:sz w:val="24"/>
                <w:szCs w:val="28"/>
                <w:highlight w:val="none"/>
              </w:rPr>
            </w:pPr>
            <w:r>
              <w:rPr>
                <w:rFonts w:hint="eastAsia" w:ascii="宋体" w:hAnsi="宋体" w:eastAsia="宋体" w:cs="宋体"/>
                <w:color w:val="auto"/>
                <w:sz w:val="24"/>
                <w:highlight w:val="none"/>
              </w:rPr>
              <w:t>异常低价投标审查</w:t>
            </w:r>
          </w:p>
        </w:tc>
        <w:tc>
          <w:tcPr>
            <w:tcW w:w="4439" w:type="dxa"/>
            <w:tcBorders>
              <w:bottom w:val="single" w:color="auto" w:sz="4" w:space="0"/>
            </w:tcBorders>
            <w:vAlign w:val="center"/>
          </w:tcPr>
          <w:p w14:paraId="3F761226">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（1）投标报价＜全部通过符合性审查投标人投标报价平均值×</w:t>
            </w:r>
            <w:r>
              <w:rPr>
                <w:rFonts w:hint="eastAsia" w:ascii="宋体" w:hAnsi="宋体" w:eastAsia="宋体" w:cs="宋体"/>
                <w:color w:val="auto"/>
                <w:sz w:val="24"/>
                <w:szCs w:val="24"/>
                <w:highlight w:val="none"/>
                <w:u w:val="single"/>
              </w:rPr>
              <w:t>50%</w:t>
            </w:r>
            <w:r>
              <w:rPr>
                <w:rFonts w:hint="eastAsia" w:ascii="宋体" w:hAnsi="宋体" w:eastAsia="宋体" w:cs="宋体"/>
                <w:color w:val="auto"/>
                <w:sz w:val="24"/>
                <w:szCs w:val="24"/>
                <w:highlight w:val="none"/>
              </w:rPr>
              <w:t>；</w:t>
            </w:r>
          </w:p>
          <w:p w14:paraId="2926116B">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（2）投标报价＜通过符合性审查的次低报价投标人投标报价×</w:t>
            </w:r>
            <w:r>
              <w:rPr>
                <w:rFonts w:hint="eastAsia" w:ascii="宋体" w:hAnsi="宋体" w:eastAsia="宋体" w:cs="宋体"/>
                <w:color w:val="auto"/>
                <w:sz w:val="24"/>
                <w:szCs w:val="24"/>
                <w:highlight w:val="none"/>
                <w:u w:val="single"/>
              </w:rPr>
              <w:t>50%</w:t>
            </w:r>
            <w:r>
              <w:rPr>
                <w:rFonts w:hint="eastAsia" w:ascii="宋体" w:hAnsi="宋体" w:eastAsia="宋体" w:cs="宋体"/>
                <w:color w:val="auto"/>
                <w:sz w:val="24"/>
                <w:szCs w:val="24"/>
                <w:highlight w:val="none"/>
              </w:rPr>
              <w:t>；</w:t>
            </w:r>
          </w:p>
          <w:p w14:paraId="3772DE0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（3）投标报价＜采购项目最高限价（</w:t>
            </w:r>
            <w:r>
              <w:rPr>
                <w:rFonts w:hint="eastAsia" w:ascii="宋体" w:hAnsi="宋体" w:eastAsia="宋体" w:cs="宋体"/>
                <w:color w:val="auto"/>
                <w:sz w:val="24"/>
                <w:highlight w:val="none"/>
              </w:rPr>
              <w:t>如采购项目未设定最高限价的，以采购项目预算金额作为最高限价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45%</w:t>
            </w:r>
            <w:r>
              <w:rPr>
                <w:rFonts w:hint="eastAsia" w:ascii="宋体" w:hAnsi="宋体" w:eastAsia="宋体" w:cs="宋体"/>
                <w:color w:val="auto"/>
                <w:sz w:val="24"/>
                <w:szCs w:val="24"/>
                <w:highlight w:val="none"/>
              </w:rPr>
              <w:t>；</w:t>
            </w:r>
          </w:p>
          <w:p w14:paraId="6545F9B4">
            <w:pPr>
              <w:pStyle w:val="8"/>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（4）评标委员会基于专业判断，认为投标人报价过低，有可能影响产品质量或者不能诚信履约的其他情形。</w:t>
            </w:r>
          </w:p>
          <w:p w14:paraId="04BCE85D">
            <w:pPr>
              <w:pStyle w:val="8"/>
              <w:spacing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提醒：</w:t>
            </w:r>
          </w:p>
          <w:p w14:paraId="284AB8A9">
            <w:pPr>
              <w:pStyle w:val="8"/>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上述</w:t>
            </w:r>
            <w:r>
              <w:rPr>
                <w:rFonts w:hint="eastAsia" w:ascii="宋体" w:hAnsi="宋体" w:eastAsia="宋体"/>
                <w:color w:val="auto"/>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4F4E35CC">
            <w:pPr>
              <w:spacing w:line="360" w:lineRule="auto"/>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45C50771">
      <w:pPr>
        <w:spacing w:line="360" w:lineRule="auto"/>
        <w:rPr>
          <w:rFonts w:ascii="宋体" w:hAnsi="宋体" w:eastAsia="宋体" w:cs="Arial"/>
          <w:color w:val="auto"/>
          <w:sz w:val="24"/>
          <w:highlight w:val="none"/>
        </w:rPr>
      </w:pPr>
      <w:r>
        <w:rPr>
          <w:rFonts w:hint="eastAsia" w:ascii="宋体" w:hAnsi="宋体" w:eastAsia="宋体" w:cs="Times New Roman"/>
          <w:color w:val="auto"/>
          <w:sz w:val="24"/>
          <w:highlight w:val="none"/>
        </w:rPr>
        <w:t>注：</w:t>
      </w:r>
    </w:p>
    <w:p w14:paraId="0B386B3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根据《关于推进解决政府采购异常低价问题的通知》（财库〔</w:t>
      </w:r>
      <w:r>
        <w:rPr>
          <w:rFonts w:ascii="宋体" w:hAnsi="宋体" w:eastAsia="宋体"/>
          <w:color w:val="auto"/>
          <w:sz w:val="24"/>
          <w:highlight w:val="none"/>
        </w:rPr>
        <w:t>202</w:t>
      </w:r>
      <w:r>
        <w:rPr>
          <w:rFonts w:hint="eastAsia" w:ascii="宋体" w:hAnsi="宋体" w:eastAsia="宋体"/>
          <w:color w:val="auto"/>
          <w:sz w:val="24"/>
          <w:highlight w:val="none"/>
        </w:rPr>
        <w:t>6</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号</w:t>
      </w:r>
      <w:r>
        <w:rPr>
          <w:rFonts w:hint="eastAsia" w:ascii="宋体" w:hAnsi="宋体" w:eastAsia="宋体"/>
          <w:color w:val="auto"/>
          <w:sz w:val="24"/>
          <w:highlight w:val="none"/>
        </w:rPr>
        <w:t>），采购人可以结合具体项目实际情况，提高上述</w:t>
      </w:r>
      <w:r>
        <w:rPr>
          <w:rFonts w:hint="eastAsia" w:ascii="宋体" w:hAnsi="宋体" w:eastAsia="宋体" w:cs="Times New Roman"/>
          <w:color w:val="auto"/>
          <w:sz w:val="24"/>
          <w:highlight w:val="none"/>
        </w:rPr>
        <w:t>评审标准</w:t>
      </w:r>
      <w:r>
        <w:rPr>
          <w:rFonts w:hint="eastAsia" w:ascii="宋体" w:hAnsi="宋体" w:eastAsia="宋体"/>
          <w:color w:val="auto"/>
          <w:sz w:val="24"/>
          <w:highlight w:val="none"/>
        </w:rPr>
        <w:t>第（1）项至第（3）项中的数值标准，但是最高不得超过65%。</w:t>
      </w:r>
    </w:p>
    <w:p w14:paraId="75FBBA01">
      <w:pPr>
        <w:spacing w:line="360" w:lineRule="auto"/>
        <w:ind w:firstLine="480" w:firstLineChars="200"/>
        <w:rPr>
          <w:rFonts w:ascii="宋体" w:hAnsi="宋体" w:eastAsia="宋体" w:cs="Arial"/>
          <w:color w:val="auto"/>
          <w:sz w:val="24"/>
          <w:highlight w:val="none"/>
        </w:rPr>
      </w:pPr>
      <w:r>
        <w:rPr>
          <w:rFonts w:hint="eastAsia" w:ascii="宋体" w:hAnsi="宋体" w:eastAsia="宋体" w:cs="Arial"/>
          <w:color w:val="auto"/>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rPr>
        <w:t>（3）</w:t>
      </w:r>
      <w:r>
        <w:rPr>
          <w:rFonts w:hint="eastAsia" w:ascii="宋体" w:hAnsi="宋体" w:eastAsia="宋体" w:cs="Arial"/>
          <w:color w:val="auto"/>
          <w:sz w:val="24"/>
          <w:highlight w:val="none"/>
        </w:rPr>
        <w:t>项情形，投标人已随投标文件一并提交相关书面说明及必要的证明材料的，在评审现场可不再重复提交。</w:t>
      </w:r>
    </w:p>
    <w:p w14:paraId="47C7BF08">
      <w:pPr>
        <w:pStyle w:val="8"/>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b/>
          <w:bCs/>
          <w:color w:val="auto"/>
          <w:sz w:val="24"/>
          <w:highlight w:val="none"/>
        </w:rPr>
        <w:t>无效投标</w:t>
      </w:r>
      <w:r>
        <w:rPr>
          <w:rFonts w:hint="eastAsia" w:ascii="宋体" w:hAnsi="宋体" w:eastAsia="宋体"/>
          <w:color w:val="auto"/>
          <w:sz w:val="24"/>
          <w:highlight w:val="none"/>
        </w:rPr>
        <w:t>处理。</w:t>
      </w:r>
    </w:p>
    <w:p w14:paraId="16039C20">
      <w:pPr>
        <w:pStyle w:val="8"/>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5BC15F0E">
      <w:pPr>
        <w:widowControl/>
        <w:jc w:val="left"/>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69E22BB8">
      <w:pPr>
        <w:spacing w:line="360" w:lineRule="auto"/>
        <w:jc w:val="center"/>
        <w:outlineLvl w:val="0"/>
        <w:rPr>
          <w:rFonts w:asciiTheme="minorEastAsia" w:hAnsiTheme="minorEastAsia" w:eastAsiaTheme="minorEastAsia"/>
          <w:b/>
          <w:color w:val="auto"/>
          <w:sz w:val="28"/>
          <w:highlight w:val="none"/>
        </w:rPr>
      </w:pPr>
      <w:bookmarkStart w:id="68" w:name="_Toc9814"/>
      <w:bookmarkStart w:id="69" w:name="_Toc1760"/>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68"/>
      <w:bookmarkEnd w:id="69"/>
    </w:p>
    <w:p w14:paraId="3467FE52">
      <w:pPr>
        <w:spacing w:line="480" w:lineRule="auto"/>
        <w:jc w:val="center"/>
        <w:rPr>
          <w:rFonts w:cs="Times New Roman" w:asciiTheme="minorEastAsia" w:hAnsiTheme="minorEastAsia" w:eastAsiaTheme="minorEastAsia"/>
          <w:b/>
          <w:color w:val="auto"/>
          <w:sz w:val="28"/>
          <w:szCs w:val="28"/>
          <w:highlight w:val="none"/>
        </w:rPr>
      </w:pPr>
      <w:bookmarkStart w:id="70" w:name="_Toc331685784"/>
    </w:p>
    <w:p w14:paraId="3AA1F80E">
      <w:pPr>
        <w:spacing w:line="480" w:lineRule="auto"/>
        <w:jc w:val="center"/>
        <w:rPr>
          <w:rFonts w:cs="Times New Roman" w:asciiTheme="minorEastAsia" w:hAnsiTheme="minorEastAsia" w:eastAsiaTheme="minorEastAsia"/>
          <w:b/>
          <w:color w:val="auto"/>
          <w:sz w:val="28"/>
          <w:szCs w:val="28"/>
          <w:highlight w:val="none"/>
        </w:rPr>
      </w:pPr>
    </w:p>
    <w:p w14:paraId="136074D2">
      <w:pPr>
        <w:pStyle w:val="2"/>
        <w:rPr>
          <w:color w:val="auto"/>
          <w:highlight w:val="none"/>
        </w:rPr>
      </w:pPr>
    </w:p>
    <w:p w14:paraId="3875F78A">
      <w:pPr>
        <w:spacing w:line="480" w:lineRule="auto"/>
        <w:jc w:val="center"/>
        <w:outlineLvl w:val="1"/>
        <w:rPr>
          <w:rFonts w:cs="Times New Roman" w:asciiTheme="minorEastAsia" w:hAnsiTheme="minorEastAsia" w:eastAsiaTheme="minorEastAsia"/>
          <w:b/>
          <w:color w:val="auto"/>
          <w:sz w:val="28"/>
          <w:szCs w:val="28"/>
          <w:highlight w:val="none"/>
        </w:rPr>
      </w:pPr>
      <w:bookmarkStart w:id="71" w:name="_Toc14995"/>
      <w:bookmarkStart w:id="72"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71"/>
      <w:bookmarkEnd w:id="72"/>
    </w:p>
    <w:p w14:paraId="1C77319F">
      <w:pPr>
        <w:spacing w:line="480" w:lineRule="auto"/>
        <w:jc w:val="center"/>
        <w:outlineLvl w:val="1"/>
        <w:rPr>
          <w:rFonts w:cs="Times New Roman" w:asciiTheme="minorEastAsia" w:hAnsiTheme="minorEastAsia" w:eastAsiaTheme="minorEastAsia"/>
          <w:b/>
          <w:color w:val="auto"/>
          <w:sz w:val="28"/>
          <w:szCs w:val="28"/>
          <w:highlight w:val="none"/>
        </w:rPr>
      </w:pPr>
      <w:bookmarkStart w:id="73" w:name="_Toc8560"/>
      <w:bookmarkStart w:id="74" w:name="_Toc14089"/>
      <w:r>
        <w:rPr>
          <w:rFonts w:hint="eastAsia" w:cs="Times New Roman" w:asciiTheme="minorEastAsia" w:hAnsiTheme="minorEastAsia" w:eastAsiaTheme="minorEastAsia"/>
          <w:b/>
          <w:color w:val="auto"/>
          <w:sz w:val="28"/>
          <w:szCs w:val="28"/>
          <w:highlight w:val="none"/>
        </w:rPr>
        <w:t>（服务类）</w:t>
      </w:r>
      <w:bookmarkEnd w:id="73"/>
      <w:bookmarkEnd w:id="74"/>
    </w:p>
    <w:p w14:paraId="466127EF">
      <w:pPr>
        <w:spacing w:line="480" w:lineRule="auto"/>
        <w:jc w:val="center"/>
        <w:rPr>
          <w:rFonts w:cs="Times New Roman" w:asciiTheme="minorEastAsia" w:hAnsiTheme="minorEastAsia" w:eastAsiaTheme="minorEastAsia"/>
          <w:b/>
          <w:color w:val="auto"/>
          <w:sz w:val="24"/>
          <w:szCs w:val="24"/>
          <w:highlight w:val="none"/>
        </w:rPr>
      </w:pPr>
    </w:p>
    <w:p w14:paraId="55BFF498">
      <w:pPr>
        <w:spacing w:line="480" w:lineRule="auto"/>
        <w:jc w:val="center"/>
        <w:rPr>
          <w:rFonts w:cs="Times New Roman" w:asciiTheme="minorEastAsia" w:hAnsiTheme="minorEastAsia" w:eastAsiaTheme="minorEastAsia"/>
          <w:b/>
          <w:color w:val="auto"/>
          <w:sz w:val="24"/>
          <w:szCs w:val="24"/>
          <w:highlight w:val="none"/>
        </w:rPr>
      </w:pPr>
    </w:p>
    <w:p w14:paraId="00CAA0A5">
      <w:pPr>
        <w:spacing w:line="480" w:lineRule="auto"/>
        <w:jc w:val="center"/>
        <w:rPr>
          <w:rFonts w:cs="Times New Roman" w:asciiTheme="minorEastAsia" w:hAnsiTheme="minorEastAsia" w:eastAsiaTheme="minorEastAsia"/>
          <w:b/>
          <w:color w:val="auto"/>
          <w:sz w:val="24"/>
          <w:szCs w:val="24"/>
          <w:highlight w:val="none"/>
        </w:rPr>
      </w:pPr>
    </w:p>
    <w:p w14:paraId="350F0F5D">
      <w:pPr>
        <w:spacing w:line="360" w:lineRule="auto"/>
        <w:jc w:val="center"/>
        <w:outlineLvl w:val="1"/>
        <w:rPr>
          <w:rFonts w:asciiTheme="minorEastAsia" w:hAnsiTheme="minorEastAsia" w:eastAsiaTheme="minorEastAsia"/>
          <w:b/>
          <w:color w:val="auto"/>
          <w:sz w:val="24"/>
          <w:highlight w:val="none"/>
        </w:rPr>
      </w:pPr>
      <w:bookmarkStart w:id="75" w:name="_Toc2449"/>
      <w:bookmarkStart w:id="76" w:name="_Toc20452"/>
      <w:r>
        <w:rPr>
          <w:rFonts w:hint="eastAsia" w:asciiTheme="minorEastAsia" w:hAnsiTheme="minorEastAsia" w:eastAsiaTheme="minorEastAsia"/>
          <w:b/>
          <w:color w:val="auto"/>
          <w:sz w:val="24"/>
          <w:highlight w:val="none"/>
        </w:rPr>
        <w:t>第一部分 合同书</w:t>
      </w:r>
      <w:bookmarkEnd w:id="75"/>
      <w:bookmarkEnd w:id="76"/>
    </w:p>
    <w:p w14:paraId="7125BCA4">
      <w:pPr>
        <w:spacing w:line="480" w:lineRule="auto"/>
        <w:jc w:val="center"/>
        <w:rPr>
          <w:rFonts w:cs="Times New Roman" w:asciiTheme="minorEastAsia" w:hAnsiTheme="minorEastAsia" w:eastAsiaTheme="minorEastAsia"/>
          <w:b/>
          <w:color w:val="auto"/>
          <w:sz w:val="24"/>
          <w:szCs w:val="24"/>
          <w:highlight w:val="none"/>
        </w:rPr>
      </w:pPr>
    </w:p>
    <w:p w14:paraId="0450391B">
      <w:pPr>
        <w:spacing w:line="480" w:lineRule="auto"/>
        <w:jc w:val="center"/>
        <w:rPr>
          <w:rFonts w:cs="Times New Roman" w:asciiTheme="minorEastAsia" w:hAnsiTheme="minorEastAsia" w:eastAsiaTheme="minorEastAsia"/>
          <w:b/>
          <w:color w:val="auto"/>
          <w:sz w:val="24"/>
          <w:szCs w:val="24"/>
          <w:highlight w:val="none"/>
        </w:rPr>
      </w:pPr>
    </w:p>
    <w:p w14:paraId="7F8FA7D6">
      <w:pPr>
        <w:pStyle w:val="2"/>
        <w:rPr>
          <w:color w:val="auto"/>
          <w:highlight w:val="none"/>
        </w:rPr>
      </w:pPr>
    </w:p>
    <w:p w14:paraId="6694D951">
      <w:pPr>
        <w:pStyle w:val="2"/>
        <w:rPr>
          <w:color w:val="auto"/>
          <w:highlight w:val="none"/>
        </w:rPr>
      </w:pPr>
    </w:p>
    <w:p w14:paraId="6DFD9FEC">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rPr>
        <w:t xml:space="preserve">        </w:t>
      </w:r>
    </w:p>
    <w:p w14:paraId="026B1F55">
      <w:pPr>
        <w:spacing w:before="120" w:line="480" w:lineRule="auto"/>
        <w:ind w:left="96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rPr>
        <w:t xml:space="preserve">        </w:t>
      </w:r>
    </w:p>
    <w:p w14:paraId="10AEC6D7">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rPr>
        <w:t xml:space="preserve">                              </w:t>
      </w:r>
    </w:p>
    <w:p w14:paraId="23E278CD">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14:paraId="6C50A6CB">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p>
    <w:p w14:paraId="36147CE0">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14:paraId="6A3DEBBB">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以下简称：甲方</w:t>
      </w:r>
      <w:r>
        <w:rPr>
          <w:rFonts w:hint="eastAsia" w:asciiTheme="minorEastAsia" w:hAnsiTheme="minorEastAsia" w:eastAsiaTheme="minorEastAsia"/>
          <w:color w:val="auto"/>
          <w:sz w:val="24"/>
          <w:highlight w:val="none"/>
        </w:rPr>
        <w:t>）通过</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24059"/>
      <w:bookmarkStart w:id="78" w:name="_Toc3029"/>
      <w:bookmarkStart w:id="79" w:name="_Toc2232"/>
      <w:r>
        <w:rPr>
          <w:rFonts w:hint="eastAsia" w:cs="Times New Roman" w:asciiTheme="minorEastAsia" w:hAnsiTheme="minorEastAsia" w:eastAsiaTheme="minorEastAsia"/>
          <w:b/>
          <w:bCs/>
          <w:color w:val="auto"/>
          <w:sz w:val="24"/>
          <w:szCs w:val="24"/>
          <w:highlight w:val="none"/>
          <w:lang w:val="zh-CN"/>
        </w:rPr>
        <w:t>1.1</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合同组成部分</w:t>
      </w:r>
      <w:bookmarkEnd w:id="77"/>
      <w:bookmarkEnd w:id="78"/>
      <w:bookmarkEnd w:id="79"/>
    </w:p>
    <w:p w14:paraId="5D4357B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0" w:name="_Toc6311"/>
      <w:bookmarkStart w:id="81" w:name="_Toc6773"/>
      <w:bookmarkStart w:id="82" w:name="_Toc18585"/>
      <w:bookmarkStart w:id="83" w:name="_Toc2918"/>
      <w:bookmarkStart w:id="84" w:name="_Toc22185"/>
      <w:r>
        <w:rPr>
          <w:rFonts w:hint="eastAsia" w:cs="Times New Roman" w:asciiTheme="minorEastAsia" w:hAnsiTheme="minorEastAsia" w:eastAsiaTheme="minorEastAsia"/>
          <w:b/>
          <w:bCs/>
          <w:color w:val="auto"/>
          <w:sz w:val="24"/>
          <w:szCs w:val="24"/>
          <w:highlight w:val="none"/>
          <w:lang w:val="zh-CN"/>
        </w:rPr>
        <w:t xml:space="preserve">1.2 </w:t>
      </w:r>
      <w:bookmarkEnd w:id="80"/>
      <w:bookmarkEnd w:id="81"/>
      <w:bookmarkEnd w:id="82"/>
      <w:bookmarkEnd w:id="83"/>
      <w:bookmarkEnd w:id="84"/>
      <w:r>
        <w:rPr>
          <w:rFonts w:hint="eastAsia" w:cs="Times New Roman" w:asciiTheme="minorEastAsia" w:hAnsiTheme="minorEastAsia" w:eastAsiaTheme="minorEastAsia"/>
          <w:b/>
          <w:bCs/>
          <w:color w:val="auto"/>
          <w:sz w:val="24"/>
          <w:szCs w:val="24"/>
          <w:highlight w:val="none"/>
          <w:lang w:val="zh-CN"/>
        </w:rPr>
        <w:t>服务</w:t>
      </w:r>
    </w:p>
    <w:p w14:paraId="02B08CAD">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5C6783E2">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EDF0CE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A5BB48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5" w:name="_Toc23292"/>
      <w:bookmarkStart w:id="86" w:name="_Toc21551"/>
      <w:bookmarkStart w:id="87" w:name="_Toc2163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3 </w:t>
      </w:r>
      <w:r>
        <w:rPr>
          <w:rFonts w:hint="eastAsia" w:cs="Times New Roman" w:asciiTheme="minorEastAsia" w:hAnsiTheme="minorEastAsia" w:eastAsiaTheme="minorEastAsia"/>
          <w:b/>
          <w:bCs/>
          <w:color w:val="auto"/>
          <w:sz w:val="24"/>
          <w:szCs w:val="24"/>
          <w:highlight w:val="none"/>
          <w:lang w:val="zh-CN"/>
        </w:rPr>
        <w:t>价款</w:t>
      </w:r>
      <w:bookmarkEnd w:id="85"/>
      <w:bookmarkEnd w:id="86"/>
      <w:bookmarkEnd w:id="87"/>
    </w:p>
    <w:p w14:paraId="71FA174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ind w:firstLine="200"/>
              <w:jc w:val="center"/>
              <w:rPr>
                <w:rFonts w:cs="Times New Roman" w:asciiTheme="minorEastAsia" w:hAnsiTheme="minorEastAsia" w:eastAsiaTheme="minorEastAsia"/>
                <w:color w:val="auto"/>
                <w:sz w:val="24"/>
                <w:szCs w:val="24"/>
                <w:highlight w:val="none"/>
              </w:rPr>
            </w:pPr>
          </w:p>
        </w:tc>
      </w:tr>
    </w:tbl>
    <w:p w14:paraId="15672FC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8" w:name="_Toc1814"/>
      <w:bookmarkStart w:id="89" w:name="_Toc10340"/>
      <w:bookmarkStart w:id="90" w:name="_Toc22618"/>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 付款方式和发票开具方式</w:t>
      </w:r>
      <w:bookmarkEnd w:id="88"/>
      <w:bookmarkEnd w:id="89"/>
      <w:bookmarkEnd w:id="90"/>
    </w:p>
    <w:p w14:paraId="675BC05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44744C2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596871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1" w:name="_Toc32071"/>
      <w:bookmarkStart w:id="92" w:name="_Toc2846"/>
      <w:bookmarkStart w:id="93" w:name="_Toc1930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5 </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91"/>
      <w:bookmarkEnd w:id="92"/>
      <w:bookmarkEnd w:id="93"/>
    </w:p>
    <w:p w14:paraId="4603405B">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63BAB21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581BE40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71137BA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4" w:name="_Toc21423"/>
      <w:bookmarkStart w:id="95" w:name="_Toc19554"/>
      <w:bookmarkStart w:id="96" w:name="_Toc27250"/>
      <w:r>
        <w:rPr>
          <w:rFonts w:hint="eastAsia" w:cs="Times New Roman" w:asciiTheme="minorEastAsia" w:hAnsiTheme="minorEastAsia" w:eastAsiaTheme="minorEastAsia"/>
          <w:b/>
          <w:bCs/>
          <w:color w:val="auto"/>
          <w:sz w:val="24"/>
          <w:szCs w:val="24"/>
          <w:highlight w:val="none"/>
          <w:lang w:val="zh-CN"/>
        </w:rPr>
        <w:t>1.6 违约责任</w:t>
      </w:r>
      <w:bookmarkEnd w:id="94"/>
      <w:bookmarkEnd w:id="95"/>
      <w:bookmarkEnd w:id="96"/>
    </w:p>
    <w:p w14:paraId="5165474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1.6.1</w:t>
      </w:r>
      <w:r>
        <w:rPr>
          <w:rFonts w:cs="Times New Roman" w:asciiTheme="minorEastAsia" w:hAnsiTheme="minorEastAsia" w:eastAsiaTheme="minorEastAsia"/>
          <w:color w:val="auto"/>
          <w:sz w:val="24"/>
          <w:szCs w:val="24"/>
          <w:highlight w:val="none"/>
        </w:rPr>
        <w:t>除不可抗力外，如果乙方没有按照本合同约定的期限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地点和方式</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，那么甲方可要求乙方支付违约金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一日的应提供而未</w:t>
      </w:r>
      <w:r>
        <w:rPr>
          <w:rFonts w:hint="eastAsia" w:cs="Times New Roman" w:asciiTheme="minorEastAsia" w:hAnsiTheme="minorEastAsia" w:eastAsiaTheme="minorEastAsia"/>
          <w:color w:val="auto"/>
          <w:sz w:val="24"/>
          <w:szCs w:val="24"/>
          <w:highlight w:val="none"/>
        </w:rPr>
        <w:t>提供</w:t>
      </w:r>
      <w:r>
        <w:rPr>
          <w:rFonts w:cs="Times New Roman" w:asciiTheme="minorEastAsia" w:hAnsiTheme="minorEastAsia" w:eastAsiaTheme="minorEastAsia"/>
          <w:color w:val="auto"/>
          <w:sz w:val="24"/>
          <w:szCs w:val="24"/>
          <w:highlight w:val="none"/>
        </w:rPr>
        <w:t>服务价格的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甲方有权在要求乙方支付违约金的同时</w:t>
      </w:r>
      <w:r>
        <w:rPr>
          <w:rFonts w:hint="eastAsia" w:cs="Times New Roman" w:asciiTheme="minorEastAsia" w:hAnsiTheme="minorEastAsia" w:eastAsiaTheme="minorEastAsia"/>
          <w:color w:val="auto"/>
          <w:sz w:val="24"/>
          <w:szCs w:val="24"/>
          <w:highlight w:val="none"/>
        </w:rPr>
        <w:t>，书面通知乙方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3339375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1.6.2</w:t>
      </w:r>
      <w:r>
        <w:rPr>
          <w:rFonts w:cs="Times New Roman" w:asciiTheme="minorEastAsia" w:hAnsiTheme="minorEastAsia" w:eastAsiaTheme="minorEastAsia"/>
          <w:color w:val="auto"/>
          <w:sz w:val="24"/>
          <w:szCs w:val="24"/>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一日的应付而未付款的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，乙</w:t>
      </w:r>
      <w:r>
        <w:rPr>
          <w:rFonts w:cs="Times New Roman" w:asciiTheme="minorEastAsia" w:hAnsiTheme="minorEastAsia" w:eastAsiaTheme="minorEastAsia"/>
          <w:color w:val="auto"/>
          <w:sz w:val="24"/>
          <w:szCs w:val="24"/>
          <w:highlight w:val="none"/>
        </w:rPr>
        <w:t>方有权在要求甲方支付违约金的同时</w:t>
      </w:r>
      <w:r>
        <w:rPr>
          <w:rFonts w:hint="eastAsia" w:cs="Times New Roman" w:asciiTheme="minorEastAsia" w:hAnsiTheme="minorEastAsia" w:eastAsiaTheme="minorEastAsia"/>
          <w:color w:val="auto"/>
          <w:sz w:val="24"/>
          <w:szCs w:val="24"/>
          <w:highlight w:val="none"/>
        </w:rPr>
        <w:t>，书面通知甲方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046D515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7" w:name="_Toc16021"/>
      <w:bookmarkStart w:id="98" w:name="_Toc15583"/>
      <w:bookmarkStart w:id="99" w:name="_Toc28375"/>
      <w:r>
        <w:rPr>
          <w:rFonts w:hint="eastAsia" w:cs="Times New Roman" w:asciiTheme="minorEastAsia" w:hAnsiTheme="minorEastAsia" w:eastAsiaTheme="minorEastAsia"/>
          <w:b/>
          <w:bCs/>
          <w:color w:val="auto"/>
          <w:sz w:val="24"/>
          <w:szCs w:val="24"/>
          <w:highlight w:val="none"/>
          <w:lang w:val="zh-CN"/>
        </w:rPr>
        <w:t>1.7</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w:t>
      </w:r>
      <w:r>
        <w:rPr>
          <w:rFonts w:cs="Times New Roman" w:asciiTheme="minorEastAsia" w:hAnsiTheme="minorEastAsia" w:eastAsiaTheme="minorEastAsia"/>
          <w:b/>
          <w:bCs/>
          <w:color w:val="auto"/>
          <w:sz w:val="24"/>
          <w:szCs w:val="24"/>
          <w:highlight w:val="none"/>
          <w:lang w:val="zh-CN"/>
        </w:rPr>
        <w:t>争议的解决</w:t>
      </w:r>
      <w:bookmarkEnd w:id="97"/>
      <w:bookmarkEnd w:id="98"/>
      <w:bookmarkEnd w:id="99"/>
    </w:p>
    <w:p w14:paraId="3568D2E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通过和解或者调解解决；不愿和解、调解或者和解、调解不成的，可以选择下列第</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种方式解决：</w:t>
      </w:r>
    </w:p>
    <w:p w14:paraId="7E3306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仲裁委员会依申请仲裁时其现行有效的仲裁规则裁决；</w:t>
      </w:r>
    </w:p>
    <w:p w14:paraId="2D1B01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人民法院起诉。</w:t>
      </w:r>
    </w:p>
    <w:p w14:paraId="2407D7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0" w:name="_Toc11173"/>
      <w:bookmarkStart w:id="101" w:name="_Toc15322"/>
      <w:bookmarkStart w:id="102" w:name="_Toc7245"/>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 xml:space="preserve"> 合同生效</w:t>
      </w:r>
      <w:bookmarkEnd w:id="100"/>
      <w:bookmarkEnd w:id="101"/>
      <w:bookmarkEnd w:id="102"/>
    </w:p>
    <w:p w14:paraId="7BCC4997">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autoSpaceDE w:val="0"/>
        <w:autoSpaceDN w:val="0"/>
        <w:adjustRightInd w:val="0"/>
        <w:spacing w:line="560" w:lineRule="exact"/>
        <w:rPr>
          <w:rFonts w:cs="Times New Roman" w:asciiTheme="minorEastAsia" w:hAnsiTheme="minorEastAsia" w:eastAsiaTheme="minorEastAsia"/>
          <w:bCs/>
          <w:color w:val="auto"/>
          <w:sz w:val="24"/>
          <w:szCs w:val="24"/>
          <w:highlight w:val="none"/>
          <w:lang w:val="zh-CN"/>
        </w:rPr>
      </w:pPr>
      <w:r>
        <w:rPr>
          <w:rFonts w:hint="eastAsia" w:cs="Times New Roman" w:asciiTheme="minorEastAsia" w:hAnsiTheme="minorEastAsia" w:eastAsiaTheme="minorEastAsia"/>
          <w:bCs/>
          <w:color w:val="auto"/>
          <w:sz w:val="24"/>
          <w:szCs w:val="24"/>
          <w:highlight w:val="none"/>
          <w:lang w:val="zh-CN"/>
        </w:rPr>
        <w:t xml:space="preserve">甲 </w:t>
      </w:r>
      <w:r>
        <w:rPr>
          <w:rFonts w:cs="Times New Roman" w:asciiTheme="minorEastAsia" w:hAnsiTheme="minorEastAsia" w:eastAsiaTheme="minorEastAsia"/>
          <w:bCs/>
          <w:color w:val="auto"/>
          <w:sz w:val="24"/>
          <w:szCs w:val="24"/>
          <w:highlight w:val="none"/>
          <w:lang w:val="zh-CN"/>
        </w:rPr>
        <w:t xml:space="preserve">   </w:t>
      </w:r>
      <w:r>
        <w:rPr>
          <w:rFonts w:hint="eastAsia" w:cs="Times New Roman" w:asciiTheme="minorEastAsia" w:hAnsiTheme="minorEastAsia" w:eastAsiaTheme="minorEastAsia"/>
          <w:bCs/>
          <w:color w:val="auto"/>
          <w:sz w:val="24"/>
          <w:szCs w:val="24"/>
          <w:highlight w:val="none"/>
          <w:lang w:val="zh-CN"/>
        </w:rPr>
        <w:t>方：</w:t>
      </w:r>
      <w:r>
        <w:rPr>
          <w:rFonts w:hint="eastAsia" w:cs="Times New Roman" w:asciiTheme="minorEastAsia" w:hAnsiTheme="minorEastAsia" w:eastAsiaTheme="minorEastAsia"/>
          <w:bCs/>
          <w:color w:val="auto"/>
          <w:sz w:val="24"/>
          <w:szCs w:val="24"/>
          <w:highlight w:val="none"/>
          <w:u w:val="single"/>
          <w:lang w:val="zh-CN"/>
        </w:rPr>
        <w:t xml:space="preserve">    （单位盖章）     </w:t>
      </w:r>
      <w:r>
        <w:rPr>
          <w:rFonts w:hint="eastAsia" w:cs="Times New Roman" w:asciiTheme="minorEastAsia" w:hAnsiTheme="minorEastAsia" w:eastAsiaTheme="minorEastAsia"/>
          <w:bCs/>
          <w:color w:val="auto"/>
          <w:sz w:val="24"/>
          <w:szCs w:val="24"/>
          <w:highlight w:val="none"/>
          <w:lang w:val="zh-CN"/>
        </w:rPr>
        <w:t xml:space="preserve">          乙方：</w:t>
      </w:r>
      <w:r>
        <w:rPr>
          <w:rFonts w:hint="eastAsia" w:cs="Times New Roman" w:asciiTheme="minorEastAsia" w:hAnsiTheme="minorEastAsia" w:eastAsiaTheme="minorEastAsia"/>
          <w:bCs/>
          <w:color w:val="auto"/>
          <w:sz w:val="24"/>
          <w:szCs w:val="24"/>
          <w:highlight w:val="none"/>
          <w:u w:val="single"/>
          <w:lang w:val="zh-CN"/>
        </w:rPr>
        <w:t xml:space="preserve">    （单位盖章）     </w:t>
      </w:r>
    </w:p>
    <w:p w14:paraId="36CB1EF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 xml:space="preserve">法定代表人                             </w:t>
      </w:r>
      <w:r>
        <w:rPr>
          <w:rFonts w:cs="Times New Roman" w:asciiTheme="minorEastAsia" w:hAnsiTheme="minorEastAsia" w:eastAsiaTheme="minorEastAsia"/>
          <w:color w:val="auto"/>
          <w:sz w:val="24"/>
          <w:szCs w:val="24"/>
          <w:highlight w:val="none"/>
          <w:lang w:val="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                      或授权代表（签字）：</w:t>
      </w:r>
    </w:p>
    <w:p w14:paraId="01CC75B0">
      <w:pPr>
        <w:widowControl/>
        <w:spacing w:line="560" w:lineRule="exact"/>
        <w:jc w:val="left"/>
        <w:rPr>
          <w:rFonts w:cs="Times New Roman" w:asciiTheme="minorEastAsia" w:hAnsiTheme="minorEastAsia" w:eastAsiaTheme="minorEastAsia"/>
          <w:bCs/>
          <w:color w:val="auto"/>
          <w:sz w:val="24"/>
          <w:szCs w:val="24"/>
          <w:highlight w:val="none"/>
        </w:rPr>
      </w:pPr>
      <w:bookmarkStart w:id="103"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               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w:t>
      </w:r>
    </w:p>
    <w:p w14:paraId="1FC5061F">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104" w:name="_Hlk110099149"/>
      <w:r>
        <w:rPr>
          <w:rFonts w:hint="eastAsia" w:ascii="宋体" w:hAnsi="宋体" w:eastAsia="宋体"/>
          <w:color w:val="auto"/>
          <w:sz w:val="24"/>
          <w:szCs w:val="24"/>
          <w:highlight w:val="none"/>
        </w:rPr>
        <w:t>乙方账户信息</w:t>
      </w:r>
    </w:p>
    <w:p w14:paraId="7B7BC559">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202B0FF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5F31272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104"/>
    <w:p w14:paraId="33323D2B">
      <w:pPr>
        <w:widowControl/>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spacing w:line="360" w:lineRule="auto"/>
        <w:jc w:val="center"/>
        <w:outlineLvl w:val="1"/>
        <w:rPr>
          <w:rFonts w:asciiTheme="minorEastAsia" w:hAnsiTheme="minorEastAsia" w:eastAsiaTheme="minorEastAsia"/>
          <w:b/>
          <w:color w:val="auto"/>
          <w:sz w:val="24"/>
          <w:highlight w:val="none"/>
        </w:rPr>
      </w:pPr>
      <w:bookmarkStart w:id="105" w:name="_Toc7112"/>
      <w:bookmarkStart w:id="106" w:name="_Toc415"/>
      <w:r>
        <w:rPr>
          <w:rFonts w:hint="eastAsia" w:asciiTheme="minorEastAsia" w:hAnsiTheme="minorEastAsia" w:eastAsiaTheme="minorEastAsia"/>
          <w:b/>
          <w:color w:val="auto"/>
          <w:sz w:val="24"/>
          <w:highlight w:val="none"/>
        </w:rPr>
        <w:t>第二部分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合同一般条款</w:t>
      </w:r>
      <w:bookmarkEnd w:id="103"/>
      <w:bookmarkEnd w:id="105"/>
      <w:bookmarkEnd w:id="106"/>
    </w:p>
    <w:p w14:paraId="3E5CCFFF">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7" w:name="_Ref467379195"/>
      <w:bookmarkStart w:id="108" w:name="_Ref467379094"/>
      <w:bookmarkStart w:id="109" w:name="_Ref467379225"/>
      <w:bookmarkStart w:id="110" w:name="_Toc259093669"/>
      <w:bookmarkStart w:id="111" w:name="_Ref467378463"/>
      <w:bookmarkStart w:id="112" w:name="_Toc487900349"/>
      <w:bookmarkStart w:id="113" w:name="_Toc16917"/>
      <w:bookmarkStart w:id="114" w:name="_Ref467379214"/>
      <w:bookmarkStart w:id="115" w:name="_Ref467379109"/>
      <w:bookmarkStart w:id="116" w:name="_Ref467378404"/>
      <w:bookmarkStart w:id="117" w:name="_Ref467378499"/>
      <w:bookmarkStart w:id="118" w:name="_Toc279701240"/>
      <w:bookmarkStart w:id="119" w:name="_Toc19614"/>
      <w:bookmarkStart w:id="120" w:name="_Ref467379101"/>
      <w:bookmarkStart w:id="121" w:name="_Ref467379205"/>
      <w:bookmarkStart w:id="122" w:name="_Toc287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 xml:space="preserve"> 定义</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8B093C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spacing w:line="360" w:lineRule="auto"/>
        <w:ind w:firstLine="435"/>
        <w:rPr>
          <w:rFonts w:cs="Times New Roman" w:asciiTheme="minorEastAsia" w:hAnsiTheme="minorEastAsia" w:eastAsiaTheme="minorEastAsia"/>
          <w:color w:val="auto"/>
          <w:sz w:val="24"/>
          <w:szCs w:val="24"/>
          <w:highlight w:val="none"/>
        </w:rPr>
      </w:pPr>
      <w:bookmarkStart w:id="123"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123"/>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spacing w:line="360" w:lineRule="auto"/>
        <w:ind w:firstLine="435"/>
        <w:rPr>
          <w:rFonts w:cs="Times New Roman" w:asciiTheme="minorEastAsia" w:hAnsiTheme="minorEastAsia" w:eastAsiaTheme="minorEastAsia"/>
          <w:color w:val="auto"/>
          <w:sz w:val="24"/>
          <w:szCs w:val="24"/>
          <w:highlight w:val="none"/>
        </w:rPr>
      </w:pPr>
      <w:bookmarkStart w:id="124"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24"/>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spacing w:line="360" w:lineRule="auto"/>
        <w:ind w:firstLine="435"/>
        <w:rPr>
          <w:rFonts w:cs="Times New Roman" w:asciiTheme="minorEastAsia" w:hAnsiTheme="minorEastAsia" w:eastAsiaTheme="minorEastAsia"/>
          <w:color w:val="auto"/>
          <w:sz w:val="24"/>
          <w:szCs w:val="24"/>
          <w:highlight w:val="none"/>
        </w:rPr>
      </w:pPr>
      <w:bookmarkStart w:id="125"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25"/>
    </w:p>
    <w:p w14:paraId="278CAAF0">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6" w:name="_Toc27635"/>
      <w:bookmarkStart w:id="127" w:name="_Toc32504"/>
      <w:bookmarkStart w:id="128" w:name="_Toc13336"/>
      <w:bookmarkStart w:id="129" w:name="_Toc487900350"/>
      <w:bookmarkStart w:id="130" w:name="_Toc279701241"/>
      <w:bookmarkStart w:id="131" w:name="_Toc25909367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 技术规范</w:t>
      </w:r>
      <w:bookmarkEnd w:id="126"/>
      <w:bookmarkEnd w:id="127"/>
      <w:bookmarkEnd w:id="128"/>
      <w:bookmarkEnd w:id="129"/>
      <w:bookmarkEnd w:id="130"/>
      <w:bookmarkEnd w:id="131"/>
    </w:p>
    <w:p w14:paraId="300860F2">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31634"/>
      <w:bookmarkStart w:id="133" w:name="_Toc279701242"/>
      <w:bookmarkStart w:id="134" w:name="_Toc259093671"/>
      <w:bookmarkStart w:id="135" w:name="_Toc487900351"/>
      <w:bookmarkStart w:id="136" w:name="_Toc9829"/>
      <w:bookmarkStart w:id="137" w:name="_Toc27853"/>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 知识产权</w:t>
      </w:r>
      <w:bookmarkEnd w:id="132"/>
      <w:bookmarkEnd w:id="133"/>
      <w:bookmarkEnd w:id="134"/>
      <w:bookmarkEnd w:id="135"/>
      <w:bookmarkEnd w:id="136"/>
      <w:bookmarkEnd w:id="137"/>
    </w:p>
    <w:p w14:paraId="234AB67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8" w:name="_Ref467379542"/>
      <w:bookmarkStart w:id="139" w:name="_Ref467378591"/>
      <w:bookmarkStart w:id="140" w:name="_Ref467379536"/>
      <w:bookmarkStart w:id="141" w:name="_Toc487900354"/>
      <w:bookmarkStart w:id="142" w:name="_Ref467379527"/>
      <w:bookmarkStart w:id="143" w:name="_Toc279701245"/>
      <w:bookmarkStart w:id="144" w:name="_Toc259093674"/>
      <w:bookmarkStart w:id="145" w:name="_Ref467378541"/>
      <w:bookmarkStart w:id="146" w:name="_Toc19074"/>
      <w:bookmarkStart w:id="147" w:name="_Toc26182"/>
      <w:bookmarkStart w:id="148" w:name="_Toc30272"/>
      <w:r>
        <w:rPr>
          <w:rFonts w:hint="eastAsia" w:cs="Times New Roman" w:asciiTheme="minorEastAsia" w:hAnsiTheme="minorEastAsia" w:eastAsiaTheme="minorEastAsia"/>
          <w:b/>
          <w:bCs/>
          <w:color w:val="auto"/>
          <w:sz w:val="24"/>
          <w:szCs w:val="24"/>
          <w:highlight w:val="none"/>
          <w:lang w:val="zh-CN"/>
        </w:rPr>
        <w:t>2.</w:t>
      </w:r>
      <w:bookmarkEnd w:id="138"/>
      <w:bookmarkEnd w:id="139"/>
      <w:bookmarkEnd w:id="140"/>
      <w:bookmarkEnd w:id="141"/>
      <w:bookmarkEnd w:id="142"/>
      <w:bookmarkEnd w:id="143"/>
      <w:bookmarkEnd w:id="144"/>
      <w:bookmarkEnd w:id="145"/>
      <w:r>
        <w:rPr>
          <w:rFonts w:cs="Times New Roman" w:asciiTheme="minorEastAsia" w:hAnsiTheme="minorEastAsia" w:eastAsiaTheme="minorEastAsia"/>
          <w:b/>
          <w:bCs/>
          <w:color w:val="auto"/>
          <w:sz w:val="24"/>
          <w:szCs w:val="24"/>
          <w:highlight w:val="none"/>
          <w:lang w:val="zh-CN"/>
        </w:rPr>
        <w:t xml:space="preserve">4 </w:t>
      </w:r>
      <w:r>
        <w:rPr>
          <w:rFonts w:hint="eastAsia" w:cs="Times New Roman" w:asciiTheme="minorEastAsia" w:hAnsiTheme="minorEastAsia" w:eastAsiaTheme="minorEastAsia"/>
          <w:b/>
          <w:bCs/>
          <w:color w:val="auto"/>
          <w:sz w:val="24"/>
          <w:szCs w:val="24"/>
          <w:highlight w:val="none"/>
          <w:lang w:val="zh-CN"/>
        </w:rPr>
        <w:t>履约检查和问题反馈</w:t>
      </w:r>
      <w:bookmarkEnd w:id="146"/>
      <w:bookmarkEnd w:id="147"/>
      <w:bookmarkEnd w:id="148"/>
    </w:p>
    <w:p w14:paraId="2FE8FA85">
      <w:pPr>
        <w:spacing w:line="360" w:lineRule="auto"/>
        <w:ind w:firstLine="435"/>
        <w:rPr>
          <w:rFonts w:cs="Times New Roman" w:asciiTheme="minorEastAsia" w:hAnsiTheme="minorEastAsia" w:eastAsiaTheme="minorEastAsia"/>
          <w:color w:val="auto"/>
          <w:sz w:val="24"/>
          <w:szCs w:val="24"/>
          <w:highlight w:val="none"/>
        </w:rPr>
      </w:pPr>
      <w:bookmarkStart w:id="149" w:name="_Toc186431854"/>
      <w:bookmarkStart w:id="150" w:name="_Ref467379793"/>
      <w:bookmarkStart w:id="151" w:name="_Toc487900357"/>
      <w:bookmarkStart w:id="152" w:name="_Ref467379807"/>
      <w:bookmarkStart w:id="153" w:name="_Toc259093676"/>
      <w:bookmarkStart w:id="154" w:name="_Toc27970124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49"/>
      <w:bookmarkStart w:id="155" w:name="_Toc186431855"/>
      <w:r>
        <w:rPr>
          <w:rFonts w:hint="eastAsia" w:cs="Times New Roman" w:asciiTheme="minorEastAsia" w:hAnsiTheme="minorEastAsia" w:eastAsiaTheme="minorEastAsia"/>
          <w:color w:val="auto"/>
          <w:sz w:val="24"/>
          <w:szCs w:val="24"/>
          <w:highlight w:val="none"/>
        </w:rPr>
        <w:t>。</w:t>
      </w:r>
    </w:p>
    <w:bookmarkEnd w:id="155"/>
    <w:p w14:paraId="01FB6C6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6" w:name="_Toc7836"/>
      <w:bookmarkStart w:id="157" w:name="_Toc19219"/>
      <w:bookmarkStart w:id="158" w:name="_Toc2845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结算方式和付款条件</w:t>
      </w:r>
      <w:bookmarkEnd w:id="150"/>
      <w:bookmarkEnd w:id="151"/>
      <w:bookmarkEnd w:id="152"/>
      <w:bookmarkEnd w:id="153"/>
      <w:bookmarkEnd w:id="154"/>
      <w:bookmarkEnd w:id="156"/>
      <w:bookmarkEnd w:id="157"/>
      <w:bookmarkEnd w:id="158"/>
    </w:p>
    <w:p w14:paraId="4B7B722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9" w:name="_Ref467379852"/>
      <w:bookmarkStart w:id="160" w:name="_Ref467379923"/>
      <w:bookmarkStart w:id="161" w:name="_Ref467379863"/>
      <w:bookmarkStart w:id="162" w:name="_Toc487900358"/>
      <w:bookmarkStart w:id="163" w:name="_Toc279701248"/>
      <w:bookmarkStart w:id="164" w:name="_Toc259093677"/>
      <w:bookmarkStart w:id="165" w:name="_Toc16110"/>
      <w:bookmarkStart w:id="166" w:name="_Toc3225"/>
      <w:bookmarkStart w:id="167" w:name="_Toc7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技术资料</w:t>
      </w:r>
      <w:bookmarkEnd w:id="159"/>
      <w:bookmarkEnd w:id="160"/>
      <w:bookmarkEnd w:id="161"/>
      <w:bookmarkEnd w:id="162"/>
      <w:bookmarkEnd w:id="163"/>
      <w:bookmarkEnd w:id="164"/>
      <w:r>
        <w:rPr>
          <w:rFonts w:cs="Times New Roman" w:asciiTheme="minorEastAsia" w:hAnsiTheme="minorEastAsia" w:eastAsiaTheme="minorEastAsia"/>
          <w:b/>
          <w:bCs/>
          <w:color w:val="auto"/>
          <w:sz w:val="24"/>
          <w:szCs w:val="24"/>
          <w:highlight w:val="none"/>
          <w:lang w:val="zh-CN"/>
        </w:rPr>
        <w:t>和保密义务</w:t>
      </w:r>
      <w:bookmarkEnd w:id="165"/>
      <w:bookmarkEnd w:id="166"/>
      <w:bookmarkEnd w:id="167"/>
    </w:p>
    <w:p w14:paraId="0EA7A9C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8" w:name="_Toc7860"/>
      <w:r>
        <w:rPr>
          <w:rFonts w:cs="Times New Roman" w:asciiTheme="minorEastAsia" w:hAnsiTheme="minorEastAsia" w:eastAsiaTheme="minorEastAsia"/>
          <w:b/>
          <w:bCs/>
          <w:color w:val="auto"/>
          <w:sz w:val="24"/>
          <w:szCs w:val="24"/>
          <w:highlight w:val="none"/>
          <w:lang w:val="zh-CN"/>
        </w:rPr>
        <w:t>2.7 质量保证</w:t>
      </w:r>
      <w:bookmarkEnd w:id="168"/>
    </w:p>
    <w:p w14:paraId="045D2CA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spacing w:line="360" w:lineRule="auto"/>
        <w:ind w:firstLine="437"/>
        <w:outlineLvl w:val="2"/>
        <w:rPr>
          <w:rFonts w:cs="Times New Roman" w:asciiTheme="minorEastAsia" w:hAnsiTheme="minorEastAsia" w:eastAsiaTheme="minorEastAsia"/>
          <w:b/>
          <w:color w:val="auto"/>
          <w:sz w:val="24"/>
          <w:szCs w:val="24"/>
          <w:highlight w:val="none"/>
        </w:rPr>
      </w:pPr>
      <w:bookmarkStart w:id="169" w:name="_Toc22267"/>
      <w:r>
        <w:rPr>
          <w:rFonts w:hint="eastAsia" w:cs="Times New Roman" w:asciiTheme="minorEastAsia" w:hAnsiTheme="minorEastAsia" w:eastAsiaTheme="minorEastAsia"/>
          <w:b/>
          <w:color w:val="auto"/>
          <w:sz w:val="24"/>
          <w:szCs w:val="24"/>
          <w:highlight w:val="none"/>
        </w:rPr>
        <w:t>2.8 延迟履行</w:t>
      </w:r>
      <w:bookmarkEnd w:id="169"/>
    </w:p>
    <w:p w14:paraId="691CDE9B">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0" w:name="_Toc7502"/>
      <w:bookmarkStart w:id="171" w:name="_Ref467378121"/>
      <w:bookmarkStart w:id="172" w:name="_Toc487900364"/>
      <w:bookmarkStart w:id="173" w:name="_Toc279701254"/>
      <w:bookmarkStart w:id="174" w:name="_Toc259093683"/>
      <w:r>
        <w:rPr>
          <w:rFonts w:cs="Times New Roman" w:asciiTheme="minorEastAsia" w:hAnsiTheme="minorEastAsia" w:eastAsiaTheme="minorEastAsia"/>
          <w:b/>
          <w:bCs/>
          <w:color w:val="auto"/>
          <w:sz w:val="24"/>
          <w:szCs w:val="24"/>
          <w:highlight w:val="none"/>
          <w:lang w:val="zh-CN"/>
        </w:rPr>
        <w:t>2.9 合同变更</w:t>
      </w:r>
      <w:bookmarkEnd w:id="170"/>
    </w:p>
    <w:p w14:paraId="01ED918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75" w:name="_Toc259093688"/>
      <w:bookmarkStart w:id="176" w:name="_Toc279701259"/>
      <w:bookmarkStart w:id="177" w:name="_Toc487900369"/>
    </w:p>
    <w:p w14:paraId="2A0BC8A6">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8" w:name="_Toc10366"/>
      <w:bookmarkStart w:id="179" w:name="_Toc22955"/>
      <w:bookmarkStart w:id="180" w:name="_Toc1523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合同转让</w:t>
      </w:r>
      <w:bookmarkEnd w:id="175"/>
      <w:bookmarkEnd w:id="176"/>
      <w:bookmarkEnd w:id="177"/>
      <w:r>
        <w:rPr>
          <w:rFonts w:cs="Times New Roman" w:asciiTheme="minorEastAsia" w:hAnsiTheme="minorEastAsia" w:eastAsiaTheme="minorEastAsia"/>
          <w:b/>
          <w:bCs/>
          <w:color w:val="auto"/>
          <w:sz w:val="24"/>
          <w:szCs w:val="24"/>
          <w:highlight w:val="none"/>
          <w:lang w:val="zh-CN"/>
        </w:rPr>
        <w:t>和分包</w:t>
      </w:r>
      <w:bookmarkEnd w:id="178"/>
      <w:bookmarkEnd w:id="179"/>
      <w:bookmarkEnd w:id="180"/>
    </w:p>
    <w:p w14:paraId="6A124836">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81" w:name="_Toc13566"/>
      <w:bookmarkStart w:id="182" w:name="_Toc16508"/>
      <w:bookmarkStart w:id="183" w:name="_Toc140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 不可抗力</w:t>
      </w:r>
      <w:bookmarkEnd w:id="181"/>
      <w:bookmarkEnd w:id="182"/>
      <w:bookmarkEnd w:id="183"/>
    </w:p>
    <w:p w14:paraId="2E132A8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84" w:name="_Toc259093684"/>
      <w:bookmarkStart w:id="185" w:name="_Toc487900365"/>
      <w:bookmarkStart w:id="186" w:name="_Toc30676"/>
      <w:bookmarkStart w:id="187" w:name="_Toc689"/>
      <w:bookmarkStart w:id="188" w:name="_Toc279701255"/>
      <w:bookmarkStart w:id="189"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税费</w:t>
      </w:r>
      <w:bookmarkEnd w:id="184"/>
      <w:bookmarkEnd w:id="185"/>
      <w:bookmarkEnd w:id="186"/>
      <w:bookmarkEnd w:id="187"/>
      <w:bookmarkEnd w:id="188"/>
      <w:bookmarkEnd w:id="189"/>
    </w:p>
    <w:p w14:paraId="4663EC65">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90" w:name="_Toc7102"/>
      <w:bookmarkStart w:id="191" w:name="_Toc279701258"/>
      <w:bookmarkStart w:id="192" w:name="_Toc8298"/>
      <w:bookmarkStart w:id="193" w:name="_Toc259093687"/>
      <w:bookmarkStart w:id="194" w:name="_Toc16959"/>
      <w:bookmarkStart w:id="195" w:name="_Toc48790036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乙方破产</w:t>
      </w:r>
      <w:bookmarkEnd w:id="190"/>
      <w:bookmarkEnd w:id="191"/>
      <w:bookmarkEnd w:id="192"/>
      <w:bookmarkEnd w:id="193"/>
      <w:bookmarkEnd w:id="194"/>
      <w:bookmarkEnd w:id="195"/>
    </w:p>
    <w:p w14:paraId="145D055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spacing w:line="360" w:lineRule="auto"/>
        <w:ind w:firstLine="437"/>
        <w:outlineLvl w:val="2"/>
        <w:rPr>
          <w:rFonts w:cs="Times New Roman" w:asciiTheme="minorEastAsia" w:hAnsiTheme="minorEastAsia" w:eastAsiaTheme="minorEastAsia"/>
          <w:b/>
          <w:color w:val="auto"/>
          <w:sz w:val="24"/>
          <w:szCs w:val="24"/>
          <w:highlight w:val="none"/>
        </w:rPr>
      </w:pPr>
      <w:bookmarkStart w:id="196" w:name="_Toc15387"/>
      <w:bookmarkStart w:id="197" w:name="_Toc6134"/>
      <w:bookmarkStart w:id="198" w:name="_Toc2933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 xml:space="preserve"> 合同中止、终止</w:t>
      </w:r>
      <w:bookmarkEnd w:id="196"/>
      <w:bookmarkEnd w:id="197"/>
      <w:bookmarkEnd w:id="198"/>
    </w:p>
    <w:p w14:paraId="04FBC7A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99" w:name="_Toc14563"/>
      <w:bookmarkStart w:id="200" w:name="_Toc6596"/>
      <w:bookmarkStart w:id="201" w:name="_Toc112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检验和验收</w:t>
      </w:r>
      <w:bookmarkEnd w:id="199"/>
      <w:bookmarkEnd w:id="200"/>
      <w:bookmarkEnd w:id="201"/>
    </w:p>
    <w:p w14:paraId="7557D6A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71"/>
    <w:bookmarkEnd w:id="172"/>
    <w:bookmarkEnd w:id="173"/>
    <w:bookmarkEnd w:id="174"/>
    <w:p w14:paraId="1FB70D95">
      <w:pPr>
        <w:spacing w:line="360" w:lineRule="auto"/>
        <w:ind w:firstLine="437"/>
        <w:outlineLvl w:val="2"/>
        <w:rPr>
          <w:rFonts w:cs="Times New Roman" w:asciiTheme="minorEastAsia" w:hAnsiTheme="minorEastAsia" w:eastAsiaTheme="minorEastAsia"/>
          <w:b/>
          <w:bCs/>
          <w:color w:val="auto"/>
          <w:sz w:val="24"/>
          <w:szCs w:val="24"/>
          <w:highlight w:val="none"/>
        </w:rPr>
      </w:pPr>
      <w:bookmarkStart w:id="202" w:name="_Toc18567"/>
      <w:bookmarkStart w:id="203" w:name="_Toc487900373"/>
      <w:bookmarkStart w:id="204" w:name="_Toc279701263"/>
      <w:bookmarkStart w:id="205" w:name="_Toc12773"/>
      <w:bookmarkStart w:id="206" w:name="_Toc259093692"/>
      <w:bookmarkStart w:id="207" w:name="_Toc10330"/>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rPr>
        <w:t xml:space="preserve"> </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202"/>
      <w:bookmarkEnd w:id="203"/>
      <w:bookmarkEnd w:id="204"/>
      <w:bookmarkEnd w:id="205"/>
      <w:bookmarkEnd w:id="206"/>
      <w:bookmarkEnd w:id="207"/>
    </w:p>
    <w:p w14:paraId="50920A8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16.1合同使用汉语书就</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spacing w:line="360" w:lineRule="auto"/>
        <w:ind w:firstLine="437"/>
        <w:outlineLvl w:val="2"/>
        <w:rPr>
          <w:rFonts w:cs="Times New Roman" w:asciiTheme="minorEastAsia" w:hAnsiTheme="minorEastAsia" w:eastAsiaTheme="minorEastAsia"/>
          <w:b/>
          <w:color w:val="auto"/>
          <w:sz w:val="24"/>
          <w:szCs w:val="24"/>
          <w:highlight w:val="none"/>
        </w:rPr>
      </w:pPr>
      <w:bookmarkStart w:id="208" w:name="_Toc259093693"/>
      <w:bookmarkStart w:id="209" w:name="_Toc279701264"/>
      <w:bookmarkStart w:id="210" w:name="_Toc12004"/>
      <w:bookmarkStart w:id="211" w:name="_Toc16673"/>
      <w:bookmarkStart w:id="212" w:name="_Toc3148"/>
      <w:bookmarkStart w:id="213"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履约保证金</w:t>
      </w:r>
      <w:bookmarkEnd w:id="208"/>
      <w:bookmarkEnd w:id="209"/>
      <w:bookmarkEnd w:id="210"/>
      <w:bookmarkEnd w:id="211"/>
      <w:bookmarkEnd w:id="212"/>
    </w:p>
    <w:p w14:paraId="6A14A3A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rPr>
        <w:t>，甲方逾期退还履约保证金应承担违约责任。</w:t>
      </w:r>
    </w:p>
    <w:p w14:paraId="512E44E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213"/>
    <w:p w14:paraId="1F75F62C">
      <w:pPr>
        <w:spacing w:line="360" w:lineRule="auto"/>
        <w:ind w:firstLine="437"/>
        <w:outlineLvl w:val="2"/>
        <w:rPr>
          <w:rFonts w:cs="Times New Roman" w:asciiTheme="minorEastAsia" w:hAnsiTheme="minorEastAsia" w:eastAsiaTheme="minorEastAsia"/>
          <w:b/>
          <w:color w:val="auto"/>
          <w:sz w:val="24"/>
          <w:szCs w:val="24"/>
          <w:highlight w:val="none"/>
        </w:rPr>
      </w:pPr>
      <w:bookmarkStart w:id="214" w:name="_Toc19890"/>
      <w:bookmarkStart w:id="215" w:name="_Toc14001"/>
      <w:bookmarkStart w:id="216" w:name="_Toc688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 xml:space="preserve"> 合同份数</w:t>
      </w:r>
      <w:bookmarkEnd w:id="214"/>
      <w:bookmarkEnd w:id="215"/>
      <w:bookmarkEnd w:id="216"/>
    </w:p>
    <w:p w14:paraId="32BFD32D">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217" w:name="_Toc3736"/>
      <w:bookmarkStart w:id="218" w:name="_Toc28976"/>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217"/>
      <w:bookmarkEnd w:id="218"/>
    </w:p>
    <w:p w14:paraId="2E4C484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1"/>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7568" w:type="dxa"/>
            <w:vAlign w:val="center"/>
          </w:tcPr>
          <w:p w14:paraId="7DD05B8D">
            <w:pPr>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667AF7AA">
            <w:pPr>
              <w:spacing w:line="560" w:lineRule="exact"/>
              <w:rPr>
                <w:rFonts w:cs="Times New Roman" w:asciiTheme="minorEastAsia" w:hAnsiTheme="minorEastAsia" w:eastAsiaTheme="minorEastAsia"/>
                <w:color w:val="auto"/>
                <w:sz w:val="24"/>
                <w:szCs w:val="24"/>
                <w:highlight w:val="none"/>
              </w:rPr>
            </w:pP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4E30633">
            <w:pPr>
              <w:spacing w:line="560" w:lineRule="exact"/>
              <w:rPr>
                <w:rFonts w:cs="Times New Roman" w:asciiTheme="minorEastAsia" w:hAnsiTheme="minorEastAsia" w:eastAsiaTheme="minorEastAsia"/>
                <w:color w:val="auto"/>
                <w:sz w:val="24"/>
                <w:szCs w:val="24"/>
                <w:highlight w:val="none"/>
              </w:rPr>
            </w:pPr>
          </w:p>
        </w:tc>
      </w:tr>
      <w:tr w14:paraId="1ACFC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6D1B33F">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3C0FBE94">
            <w:pPr>
              <w:spacing w:line="560" w:lineRule="exact"/>
              <w:rPr>
                <w:rFonts w:cs="Times New Roman" w:asciiTheme="minorEastAsia" w:hAnsiTheme="minorEastAsia" w:eastAsiaTheme="minorEastAsia"/>
                <w:color w:val="auto"/>
                <w:sz w:val="24"/>
                <w:szCs w:val="24"/>
                <w:highlight w:val="none"/>
              </w:rPr>
            </w:pP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F8D92E5">
            <w:pPr>
              <w:spacing w:line="560" w:lineRule="exact"/>
              <w:rPr>
                <w:rFonts w:cs="Times New Roman" w:asciiTheme="minorEastAsia" w:hAnsiTheme="minorEastAsia" w:eastAsiaTheme="minorEastAsia"/>
                <w:color w:val="auto"/>
                <w:sz w:val="24"/>
                <w:szCs w:val="24"/>
                <w:highlight w:val="none"/>
              </w:rPr>
            </w:pP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27889A2F">
            <w:pPr>
              <w:spacing w:line="560" w:lineRule="exact"/>
              <w:rPr>
                <w:rFonts w:cs="Times New Roman" w:asciiTheme="minorEastAsia" w:hAnsiTheme="minorEastAsia" w:eastAsiaTheme="minorEastAsia"/>
                <w:color w:val="auto"/>
                <w:sz w:val="24"/>
                <w:szCs w:val="24"/>
                <w:highlight w:val="none"/>
                <w:u w:val="single"/>
              </w:rPr>
            </w:pP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43EEEB0F">
            <w:pPr>
              <w:spacing w:line="56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80F18BF">
            <w:pPr>
              <w:spacing w:line="560" w:lineRule="exact"/>
              <w:rPr>
                <w:rFonts w:cs="Times New Roman" w:asciiTheme="minorEastAsia" w:hAnsiTheme="minorEastAsia" w:eastAsiaTheme="minorEastAsia"/>
                <w:color w:val="auto"/>
                <w:sz w:val="24"/>
                <w:szCs w:val="24"/>
                <w:highlight w:val="none"/>
                <w:u w:val="single"/>
              </w:rPr>
            </w:pP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0D3A1CD7">
            <w:pPr>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7FE4D11B">
            <w:pPr>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spacing w:line="560" w:lineRule="exact"/>
              <w:rPr>
                <w:rFonts w:cs="Times New Roman" w:asciiTheme="minorEastAsia" w:hAnsiTheme="minorEastAsia" w:eastAsiaTheme="minorEastAsia"/>
                <w:color w:val="auto"/>
                <w:sz w:val="24"/>
                <w:szCs w:val="24"/>
                <w:highlight w:val="none"/>
              </w:rPr>
            </w:pPr>
          </w:p>
        </w:tc>
        <w:tc>
          <w:tcPr>
            <w:tcW w:w="7568" w:type="dxa"/>
            <w:vAlign w:val="center"/>
          </w:tcPr>
          <w:p w14:paraId="19A0E7FD">
            <w:pPr>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7E50AF6B">
            <w:pPr>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spacing w:line="560" w:lineRule="exact"/>
              <w:rPr>
                <w:rFonts w:cs="Times New Roman" w:asciiTheme="minorEastAsia" w:hAnsiTheme="minorEastAsia" w:eastAsiaTheme="minorEastAsia"/>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254EF413">
            <w:pPr>
              <w:spacing w:line="560" w:lineRule="exact"/>
              <w:rPr>
                <w:rFonts w:cs="Times New Roman" w:asciiTheme="minorEastAsia" w:hAnsiTheme="minorEastAsia" w:eastAsiaTheme="minorEastAsia"/>
                <w:color w:val="auto"/>
                <w:sz w:val="24"/>
                <w:szCs w:val="24"/>
                <w:highlight w:val="none"/>
              </w:rPr>
            </w:pPr>
          </w:p>
        </w:tc>
      </w:tr>
    </w:tbl>
    <w:p w14:paraId="3D145F67">
      <w:pPr>
        <w:spacing w:line="360" w:lineRule="auto"/>
        <w:rPr>
          <w:rFonts w:asciiTheme="minorEastAsia" w:hAnsiTheme="minorEastAsia" w:eastAsiaTheme="minorEastAsia"/>
          <w:color w:val="auto"/>
          <w:sz w:val="24"/>
          <w:highlight w:val="none"/>
        </w:rPr>
      </w:pPr>
    </w:p>
    <w:p w14:paraId="4F2C00C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bookmarkEnd w:id="70"/>
    <w:p w14:paraId="7CE6F933">
      <w:pPr>
        <w:spacing w:line="360" w:lineRule="auto"/>
        <w:jc w:val="center"/>
        <w:outlineLvl w:val="0"/>
        <w:rPr>
          <w:rFonts w:asciiTheme="minorEastAsia" w:hAnsiTheme="minorEastAsia" w:eastAsiaTheme="minorEastAsia"/>
          <w:b/>
          <w:color w:val="auto"/>
          <w:sz w:val="28"/>
          <w:highlight w:val="none"/>
        </w:rPr>
      </w:pPr>
      <w:bookmarkStart w:id="219" w:name="_Toc4206"/>
      <w:bookmarkStart w:id="220" w:name="_Toc27483"/>
      <w:r>
        <w:rPr>
          <w:rFonts w:hint="eastAsia" w:asciiTheme="minorEastAsia" w:hAnsiTheme="minorEastAsia" w:eastAsiaTheme="minorEastAsia"/>
          <w:b/>
          <w:color w:val="auto"/>
          <w:sz w:val="28"/>
          <w:highlight w:val="none"/>
        </w:rPr>
        <w:t>第六章  投标文件格式</w:t>
      </w:r>
      <w:bookmarkEnd w:id="219"/>
      <w:bookmarkEnd w:id="220"/>
    </w:p>
    <w:p w14:paraId="173EBABC">
      <w:pPr>
        <w:spacing w:line="900" w:lineRule="exact"/>
        <w:jc w:val="center"/>
        <w:rPr>
          <w:rFonts w:asciiTheme="minorEastAsia" w:hAnsiTheme="minorEastAsia" w:eastAsiaTheme="minorEastAsia"/>
          <w:b/>
          <w:color w:val="auto"/>
          <w:sz w:val="72"/>
          <w:highlight w:val="none"/>
        </w:rPr>
      </w:pPr>
    </w:p>
    <w:p w14:paraId="646B6E81">
      <w:pPr>
        <w:spacing w:line="900" w:lineRule="exact"/>
        <w:jc w:val="center"/>
        <w:rPr>
          <w:rFonts w:asciiTheme="minorEastAsia" w:hAnsiTheme="minorEastAsia" w:eastAsiaTheme="minorEastAsia"/>
          <w:b/>
          <w:color w:val="auto"/>
          <w:sz w:val="72"/>
          <w:highlight w:val="none"/>
        </w:rPr>
      </w:pPr>
      <w:bookmarkStart w:id="221" w:name="_Toc5119"/>
      <w:r>
        <w:rPr>
          <w:rFonts w:hint="eastAsia" w:asciiTheme="minorEastAsia" w:hAnsiTheme="minorEastAsia" w:eastAsiaTheme="minorEastAsia"/>
          <w:b/>
          <w:color w:val="auto"/>
          <w:sz w:val="72"/>
          <w:highlight w:val="none"/>
        </w:rPr>
        <w:t>投</w:t>
      </w:r>
      <w:bookmarkEnd w:id="221"/>
    </w:p>
    <w:p w14:paraId="68E228AC">
      <w:pPr>
        <w:spacing w:line="900" w:lineRule="exact"/>
        <w:jc w:val="center"/>
        <w:rPr>
          <w:rFonts w:asciiTheme="minorEastAsia" w:hAnsiTheme="minorEastAsia" w:eastAsiaTheme="minorEastAsia"/>
          <w:b/>
          <w:color w:val="auto"/>
          <w:sz w:val="72"/>
          <w:highlight w:val="none"/>
        </w:rPr>
      </w:pPr>
    </w:p>
    <w:p w14:paraId="6EF30245">
      <w:pPr>
        <w:spacing w:line="900" w:lineRule="exact"/>
        <w:jc w:val="center"/>
        <w:rPr>
          <w:rFonts w:asciiTheme="minorEastAsia" w:hAnsiTheme="minorEastAsia" w:eastAsiaTheme="minorEastAsia"/>
          <w:b/>
          <w:color w:val="auto"/>
          <w:sz w:val="72"/>
          <w:highlight w:val="none"/>
        </w:rPr>
      </w:pPr>
      <w:bookmarkStart w:id="222" w:name="_Toc4782"/>
      <w:r>
        <w:rPr>
          <w:rFonts w:hint="eastAsia" w:asciiTheme="minorEastAsia" w:hAnsiTheme="minorEastAsia" w:eastAsiaTheme="minorEastAsia"/>
          <w:b/>
          <w:color w:val="auto"/>
          <w:sz w:val="72"/>
          <w:highlight w:val="none"/>
        </w:rPr>
        <w:t>标</w:t>
      </w:r>
      <w:bookmarkEnd w:id="222"/>
    </w:p>
    <w:p w14:paraId="29B2755B">
      <w:pPr>
        <w:spacing w:line="900" w:lineRule="exact"/>
        <w:jc w:val="center"/>
        <w:rPr>
          <w:rFonts w:asciiTheme="minorEastAsia" w:hAnsiTheme="minorEastAsia" w:eastAsiaTheme="minorEastAsia"/>
          <w:b/>
          <w:color w:val="auto"/>
          <w:sz w:val="72"/>
          <w:highlight w:val="none"/>
        </w:rPr>
      </w:pPr>
    </w:p>
    <w:p w14:paraId="2E697DE4">
      <w:pPr>
        <w:spacing w:line="900" w:lineRule="exact"/>
        <w:jc w:val="center"/>
        <w:rPr>
          <w:rFonts w:asciiTheme="minorEastAsia" w:hAnsiTheme="minorEastAsia" w:eastAsiaTheme="minorEastAsia"/>
          <w:b/>
          <w:color w:val="auto"/>
          <w:sz w:val="72"/>
          <w:highlight w:val="none"/>
        </w:rPr>
      </w:pPr>
      <w:bookmarkStart w:id="223" w:name="_Toc19607"/>
      <w:r>
        <w:rPr>
          <w:rFonts w:hint="eastAsia" w:asciiTheme="minorEastAsia" w:hAnsiTheme="minorEastAsia" w:eastAsiaTheme="minorEastAsia"/>
          <w:b/>
          <w:color w:val="auto"/>
          <w:sz w:val="72"/>
          <w:highlight w:val="none"/>
        </w:rPr>
        <w:t>文</w:t>
      </w:r>
      <w:bookmarkEnd w:id="223"/>
    </w:p>
    <w:p w14:paraId="213C712A">
      <w:pPr>
        <w:spacing w:line="900" w:lineRule="exact"/>
        <w:jc w:val="center"/>
        <w:rPr>
          <w:rFonts w:asciiTheme="minorEastAsia" w:hAnsiTheme="minorEastAsia" w:eastAsiaTheme="minorEastAsia"/>
          <w:b/>
          <w:color w:val="auto"/>
          <w:sz w:val="72"/>
          <w:highlight w:val="none"/>
        </w:rPr>
      </w:pPr>
    </w:p>
    <w:p w14:paraId="410238F9">
      <w:pPr>
        <w:jc w:val="center"/>
        <w:rPr>
          <w:rFonts w:asciiTheme="minorEastAsia" w:hAnsiTheme="minorEastAsia" w:eastAsiaTheme="minorEastAsia"/>
          <w:b/>
          <w:color w:val="auto"/>
          <w:sz w:val="72"/>
          <w:highlight w:val="none"/>
        </w:rPr>
      </w:pPr>
      <w:bookmarkStart w:id="224" w:name="_Toc8365"/>
      <w:r>
        <w:rPr>
          <w:rFonts w:hint="eastAsia" w:asciiTheme="minorEastAsia" w:hAnsiTheme="minorEastAsia" w:eastAsiaTheme="minorEastAsia"/>
          <w:b/>
          <w:color w:val="auto"/>
          <w:sz w:val="72"/>
          <w:highlight w:val="none"/>
        </w:rPr>
        <w:t>件</w:t>
      </w:r>
      <w:bookmarkEnd w:id="224"/>
    </w:p>
    <w:p w14:paraId="34FFCD18">
      <w:pPr>
        <w:spacing w:after="120" w:afterLines="50"/>
        <w:jc w:val="center"/>
        <w:rPr>
          <w:rFonts w:asciiTheme="minorEastAsia" w:hAnsiTheme="minorEastAsia" w:eastAsiaTheme="minorEastAsia"/>
          <w:b/>
          <w:color w:val="auto"/>
          <w:sz w:val="72"/>
          <w:highlight w:val="none"/>
        </w:rPr>
      </w:pPr>
    </w:p>
    <w:p w14:paraId="78428327">
      <w:pPr>
        <w:pStyle w:val="2"/>
        <w:spacing w:after="0" w:line="360" w:lineRule="auto"/>
        <w:ind w:firstLine="480" w:firstLineChars="200"/>
        <w:jc w:val="center"/>
        <w:rPr>
          <w:rFonts w:ascii="宋体" w:hAnsi="宋体" w:eastAsia="宋体"/>
          <w:color w:val="auto"/>
          <w:sz w:val="24"/>
          <w:szCs w:val="18"/>
          <w:highlight w:val="none"/>
          <w:lang w:val="en-US"/>
        </w:rPr>
      </w:pPr>
    </w:p>
    <w:p w14:paraId="45F4C76E">
      <w:pPr>
        <w:spacing w:before="120" w:beforeLines="50" w:after="120" w:afterLines="50"/>
        <w:jc w:val="center"/>
        <w:rPr>
          <w:rFonts w:asciiTheme="minorEastAsia" w:hAnsiTheme="minorEastAsia" w:eastAsiaTheme="minorEastAsia"/>
          <w:b/>
          <w:color w:val="auto"/>
          <w:sz w:val="32"/>
          <w:szCs w:val="32"/>
          <w:highlight w:val="none"/>
        </w:rPr>
      </w:pPr>
    </w:p>
    <w:p w14:paraId="750B84EA">
      <w:pPr>
        <w:spacing w:after="120" w:afterLines="50" w:line="500" w:lineRule="exact"/>
        <w:jc w:val="center"/>
        <w:rPr>
          <w:rFonts w:asciiTheme="minorEastAsia" w:hAnsiTheme="minorEastAsia" w:eastAsiaTheme="minorEastAsia"/>
          <w:b/>
          <w:color w:val="auto"/>
          <w:sz w:val="28"/>
          <w:szCs w:val="28"/>
          <w:highlight w:val="none"/>
        </w:rPr>
      </w:pPr>
    </w:p>
    <w:p w14:paraId="1F452FC9">
      <w:pPr>
        <w:tabs>
          <w:tab w:val="left" w:pos="2410"/>
        </w:tabs>
        <w:autoSpaceDE w:val="0"/>
        <w:autoSpaceDN w:val="0"/>
        <w:adjustRightInd w:val="0"/>
        <w:snapToGrid w:val="0"/>
        <w:spacing w:line="360" w:lineRule="auto"/>
        <w:ind w:firstLine="1928" w:firstLineChars="6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4E299201">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7DDD9F67">
      <w:pPr>
        <w:tabs>
          <w:tab w:val="left" w:pos="2410"/>
        </w:tabs>
        <w:autoSpaceDE w:val="0"/>
        <w:autoSpaceDN w:val="0"/>
        <w:adjustRightInd w:val="0"/>
        <w:snapToGrid w:val="0"/>
        <w:spacing w:line="360" w:lineRule="auto"/>
        <w:ind w:firstLine="1928" w:firstLineChars="6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4E137C84">
      <w:pPr>
        <w:spacing w:after="120" w:afterLines="50" w:line="500" w:lineRule="exact"/>
        <w:jc w:val="center"/>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25" w:name="_Toc19687"/>
      <w:bookmarkStart w:id="226"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25"/>
      <w:bookmarkEnd w:id="226"/>
    </w:p>
    <w:p w14:paraId="08D1157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D4923CA">
      <w:pPr>
        <w:spacing w:line="360" w:lineRule="auto"/>
        <w:jc w:val="center"/>
        <w:outlineLvl w:val="1"/>
        <w:rPr>
          <w:rFonts w:asciiTheme="minorEastAsia" w:hAnsiTheme="minorEastAsia" w:eastAsiaTheme="minorEastAsia"/>
          <w:b/>
          <w:color w:val="auto"/>
          <w:sz w:val="24"/>
          <w:highlight w:val="none"/>
        </w:rPr>
      </w:pPr>
      <w:bookmarkStart w:id="227" w:name="_Toc13376"/>
      <w:bookmarkStart w:id="228" w:name="_Toc28960"/>
      <w:bookmarkStart w:id="229" w:name="_Toc17986"/>
      <w:r>
        <w:rPr>
          <w:rFonts w:hint="eastAsia" w:asciiTheme="minorEastAsia" w:hAnsiTheme="minorEastAsia" w:eastAsiaTheme="minorEastAsia"/>
          <w:b/>
          <w:color w:val="auto"/>
          <w:sz w:val="24"/>
          <w:highlight w:val="none"/>
        </w:rPr>
        <w:t>一、开标一览表</w:t>
      </w:r>
      <w:bookmarkEnd w:id="227"/>
      <w:bookmarkEnd w:id="228"/>
      <w:bookmarkEnd w:id="229"/>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352" w:type="pct"/>
            <w:tcBorders>
              <w:top w:val="single" w:color="auto" w:sz="4" w:space="0"/>
              <w:bottom w:val="single" w:color="auto" w:sz="4" w:space="0"/>
              <w:right w:val="single" w:color="auto" w:sz="4" w:space="0"/>
            </w:tcBorders>
            <w:vAlign w:val="center"/>
          </w:tcPr>
          <w:p w14:paraId="3A98483B">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1352" w:type="pct"/>
            <w:tcBorders>
              <w:top w:val="nil"/>
            </w:tcBorders>
            <w:vAlign w:val="center"/>
          </w:tcPr>
          <w:p w14:paraId="1B9281E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352" w:type="pct"/>
            <w:tcBorders>
              <w:top w:val="nil"/>
            </w:tcBorders>
            <w:vAlign w:val="center"/>
          </w:tcPr>
          <w:p w14:paraId="12BD4B1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jc w:val="center"/>
        </w:trPr>
        <w:tc>
          <w:tcPr>
            <w:tcW w:w="1352" w:type="pct"/>
            <w:tcBorders>
              <w:top w:val="nil"/>
            </w:tcBorders>
            <w:vAlign w:val="center"/>
          </w:tcPr>
          <w:p w14:paraId="18327A79">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4D04ABFC">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A60EACD">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4" w:hRule="atLeast"/>
          <w:jc w:val="center"/>
        </w:trPr>
        <w:tc>
          <w:tcPr>
            <w:tcW w:w="1352" w:type="pct"/>
            <w:tcBorders>
              <w:top w:val="nil"/>
            </w:tcBorders>
            <w:vAlign w:val="center"/>
          </w:tcPr>
          <w:p w14:paraId="667A168C">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spacing w:line="360" w:lineRule="auto"/>
              <w:jc w:val="left"/>
              <w:rPr>
                <w:rFonts w:asciiTheme="minorEastAsia" w:hAnsiTheme="minorEastAsia" w:eastAsiaTheme="minorEastAsia"/>
                <w:color w:val="auto"/>
                <w:sz w:val="24"/>
                <w:szCs w:val="28"/>
                <w:highlight w:val="none"/>
              </w:rPr>
            </w:pPr>
          </w:p>
        </w:tc>
      </w:tr>
    </w:tbl>
    <w:p w14:paraId="4BAA605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F3EC433">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2E697A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403A17C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100974E3">
      <w:pPr>
        <w:spacing w:line="360" w:lineRule="auto"/>
        <w:jc w:val="center"/>
        <w:outlineLvl w:val="1"/>
        <w:rPr>
          <w:rFonts w:asciiTheme="minorEastAsia" w:hAnsiTheme="minorEastAsia" w:eastAsiaTheme="minorEastAsia"/>
          <w:b/>
          <w:color w:val="auto"/>
          <w:sz w:val="24"/>
          <w:highlight w:val="none"/>
        </w:rPr>
      </w:pPr>
      <w:bookmarkStart w:id="230" w:name="_Toc6120"/>
      <w:bookmarkStart w:id="231" w:name="_Toc25691"/>
      <w:bookmarkStart w:id="232" w:name="_Toc6441"/>
      <w:r>
        <w:rPr>
          <w:rFonts w:hint="eastAsia" w:asciiTheme="minorEastAsia" w:hAnsiTheme="minorEastAsia" w:eastAsiaTheme="minorEastAsia"/>
          <w:b/>
          <w:color w:val="auto"/>
          <w:sz w:val="24"/>
          <w:highlight w:val="none"/>
        </w:rPr>
        <w:t>二、投标函</w:t>
      </w:r>
      <w:bookmarkEnd w:id="230"/>
      <w:bookmarkEnd w:id="231"/>
      <w:bookmarkEnd w:id="232"/>
    </w:p>
    <w:p w14:paraId="2C84E476">
      <w:pPr>
        <w:pStyle w:val="11"/>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04D325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3CE7B2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42D55F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spacing w:line="360" w:lineRule="auto"/>
        <w:ind w:firstLine="4800" w:firstLineChars="2000"/>
        <w:rPr>
          <w:rFonts w:ascii="宋体" w:hAnsi="宋体" w:eastAsia="宋体"/>
          <w:color w:val="auto"/>
          <w:sz w:val="24"/>
          <w:highlight w:val="none"/>
        </w:rPr>
      </w:pPr>
    </w:p>
    <w:p w14:paraId="73B5F4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144CA91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9A79AEE">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spacing w:line="360" w:lineRule="auto"/>
        <w:jc w:val="center"/>
        <w:outlineLvl w:val="1"/>
        <w:rPr>
          <w:rFonts w:asciiTheme="minorEastAsia" w:hAnsiTheme="minorEastAsia" w:eastAsiaTheme="minorEastAsia"/>
          <w:b/>
          <w:color w:val="auto"/>
          <w:sz w:val="24"/>
          <w:highlight w:val="none"/>
        </w:rPr>
      </w:pPr>
      <w:bookmarkStart w:id="233" w:name="_Toc24775"/>
      <w:bookmarkStart w:id="234" w:name="_Toc18881"/>
      <w:r>
        <w:rPr>
          <w:rFonts w:hint="eastAsia" w:asciiTheme="minorEastAsia" w:hAnsiTheme="minorEastAsia" w:eastAsiaTheme="minorEastAsia"/>
          <w:b/>
          <w:color w:val="auto"/>
          <w:sz w:val="24"/>
          <w:highlight w:val="none"/>
        </w:rPr>
        <w:t>三．投标人资格声明书</w:t>
      </w:r>
      <w:bookmarkEnd w:id="233"/>
      <w:bookmarkEnd w:id="234"/>
      <w:r>
        <w:rPr>
          <w:rFonts w:hint="eastAsia" w:asciiTheme="minorEastAsia" w:hAnsiTheme="minorEastAsia" w:eastAsiaTheme="minorEastAsia"/>
          <w:b/>
          <w:color w:val="auto"/>
          <w:sz w:val="24"/>
          <w:highlight w:val="none"/>
        </w:rPr>
        <w:t xml:space="preserve"> </w:t>
      </w:r>
    </w:p>
    <w:p w14:paraId="1470E986">
      <w:pPr>
        <w:pStyle w:val="11"/>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1778DC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756892FA">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FA765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13EAB603">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3F96C12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 xml:space="preserve">（五）我单位不属于政府采购法律、行政法规规定的公益一类事业单位、或使用事业编制且由财政拨款保障的群团组织（仅适用于政府购买服务项目）； </w:t>
      </w:r>
    </w:p>
    <w:p w14:paraId="4E0FD488">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（六）我单位不存在为采购项目提供整体设计、规范编制或者项目管理、监理、检测等服务后，再参加该采购项目的其他采购活动的情形（单一来源采购项目除外）；</w:t>
      </w:r>
    </w:p>
    <w:p w14:paraId="5A2954FD">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（七）与我单位存在单位负责人为同一人或者存在直接控股、管理关系的其他法人单位信息如下（如有，不论其是否参加同一合同项下的政府采购活动均须填写）：</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widowControl/>
              <w:spacing w:before="120"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419231F">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2CF9630C">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1F34B74">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4050F636">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3CA36E8A">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751CD7DB">
            <w:pPr>
              <w:pStyle w:val="2"/>
              <w:spacing w:before="120" w:beforeLines="50" w:after="10"/>
              <w:jc w:val="center"/>
              <w:rPr>
                <w:rFonts w:asciiTheme="minorEastAsia" w:hAnsiTheme="minorEastAsia" w:eastAsiaTheme="minorEastAsia" w:cstheme="minorEastAsia"/>
                <w:color w:val="auto"/>
                <w:kern w:val="0"/>
                <w:sz w:val="24"/>
                <w:highlight w:val="none"/>
                <w:lang w:val="en-US" w:bidi="ar"/>
              </w:rPr>
            </w:pPr>
          </w:p>
        </w:tc>
      </w:tr>
    </w:tbl>
    <w:p w14:paraId="3E2785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AF91427">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993F213">
      <w:pPr>
        <w:rPr>
          <w:rFonts w:asciiTheme="minorEastAsia" w:hAnsiTheme="minorEastAsia" w:eastAsiaTheme="minorEastAsia"/>
          <w:b/>
          <w:color w:val="auto"/>
          <w:sz w:val="24"/>
          <w:highlight w:val="none"/>
        </w:rPr>
      </w:pPr>
      <w:bookmarkStart w:id="235" w:name="_Toc11607"/>
      <w:r>
        <w:rPr>
          <w:rFonts w:hint="eastAsia" w:asciiTheme="minorEastAsia" w:hAnsiTheme="minorEastAsia" w:eastAsiaTheme="minorEastAsia"/>
          <w:b/>
          <w:color w:val="auto"/>
          <w:sz w:val="24"/>
          <w:highlight w:val="none"/>
        </w:rPr>
        <w:br w:type="page"/>
      </w:r>
    </w:p>
    <w:p w14:paraId="54A4C2E9">
      <w:pPr>
        <w:spacing w:line="360" w:lineRule="auto"/>
        <w:jc w:val="center"/>
        <w:outlineLvl w:val="1"/>
        <w:rPr>
          <w:rFonts w:asciiTheme="minorEastAsia" w:hAnsiTheme="minorEastAsia" w:eastAsiaTheme="minorEastAsia"/>
          <w:b/>
          <w:color w:val="auto"/>
          <w:sz w:val="24"/>
          <w:highlight w:val="none"/>
        </w:rPr>
      </w:pPr>
      <w:bookmarkStart w:id="236" w:name="_Toc24583"/>
      <w:bookmarkStart w:id="237" w:name="_Toc26364"/>
      <w:r>
        <w:rPr>
          <w:rFonts w:hint="eastAsia" w:asciiTheme="minorEastAsia" w:hAnsiTheme="minorEastAsia" w:eastAsiaTheme="minorEastAsia"/>
          <w:b/>
          <w:color w:val="auto"/>
          <w:sz w:val="24"/>
          <w:highlight w:val="none"/>
        </w:rPr>
        <w:t>四、授权书</w:t>
      </w:r>
      <w:bookmarkEnd w:id="235"/>
      <w:bookmarkEnd w:id="236"/>
      <w:bookmarkEnd w:id="237"/>
    </w:p>
    <w:p w14:paraId="79ED74C6">
      <w:pPr>
        <w:pStyle w:val="10"/>
        <w:snapToGrid w:val="0"/>
        <w:spacing w:line="360" w:lineRule="auto"/>
        <w:ind w:firstLine="480" w:firstLineChars="200"/>
        <w:jc w:val="left"/>
        <w:rPr>
          <w:rFonts w:hAnsi="宋体" w:eastAsia="宋体"/>
          <w:color w:val="auto"/>
          <w:sz w:val="24"/>
          <w:szCs w:val="28"/>
          <w:highlight w:val="none"/>
        </w:rPr>
      </w:pPr>
    </w:p>
    <w:p w14:paraId="5F52243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spacing w:line="360" w:lineRule="auto"/>
        <w:ind w:firstLine="435"/>
        <w:rPr>
          <w:rFonts w:asciiTheme="minorEastAsia" w:hAnsiTheme="minorEastAsia" w:eastAsiaTheme="minorEastAsia"/>
          <w:color w:val="auto"/>
          <w:sz w:val="24"/>
          <w:highlight w:val="none"/>
        </w:rPr>
      </w:pPr>
    </w:p>
    <w:p w14:paraId="0F399850">
      <w:pPr>
        <w:spacing w:line="360" w:lineRule="auto"/>
        <w:ind w:firstLine="435"/>
        <w:rPr>
          <w:rFonts w:asciiTheme="minorEastAsia" w:hAnsiTheme="minorEastAsia" w:eastAsiaTheme="minorEastAsia"/>
          <w:color w:val="auto"/>
          <w:sz w:val="24"/>
          <w:highlight w:val="none"/>
        </w:rPr>
      </w:pPr>
    </w:p>
    <w:p w14:paraId="776598C0">
      <w:pPr>
        <w:spacing w:line="360" w:lineRule="auto"/>
        <w:ind w:firstLine="435"/>
        <w:rPr>
          <w:rFonts w:asciiTheme="minorEastAsia" w:hAnsiTheme="minorEastAsia" w:eastAsiaTheme="minorEastAsia"/>
          <w:color w:val="auto"/>
          <w:sz w:val="24"/>
          <w:highlight w:val="none"/>
        </w:rPr>
      </w:pPr>
    </w:p>
    <w:p w14:paraId="123D485F">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77779EF">
      <w:pPr>
        <w:spacing w:line="360" w:lineRule="auto"/>
        <w:ind w:firstLine="435"/>
        <w:rPr>
          <w:rFonts w:hAnsi="宋体" w:eastAsia="宋体"/>
          <w:color w:val="auto"/>
          <w:sz w:val="24"/>
          <w:szCs w:val="28"/>
          <w:highlight w:val="none"/>
          <w:lang w:val="zh-CN"/>
        </w:rPr>
      </w:pPr>
    </w:p>
    <w:p w14:paraId="4CA7E01C">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spacing w:line="360" w:lineRule="auto"/>
        <w:rPr>
          <w:rFonts w:ascii="宋体" w:hAnsi="宋体" w:eastAsia="宋体"/>
          <w:color w:val="auto"/>
          <w:sz w:val="24"/>
          <w:szCs w:val="28"/>
          <w:highlight w:val="none"/>
        </w:rPr>
      </w:pPr>
    </w:p>
    <w:p w14:paraId="503C7A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54D925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752C2DD">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spacing w:line="360" w:lineRule="auto"/>
        <w:jc w:val="center"/>
        <w:outlineLvl w:val="1"/>
        <w:rPr>
          <w:rFonts w:asciiTheme="minorEastAsia" w:hAnsiTheme="minorEastAsia" w:eastAsiaTheme="minorEastAsia"/>
          <w:b/>
          <w:color w:val="auto"/>
          <w:sz w:val="24"/>
          <w:highlight w:val="none"/>
        </w:rPr>
      </w:pPr>
      <w:bookmarkStart w:id="238" w:name="_Toc32226"/>
      <w:bookmarkStart w:id="239" w:name="_Toc12514"/>
      <w:bookmarkStart w:id="240" w:name="_Toc31027"/>
      <w:r>
        <w:rPr>
          <w:rFonts w:hint="eastAsia" w:asciiTheme="minorEastAsia" w:hAnsiTheme="minorEastAsia" w:eastAsiaTheme="minorEastAsia"/>
          <w:b/>
          <w:color w:val="auto"/>
          <w:sz w:val="24"/>
          <w:highlight w:val="none"/>
        </w:rPr>
        <w:t>五、投标分项报价表</w:t>
      </w:r>
      <w:bookmarkEnd w:id="238"/>
      <w:bookmarkEnd w:id="239"/>
      <w:bookmarkEnd w:id="240"/>
    </w:p>
    <w:p w14:paraId="6F8C7329">
      <w:pPr>
        <w:spacing w:line="360" w:lineRule="auto"/>
        <w:rPr>
          <w:rFonts w:ascii="宋体" w:hAnsi="宋体" w:eastAsia="宋体"/>
          <w:color w:val="auto"/>
          <w:szCs w:val="21"/>
          <w:highlight w:val="none"/>
        </w:rPr>
      </w:pPr>
      <w:r>
        <w:rPr>
          <w:rFonts w:hint="eastAsia" w:ascii="宋体" w:hAnsi="宋体" w:eastAsia="宋体"/>
          <w:b/>
          <w:bCs/>
          <w:color w:val="auto"/>
          <w:highlight w:val="none"/>
        </w:rPr>
        <w:t>本项目无需提供</w:t>
      </w:r>
      <w:r>
        <w:rPr>
          <w:rFonts w:hint="eastAsia" w:ascii="宋体" w:hAnsi="宋体" w:eastAsia="宋体"/>
          <w:color w:val="auto"/>
          <w:szCs w:val="21"/>
          <w:highlight w:val="none"/>
        </w:rPr>
        <w:t>。</w:t>
      </w:r>
    </w:p>
    <w:p w14:paraId="192633EA">
      <w:pPr>
        <w:pStyle w:val="2"/>
        <w:rPr>
          <w:rFonts w:asciiTheme="minorEastAsia" w:hAnsiTheme="minorEastAsia" w:eastAsiaTheme="minorEastAsia"/>
          <w:color w:val="auto"/>
          <w:sz w:val="24"/>
          <w:highlight w:val="none"/>
        </w:rPr>
      </w:pPr>
    </w:p>
    <w:p w14:paraId="5393638D">
      <w:pPr>
        <w:rPr>
          <w:rFonts w:asciiTheme="minorEastAsia" w:hAnsiTheme="minorEastAsia" w:eastAsiaTheme="minorEastAsia"/>
          <w:b/>
          <w:color w:val="auto"/>
          <w:sz w:val="24"/>
          <w:highlight w:val="none"/>
        </w:rPr>
      </w:pPr>
      <w:bookmarkStart w:id="241" w:name="_Toc20329"/>
      <w:r>
        <w:rPr>
          <w:rFonts w:hint="eastAsia" w:asciiTheme="minorEastAsia" w:hAnsiTheme="minorEastAsia" w:eastAsiaTheme="minorEastAsia"/>
          <w:b/>
          <w:color w:val="auto"/>
          <w:sz w:val="24"/>
          <w:highlight w:val="none"/>
        </w:rPr>
        <w:br w:type="page"/>
      </w:r>
    </w:p>
    <w:p w14:paraId="5DEDB01C">
      <w:pPr>
        <w:spacing w:line="360" w:lineRule="auto"/>
        <w:jc w:val="center"/>
        <w:outlineLvl w:val="1"/>
        <w:rPr>
          <w:rFonts w:asciiTheme="minorEastAsia" w:hAnsiTheme="minorEastAsia" w:eastAsiaTheme="minorEastAsia"/>
          <w:b/>
          <w:color w:val="auto"/>
          <w:sz w:val="24"/>
          <w:highlight w:val="none"/>
        </w:rPr>
      </w:pPr>
      <w:bookmarkStart w:id="242" w:name="_Toc15209"/>
      <w:bookmarkStart w:id="243" w:name="_Toc9803"/>
      <w:r>
        <w:rPr>
          <w:rFonts w:hint="eastAsia" w:asciiTheme="minorEastAsia" w:hAnsiTheme="minorEastAsia" w:eastAsiaTheme="minorEastAsia"/>
          <w:b/>
          <w:color w:val="auto"/>
          <w:sz w:val="24"/>
          <w:highlight w:val="none"/>
        </w:rPr>
        <w:t>六、投标响应表</w:t>
      </w:r>
      <w:bookmarkEnd w:id="241"/>
      <w:bookmarkEnd w:id="242"/>
      <w:bookmarkEnd w:id="243"/>
    </w:p>
    <w:p w14:paraId="4D3FEC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jc w:val="center"/>
              <w:rPr>
                <w:rFonts w:asciiTheme="minorEastAsia" w:hAnsiTheme="minorEastAsia" w:eastAsiaTheme="minorEastAsia"/>
                <w:color w:val="auto"/>
                <w:sz w:val="24"/>
                <w:highlight w:val="none"/>
              </w:rPr>
            </w:pPr>
          </w:p>
        </w:tc>
        <w:tc>
          <w:tcPr>
            <w:tcW w:w="1510" w:type="pct"/>
            <w:vAlign w:val="center"/>
          </w:tcPr>
          <w:p w14:paraId="4AACB388">
            <w:pPr>
              <w:jc w:val="center"/>
              <w:rPr>
                <w:rFonts w:asciiTheme="minorEastAsia" w:hAnsiTheme="minorEastAsia" w:eastAsiaTheme="minorEastAsia"/>
                <w:color w:val="auto"/>
                <w:sz w:val="24"/>
                <w:highlight w:val="none"/>
              </w:rPr>
            </w:pPr>
          </w:p>
        </w:tc>
        <w:tc>
          <w:tcPr>
            <w:tcW w:w="475" w:type="pct"/>
            <w:vAlign w:val="center"/>
          </w:tcPr>
          <w:p w14:paraId="169FC21D">
            <w:pPr>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jc w:val="center"/>
              <w:rPr>
                <w:rFonts w:asciiTheme="minorEastAsia" w:hAnsiTheme="minorEastAsia" w:eastAsiaTheme="minorEastAsia"/>
                <w:color w:val="auto"/>
                <w:sz w:val="24"/>
                <w:highlight w:val="none"/>
              </w:rPr>
            </w:pPr>
          </w:p>
        </w:tc>
        <w:tc>
          <w:tcPr>
            <w:tcW w:w="1510" w:type="pct"/>
            <w:vAlign w:val="center"/>
          </w:tcPr>
          <w:p w14:paraId="41802496">
            <w:pPr>
              <w:jc w:val="center"/>
              <w:rPr>
                <w:rFonts w:asciiTheme="minorEastAsia" w:hAnsiTheme="minorEastAsia" w:eastAsiaTheme="minorEastAsia"/>
                <w:color w:val="auto"/>
                <w:sz w:val="24"/>
                <w:highlight w:val="none"/>
              </w:rPr>
            </w:pPr>
          </w:p>
        </w:tc>
        <w:tc>
          <w:tcPr>
            <w:tcW w:w="475" w:type="pct"/>
            <w:vAlign w:val="center"/>
          </w:tcPr>
          <w:p w14:paraId="05FCF4B6">
            <w:pPr>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jc w:val="center"/>
              <w:rPr>
                <w:rFonts w:asciiTheme="minorEastAsia" w:hAnsiTheme="minorEastAsia" w:eastAsiaTheme="minorEastAsia"/>
                <w:color w:val="auto"/>
                <w:sz w:val="24"/>
                <w:highlight w:val="none"/>
              </w:rPr>
            </w:pPr>
          </w:p>
        </w:tc>
        <w:tc>
          <w:tcPr>
            <w:tcW w:w="1510" w:type="pct"/>
            <w:vAlign w:val="center"/>
          </w:tcPr>
          <w:p w14:paraId="0BF28904">
            <w:pPr>
              <w:pStyle w:val="39"/>
              <w:jc w:val="center"/>
              <w:rPr>
                <w:rFonts w:asciiTheme="minorEastAsia" w:hAnsiTheme="minorEastAsia" w:eastAsiaTheme="minorEastAsia"/>
                <w:color w:val="auto"/>
                <w:highlight w:val="none"/>
              </w:rPr>
            </w:pPr>
          </w:p>
        </w:tc>
        <w:tc>
          <w:tcPr>
            <w:tcW w:w="475" w:type="pct"/>
            <w:vAlign w:val="center"/>
          </w:tcPr>
          <w:p w14:paraId="1E58C4A5">
            <w:pPr>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6DD5AF62">
            <w:pPr>
              <w:jc w:val="center"/>
              <w:rPr>
                <w:rFonts w:ascii="宋体" w:hAnsi="宋体" w:eastAsia="宋体"/>
                <w:color w:val="auto"/>
                <w:sz w:val="24"/>
                <w:highlight w:val="none"/>
              </w:rPr>
            </w:pPr>
          </w:p>
        </w:tc>
        <w:tc>
          <w:tcPr>
            <w:tcW w:w="1465" w:type="pct"/>
            <w:vAlign w:val="center"/>
          </w:tcPr>
          <w:p w14:paraId="3A4F9EF9">
            <w:pPr>
              <w:jc w:val="center"/>
              <w:rPr>
                <w:rFonts w:asciiTheme="minorEastAsia" w:hAnsiTheme="minorEastAsia" w:eastAsiaTheme="minorEastAsia"/>
                <w:color w:val="auto"/>
                <w:sz w:val="24"/>
                <w:highlight w:val="none"/>
              </w:rPr>
            </w:pPr>
          </w:p>
        </w:tc>
        <w:tc>
          <w:tcPr>
            <w:tcW w:w="1510" w:type="pct"/>
            <w:vAlign w:val="center"/>
          </w:tcPr>
          <w:p w14:paraId="5B3E2E16">
            <w:pPr>
              <w:jc w:val="center"/>
              <w:rPr>
                <w:rFonts w:asciiTheme="minorEastAsia" w:hAnsiTheme="minorEastAsia" w:eastAsiaTheme="minorEastAsia"/>
                <w:color w:val="auto"/>
                <w:sz w:val="24"/>
                <w:highlight w:val="none"/>
              </w:rPr>
            </w:pPr>
          </w:p>
        </w:tc>
        <w:tc>
          <w:tcPr>
            <w:tcW w:w="475" w:type="pct"/>
            <w:vAlign w:val="center"/>
          </w:tcPr>
          <w:p w14:paraId="37E7B00F">
            <w:pPr>
              <w:jc w:val="center"/>
              <w:rPr>
                <w:rFonts w:asciiTheme="minorEastAsia" w:hAnsiTheme="minorEastAsia" w:eastAsiaTheme="minorEastAsia"/>
                <w:color w:val="auto"/>
                <w:sz w:val="24"/>
                <w:highlight w:val="none"/>
              </w:rPr>
            </w:pPr>
          </w:p>
        </w:tc>
      </w:tr>
    </w:tbl>
    <w:p w14:paraId="55741F02">
      <w:pPr>
        <w:spacing w:line="360" w:lineRule="auto"/>
        <w:ind w:firstLine="4800" w:firstLineChars="2000"/>
        <w:rPr>
          <w:rFonts w:ascii="宋体" w:hAnsi="宋体" w:eastAsia="宋体"/>
          <w:color w:val="auto"/>
          <w:sz w:val="24"/>
          <w:highlight w:val="none"/>
        </w:rPr>
      </w:pPr>
    </w:p>
    <w:p w14:paraId="4E4AEA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938353A">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CD0FD3B">
      <w:pPr>
        <w:pStyle w:val="11"/>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5F73BF3">
      <w:pPr>
        <w:spacing w:line="360" w:lineRule="auto"/>
        <w:jc w:val="center"/>
        <w:outlineLvl w:val="1"/>
        <w:rPr>
          <w:rFonts w:asciiTheme="minorEastAsia" w:hAnsiTheme="minorEastAsia" w:eastAsiaTheme="minorEastAsia"/>
          <w:b/>
          <w:color w:val="auto"/>
          <w:sz w:val="24"/>
          <w:highlight w:val="none"/>
        </w:rPr>
      </w:pPr>
      <w:bookmarkStart w:id="244" w:name="_Toc11594"/>
      <w:bookmarkStart w:id="245" w:name="_Toc31335"/>
      <w:bookmarkStart w:id="246" w:name="_Toc9864"/>
      <w:r>
        <w:rPr>
          <w:rFonts w:hint="eastAsia" w:asciiTheme="minorEastAsia" w:hAnsiTheme="minorEastAsia" w:eastAsiaTheme="minorEastAsia"/>
          <w:b/>
          <w:color w:val="auto"/>
          <w:sz w:val="24"/>
          <w:highlight w:val="none"/>
        </w:rPr>
        <w:t>七、联合协议</w:t>
      </w:r>
      <w:bookmarkEnd w:id="244"/>
      <w:bookmarkEnd w:id="245"/>
      <w:bookmarkEnd w:id="246"/>
    </w:p>
    <w:p w14:paraId="5F593FE5">
      <w:pPr>
        <w:pStyle w:val="18"/>
        <w:spacing w:line="360" w:lineRule="auto"/>
        <w:rPr>
          <w:rFonts w:asciiTheme="minorEastAsia" w:hAnsiTheme="minorEastAsia" w:eastAsiaTheme="minorEastAsia"/>
          <w:color w:val="auto"/>
          <w:sz w:val="24"/>
          <w:highlight w:val="none"/>
        </w:rPr>
      </w:pPr>
      <w:r>
        <w:rPr>
          <w:rFonts w:hint="eastAsia" w:ascii="宋体" w:hAnsi="宋体" w:eastAsia="宋体"/>
          <w:b w:val="0"/>
          <w:i/>
          <w:color w:val="auto"/>
          <w:sz w:val="24"/>
          <w:highlight w:val="none"/>
        </w:rPr>
        <w:t>（本项目不适用）</w:t>
      </w:r>
    </w:p>
    <w:p w14:paraId="1E35AE6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76B5836">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3E8F9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343898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26D3B3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5C4950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3BD4DA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7C5E361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90D2FD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AE661B5">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A6BB70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2320BBE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421CFEC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6831FD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66FBC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12AFD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96828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D95DA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B2A355A">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153773AA">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7CF444B4">
      <w:pPr>
        <w:spacing w:line="360" w:lineRule="auto"/>
        <w:jc w:val="center"/>
        <w:outlineLvl w:val="1"/>
        <w:rPr>
          <w:rFonts w:asciiTheme="minorEastAsia" w:hAnsiTheme="minorEastAsia" w:eastAsiaTheme="minorEastAsia"/>
          <w:b/>
          <w:color w:val="auto"/>
          <w:sz w:val="24"/>
          <w:highlight w:val="none"/>
        </w:rPr>
      </w:pPr>
      <w:bookmarkStart w:id="247" w:name="_Toc9976"/>
      <w:bookmarkStart w:id="248" w:name="_Toc32534"/>
      <w:r>
        <w:rPr>
          <w:rFonts w:hint="eastAsia" w:asciiTheme="minorEastAsia" w:hAnsiTheme="minorEastAsia" w:eastAsiaTheme="minorEastAsia"/>
          <w:b/>
          <w:color w:val="auto"/>
          <w:sz w:val="24"/>
          <w:highlight w:val="none"/>
        </w:rPr>
        <w:t>八．拟分包情况说明及分包意向协议</w:t>
      </w:r>
      <w:bookmarkEnd w:id="247"/>
      <w:bookmarkEnd w:id="248"/>
    </w:p>
    <w:p w14:paraId="06032A90">
      <w:pPr>
        <w:pStyle w:val="2"/>
        <w:jc w:val="center"/>
        <w:rPr>
          <w:rFonts w:ascii="宋体" w:hAnsi="宋体" w:eastAsia="宋体" w:cs="@仿宋_GB2312"/>
          <w:i/>
          <w:iCs/>
          <w:color w:val="auto"/>
          <w:sz w:val="24"/>
          <w:szCs w:val="18"/>
          <w:highlight w:val="none"/>
          <w:lang w:val="en-US"/>
        </w:rPr>
      </w:pPr>
      <w:r>
        <w:rPr>
          <w:rFonts w:hint="eastAsia" w:ascii="宋体" w:hAnsi="宋体" w:eastAsia="宋体" w:cs="@仿宋_GB2312"/>
          <w:i/>
          <w:iCs/>
          <w:color w:val="auto"/>
          <w:sz w:val="24"/>
          <w:szCs w:val="18"/>
          <w:highlight w:val="none"/>
          <w:lang w:val="en-US"/>
        </w:rPr>
        <w:t>（</w:t>
      </w:r>
      <w:r>
        <w:rPr>
          <w:rFonts w:hint="eastAsia" w:ascii="宋体" w:hAnsi="宋体" w:eastAsia="宋体"/>
          <w:i/>
          <w:color w:val="auto"/>
          <w:sz w:val="24"/>
          <w:highlight w:val="none"/>
          <w:lang w:val="en-US"/>
        </w:rPr>
        <w:t>本项目不适用）</w:t>
      </w:r>
    </w:p>
    <w:p w14:paraId="42D869D2">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（一）拟分包情况说明</w:t>
      </w:r>
    </w:p>
    <w:p w14:paraId="1525F5E4">
      <w:pPr>
        <w:pStyle w:val="11"/>
        <w:spacing w:line="360" w:lineRule="auto"/>
        <w:rPr>
          <w:rFonts w:ascii="宋体" w:hAnsi="宋体"/>
          <w:color w:val="auto"/>
          <w:sz w:val="24"/>
          <w:highlight w:val="none"/>
          <w:u w:val="single"/>
        </w:rPr>
      </w:pPr>
      <w:r>
        <w:rPr>
          <w:rFonts w:hint="eastAsia" w:ascii="宋体" w:hAnsi="宋体"/>
          <w:color w:val="auto"/>
          <w:sz w:val="24"/>
          <w:highlight w:val="none"/>
        </w:rPr>
        <w:t>致：采购人</w:t>
      </w:r>
    </w:p>
    <w:p w14:paraId="0088BA1B">
      <w:pPr>
        <w:pStyle w:val="2"/>
        <w:spacing w:before="181" w:line="359" w:lineRule="auto"/>
        <w:ind w:left="9" w:right="54" w:firstLine="481"/>
        <w:rPr>
          <w:rFonts w:ascii="宋体" w:hAnsi="宋体" w:eastAsia="宋体" w:cs="宋体"/>
          <w:color w:val="auto"/>
          <w:sz w:val="24"/>
          <w:highlight w:val="none"/>
        </w:rPr>
      </w:pPr>
      <w:r>
        <w:rPr>
          <w:rFonts w:hint="eastAsia" w:ascii="宋体" w:hAnsi="宋体" w:eastAsia="宋体" w:cs="宋体"/>
          <w:color w:val="auto"/>
          <w:spacing w:val="-3"/>
          <w:sz w:val="24"/>
          <w:highlight w:val="none"/>
        </w:rPr>
        <w:t>我单位参加</w:t>
      </w:r>
      <w:r>
        <w:rPr>
          <w:rFonts w:hint="eastAsia" w:ascii="宋体" w:hAnsi="宋体" w:eastAsia="宋体" w:cs="宋体"/>
          <w:color w:val="auto"/>
          <w:spacing w:val="-3"/>
          <w:sz w:val="24"/>
          <w:highlight w:val="none"/>
          <w:lang w:val="en-US"/>
        </w:rPr>
        <w:t>本项目</w:t>
      </w:r>
      <w:r>
        <w:rPr>
          <w:rFonts w:hint="eastAsia" w:cs="@仿宋_GB2312" w:asciiTheme="minorEastAsia" w:hAnsiTheme="minorEastAsia" w:eastAsiaTheme="minorEastAsia"/>
          <w:color w:val="auto"/>
          <w:sz w:val="24"/>
          <w:szCs w:val="20"/>
          <w:highlight w:val="none"/>
          <w:lang w:val="en-US"/>
        </w:rPr>
        <w:t>投标，拟签订分包合同的单位情况如下表所示，我单位承诺一旦在该项目中获得采购合同将按下表所列情况进行分包，同时承诺分包承担主体不再次分包。</w:t>
      </w:r>
    </w:p>
    <w:tbl>
      <w:tblPr>
        <w:tblStyle w:val="57"/>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1EBA4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2429CF0D">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07393BE9">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0C6AD3F9">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7D3F8839">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6E0C8D59">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52C57E18">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590021A8">
            <w:pPr>
              <w:ind w:left="170" w:right="164"/>
              <w:jc w:val="center"/>
              <w:rPr>
                <w:rFonts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1BADD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4DEBE191">
            <w:pPr>
              <w:pStyle w:val="58"/>
              <w:spacing w:before="69" w:line="199"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0DC8665">
            <w:pPr>
              <w:pStyle w:val="58"/>
              <w:rPr>
                <w:rFonts w:ascii="宋体" w:hAnsi="宋体" w:eastAsia="宋体" w:cs="宋体"/>
                <w:color w:val="auto"/>
                <w:highlight w:val="none"/>
              </w:rPr>
            </w:pPr>
          </w:p>
        </w:tc>
        <w:tc>
          <w:tcPr>
            <w:tcW w:w="1684" w:type="dxa"/>
            <w:vAlign w:val="center"/>
          </w:tcPr>
          <w:p w14:paraId="6DAA272F">
            <w:pPr>
              <w:pStyle w:val="58"/>
              <w:spacing w:before="37" w:line="221" w:lineRule="auto"/>
              <w:ind w:left="134"/>
              <w:rPr>
                <w:rFonts w:ascii="宋体" w:hAnsi="宋体" w:eastAsia="宋体" w:cs="宋体"/>
                <w:color w:val="auto"/>
                <w:sz w:val="24"/>
                <w:szCs w:val="24"/>
                <w:highlight w:val="none"/>
                <w:lang w:eastAsia="zh-CN"/>
              </w:rPr>
            </w:pPr>
            <w:r>
              <w:rPr>
                <w:rFonts w:hint="eastAsia" w:ascii="宋体" w:hAnsi="宋体" w:eastAsia="宋体" w:cs="宋体"/>
                <w:color w:val="auto"/>
                <w:spacing w:val="11"/>
                <w:sz w:val="24"/>
                <w:szCs w:val="24"/>
                <w:highlight w:val="none"/>
                <w:lang w:eastAsia="zh-CN"/>
              </w:rPr>
              <w:t>□中型企业</w:t>
            </w:r>
          </w:p>
          <w:p w14:paraId="484F76C3">
            <w:pPr>
              <w:pStyle w:val="58"/>
              <w:spacing w:before="22" w:line="223" w:lineRule="auto"/>
              <w:ind w:left="373" w:right="208" w:hanging="239"/>
              <w:rPr>
                <w:rFonts w:ascii="宋体" w:hAnsi="宋体" w:eastAsia="宋体" w:cs="宋体"/>
                <w:color w:val="auto"/>
                <w:spacing w:val="11"/>
                <w:sz w:val="24"/>
                <w:szCs w:val="24"/>
                <w:highlight w:val="none"/>
                <w:lang w:eastAsia="zh-CN"/>
              </w:rPr>
            </w:pPr>
            <w:r>
              <w:rPr>
                <w:rFonts w:hint="eastAsia" w:ascii="宋体" w:hAnsi="宋体" w:eastAsia="宋体" w:cs="宋体"/>
                <w:color w:val="auto"/>
                <w:spacing w:val="11"/>
                <w:sz w:val="24"/>
                <w:szCs w:val="24"/>
                <w:highlight w:val="none"/>
                <w:lang w:eastAsia="zh-CN"/>
              </w:rPr>
              <w:t>□小微企业</w:t>
            </w:r>
          </w:p>
          <w:p w14:paraId="56E6E90E">
            <w:pPr>
              <w:pStyle w:val="58"/>
              <w:spacing w:before="22" w:line="223" w:lineRule="auto"/>
              <w:ind w:left="373" w:right="208" w:hanging="239"/>
              <w:rPr>
                <w:rFonts w:ascii="宋体" w:hAnsi="宋体" w:eastAsia="宋体" w:cs="宋体"/>
                <w:color w:val="auto"/>
                <w:sz w:val="24"/>
                <w:szCs w:val="24"/>
                <w:highlight w:val="none"/>
                <w:lang w:eastAsia="zh-CN"/>
              </w:rPr>
            </w:pPr>
            <w:r>
              <w:rPr>
                <w:rFonts w:hint="eastAsia" w:ascii="宋体" w:hAnsi="宋体" w:eastAsia="宋体" w:cs="宋体"/>
                <w:color w:val="auto"/>
                <w:spacing w:val="19"/>
                <w:sz w:val="24"/>
                <w:szCs w:val="24"/>
                <w:highlight w:val="none"/>
                <w:lang w:eastAsia="zh-CN"/>
              </w:rPr>
              <w:t>□其他</w:t>
            </w:r>
          </w:p>
        </w:tc>
        <w:tc>
          <w:tcPr>
            <w:tcW w:w="1122" w:type="dxa"/>
            <w:vAlign w:val="center"/>
          </w:tcPr>
          <w:p w14:paraId="2E7F8D40">
            <w:pPr>
              <w:pStyle w:val="58"/>
              <w:rPr>
                <w:rFonts w:ascii="宋体" w:hAnsi="宋体" w:eastAsia="宋体" w:cs="宋体"/>
                <w:color w:val="auto"/>
                <w:highlight w:val="none"/>
                <w:lang w:eastAsia="zh-CN"/>
              </w:rPr>
            </w:pPr>
          </w:p>
        </w:tc>
        <w:tc>
          <w:tcPr>
            <w:tcW w:w="1390" w:type="dxa"/>
            <w:vAlign w:val="center"/>
          </w:tcPr>
          <w:p w14:paraId="1E2C159E">
            <w:pPr>
              <w:pStyle w:val="58"/>
              <w:rPr>
                <w:rFonts w:ascii="宋体" w:hAnsi="宋体" w:eastAsia="宋体" w:cs="宋体"/>
                <w:color w:val="auto"/>
                <w:highlight w:val="none"/>
                <w:lang w:eastAsia="zh-CN"/>
              </w:rPr>
            </w:pPr>
          </w:p>
        </w:tc>
        <w:tc>
          <w:tcPr>
            <w:tcW w:w="1497" w:type="dxa"/>
            <w:vAlign w:val="center"/>
          </w:tcPr>
          <w:p w14:paraId="339FAED8">
            <w:pPr>
              <w:pStyle w:val="58"/>
              <w:rPr>
                <w:rFonts w:ascii="宋体" w:hAnsi="宋体" w:eastAsia="宋体" w:cs="宋体"/>
                <w:color w:val="auto"/>
                <w:highlight w:val="none"/>
                <w:lang w:eastAsia="zh-CN"/>
              </w:rPr>
            </w:pPr>
          </w:p>
        </w:tc>
        <w:tc>
          <w:tcPr>
            <w:tcW w:w="1569" w:type="dxa"/>
            <w:vAlign w:val="center"/>
          </w:tcPr>
          <w:p w14:paraId="6FFF1280">
            <w:pPr>
              <w:pStyle w:val="58"/>
              <w:rPr>
                <w:rFonts w:ascii="宋体" w:hAnsi="宋体" w:eastAsia="宋体" w:cs="宋体"/>
                <w:color w:val="auto"/>
                <w:highlight w:val="none"/>
                <w:lang w:eastAsia="zh-CN"/>
              </w:rPr>
            </w:pPr>
          </w:p>
        </w:tc>
      </w:tr>
      <w:tr w14:paraId="01B1B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3E30AFF2">
            <w:pPr>
              <w:pStyle w:val="58"/>
              <w:spacing w:before="69" w:line="201" w:lineRule="auto"/>
              <w:jc w:val="center"/>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1BF497F3">
            <w:pPr>
              <w:pStyle w:val="58"/>
              <w:rPr>
                <w:rFonts w:ascii="宋体" w:hAnsi="宋体" w:eastAsia="宋体" w:cs="宋体"/>
                <w:color w:val="auto"/>
                <w:highlight w:val="none"/>
              </w:rPr>
            </w:pPr>
          </w:p>
        </w:tc>
        <w:tc>
          <w:tcPr>
            <w:tcW w:w="1684" w:type="dxa"/>
            <w:vAlign w:val="center"/>
          </w:tcPr>
          <w:p w14:paraId="344E1AE3">
            <w:pPr>
              <w:pStyle w:val="58"/>
              <w:spacing w:before="38" w:line="221" w:lineRule="auto"/>
              <w:ind w:left="134"/>
              <w:rPr>
                <w:rFonts w:ascii="宋体" w:hAnsi="宋体" w:eastAsia="宋体" w:cs="宋体"/>
                <w:color w:val="auto"/>
                <w:sz w:val="24"/>
                <w:szCs w:val="24"/>
                <w:highlight w:val="none"/>
                <w:lang w:eastAsia="zh-CN"/>
              </w:rPr>
            </w:pPr>
            <w:r>
              <w:rPr>
                <w:rFonts w:hint="eastAsia" w:ascii="宋体" w:hAnsi="宋体" w:eastAsia="宋体" w:cs="宋体"/>
                <w:color w:val="auto"/>
                <w:spacing w:val="11"/>
                <w:sz w:val="24"/>
                <w:szCs w:val="24"/>
                <w:highlight w:val="none"/>
                <w:lang w:eastAsia="zh-CN"/>
              </w:rPr>
              <w:t>□中型企业</w:t>
            </w:r>
          </w:p>
          <w:p w14:paraId="62E088B1">
            <w:pPr>
              <w:pStyle w:val="58"/>
              <w:spacing w:before="25" w:line="222" w:lineRule="auto"/>
              <w:ind w:left="373" w:right="208" w:hanging="239"/>
              <w:rPr>
                <w:rFonts w:ascii="宋体" w:hAnsi="宋体" w:eastAsia="宋体" w:cs="宋体"/>
                <w:color w:val="auto"/>
                <w:spacing w:val="11"/>
                <w:sz w:val="24"/>
                <w:szCs w:val="24"/>
                <w:highlight w:val="none"/>
                <w:lang w:eastAsia="zh-CN"/>
              </w:rPr>
            </w:pPr>
            <w:r>
              <w:rPr>
                <w:rFonts w:hint="eastAsia" w:ascii="宋体" w:hAnsi="宋体" w:eastAsia="宋体" w:cs="宋体"/>
                <w:color w:val="auto"/>
                <w:spacing w:val="11"/>
                <w:sz w:val="24"/>
                <w:szCs w:val="24"/>
                <w:highlight w:val="none"/>
                <w:lang w:eastAsia="zh-CN"/>
              </w:rPr>
              <w:t>□小微企业</w:t>
            </w:r>
          </w:p>
          <w:p w14:paraId="611BD4AA">
            <w:pPr>
              <w:pStyle w:val="58"/>
              <w:spacing w:before="25" w:line="222" w:lineRule="auto"/>
              <w:ind w:left="373" w:right="208" w:hanging="239"/>
              <w:rPr>
                <w:rFonts w:ascii="宋体" w:hAnsi="宋体" w:eastAsia="宋体" w:cs="宋体"/>
                <w:color w:val="auto"/>
                <w:sz w:val="24"/>
                <w:szCs w:val="24"/>
                <w:highlight w:val="none"/>
                <w:lang w:eastAsia="zh-CN"/>
              </w:rPr>
            </w:pPr>
            <w:r>
              <w:rPr>
                <w:rFonts w:hint="eastAsia" w:ascii="宋体" w:hAnsi="宋体" w:eastAsia="宋体" w:cs="宋体"/>
                <w:color w:val="auto"/>
                <w:spacing w:val="19"/>
                <w:sz w:val="24"/>
                <w:szCs w:val="24"/>
                <w:highlight w:val="none"/>
                <w:lang w:eastAsia="zh-CN"/>
              </w:rPr>
              <w:t>□其他</w:t>
            </w:r>
          </w:p>
        </w:tc>
        <w:tc>
          <w:tcPr>
            <w:tcW w:w="1122" w:type="dxa"/>
            <w:vAlign w:val="center"/>
          </w:tcPr>
          <w:p w14:paraId="4ED7EC89">
            <w:pPr>
              <w:pStyle w:val="58"/>
              <w:rPr>
                <w:rFonts w:ascii="宋体" w:hAnsi="宋体" w:eastAsia="宋体" w:cs="宋体"/>
                <w:color w:val="auto"/>
                <w:highlight w:val="none"/>
                <w:lang w:eastAsia="zh-CN"/>
              </w:rPr>
            </w:pPr>
          </w:p>
        </w:tc>
        <w:tc>
          <w:tcPr>
            <w:tcW w:w="1390" w:type="dxa"/>
            <w:vAlign w:val="center"/>
          </w:tcPr>
          <w:p w14:paraId="5A0C3FCF">
            <w:pPr>
              <w:pStyle w:val="58"/>
              <w:rPr>
                <w:rFonts w:ascii="宋体" w:hAnsi="宋体" w:eastAsia="宋体" w:cs="宋体"/>
                <w:color w:val="auto"/>
                <w:highlight w:val="none"/>
                <w:lang w:eastAsia="zh-CN"/>
              </w:rPr>
            </w:pPr>
          </w:p>
        </w:tc>
        <w:tc>
          <w:tcPr>
            <w:tcW w:w="1497" w:type="dxa"/>
            <w:vAlign w:val="center"/>
          </w:tcPr>
          <w:p w14:paraId="3B76E056">
            <w:pPr>
              <w:pStyle w:val="58"/>
              <w:rPr>
                <w:rFonts w:ascii="宋体" w:hAnsi="宋体" w:eastAsia="宋体" w:cs="宋体"/>
                <w:color w:val="auto"/>
                <w:highlight w:val="none"/>
                <w:lang w:eastAsia="zh-CN"/>
              </w:rPr>
            </w:pPr>
          </w:p>
        </w:tc>
        <w:tc>
          <w:tcPr>
            <w:tcW w:w="1569" w:type="dxa"/>
            <w:vAlign w:val="center"/>
          </w:tcPr>
          <w:p w14:paraId="5383217C">
            <w:pPr>
              <w:pStyle w:val="58"/>
              <w:rPr>
                <w:rFonts w:ascii="宋体" w:hAnsi="宋体" w:eastAsia="宋体" w:cs="宋体"/>
                <w:color w:val="auto"/>
                <w:highlight w:val="none"/>
                <w:lang w:eastAsia="zh-CN"/>
              </w:rPr>
            </w:pPr>
          </w:p>
        </w:tc>
      </w:tr>
      <w:tr w14:paraId="71D50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4FD41B85">
            <w:pPr>
              <w:pStyle w:val="58"/>
              <w:spacing w:before="69" w:line="81" w:lineRule="exact"/>
              <w:jc w:val="center"/>
              <w:rPr>
                <w:rFonts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5DE31B10">
            <w:pPr>
              <w:pStyle w:val="58"/>
              <w:rPr>
                <w:rFonts w:ascii="宋体" w:hAnsi="宋体" w:eastAsia="宋体" w:cs="宋体"/>
                <w:color w:val="auto"/>
                <w:highlight w:val="none"/>
              </w:rPr>
            </w:pPr>
          </w:p>
        </w:tc>
        <w:tc>
          <w:tcPr>
            <w:tcW w:w="1684" w:type="dxa"/>
            <w:vAlign w:val="center"/>
          </w:tcPr>
          <w:p w14:paraId="78BFA30B">
            <w:pPr>
              <w:pStyle w:val="58"/>
              <w:rPr>
                <w:rFonts w:ascii="宋体" w:hAnsi="宋体" w:eastAsia="宋体" w:cs="宋体"/>
                <w:color w:val="auto"/>
                <w:highlight w:val="none"/>
              </w:rPr>
            </w:pPr>
          </w:p>
        </w:tc>
        <w:tc>
          <w:tcPr>
            <w:tcW w:w="1122" w:type="dxa"/>
            <w:vAlign w:val="center"/>
          </w:tcPr>
          <w:p w14:paraId="24B39747">
            <w:pPr>
              <w:pStyle w:val="58"/>
              <w:rPr>
                <w:rFonts w:ascii="宋体" w:hAnsi="宋体" w:eastAsia="宋体" w:cs="宋体"/>
                <w:color w:val="auto"/>
                <w:highlight w:val="none"/>
              </w:rPr>
            </w:pPr>
          </w:p>
        </w:tc>
        <w:tc>
          <w:tcPr>
            <w:tcW w:w="1390" w:type="dxa"/>
            <w:vAlign w:val="center"/>
          </w:tcPr>
          <w:p w14:paraId="3B6F8695">
            <w:pPr>
              <w:pStyle w:val="58"/>
              <w:rPr>
                <w:rFonts w:ascii="宋体" w:hAnsi="宋体" w:eastAsia="宋体" w:cs="宋体"/>
                <w:color w:val="auto"/>
                <w:highlight w:val="none"/>
              </w:rPr>
            </w:pPr>
          </w:p>
        </w:tc>
        <w:tc>
          <w:tcPr>
            <w:tcW w:w="1497" w:type="dxa"/>
            <w:vAlign w:val="center"/>
          </w:tcPr>
          <w:p w14:paraId="70A83157">
            <w:pPr>
              <w:pStyle w:val="58"/>
              <w:rPr>
                <w:rFonts w:ascii="宋体" w:hAnsi="宋体" w:eastAsia="宋体" w:cs="宋体"/>
                <w:color w:val="auto"/>
                <w:highlight w:val="none"/>
              </w:rPr>
            </w:pPr>
          </w:p>
        </w:tc>
        <w:tc>
          <w:tcPr>
            <w:tcW w:w="1569" w:type="dxa"/>
            <w:vAlign w:val="center"/>
          </w:tcPr>
          <w:p w14:paraId="3C4564B8">
            <w:pPr>
              <w:pStyle w:val="58"/>
              <w:rPr>
                <w:rFonts w:ascii="宋体" w:hAnsi="宋体" w:eastAsia="宋体" w:cs="宋体"/>
                <w:color w:val="auto"/>
                <w:highlight w:val="none"/>
              </w:rPr>
            </w:pPr>
          </w:p>
        </w:tc>
      </w:tr>
      <w:tr w14:paraId="47D6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3797BFAC">
            <w:pPr>
              <w:spacing w:before="193" w:line="222" w:lineRule="auto"/>
              <w:ind w:left="5170"/>
              <w:rPr>
                <w:rFonts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1234E4C7">
            <w:pPr>
              <w:pStyle w:val="58"/>
              <w:rPr>
                <w:rFonts w:ascii="宋体" w:hAnsi="宋体" w:eastAsia="宋体" w:cs="宋体"/>
                <w:color w:val="auto"/>
                <w:highlight w:val="none"/>
              </w:rPr>
            </w:pPr>
          </w:p>
        </w:tc>
        <w:tc>
          <w:tcPr>
            <w:tcW w:w="1569" w:type="dxa"/>
            <w:vAlign w:val="center"/>
          </w:tcPr>
          <w:p w14:paraId="5D507E05">
            <w:pPr>
              <w:pStyle w:val="58"/>
              <w:rPr>
                <w:rFonts w:ascii="宋体" w:hAnsi="宋体" w:eastAsia="宋体" w:cs="宋体"/>
                <w:color w:val="auto"/>
                <w:highlight w:val="none"/>
              </w:rPr>
            </w:pPr>
          </w:p>
        </w:tc>
      </w:tr>
    </w:tbl>
    <w:p w14:paraId="2CA71095">
      <w:pPr>
        <w:spacing w:line="272" w:lineRule="auto"/>
        <w:rPr>
          <w:rFonts w:ascii="宋体" w:hAnsi="宋体" w:eastAsia="宋体" w:cs="宋体"/>
          <w:color w:val="auto"/>
          <w:highlight w:val="none"/>
        </w:rPr>
      </w:pPr>
    </w:p>
    <w:p w14:paraId="0FDB336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B708D1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96BA954">
      <w:pPr>
        <w:pStyle w:val="2"/>
        <w:spacing w:before="1" w:line="224" w:lineRule="auto"/>
        <w:ind w:left="9"/>
        <w:rPr>
          <w:rFonts w:ascii="宋体" w:hAnsi="宋体" w:eastAsia="宋体" w:cs="宋体"/>
          <w:color w:val="auto"/>
          <w:sz w:val="24"/>
          <w:highlight w:val="none"/>
        </w:rPr>
      </w:pPr>
      <w:r>
        <w:rPr>
          <w:rFonts w:hint="eastAsia" w:ascii="宋体" w:hAnsi="宋体" w:eastAsia="宋体" w:cs="宋体"/>
          <w:color w:val="auto"/>
          <w:spacing w:val="-17"/>
          <w:sz w:val="24"/>
          <w:highlight w:val="none"/>
        </w:rPr>
        <w:t>注：</w:t>
      </w:r>
    </w:p>
    <w:p w14:paraId="592944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1.拟分包情况说明仅需加盖投标人电子签章。</w:t>
      </w:r>
    </w:p>
    <w:p w14:paraId="27C020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2.如招标文件载明本项目分包承担主体应具备的相应资质条件，则投标人须在本表中列明分包承担主体的资质等级，并后附材料扫描件或电子证照，否则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6BFB04D2">
      <w:pPr>
        <w:spacing w:line="220" w:lineRule="auto"/>
        <w:rPr>
          <w:rFonts w:ascii="宋体" w:hAnsi="宋体" w:eastAsia="宋体" w:cs="宋体"/>
          <w:color w:val="auto"/>
          <w:sz w:val="24"/>
          <w:szCs w:val="24"/>
          <w:highlight w:val="none"/>
        </w:rPr>
        <w:sectPr>
          <w:headerReference r:id="rId5" w:type="default"/>
          <w:footerReference r:id="rId6" w:type="default"/>
          <w:pgSz w:w="11907" w:h="16840"/>
          <w:pgMar w:top="1117" w:right="1078" w:bottom="1060" w:left="1700" w:header="510" w:footer="886" w:gutter="0"/>
          <w:pgNumType w:start="3"/>
          <w:cols w:space="720" w:num="1"/>
        </w:sectPr>
      </w:pPr>
    </w:p>
    <w:p w14:paraId="5C8739CE">
      <w:pPr>
        <w:spacing w:line="360" w:lineRule="auto"/>
        <w:jc w:val="center"/>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（二）分包意向协议</w:t>
      </w:r>
    </w:p>
    <w:p w14:paraId="26302DE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9AAC4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7ECD8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E2A98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681C07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依据《政府采购促进中小企业发展管理办法》（财库〔2020〕46号）第八条规定，</w:t>
      </w:r>
      <w:r>
        <w:rPr>
          <w:rFonts w:asciiTheme="minorEastAsia" w:hAnsiTheme="minorEastAsia" w:eastAsiaTheme="minorEastAsia"/>
          <w:color w:val="auto"/>
          <w:sz w:val="24"/>
          <w:highlight w:val="none"/>
        </w:rPr>
        <w:t>现就</w:t>
      </w:r>
      <w:r>
        <w:rPr>
          <w:rFonts w:hint="eastAsia" w:asciiTheme="minorEastAsia" w:hAnsiTheme="minorEastAsia" w:eastAsiaTheme="minorEastAsia"/>
          <w:color w:val="auto"/>
          <w:sz w:val="24"/>
          <w:highlight w:val="none"/>
        </w:rPr>
        <w:t>分包意向</w:t>
      </w:r>
      <w:r>
        <w:rPr>
          <w:rFonts w:asciiTheme="minorEastAsia" w:hAnsiTheme="minorEastAsia" w:eastAsiaTheme="minorEastAsia"/>
          <w:color w:val="auto"/>
          <w:sz w:val="24"/>
          <w:highlight w:val="none"/>
        </w:rPr>
        <w:t>事宜订立如下协议：</w:t>
      </w:r>
    </w:p>
    <w:p w14:paraId="563B36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1.本项目投标人为本项目总承包单位。</w:t>
      </w:r>
    </w:p>
    <w:p w14:paraId="4956CD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总承包单位负责投标项目的一切组织、协调工作，并授权代理人参加项目的投标，代理人在投标、开标、评标、合同签订过程中所签署的一切文件和处理与本次招标有关的一切事务，总承包单位与采购人签订本项目采购合同，分别与各分包企业签订分包合同，就本项目对采购人承担连带责任。</w:t>
      </w:r>
    </w:p>
    <w:p w14:paraId="19AB02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各</w:t>
      </w:r>
      <w:r>
        <w:rPr>
          <w:rFonts w:asciiTheme="minorEastAsia" w:hAnsiTheme="minorEastAsia" w:eastAsiaTheme="minorEastAsia"/>
          <w:color w:val="auto"/>
          <w:sz w:val="24"/>
          <w:highlight w:val="none"/>
        </w:rPr>
        <w:t>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28F251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74EC007">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接受分包企业一名称：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33B43A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接受分包企业二名称：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408445E">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4B97E3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中标后，本</w:t>
      </w:r>
      <w:r>
        <w:rPr>
          <w:rFonts w:hint="eastAsia" w:asciiTheme="minorEastAsia" w:hAnsiTheme="minorEastAsia" w:eastAsiaTheme="minorEastAsia"/>
          <w:color w:val="auto"/>
          <w:sz w:val="24"/>
          <w:highlight w:val="none"/>
        </w:rPr>
        <w:t>分包意向</w:t>
      </w:r>
      <w:r>
        <w:rPr>
          <w:rFonts w:asciiTheme="minorEastAsia" w:hAnsiTheme="minorEastAsia" w:eastAsiaTheme="minorEastAsia"/>
          <w:color w:val="auto"/>
          <w:sz w:val="24"/>
          <w:highlight w:val="none"/>
        </w:rPr>
        <w:t>协议是合同的附件，对</w:t>
      </w:r>
      <w:r>
        <w:rPr>
          <w:rFonts w:hint="eastAsia" w:asciiTheme="minorEastAsia" w:hAnsiTheme="minorEastAsia" w:eastAsiaTheme="minorEastAsia"/>
          <w:color w:val="auto"/>
          <w:sz w:val="24"/>
          <w:highlight w:val="none"/>
        </w:rPr>
        <w:t>分包</w:t>
      </w:r>
      <w:r>
        <w:rPr>
          <w:rFonts w:asciiTheme="minorEastAsia" w:hAnsiTheme="minorEastAsia" w:eastAsiaTheme="minorEastAsia"/>
          <w:color w:val="auto"/>
          <w:sz w:val="24"/>
          <w:highlight w:val="none"/>
        </w:rPr>
        <w:t>各成员单位有合同约束力。</w:t>
      </w:r>
    </w:p>
    <w:p w14:paraId="6575E7F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本协议书自签署之日起生效，未中标或者合同履行完毕后自动失效。</w:t>
      </w:r>
    </w:p>
    <w:p w14:paraId="2633E6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6.接受分包的中小企业与总承包单位不存在直接控股、管理关系。</w:t>
      </w:r>
    </w:p>
    <w:p w14:paraId="7CEFA253">
      <w:pPr>
        <w:pStyle w:val="2"/>
        <w:rPr>
          <w:color w:val="auto"/>
          <w:highlight w:val="none"/>
          <w:lang w:val="en-US"/>
        </w:rPr>
      </w:pPr>
    </w:p>
    <w:p w14:paraId="72576A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07BE8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755BF6C1">
      <w:pPr>
        <w:spacing w:line="360" w:lineRule="auto"/>
        <w:ind w:firstLine="435"/>
        <w:rPr>
          <w:rFonts w:asciiTheme="minorEastAsia" w:hAnsiTheme="minorEastAsia" w:eastAsiaTheme="minorEastAsia"/>
          <w:color w:val="auto"/>
          <w:sz w:val="24"/>
          <w:highlight w:val="none"/>
        </w:rPr>
      </w:pPr>
    </w:p>
    <w:p w14:paraId="19F8A4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2D42DD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04132278">
      <w:pPr>
        <w:spacing w:line="360" w:lineRule="auto"/>
        <w:ind w:firstLine="435"/>
        <w:rPr>
          <w:rFonts w:asciiTheme="minorEastAsia" w:hAnsiTheme="minorEastAsia" w:eastAsiaTheme="minorEastAsia"/>
          <w:color w:val="auto"/>
          <w:sz w:val="24"/>
          <w:highlight w:val="none"/>
        </w:rPr>
      </w:pPr>
    </w:p>
    <w:p w14:paraId="7F8EA8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E0FA7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2230C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80091B4">
      <w:pPr>
        <w:pStyle w:val="18"/>
        <w:spacing w:line="360" w:lineRule="auto"/>
        <w:rPr>
          <w:rFonts w:asciiTheme="minorEastAsia" w:hAnsiTheme="minorEastAsia" w:eastAsiaTheme="minorEastAsia"/>
          <w:color w:val="auto"/>
          <w:sz w:val="24"/>
          <w:highlight w:val="none"/>
        </w:rPr>
      </w:pPr>
    </w:p>
    <w:p w14:paraId="0C816C6B">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7F5E636E">
      <w:pPr>
        <w:spacing w:line="360" w:lineRule="auto"/>
        <w:ind w:right="480" w:firstLine="4680" w:firstLineChars="1950"/>
        <w:rPr>
          <w:rFonts w:asciiTheme="minorEastAsia" w:hAnsiTheme="minorEastAsia" w:eastAsiaTheme="minorEastAsia"/>
          <w:color w:val="auto"/>
          <w:sz w:val="24"/>
          <w:highlight w:val="none"/>
        </w:rPr>
      </w:pPr>
    </w:p>
    <w:p w14:paraId="52498517">
      <w:pPr>
        <w:spacing w:line="360" w:lineRule="auto"/>
        <w:ind w:right="480" w:firstLine="5460" w:firstLineChars="1950"/>
        <w:rPr>
          <w:rFonts w:asciiTheme="minorEastAsia" w:hAnsiTheme="minorEastAsia" w:eastAsiaTheme="minorEastAsia"/>
          <w:color w:val="auto"/>
          <w:sz w:val="28"/>
          <w:highlight w:val="none"/>
        </w:rPr>
      </w:pPr>
    </w:p>
    <w:p w14:paraId="62305BCA">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58431DB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分包意向协议中须约定向中小企业分包的项目内容及分包内容占合同金额比例。</w:t>
      </w:r>
    </w:p>
    <w:p w14:paraId="7D4FB15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1A8DB9B">
      <w:pPr>
        <w:spacing w:line="360" w:lineRule="auto"/>
        <w:jc w:val="center"/>
        <w:outlineLvl w:val="1"/>
        <w:rPr>
          <w:rFonts w:asciiTheme="minorEastAsia" w:hAnsiTheme="minorEastAsia" w:eastAsiaTheme="minorEastAsia"/>
          <w:b/>
          <w:color w:val="auto"/>
          <w:sz w:val="24"/>
          <w:highlight w:val="none"/>
        </w:rPr>
      </w:pPr>
      <w:bookmarkStart w:id="249" w:name="_Toc5318"/>
      <w:bookmarkStart w:id="250" w:name="_Toc23068"/>
      <w:r>
        <w:rPr>
          <w:rFonts w:hint="eastAsia" w:asciiTheme="minorEastAsia" w:hAnsiTheme="minorEastAsia" w:eastAsiaTheme="minorEastAsia"/>
          <w:b/>
          <w:color w:val="auto"/>
          <w:sz w:val="24"/>
          <w:highlight w:val="none"/>
        </w:rPr>
        <w:t>九、中小企业声明函</w:t>
      </w:r>
      <w:bookmarkEnd w:id="249"/>
      <w:bookmarkEnd w:id="250"/>
    </w:p>
    <w:p w14:paraId="22DD704D">
      <w:pPr>
        <w:pStyle w:val="2"/>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中小企业投标</w:t>
      </w:r>
      <w:r>
        <w:rPr>
          <w:rFonts w:hint="eastAsia" w:ascii="宋体" w:hAnsi="宋体" w:eastAsia="宋体"/>
          <w:i/>
          <w:color w:val="auto"/>
          <w:sz w:val="24"/>
          <w:highlight w:val="none"/>
          <w:lang w:val="en-US"/>
        </w:rPr>
        <w:t>的）</w:t>
      </w:r>
    </w:p>
    <w:p w14:paraId="095E382C">
      <w:pPr>
        <w:rPr>
          <w:rFonts w:asciiTheme="minorEastAsia" w:hAnsiTheme="minorEastAsia" w:eastAsiaTheme="minorEastAsia"/>
          <w:color w:val="auto"/>
          <w:sz w:val="24"/>
          <w:szCs w:val="24"/>
          <w:highlight w:val="none"/>
        </w:rPr>
      </w:pPr>
    </w:p>
    <w:p w14:paraId="448AE03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331FEF3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3B1135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18A367B7">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E5E2B70">
      <w:pPr>
        <w:spacing w:line="360" w:lineRule="auto"/>
        <w:ind w:firstLine="435"/>
        <w:rPr>
          <w:rFonts w:asciiTheme="minorEastAsia" w:hAnsiTheme="minorEastAsia" w:eastAsiaTheme="minorEastAsia"/>
          <w:color w:val="auto"/>
          <w:sz w:val="24"/>
          <w:szCs w:val="24"/>
          <w:highlight w:val="none"/>
        </w:rPr>
      </w:pPr>
    </w:p>
    <w:p w14:paraId="23214991">
      <w:pPr>
        <w:spacing w:line="360" w:lineRule="auto"/>
        <w:ind w:firstLine="435"/>
        <w:rPr>
          <w:rFonts w:asciiTheme="minorEastAsia" w:hAnsiTheme="minorEastAsia" w:eastAsiaTheme="minorEastAsia"/>
          <w:color w:val="auto"/>
          <w:sz w:val="24"/>
          <w:szCs w:val="24"/>
          <w:highlight w:val="none"/>
        </w:rPr>
      </w:pPr>
    </w:p>
    <w:p w14:paraId="6CB239E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F8B5AB1">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5494887">
      <w:pPr>
        <w:tabs>
          <w:tab w:val="left" w:pos="4620"/>
        </w:tabs>
        <w:spacing w:line="360" w:lineRule="auto"/>
        <w:jc w:val="left"/>
        <w:rPr>
          <w:rFonts w:asciiTheme="minorEastAsia" w:hAnsiTheme="minorEastAsia" w:eastAsiaTheme="minorEastAsia"/>
          <w:color w:val="auto"/>
          <w:sz w:val="24"/>
          <w:szCs w:val="24"/>
          <w:highlight w:val="none"/>
        </w:rPr>
      </w:pPr>
    </w:p>
    <w:p w14:paraId="71AA652B">
      <w:pPr>
        <w:tabs>
          <w:tab w:val="left" w:pos="4620"/>
        </w:tabs>
        <w:spacing w:line="360" w:lineRule="auto"/>
        <w:jc w:val="left"/>
        <w:rPr>
          <w:rFonts w:asciiTheme="minorEastAsia" w:hAnsiTheme="minorEastAsia" w:eastAsiaTheme="minorEastAsia"/>
          <w:color w:val="auto"/>
          <w:sz w:val="24"/>
          <w:szCs w:val="24"/>
          <w:highlight w:val="none"/>
        </w:rPr>
      </w:pPr>
    </w:p>
    <w:p w14:paraId="3A54EB8D">
      <w:pPr>
        <w:tabs>
          <w:tab w:val="left" w:pos="4620"/>
        </w:tabs>
        <w:spacing w:line="360" w:lineRule="auto"/>
        <w:jc w:val="left"/>
        <w:rPr>
          <w:rFonts w:asciiTheme="minorEastAsia" w:hAnsiTheme="minorEastAsia" w:eastAsiaTheme="minorEastAsia"/>
          <w:color w:val="auto"/>
          <w:sz w:val="24"/>
          <w:szCs w:val="24"/>
          <w:highlight w:val="none"/>
        </w:rPr>
      </w:pPr>
    </w:p>
    <w:p w14:paraId="7C444092">
      <w:pPr>
        <w:tabs>
          <w:tab w:val="left" w:pos="4620"/>
        </w:tabs>
        <w:spacing w:line="360" w:lineRule="auto"/>
        <w:jc w:val="left"/>
        <w:rPr>
          <w:rFonts w:asciiTheme="minorEastAsia" w:hAnsiTheme="minorEastAsia" w:eastAsiaTheme="minorEastAsia"/>
          <w:color w:val="auto"/>
          <w:sz w:val="24"/>
          <w:szCs w:val="24"/>
          <w:highlight w:val="none"/>
        </w:rPr>
      </w:pPr>
    </w:p>
    <w:p w14:paraId="0EAEBB9F">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18F0C2DB">
      <w:pPr>
        <w:tabs>
          <w:tab w:val="left" w:pos="4620"/>
        </w:tabs>
        <w:spacing w:line="360" w:lineRule="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486CDE7">
      <w:pPr>
        <w:pStyle w:val="2"/>
        <w:rPr>
          <w:rFonts w:asciiTheme="minorEastAsia" w:hAnsiTheme="minorEastAsia" w:eastAsiaTheme="minorEastAsia"/>
          <w:b/>
          <w:bCs/>
          <w:color w:val="auto"/>
          <w:highlight w:val="none"/>
          <w:lang w:val="en-US"/>
        </w:rPr>
      </w:pPr>
    </w:p>
    <w:p w14:paraId="1E5754CC">
      <w:pPr>
        <w:rPr>
          <w:rFonts w:asciiTheme="minorEastAsia" w:hAnsiTheme="minorEastAsia" w:eastAsiaTheme="minorEastAsia"/>
          <w:b/>
          <w:color w:val="auto"/>
          <w:sz w:val="24"/>
          <w:highlight w:val="none"/>
        </w:rPr>
      </w:pPr>
      <w:bookmarkStart w:id="251" w:name="_Toc16713"/>
      <w:r>
        <w:rPr>
          <w:rFonts w:hint="eastAsia" w:asciiTheme="minorEastAsia" w:hAnsiTheme="minorEastAsia" w:eastAsiaTheme="minorEastAsia"/>
          <w:b/>
          <w:color w:val="auto"/>
          <w:sz w:val="24"/>
          <w:highlight w:val="none"/>
        </w:rPr>
        <w:br w:type="page"/>
      </w:r>
    </w:p>
    <w:p w14:paraId="23FB3173">
      <w:pPr>
        <w:spacing w:line="360" w:lineRule="auto"/>
        <w:jc w:val="center"/>
        <w:outlineLvl w:val="1"/>
        <w:rPr>
          <w:rFonts w:asciiTheme="minorEastAsia" w:hAnsiTheme="minorEastAsia" w:eastAsiaTheme="minorEastAsia"/>
          <w:b/>
          <w:color w:val="auto"/>
          <w:sz w:val="24"/>
          <w:highlight w:val="none"/>
        </w:rPr>
      </w:pPr>
      <w:bookmarkStart w:id="252" w:name="_Toc17315"/>
      <w:bookmarkStart w:id="253" w:name="_Toc26192"/>
      <w:r>
        <w:rPr>
          <w:rFonts w:hint="eastAsia" w:asciiTheme="minorEastAsia" w:hAnsiTheme="minorEastAsia" w:eastAsiaTheme="minorEastAsia"/>
          <w:b/>
          <w:color w:val="auto"/>
          <w:sz w:val="24"/>
          <w:highlight w:val="none"/>
        </w:rPr>
        <w:t>十、残疾人福利性单位声明函</w:t>
      </w:r>
      <w:bookmarkEnd w:id="251"/>
      <w:bookmarkEnd w:id="252"/>
      <w:bookmarkEnd w:id="253"/>
    </w:p>
    <w:p w14:paraId="790FF97C">
      <w:pPr>
        <w:pStyle w:val="2"/>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（残疾人福利性单位投标的）</w:t>
      </w:r>
    </w:p>
    <w:p w14:paraId="5C34D28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788B783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spacing w:line="360" w:lineRule="auto"/>
        <w:ind w:firstLine="4228" w:firstLineChars="1762"/>
        <w:rPr>
          <w:rFonts w:asciiTheme="minorEastAsia" w:hAnsiTheme="minorEastAsia" w:eastAsiaTheme="minorEastAsia"/>
          <w:color w:val="auto"/>
          <w:sz w:val="24"/>
          <w:szCs w:val="24"/>
          <w:highlight w:val="none"/>
        </w:rPr>
      </w:pPr>
    </w:p>
    <w:p w14:paraId="0641654C">
      <w:pPr>
        <w:spacing w:line="360" w:lineRule="auto"/>
        <w:ind w:firstLine="4228" w:firstLineChars="1762"/>
        <w:rPr>
          <w:rFonts w:asciiTheme="minorEastAsia" w:hAnsiTheme="minorEastAsia" w:eastAsiaTheme="minorEastAsia"/>
          <w:color w:val="auto"/>
          <w:sz w:val="24"/>
          <w:szCs w:val="24"/>
          <w:highlight w:val="none"/>
        </w:rPr>
      </w:pPr>
    </w:p>
    <w:p w14:paraId="32BCD5D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F39CAD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619F1F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spacing w:line="360" w:lineRule="auto"/>
        <w:jc w:val="center"/>
        <w:outlineLvl w:val="1"/>
        <w:rPr>
          <w:rFonts w:asciiTheme="minorEastAsia" w:hAnsiTheme="minorEastAsia" w:eastAsiaTheme="minorEastAsia"/>
          <w:b/>
          <w:color w:val="auto"/>
          <w:sz w:val="24"/>
          <w:highlight w:val="none"/>
        </w:rPr>
      </w:pPr>
      <w:bookmarkStart w:id="254" w:name="_Toc133"/>
      <w:bookmarkStart w:id="255" w:name="_Toc520299348"/>
      <w:bookmarkStart w:id="256" w:name="_Toc300210382"/>
      <w:bookmarkStart w:id="257" w:name="_Toc457768004"/>
      <w:bookmarkStart w:id="258" w:name="_Toc23860"/>
      <w:bookmarkStart w:id="259" w:name="_Toc26536"/>
      <w:bookmarkStart w:id="260" w:name="_Hlk11701496"/>
      <w:r>
        <w:rPr>
          <w:rFonts w:hint="eastAsia" w:asciiTheme="minorEastAsia" w:hAnsiTheme="minorEastAsia" w:eastAsiaTheme="minorEastAsia"/>
          <w:b/>
          <w:color w:val="auto"/>
          <w:sz w:val="24"/>
          <w:highlight w:val="none"/>
        </w:rPr>
        <w:t>十一、</w:t>
      </w:r>
      <w:r>
        <w:rPr>
          <w:rFonts w:hint="eastAsia" w:ascii="宋体" w:hAnsi="宋体" w:eastAsia="宋体"/>
          <w:b/>
          <w:color w:val="auto"/>
          <w:sz w:val="24"/>
          <w:highlight w:val="none"/>
        </w:rPr>
        <w:t>关于符合本国产品标准的声明函</w:t>
      </w:r>
      <w:bookmarkEnd w:id="254"/>
    </w:p>
    <w:p w14:paraId="71F6D470">
      <w:pPr>
        <w:spacing w:line="360" w:lineRule="auto"/>
        <w:jc w:val="center"/>
        <w:rPr>
          <w:rFonts w:ascii="宋体" w:hAnsi="宋体" w:eastAsia="宋体" w:cs="宋体"/>
          <w:color w:val="auto"/>
          <w:sz w:val="24"/>
          <w:szCs w:val="24"/>
          <w:highlight w:val="none"/>
          <w:shd w:val="clear" w:color="auto" w:fill="FFFFFF"/>
        </w:rPr>
      </w:pPr>
      <w:r>
        <w:rPr>
          <w:rFonts w:hint="eastAsia" w:ascii="宋体" w:hAnsi="宋体" w:eastAsia="宋体"/>
          <w:i/>
          <w:color w:val="auto"/>
          <w:sz w:val="24"/>
          <w:highlight w:val="none"/>
        </w:rPr>
        <w:t>（本项目不适用）</w:t>
      </w:r>
    </w:p>
    <w:p w14:paraId="6FB77259">
      <w:pPr>
        <w:pStyle w:val="17"/>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44EF7BA">
      <w:pPr>
        <w:pStyle w:val="17"/>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1.</w:t>
      </w:r>
      <w:r>
        <w:rPr>
          <w:rStyle w:val="25"/>
          <w:rFonts w:hint="eastAsia" w:ascii="宋体" w:hAnsi="宋体" w:eastAsia="宋体" w:cs="宋体"/>
          <w:i w:val="0"/>
          <w:color w:val="auto"/>
          <w:szCs w:val="24"/>
          <w:highlight w:val="none"/>
          <w:u w:val="single"/>
          <w:shd w:val="clear" w:color="auto" w:fill="FFFFFF"/>
        </w:rPr>
        <w:t>（产品名称1）</w:t>
      </w:r>
      <w:r>
        <w:rPr>
          <w:rStyle w:val="25"/>
          <w:rFonts w:hint="eastAsia" w:ascii="宋体" w:hAnsi="宋体" w:eastAsia="宋体" w:cs="宋体"/>
          <w:i w:val="0"/>
          <w:color w:val="auto"/>
          <w:szCs w:val="24"/>
          <w:highlight w:val="none"/>
          <w:shd w:val="clear" w:color="auto" w:fill="FFFFFF"/>
          <w:vertAlign w:val="superscript"/>
        </w:rPr>
        <w:t>1</w:t>
      </w:r>
      <w:r>
        <w:rPr>
          <w:rFonts w:hint="eastAsia" w:ascii="宋体" w:hAnsi="宋体" w:eastAsia="宋体" w:cs="宋体"/>
          <w:color w:val="auto"/>
          <w:szCs w:val="24"/>
          <w:highlight w:val="none"/>
          <w:shd w:val="clear" w:color="auto" w:fill="FFFFFF"/>
        </w:rPr>
        <w:t>，生产厂为</w:t>
      </w:r>
      <w:r>
        <w:rPr>
          <w:rStyle w:val="25"/>
          <w:rFonts w:hint="eastAsia" w:ascii="宋体" w:hAnsi="宋体" w:eastAsia="宋体" w:cs="宋体"/>
          <w:i w:val="0"/>
          <w:color w:val="auto"/>
          <w:szCs w:val="24"/>
          <w:highlight w:val="none"/>
          <w:u w:val="single"/>
          <w:shd w:val="clear" w:color="auto" w:fill="FFFFFF"/>
        </w:rPr>
        <w:t>（厂名）</w:t>
      </w:r>
      <w:r>
        <w:rPr>
          <w:rStyle w:val="25"/>
          <w:rFonts w:hint="eastAsia" w:ascii="宋体" w:hAnsi="宋体" w:eastAsia="宋体" w:cs="宋体"/>
          <w:i w:val="0"/>
          <w:color w:val="auto"/>
          <w:szCs w:val="24"/>
          <w:highlight w:val="none"/>
          <w:shd w:val="clear" w:color="auto" w:fill="FFFFFF"/>
          <w:vertAlign w:val="superscript"/>
        </w:rPr>
        <w:t>2</w:t>
      </w:r>
      <w:r>
        <w:rPr>
          <w:rFonts w:hint="eastAsia" w:ascii="宋体" w:hAnsi="宋体" w:eastAsia="宋体" w:cs="宋体"/>
          <w:color w:val="auto"/>
          <w:szCs w:val="24"/>
          <w:highlight w:val="none"/>
          <w:shd w:val="clear" w:color="auto" w:fill="FFFFFF"/>
        </w:rPr>
        <w:t>，厂址为</w:t>
      </w:r>
      <w:r>
        <w:rPr>
          <w:rStyle w:val="25"/>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31ED8C28">
      <w:pPr>
        <w:pStyle w:val="17"/>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2.</w:t>
      </w:r>
      <w:r>
        <w:rPr>
          <w:rStyle w:val="25"/>
          <w:rFonts w:hint="eastAsia" w:ascii="宋体" w:hAnsi="宋体" w:eastAsia="宋体" w:cs="宋体"/>
          <w:i w:val="0"/>
          <w:color w:val="auto"/>
          <w:szCs w:val="24"/>
          <w:highlight w:val="none"/>
          <w:u w:val="single"/>
          <w:shd w:val="clear" w:color="auto" w:fill="FFFFFF"/>
        </w:rPr>
        <w:t>（产品名称2）</w:t>
      </w:r>
      <w:r>
        <w:rPr>
          <w:rFonts w:hint="eastAsia" w:ascii="宋体" w:hAnsi="宋体" w:eastAsia="宋体" w:cs="宋体"/>
          <w:color w:val="auto"/>
          <w:szCs w:val="24"/>
          <w:highlight w:val="none"/>
          <w:shd w:val="clear" w:color="auto" w:fill="FFFFFF"/>
        </w:rPr>
        <w:t>，生产厂为</w:t>
      </w:r>
      <w:r>
        <w:rPr>
          <w:rStyle w:val="25"/>
          <w:rFonts w:hint="eastAsia" w:ascii="宋体" w:hAnsi="宋体" w:eastAsia="宋体" w:cs="宋体"/>
          <w:i w:val="0"/>
          <w:color w:val="auto"/>
          <w:szCs w:val="24"/>
          <w:highlight w:val="none"/>
          <w:u w:val="single"/>
          <w:shd w:val="clear" w:color="auto" w:fill="FFFFFF"/>
        </w:rPr>
        <w:t>（厂名）</w:t>
      </w:r>
      <w:r>
        <w:rPr>
          <w:rFonts w:hint="eastAsia" w:ascii="宋体" w:hAnsi="宋体" w:eastAsia="宋体" w:cs="宋体"/>
          <w:color w:val="auto"/>
          <w:szCs w:val="24"/>
          <w:highlight w:val="none"/>
          <w:shd w:val="clear" w:color="auto" w:fill="FFFFFF"/>
        </w:rPr>
        <w:t>，厂址为</w:t>
      </w:r>
      <w:r>
        <w:rPr>
          <w:rStyle w:val="25"/>
          <w:rFonts w:hint="eastAsia" w:ascii="宋体" w:hAnsi="宋体" w:eastAsia="宋体" w:cs="宋体"/>
          <w:i w:val="0"/>
          <w:color w:val="auto"/>
          <w:szCs w:val="24"/>
          <w:highlight w:val="none"/>
          <w:u w:val="single"/>
          <w:shd w:val="clear" w:color="auto" w:fill="FFFFFF"/>
        </w:rPr>
        <w:t>（生产厂址）</w:t>
      </w:r>
      <w:r>
        <w:rPr>
          <w:rFonts w:hint="eastAsia" w:ascii="宋体" w:hAnsi="宋体" w:eastAsia="宋体" w:cs="宋体"/>
          <w:color w:val="auto"/>
          <w:szCs w:val="24"/>
          <w:highlight w:val="none"/>
          <w:shd w:val="clear" w:color="auto" w:fill="FFFFFF"/>
        </w:rPr>
        <w:t>。</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的中国境内生产的组件成本占比≥</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在中国境内生产。</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的</w:t>
      </w:r>
      <w:r>
        <w:rPr>
          <w:rStyle w:val="25"/>
          <w:rFonts w:hint="eastAsia" w:ascii="宋体" w:hAnsi="宋体" w:eastAsia="宋体" w:cs="宋体"/>
          <w:i w:val="0"/>
          <w:color w:val="auto"/>
          <w:szCs w:val="24"/>
          <w:highlight w:val="none"/>
          <w:u w:val="single"/>
          <w:shd w:val="clear" w:color="auto" w:fill="FFFFFF"/>
        </w:rPr>
        <w:t xml:space="preserve">  /  </w:t>
      </w:r>
      <w:r>
        <w:rPr>
          <w:rFonts w:hint="eastAsia" w:ascii="宋体" w:hAnsi="宋体" w:eastAsia="宋体" w:cs="宋体"/>
          <w:color w:val="auto"/>
          <w:szCs w:val="24"/>
          <w:highlight w:val="none"/>
          <w:shd w:val="clear" w:color="auto" w:fill="FFFFFF"/>
        </w:rPr>
        <w:t>在中国境内完成。</w:t>
      </w:r>
    </w:p>
    <w:p w14:paraId="71907351">
      <w:pPr>
        <w:pStyle w:val="17"/>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w:t>
      </w:r>
    </w:p>
    <w:p w14:paraId="59B25A0A">
      <w:pPr>
        <w:pStyle w:val="17"/>
        <w:widowControl/>
        <w:spacing w:before="0" w:beforeAutospacing="0" w:after="0" w:afterAutospacing="0" w:line="360" w:lineRule="auto"/>
        <w:ind w:firstLine="420"/>
        <w:textAlignment w:val="baseline"/>
        <w:rPr>
          <w:rFonts w:ascii="宋体" w:hAnsi="宋体" w:eastAsia="宋体" w:cs="宋体"/>
          <w:color w:val="auto"/>
          <w:szCs w:val="24"/>
          <w:highlight w:val="none"/>
        </w:rPr>
      </w:pPr>
      <w:r>
        <w:rPr>
          <w:rFonts w:hint="eastAsia" w:ascii="宋体" w:hAnsi="宋体" w:eastAsia="宋体" w:cs="宋体"/>
          <w:color w:val="auto"/>
          <w:szCs w:val="24"/>
          <w:highlight w:val="none"/>
          <w:shd w:val="clear" w:color="auto" w:fill="FFFFFF"/>
        </w:rPr>
        <w:t>本公司（单位）对上述声明内容的真实性负责。如有虚假，愿承担相应法律责任。</w:t>
      </w:r>
    </w:p>
    <w:p w14:paraId="0DEA17DF">
      <w:pPr>
        <w:spacing w:line="360" w:lineRule="auto"/>
        <w:ind w:firstLine="4228" w:firstLineChars="1762"/>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33233788">
      <w:pPr>
        <w:tabs>
          <w:tab w:val="left" w:pos="4620"/>
        </w:tabs>
        <w:spacing w:line="360" w:lineRule="auto"/>
        <w:ind w:firstLine="4252" w:firstLineChars="1772"/>
        <w:rPr>
          <w:rFonts w:ascii="宋体" w:hAnsi="宋体" w:eastAsia="宋体" w:cs="宋体"/>
          <w:color w:val="auto"/>
          <w:sz w:val="24"/>
          <w:szCs w:val="24"/>
          <w:highlight w:val="none"/>
          <w:shd w:val="clear" w:color="auto" w:fill="FFFFFF"/>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283C02E">
      <w:pPr>
        <w:tabs>
          <w:tab w:val="left" w:pos="4620"/>
        </w:tabs>
        <w:spacing w:line="360" w:lineRule="auto"/>
        <w:jc w:val="left"/>
        <w:rPr>
          <w:rFonts w:ascii="宋体" w:hAnsi="宋体" w:eastAsia="宋体"/>
          <w:bCs/>
          <w:color w:val="auto"/>
          <w:szCs w:val="24"/>
          <w:highlight w:val="none"/>
        </w:rPr>
      </w:pPr>
      <w:r>
        <w:rPr>
          <w:rFonts w:hint="eastAsia" w:ascii="宋体" w:hAnsi="宋体" w:eastAsia="宋体" w:cs="Times New Roman"/>
          <w:b/>
          <w:color w:val="auto"/>
          <w:szCs w:val="24"/>
          <w:highlight w:val="none"/>
        </w:rPr>
        <w:t>注：</w:t>
      </w:r>
    </w:p>
    <w:p w14:paraId="5114D191">
      <w:pPr>
        <w:tabs>
          <w:tab w:val="left" w:pos="4620"/>
        </w:tabs>
        <w:spacing w:line="360" w:lineRule="auto"/>
        <w:jc w:val="left"/>
        <w:rPr>
          <w:rFonts w:ascii="宋体" w:hAnsi="宋体" w:eastAsia="宋体"/>
          <w:bCs/>
          <w:color w:val="auto"/>
          <w:szCs w:val="24"/>
          <w:highlight w:val="none"/>
        </w:rPr>
      </w:pPr>
      <w:r>
        <w:rPr>
          <w:rFonts w:hint="eastAsia" w:ascii="宋体" w:hAnsi="宋体" w:eastAsia="宋体"/>
          <w:bCs/>
          <w:color w:val="auto"/>
          <w:szCs w:val="24"/>
          <w:highlight w:val="none"/>
        </w:rPr>
        <w:t>1.产品如有型号，请在“产品名称”栏一并填写。</w:t>
      </w:r>
    </w:p>
    <w:p w14:paraId="3B3A64A6">
      <w:pPr>
        <w:tabs>
          <w:tab w:val="left" w:pos="4620"/>
        </w:tabs>
        <w:spacing w:line="360" w:lineRule="auto"/>
        <w:jc w:val="left"/>
        <w:rPr>
          <w:rFonts w:ascii="宋体" w:hAnsi="宋体" w:eastAsia="宋体"/>
          <w:bCs/>
          <w:color w:val="auto"/>
          <w:szCs w:val="24"/>
          <w:highlight w:val="none"/>
        </w:rPr>
      </w:pPr>
      <w:r>
        <w:rPr>
          <w:rFonts w:hint="eastAsia" w:ascii="宋体" w:hAnsi="宋体" w:eastAsia="宋体"/>
          <w:bCs/>
          <w:color w:val="auto"/>
          <w:szCs w:val="24"/>
          <w:highlight w:val="none"/>
        </w:rPr>
        <w:t>2.生产厂名与厂址应与生产厂营业执照载明的相关信息保持一致。</w:t>
      </w:r>
    </w:p>
    <w:p w14:paraId="19816030">
      <w:pPr>
        <w:tabs>
          <w:tab w:val="left" w:pos="4620"/>
        </w:tabs>
        <w:spacing w:line="360" w:lineRule="auto"/>
        <w:jc w:val="left"/>
        <w:rPr>
          <w:rFonts w:ascii="宋体" w:hAnsi="宋体" w:eastAsia="宋体" w:cs="Times New Roman"/>
          <w:bCs/>
          <w:color w:val="auto"/>
          <w:szCs w:val="24"/>
          <w:highlight w:val="none"/>
        </w:rPr>
      </w:pPr>
      <w:r>
        <w:rPr>
          <w:rFonts w:hint="eastAsia" w:ascii="宋体" w:hAnsi="宋体" w:eastAsia="宋体" w:cs="Times New Roman"/>
          <w:bCs/>
          <w:color w:val="auto"/>
          <w:szCs w:val="24"/>
          <w:highlight w:val="none"/>
        </w:rPr>
        <w:t>3.上述声明函中标注</w:t>
      </w:r>
      <w:r>
        <w:rPr>
          <w:rFonts w:hint="eastAsia" w:ascii="宋体" w:hAnsi="宋体" w:eastAsia="宋体" w:cs="Times New Roman"/>
          <w:bCs/>
          <w:color w:val="auto"/>
          <w:szCs w:val="24"/>
          <w:highlight w:val="none"/>
          <w:u w:val="single"/>
        </w:rPr>
        <w:t xml:space="preserve">  /  </w:t>
      </w:r>
      <w:r>
        <w:rPr>
          <w:rFonts w:hint="eastAsia" w:ascii="宋体" w:hAnsi="宋体" w:eastAsia="宋体" w:cs="Times New Roman"/>
          <w:bCs/>
          <w:color w:val="auto"/>
          <w:szCs w:val="24"/>
          <w:highlight w:val="none"/>
        </w:rPr>
        <w:t>的，无需填写。</w:t>
      </w:r>
    </w:p>
    <w:p w14:paraId="2F2A5335">
      <w:pPr>
        <w:tabs>
          <w:tab w:val="left" w:pos="4620"/>
        </w:tabs>
        <w:spacing w:line="360" w:lineRule="auto"/>
        <w:jc w:val="left"/>
        <w:rPr>
          <w:rFonts w:ascii="宋体" w:hAnsi="宋体" w:eastAsia="宋体" w:cs="Times New Roman"/>
          <w:bCs/>
          <w:color w:val="auto"/>
          <w:szCs w:val="24"/>
          <w:highlight w:val="none"/>
        </w:rPr>
      </w:pPr>
      <w:r>
        <w:rPr>
          <w:rFonts w:hint="eastAsia" w:ascii="宋体" w:hAnsi="宋体" w:eastAsia="宋体" w:cs="Times New Roman"/>
          <w:bCs/>
          <w:color w:val="auto"/>
          <w:szCs w:val="21"/>
          <w:highlight w:val="none"/>
        </w:rPr>
        <w:t>4.投标人应当结合“五、投标分项报价表-货物部分”相关信息进行填写。</w:t>
      </w:r>
    </w:p>
    <w:p w14:paraId="73A07190">
      <w:pPr>
        <w:spacing w:line="360" w:lineRule="auto"/>
        <w:jc w:val="cente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br w:type="page"/>
      </w:r>
    </w:p>
    <w:p w14:paraId="58C53534">
      <w:pPr>
        <w:spacing w:line="360" w:lineRule="auto"/>
        <w:jc w:val="center"/>
        <w:outlineLvl w:val="1"/>
        <w:rPr>
          <w:rFonts w:asciiTheme="minorEastAsia" w:hAnsiTheme="minorEastAsia" w:eastAsiaTheme="minorEastAsia"/>
          <w:b/>
          <w:color w:val="auto"/>
          <w:sz w:val="24"/>
          <w:highlight w:val="none"/>
        </w:rPr>
      </w:pPr>
      <w:bookmarkStart w:id="261" w:name="_Toc9820"/>
      <w:r>
        <w:rPr>
          <w:rFonts w:hint="eastAsia" w:asciiTheme="minorEastAsia" w:hAnsiTheme="minorEastAsia" w:eastAsiaTheme="minorEastAsia"/>
          <w:b/>
          <w:color w:val="auto"/>
          <w:sz w:val="24"/>
          <w:highlight w:val="none"/>
        </w:rPr>
        <w:t>十二、</w:t>
      </w:r>
      <w:bookmarkEnd w:id="255"/>
      <w:bookmarkEnd w:id="256"/>
      <w:bookmarkEnd w:id="257"/>
      <w:r>
        <w:rPr>
          <w:rFonts w:hint="eastAsia" w:asciiTheme="minorEastAsia" w:hAnsiTheme="minorEastAsia" w:eastAsiaTheme="minorEastAsia"/>
          <w:b/>
          <w:color w:val="auto"/>
          <w:sz w:val="24"/>
          <w:highlight w:val="none"/>
        </w:rPr>
        <w:t>诚信履约承诺函</w:t>
      </w:r>
      <w:bookmarkEnd w:id="258"/>
      <w:bookmarkEnd w:id="259"/>
      <w:bookmarkEnd w:id="261"/>
    </w:p>
    <w:p w14:paraId="5DE995B7">
      <w:pPr>
        <w:spacing w:line="360" w:lineRule="auto"/>
        <w:rPr>
          <w:rFonts w:asciiTheme="minorEastAsia" w:hAnsiTheme="minorEastAsia" w:eastAsiaTheme="minorEastAsia"/>
          <w:b/>
          <w:bCs/>
          <w:color w:val="auto"/>
          <w:sz w:val="24"/>
          <w:highlight w:val="none"/>
        </w:rPr>
      </w:pPr>
    </w:p>
    <w:p w14:paraId="4A7B338F">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07A2449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CC48780">
      <w:pPr>
        <w:spacing w:line="360" w:lineRule="auto"/>
        <w:rPr>
          <w:rFonts w:asciiTheme="minorEastAsia" w:hAnsiTheme="minorEastAsia" w:eastAsiaTheme="minorEastAsia"/>
          <w:bCs/>
          <w:color w:val="auto"/>
          <w:sz w:val="24"/>
          <w:highlight w:val="none"/>
        </w:rPr>
      </w:pPr>
    </w:p>
    <w:p w14:paraId="5C404290">
      <w:pPr>
        <w:spacing w:line="360" w:lineRule="auto"/>
        <w:rPr>
          <w:rFonts w:asciiTheme="minorEastAsia" w:hAnsiTheme="minorEastAsia" w:eastAsiaTheme="minorEastAsia"/>
          <w:bCs/>
          <w:color w:val="auto"/>
          <w:sz w:val="24"/>
          <w:highlight w:val="none"/>
        </w:rPr>
      </w:pPr>
    </w:p>
    <w:p w14:paraId="31FBCB4D">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1BBB8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DBB82A2">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60"/>
    <w:p w14:paraId="1B7E2883">
      <w:pPr>
        <w:spacing w:line="360" w:lineRule="auto"/>
        <w:jc w:val="center"/>
        <w:outlineLvl w:val="1"/>
        <w:rPr>
          <w:rFonts w:asciiTheme="minorEastAsia" w:hAnsiTheme="minorEastAsia" w:eastAsiaTheme="minorEastAsia"/>
          <w:b/>
          <w:color w:val="auto"/>
          <w:sz w:val="24"/>
          <w:highlight w:val="none"/>
        </w:rPr>
      </w:pPr>
      <w:bookmarkStart w:id="262" w:name="_Toc13477"/>
      <w:bookmarkStart w:id="263" w:name="_Toc32633"/>
      <w:bookmarkStart w:id="264" w:name="_Toc31807"/>
      <w:r>
        <w:rPr>
          <w:rFonts w:hint="eastAsia" w:asciiTheme="minorEastAsia" w:hAnsiTheme="minorEastAsia" w:eastAsiaTheme="minorEastAsia"/>
          <w:b/>
          <w:color w:val="auto"/>
          <w:sz w:val="24"/>
          <w:highlight w:val="none"/>
        </w:rPr>
        <w:t>十三、其他相关证明材料</w:t>
      </w:r>
      <w:bookmarkEnd w:id="262"/>
      <w:bookmarkEnd w:id="263"/>
      <w:bookmarkEnd w:id="264"/>
    </w:p>
    <w:p w14:paraId="75407A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spacing w:line="360" w:lineRule="auto"/>
        <w:ind w:firstLine="480" w:firstLineChars="200"/>
        <w:rPr>
          <w:rFonts w:asciiTheme="minorEastAsia" w:hAnsiTheme="minorEastAsia" w:eastAsiaTheme="minorEastAsia"/>
          <w:color w:val="auto"/>
          <w:sz w:val="24"/>
          <w:highlight w:val="none"/>
        </w:rPr>
      </w:pPr>
    </w:p>
    <w:p w14:paraId="20C34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E56F64A">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spacing w:line="360" w:lineRule="auto"/>
        <w:jc w:val="center"/>
        <w:outlineLvl w:val="0"/>
        <w:rPr>
          <w:rFonts w:ascii="宋体" w:hAnsi="宋体" w:eastAsia="宋体"/>
          <w:b/>
          <w:bCs/>
          <w:color w:val="auto"/>
          <w:sz w:val="28"/>
          <w:highlight w:val="none"/>
        </w:rPr>
      </w:pPr>
      <w:bookmarkStart w:id="265" w:name="_Toc6435"/>
      <w:bookmarkStart w:id="266" w:name="_Toc24076"/>
      <w:bookmarkStart w:id="267" w:name="_Toc13005"/>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65"/>
      <w:bookmarkEnd w:id="266"/>
      <w:bookmarkEnd w:id="267"/>
    </w:p>
    <w:p w14:paraId="2F844E93">
      <w:pPr>
        <w:spacing w:line="360" w:lineRule="auto"/>
        <w:jc w:val="center"/>
        <w:outlineLvl w:val="1"/>
        <w:rPr>
          <w:rFonts w:ascii="仿宋" w:hAnsi="仿宋" w:eastAsia="仿宋" w:cs="仿宋"/>
          <w:b/>
          <w:bCs/>
          <w:color w:val="auto"/>
          <w:sz w:val="32"/>
          <w:szCs w:val="44"/>
          <w:highlight w:val="none"/>
        </w:rPr>
      </w:pPr>
      <w:bookmarkStart w:id="268" w:name="_Toc1023"/>
      <w:bookmarkStart w:id="269" w:name="_Toc6955"/>
      <w:bookmarkStart w:id="270" w:name="_Toc27159"/>
      <w:r>
        <w:rPr>
          <w:rFonts w:hint="eastAsia" w:ascii="仿宋" w:hAnsi="仿宋" w:eastAsia="仿宋" w:cs="仿宋"/>
          <w:b/>
          <w:bCs/>
          <w:color w:val="auto"/>
          <w:sz w:val="32"/>
          <w:szCs w:val="44"/>
          <w:highlight w:val="none"/>
        </w:rPr>
        <w:t>询问函范本</w:t>
      </w:r>
      <w:bookmarkEnd w:id="268"/>
      <w:bookmarkEnd w:id="269"/>
      <w:bookmarkEnd w:id="270"/>
    </w:p>
    <w:p w14:paraId="4334B616">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7F26864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271" w:name="_Toc13899"/>
      <w:r>
        <w:rPr>
          <w:rFonts w:hint="eastAsia" w:cs="仿宋" w:asciiTheme="minorEastAsia" w:hAnsiTheme="minorEastAsia" w:eastAsiaTheme="minorEastAsia"/>
          <w:color w:val="auto"/>
          <w:sz w:val="24"/>
          <w:szCs w:val="24"/>
          <w:highlight w:val="none"/>
        </w:rPr>
        <w:t>一、(事项一)</w:t>
      </w:r>
      <w:bookmarkEnd w:id="271"/>
    </w:p>
    <w:p w14:paraId="348DB46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272" w:name="_Toc3352"/>
      <w:r>
        <w:rPr>
          <w:rFonts w:hint="eastAsia" w:cs="仿宋" w:asciiTheme="minorEastAsia" w:hAnsiTheme="minorEastAsia" w:eastAsiaTheme="minorEastAsia"/>
          <w:color w:val="auto"/>
          <w:sz w:val="24"/>
          <w:szCs w:val="24"/>
          <w:highlight w:val="none"/>
        </w:rPr>
        <w:t>二、(事项二)</w:t>
      </w:r>
      <w:bookmarkEnd w:id="272"/>
    </w:p>
    <w:p w14:paraId="571E276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84328C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D84F24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AA6D9E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324B498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jc w:val="center"/>
        <w:outlineLvl w:val="1"/>
        <w:rPr>
          <w:rFonts w:ascii="仿宋" w:hAnsi="仿宋" w:eastAsia="仿宋" w:cs="仿宋"/>
          <w:b/>
          <w:bCs/>
          <w:color w:val="auto"/>
          <w:sz w:val="32"/>
          <w:szCs w:val="44"/>
          <w:highlight w:val="none"/>
        </w:rPr>
      </w:pPr>
      <w:bookmarkStart w:id="273" w:name="_Toc6490"/>
      <w:bookmarkStart w:id="274" w:name="_Toc857"/>
      <w:bookmarkStart w:id="275" w:name="_Toc1575"/>
      <w:r>
        <w:rPr>
          <w:rFonts w:hint="eastAsia" w:ascii="仿宋" w:hAnsi="仿宋" w:eastAsia="仿宋" w:cs="仿宋"/>
          <w:b/>
          <w:bCs/>
          <w:color w:val="auto"/>
          <w:sz w:val="32"/>
          <w:szCs w:val="44"/>
          <w:highlight w:val="none"/>
        </w:rPr>
        <w:t>质疑函范本</w:t>
      </w:r>
      <w:bookmarkEnd w:id="273"/>
      <w:bookmarkEnd w:id="274"/>
      <w:bookmarkEnd w:id="275"/>
    </w:p>
    <w:p w14:paraId="0719FFBD">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276" w:name="_Toc21381"/>
      <w:r>
        <w:rPr>
          <w:rFonts w:hint="eastAsia" w:cs="仿宋" w:asciiTheme="minorEastAsia" w:hAnsiTheme="minorEastAsia" w:eastAsiaTheme="minorEastAsia"/>
          <w:b/>
          <w:bCs/>
          <w:color w:val="auto"/>
          <w:sz w:val="24"/>
          <w:szCs w:val="24"/>
          <w:highlight w:val="none"/>
        </w:rPr>
        <w:t>一、质疑供应商基本信息</w:t>
      </w:r>
      <w:bookmarkEnd w:id="276"/>
    </w:p>
    <w:p w14:paraId="6BFD0B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010B6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D406E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D9B979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1486CBE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4DF0E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CF354DF">
      <w:pPr>
        <w:adjustRightInd w:val="0"/>
        <w:snapToGrid w:val="0"/>
        <w:spacing w:line="360" w:lineRule="auto"/>
        <w:rPr>
          <w:rFonts w:cs="仿宋" w:asciiTheme="minorEastAsia" w:hAnsiTheme="minorEastAsia" w:eastAsiaTheme="minorEastAsia"/>
          <w:b/>
          <w:bCs/>
          <w:color w:val="auto"/>
          <w:sz w:val="24"/>
          <w:szCs w:val="24"/>
          <w:highlight w:val="none"/>
        </w:rPr>
      </w:pPr>
      <w:bookmarkStart w:id="277" w:name="_Toc28415"/>
      <w:r>
        <w:rPr>
          <w:rFonts w:hint="eastAsia" w:cs="仿宋" w:asciiTheme="minorEastAsia" w:hAnsiTheme="minorEastAsia" w:eastAsiaTheme="minorEastAsia"/>
          <w:b/>
          <w:bCs/>
          <w:color w:val="auto"/>
          <w:sz w:val="24"/>
          <w:szCs w:val="24"/>
          <w:highlight w:val="none"/>
        </w:rPr>
        <w:t>二、质疑项目基本情况</w:t>
      </w:r>
      <w:bookmarkEnd w:id="277"/>
    </w:p>
    <w:p w14:paraId="366688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6D8313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9E4E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1AC8E22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D903C5D">
      <w:pPr>
        <w:adjustRightInd w:val="0"/>
        <w:snapToGrid w:val="0"/>
        <w:spacing w:line="360" w:lineRule="auto"/>
        <w:rPr>
          <w:rFonts w:cs="仿宋" w:asciiTheme="minorEastAsia" w:hAnsiTheme="minorEastAsia" w:eastAsiaTheme="minorEastAsia"/>
          <w:b/>
          <w:bCs/>
          <w:color w:val="auto"/>
          <w:sz w:val="24"/>
          <w:szCs w:val="24"/>
          <w:highlight w:val="none"/>
        </w:rPr>
      </w:pPr>
      <w:bookmarkStart w:id="278" w:name="_Toc19014"/>
      <w:r>
        <w:rPr>
          <w:rFonts w:hint="eastAsia" w:cs="仿宋" w:asciiTheme="minorEastAsia" w:hAnsiTheme="minorEastAsia" w:eastAsiaTheme="minorEastAsia"/>
          <w:b/>
          <w:bCs/>
          <w:color w:val="auto"/>
          <w:sz w:val="24"/>
          <w:szCs w:val="24"/>
          <w:highlight w:val="none"/>
        </w:rPr>
        <w:t>三、质疑事项具体内容</w:t>
      </w:r>
      <w:bookmarkEnd w:id="278"/>
    </w:p>
    <w:p w14:paraId="3FBD369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63668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1E255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E51E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6EBA8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C6F5FD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adjustRightInd w:val="0"/>
        <w:snapToGrid w:val="0"/>
        <w:spacing w:line="360" w:lineRule="auto"/>
        <w:rPr>
          <w:rFonts w:cs="仿宋" w:asciiTheme="minorEastAsia" w:hAnsiTheme="minorEastAsia" w:eastAsiaTheme="minorEastAsia"/>
          <w:b/>
          <w:bCs/>
          <w:color w:val="auto"/>
          <w:sz w:val="24"/>
          <w:szCs w:val="24"/>
          <w:highlight w:val="none"/>
        </w:rPr>
      </w:pPr>
      <w:bookmarkStart w:id="279" w:name="_Toc17919"/>
      <w:r>
        <w:rPr>
          <w:rFonts w:hint="eastAsia" w:cs="仿宋" w:asciiTheme="minorEastAsia" w:hAnsiTheme="minorEastAsia" w:eastAsiaTheme="minorEastAsia"/>
          <w:b/>
          <w:bCs/>
          <w:color w:val="auto"/>
          <w:sz w:val="24"/>
          <w:szCs w:val="24"/>
          <w:highlight w:val="none"/>
        </w:rPr>
        <w:t>四、与质疑事项相关的质疑请求</w:t>
      </w:r>
      <w:bookmarkEnd w:id="279"/>
    </w:p>
    <w:p w14:paraId="3D63D03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6660B01">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BA687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A8AB48">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rPr>
          <w:rFonts w:asciiTheme="minorEastAsia" w:hAnsiTheme="minorEastAsia" w:eastAsiaTheme="minorEastAsia"/>
          <w:b/>
          <w:color w:val="auto"/>
          <w:sz w:val="28"/>
          <w:szCs w:val="32"/>
          <w:highlight w:val="none"/>
        </w:rPr>
      </w:pPr>
      <w:bookmarkStart w:id="280" w:name="_Toc9754"/>
      <w:bookmarkStart w:id="281" w:name="_Toc15013"/>
      <w:bookmarkStart w:id="282" w:name="_Toc22239"/>
      <w:r>
        <w:rPr>
          <w:rFonts w:hint="eastAsia" w:asciiTheme="minorEastAsia" w:hAnsiTheme="minorEastAsia" w:eastAsiaTheme="minorEastAsia"/>
          <w:b/>
          <w:color w:val="auto"/>
          <w:sz w:val="28"/>
          <w:szCs w:val="32"/>
          <w:highlight w:val="none"/>
        </w:rPr>
        <w:t>质疑函制作说明：</w:t>
      </w:r>
      <w:bookmarkEnd w:id="280"/>
      <w:bookmarkEnd w:id="281"/>
      <w:bookmarkEnd w:id="282"/>
    </w:p>
    <w:p w14:paraId="41BC9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3A610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3"/>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311F5">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D9E32">
                          <w:pPr>
                            <w:pStyle w:val="13"/>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96D9E32">
                    <w:pPr>
                      <w:pStyle w:val="13"/>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21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3"/>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1C262AB">
                    <w:pPr>
                      <w:pStyle w:val="13"/>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ascii="宋体" w:hAnsi="宋体" w:eastAsia="宋体" w:cs="宋体"/>
                        <w:sz w:val="21"/>
                        <w:szCs w:val="21"/>
                      </w:rPr>
                      <w:t>66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4"/>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4"/>
      <w:jc w:val="left"/>
    </w:pPr>
    <w:r>
      <w:rPr>
        <w:rFonts w:hint="eastAsia" w:asciiTheme="minorEastAsia" w:hAnsiTheme="minorEastAsia" w:eastAsiaTheme="minorEastAsia"/>
      </w:rPr>
      <w:t>安徽省政府采购项目公开招标文件示范文本（服务类）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792DB"/>
    <w:multiLevelType w:val="singleLevel"/>
    <w:tmpl w:val="A7E792DB"/>
    <w:lvl w:ilvl="0" w:tentative="0">
      <w:start w:val="3"/>
      <w:numFmt w:val="decimal"/>
      <w:lvlText w:val="%1."/>
      <w:lvlJc w:val="left"/>
      <w:pPr>
        <w:tabs>
          <w:tab w:val="left" w:pos="312"/>
        </w:tabs>
      </w:pPr>
    </w:lvl>
  </w:abstractNum>
  <w:abstractNum w:abstractNumId="1">
    <w:nsid w:val="2A064A37"/>
    <w:multiLevelType w:val="singleLevel"/>
    <w:tmpl w:val="2A064A37"/>
    <w:lvl w:ilvl="0" w:tentative="0">
      <w:start w:val="3"/>
      <w:numFmt w:val="chineseCounting"/>
      <w:suff w:val="space"/>
      <w:lvlText w:val="第%1章"/>
      <w:lvlJc w:val="left"/>
      <w:rPr>
        <w:rFonts w:hint="eastAsia"/>
      </w:rPr>
    </w:lvl>
  </w:abstractNum>
  <w:abstractNum w:abstractNumId="2">
    <w:nsid w:val="5910EF4A"/>
    <w:multiLevelType w:val="singleLevel"/>
    <w:tmpl w:val="5910EF4A"/>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170C8"/>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2586"/>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C64E8"/>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33A6"/>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D72EA"/>
    <w:rsid w:val="00FE13AD"/>
    <w:rsid w:val="00FE348D"/>
    <w:rsid w:val="00FE51C8"/>
    <w:rsid w:val="00FE53B6"/>
    <w:rsid w:val="00FE72A6"/>
    <w:rsid w:val="00FF0ABF"/>
    <w:rsid w:val="00FF0DA7"/>
    <w:rsid w:val="00FF44E0"/>
    <w:rsid w:val="00FF4CB6"/>
    <w:rsid w:val="00FF5834"/>
    <w:rsid w:val="00FF6C72"/>
    <w:rsid w:val="0214602E"/>
    <w:rsid w:val="03486B27"/>
    <w:rsid w:val="03795BF7"/>
    <w:rsid w:val="03EE3EEF"/>
    <w:rsid w:val="040A094E"/>
    <w:rsid w:val="04AD5310"/>
    <w:rsid w:val="04E36C96"/>
    <w:rsid w:val="056800F4"/>
    <w:rsid w:val="056F201D"/>
    <w:rsid w:val="05B664D4"/>
    <w:rsid w:val="06B331CE"/>
    <w:rsid w:val="07076C01"/>
    <w:rsid w:val="071C12AC"/>
    <w:rsid w:val="074E231E"/>
    <w:rsid w:val="07A174CB"/>
    <w:rsid w:val="07A934B3"/>
    <w:rsid w:val="07EF0236"/>
    <w:rsid w:val="08B15E54"/>
    <w:rsid w:val="0980799C"/>
    <w:rsid w:val="0A0F6376"/>
    <w:rsid w:val="0A353CEA"/>
    <w:rsid w:val="0A6A18DB"/>
    <w:rsid w:val="0AEF3828"/>
    <w:rsid w:val="0B970478"/>
    <w:rsid w:val="0BBB665B"/>
    <w:rsid w:val="0CB7664E"/>
    <w:rsid w:val="0E816EC5"/>
    <w:rsid w:val="0EEA6FC1"/>
    <w:rsid w:val="0F954485"/>
    <w:rsid w:val="0FBF344F"/>
    <w:rsid w:val="10230E97"/>
    <w:rsid w:val="10505F32"/>
    <w:rsid w:val="105A27E6"/>
    <w:rsid w:val="119B0711"/>
    <w:rsid w:val="11AF1936"/>
    <w:rsid w:val="11B524F0"/>
    <w:rsid w:val="12197477"/>
    <w:rsid w:val="123F24B6"/>
    <w:rsid w:val="1355733F"/>
    <w:rsid w:val="13587E2C"/>
    <w:rsid w:val="13694312"/>
    <w:rsid w:val="1466407E"/>
    <w:rsid w:val="14834E28"/>
    <w:rsid w:val="148E7D65"/>
    <w:rsid w:val="14B167FF"/>
    <w:rsid w:val="151D4243"/>
    <w:rsid w:val="15231BF9"/>
    <w:rsid w:val="179F5278"/>
    <w:rsid w:val="199C51C6"/>
    <w:rsid w:val="1A3B68AA"/>
    <w:rsid w:val="1A3E1C1E"/>
    <w:rsid w:val="1A66082C"/>
    <w:rsid w:val="1C141836"/>
    <w:rsid w:val="1E6B6A14"/>
    <w:rsid w:val="20550D9A"/>
    <w:rsid w:val="20CA357E"/>
    <w:rsid w:val="21714B53"/>
    <w:rsid w:val="218E2416"/>
    <w:rsid w:val="226915FE"/>
    <w:rsid w:val="22E14C32"/>
    <w:rsid w:val="245060A9"/>
    <w:rsid w:val="24B97929"/>
    <w:rsid w:val="2520252D"/>
    <w:rsid w:val="26163BC1"/>
    <w:rsid w:val="262221C3"/>
    <w:rsid w:val="27C1173F"/>
    <w:rsid w:val="285F40CA"/>
    <w:rsid w:val="28C01ECB"/>
    <w:rsid w:val="28EC3ECC"/>
    <w:rsid w:val="29BF71E3"/>
    <w:rsid w:val="2A127B63"/>
    <w:rsid w:val="2AAA4765"/>
    <w:rsid w:val="2AC21606"/>
    <w:rsid w:val="2AC375D4"/>
    <w:rsid w:val="2AD30362"/>
    <w:rsid w:val="2AF63C5E"/>
    <w:rsid w:val="2B7E7608"/>
    <w:rsid w:val="2B7F04E9"/>
    <w:rsid w:val="2C305555"/>
    <w:rsid w:val="2C9A21B9"/>
    <w:rsid w:val="2CE20523"/>
    <w:rsid w:val="2D496D68"/>
    <w:rsid w:val="2D4A5F45"/>
    <w:rsid w:val="2E206AEC"/>
    <w:rsid w:val="2E2C36E3"/>
    <w:rsid w:val="2E6672CB"/>
    <w:rsid w:val="2E7A48DE"/>
    <w:rsid w:val="2EDC3ED8"/>
    <w:rsid w:val="2F2D046C"/>
    <w:rsid w:val="2F6351B4"/>
    <w:rsid w:val="2FCF199E"/>
    <w:rsid w:val="30483E83"/>
    <w:rsid w:val="30AA0E97"/>
    <w:rsid w:val="30B300AC"/>
    <w:rsid w:val="30BC44EE"/>
    <w:rsid w:val="323A6D7D"/>
    <w:rsid w:val="334E4CD8"/>
    <w:rsid w:val="33865643"/>
    <w:rsid w:val="33D6148D"/>
    <w:rsid w:val="343C0775"/>
    <w:rsid w:val="34AA76A9"/>
    <w:rsid w:val="356C50EC"/>
    <w:rsid w:val="35B965BB"/>
    <w:rsid w:val="361108CD"/>
    <w:rsid w:val="3700166C"/>
    <w:rsid w:val="3727617F"/>
    <w:rsid w:val="375969FE"/>
    <w:rsid w:val="38694EE9"/>
    <w:rsid w:val="393C6E91"/>
    <w:rsid w:val="3A192D6D"/>
    <w:rsid w:val="3B365CC9"/>
    <w:rsid w:val="3B9A7B88"/>
    <w:rsid w:val="3BC114FF"/>
    <w:rsid w:val="3C003C3E"/>
    <w:rsid w:val="3C2660C6"/>
    <w:rsid w:val="3D2C7AC8"/>
    <w:rsid w:val="3D855D12"/>
    <w:rsid w:val="3D8B42FF"/>
    <w:rsid w:val="3D8C02DD"/>
    <w:rsid w:val="3DC20089"/>
    <w:rsid w:val="3DF36A6E"/>
    <w:rsid w:val="3F1138E1"/>
    <w:rsid w:val="3F792F1E"/>
    <w:rsid w:val="40515C24"/>
    <w:rsid w:val="40824826"/>
    <w:rsid w:val="40E63923"/>
    <w:rsid w:val="4140333C"/>
    <w:rsid w:val="41A03D74"/>
    <w:rsid w:val="41AA69A0"/>
    <w:rsid w:val="420E6F2F"/>
    <w:rsid w:val="42B443F4"/>
    <w:rsid w:val="42F43FD4"/>
    <w:rsid w:val="43A91E5B"/>
    <w:rsid w:val="44BC3308"/>
    <w:rsid w:val="45BA48DB"/>
    <w:rsid w:val="45DF1728"/>
    <w:rsid w:val="45F60D4E"/>
    <w:rsid w:val="463A3650"/>
    <w:rsid w:val="469100E0"/>
    <w:rsid w:val="469F0116"/>
    <w:rsid w:val="46CC3DD3"/>
    <w:rsid w:val="47171988"/>
    <w:rsid w:val="475259B7"/>
    <w:rsid w:val="48831CF9"/>
    <w:rsid w:val="49A165B8"/>
    <w:rsid w:val="49B1408D"/>
    <w:rsid w:val="4A7D4FD2"/>
    <w:rsid w:val="4A913C9A"/>
    <w:rsid w:val="4AE22D2F"/>
    <w:rsid w:val="4B1F70AC"/>
    <w:rsid w:val="4B240F94"/>
    <w:rsid w:val="4B386AE5"/>
    <w:rsid w:val="4BA75287"/>
    <w:rsid w:val="4BED70D6"/>
    <w:rsid w:val="4C3C565C"/>
    <w:rsid w:val="4CCC79C7"/>
    <w:rsid w:val="4D7555C7"/>
    <w:rsid w:val="4E8005CA"/>
    <w:rsid w:val="4EAE6DA0"/>
    <w:rsid w:val="4F14265B"/>
    <w:rsid w:val="4FD037EF"/>
    <w:rsid w:val="5016514B"/>
    <w:rsid w:val="502857C7"/>
    <w:rsid w:val="502A0240"/>
    <w:rsid w:val="50476D3D"/>
    <w:rsid w:val="50B1385B"/>
    <w:rsid w:val="50F72CFD"/>
    <w:rsid w:val="51555837"/>
    <w:rsid w:val="51870AAC"/>
    <w:rsid w:val="51CB1C78"/>
    <w:rsid w:val="51FD6A51"/>
    <w:rsid w:val="526B680A"/>
    <w:rsid w:val="52C90BE7"/>
    <w:rsid w:val="53150D15"/>
    <w:rsid w:val="5352083E"/>
    <w:rsid w:val="53C51418"/>
    <w:rsid w:val="541A5D30"/>
    <w:rsid w:val="54F24195"/>
    <w:rsid w:val="553E632F"/>
    <w:rsid w:val="55F068CD"/>
    <w:rsid w:val="566C3136"/>
    <w:rsid w:val="568D04F2"/>
    <w:rsid w:val="56D36FB6"/>
    <w:rsid w:val="588D6DD7"/>
    <w:rsid w:val="591006A9"/>
    <w:rsid w:val="591F781C"/>
    <w:rsid w:val="59856E8F"/>
    <w:rsid w:val="5A526582"/>
    <w:rsid w:val="5A5F5C77"/>
    <w:rsid w:val="5A626B33"/>
    <w:rsid w:val="5A933291"/>
    <w:rsid w:val="5BBE39CD"/>
    <w:rsid w:val="5BC11A60"/>
    <w:rsid w:val="5C7A4D54"/>
    <w:rsid w:val="5CD23B73"/>
    <w:rsid w:val="5E9640DD"/>
    <w:rsid w:val="5ECF36AB"/>
    <w:rsid w:val="5ED312D9"/>
    <w:rsid w:val="5F127819"/>
    <w:rsid w:val="5F63752A"/>
    <w:rsid w:val="60F1503F"/>
    <w:rsid w:val="61025188"/>
    <w:rsid w:val="61057D5F"/>
    <w:rsid w:val="614D4977"/>
    <w:rsid w:val="629266F3"/>
    <w:rsid w:val="62A52B40"/>
    <w:rsid w:val="634A2F00"/>
    <w:rsid w:val="63A5057B"/>
    <w:rsid w:val="63C60FC0"/>
    <w:rsid w:val="64BA3D7A"/>
    <w:rsid w:val="64F179BC"/>
    <w:rsid w:val="6598698C"/>
    <w:rsid w:val="65C94C55"/>
    <w:rsid w:val="665704D3"/>
    <w:rsid w:val="66B477F6"/>
    <w:rsid w:val="673148E2"/>
    <w:rsid w:val="675445CD"/>
    <w:rsid w:val="67B04461"/>
    <w:rsid w:val="67C065A4"/>
    <w:rsid w:val="67D359C9"/>
    <w:rsid w:val="68F760C0"/>
    <w:rsid w:val="68FE36DD"/>
    <w:rsid w:val="694E60FC"/>
    <w:rsid w:val="69EF4042"/>
    <w:rsid w:val="6C26132F"/>
    <w:rsid w:val="6C410A63"/>
    <w:rsid w:val="6C675CE6"/>
    <w:rsid w:val="6CCA1F28"/>
    <w:rsid w:val="6CEF35AF"/>
    <w:rsid w:val="6D093C1F"/>
    <w:rsid w:val="6D4F4321"/>
    <w:rsid w:val="6D8F4B19"/>
    <w:rsid w:val="6DEC3D19"/>
    <w:rsid w:val="6DFF7360"/>
    <w:rsid w:val="6E7A5F73"/>
    <w:rsid w:val="6ED924EF"/>
    <w:rsid w:val="6EDF562C"/>
    <w:rsid w:val="6F2E3798"/>
    <w:rsid w:val="6F537318"/>
    <w:rsid w:val="6FD74228"/>
    <w:rsid w:val="70FE5EDF"/>
    <w:rsid w:val="71633091"/>
    <w:rsid w:val="721F5FD8"/>
    <w:rsid w:val="72590995"/>
    <w:rsid w:val="73081CA5"/>
    <w:rsid w:val="73483525"/>
    <w:rsid w:val="74545B7C"/>
    <w:rsid w:val="7487762D"/>
    <w:rsid w:val="75385498"/>
    <w:rsid w:val="769962BD"/>
    <w:rsid w:val="76BC207F"/>
    <w:rsid w:val="76EB4904"/>
    <w:rsid w:val="76EF1037"/>
    <w:rsid w:val="777378F5"/>
    <w:rsid w:val="777A2D3C"/>
    <w:rsid w:val="78537BEA"/>
    <w:rsid w:val="79074B81"/>
    <w:rsid w:val="794F0939"/>
    <w:rsid w:val="795026E0"/>
    <w:rsid w:val="79AF0FCA"/>
    <w:rsid w:val="79EF2560"/>
    <w:rsid w:val="7AF9279C"/>
    <w:rsid w:val="7BAC4AE8"/>
    <w:rsid w:val="7CC51958"/>
    <w:rsid w:val="7CEC40B6"/>
    <w:rsid w:val="7D407BDD"/>
    <w:rsid w:val="7E2936C3"/>
    <w:rsid w:val="7E2E365C"/>
    <w:rsid w:val="7E64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微软简标宋" w:hAnsi="@微软简标宋" w:eastAsia="@微软简标宋" w:cs="@微软简标宋"/>
      <w:szCs w:val="24"/>
      <w:lang w:val="zh-CN"/>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5"/>
    <w:autoRedefine/>
    <w:qFormat/>
    <w:uiPriority w:val="0"/>
    <w:pPr>
      <w:jc w:val="left"/>
    </w:pPr>
    <w:rPr>
      <w:rFonts w:ascii="Arial" w:hAnsi="Arial" w:eastAsia="黑体" w:cs="Arial"/>
    </w:rPr>
  </w:style>
  <w:style w:type="paragraph" w:styleId="9">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5"/>
    <w:autoRedefine/>
    <w:qFormat/>
    <w:uiPriority w:val="99"/>
    <w:rPr>
      <w:rFonts w:ascii="宋体" w:hAnsi="Courier New" w:eastAsiaTheme="minorEastAsia" w:cstheme="minorBidi"/>
      <w:szCs w:val="22"/>
    </w:rPr>
  </w:style>
  <w:style w:type="paragraph" w:styleId="11">
    <w:name w:val="Date"/>
    <w:basedOn w:val="1"/>
    <w:next w:val="1"/>
    <w:link w:val="42"/>
    <w:autoRedefine/>
    <w:qFormat/>
    <w:uiPriority w:val="0"/>
    <w:rPr>
      <w:rFonts w:ascii="Arial" w:hAnsi="Arial" w:eastAsia="宋体" w:cs="Arial"/>
      <w:b/>
      <w:sz w:val="28"/>
    </w:rPr>
  </w:style>
  <w:style w:type="paragraph" w:styleId="12">
    <w:name w:val="Balloon Text"/>
    <w:basedOn w:val="1"/>
    <w:link w:val="29"/>
    <w:autoRedefine/>
    <w:semiHidden/>
    <w:unhideWhenUsed/>
    <w:qFormat/>
    <w:uiPriority w:val="99"/>
    <w:rPr>
      <w:sz w:val="18"/>
      <w:szCs w:val="18"/>
    </w:rPr>
  </w:style>
  <w:style w:type="paragraph" w:styleId="13">
    <w:name w:val="footer"/>
    <w:basedOn w:val="1"/>
    <w:link w:val="34"/>
    <w:autoRedefine/>
    <w:unhideWhenUsed/>
    <w:qFormat/>
    <w:uiPriority w:val="99"/>
    <w:pPr>
      <w:tabs>
        <w:tab w:val="center" w:pos="4153"/>
        <w:tab w:val="right" w:pos="8306"/>
      </w:tabs>
      <w:snapToGrid w:val="0"/>
      <w:jc w:val="left"/>
    </w:pPr>
    <w:rPr>
      <w:sz w:val="18"/>
      <w:szCs w:val="18"/>
    </w:rPr>
  </w:style>
  <w:style w:type="paragraph" w:styleId="1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7">
    <w:name w:val="Normal (Web)"/>
    <w:basedOn w:val="1"/>
    <w:autoRedefine/>
    <w:qFormat/>
    <w:uiPriority w:val="0"/>
    <w:pPr>
      <w:spacing w:before="100" w:beforeAutospacing="1" w:after="100" w:afterAutospacing="1"/>
      <w:jc w:val="left"/>
    </w:pPr>
    <w:rPr>
      <w:rFonts w:cs="Times New Roman"/>
      <w:kern w:val="0"/>
      <w:sz w:val="24"/>
    </w:rPr>
  </w:style>
  <w:style w:type="paragraph" w:styleId="18">
    <w:name w:val="index 1"/>
    <w:basedOn w:val="1"/>
    <w:next w:val="1"/>
    <w:autoRedefine/>
    <w:qFormat/>
    <w:uiPriority w:val="0"/>
    <w:pPr>
      <w:jc w:val="center"/>
    </w:pPr>
    <w:rPr>
      <w:rFonts w:ascii="Arial" w:hAnsi="Arial" w:eastAsia="Arial" w:cs="Arial"/>
      <w:b/>
      <w:bCs/>
      <w:sz w:val="28"/>
    </w:rPr>
  </w:style>
  <w:style w:type="paragraph" w:styleId="19">
    <w:name w:val="annotation subject"/>
    <w:basedOn w:val="8"/>
    <w:next w:val="8"/>
    <w:link w:val="56"/>
    <w:autoRedefine/>
    <w:semiHidden/>
    <w:unhideWhenUsed/>
    <w:qFormat/>
    <w:uiPriority w:val="99"/>
    <w:rPr>
      <w:rFonts w:ascii="@仿宋_GB2312" w:hAnsi="@仿宋_GB2312" w:eastAsia="@仿宋_GB2312" w:cs="@仿宋_GB2312"/>
      <w:b/>
      <w:bCs/>
    </w:rPr>
  </w:style>
  <w:style w:type="paragraph" w:styleId="20">
    <w:name w:val="Body Text First Indent"/>
    <w:basedOn w:val="2"/>
    <w:autoRedefine/>
    <w:unhideWhenUsed/>
    <w:qFormat/>
    <w:uiPriority w:val="99"/>
    <w:pPr>
      <w:ind w:firstLine="420" w:firstLineChars="100"/>
    </w:pPr>
  </w:style>
  <w:style w:type="table" w:styleId="22">
    <w:name w:val="Table Grid"/>
    <w:basedOn w:val="21"/>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autoRedefine/>
    <w:qFormat/>
    <w:uiPriority w:val="0"/>
    <w:rPr>
      <w:b/>
      <w:bCs/>
    </w:rPr>
  </w:style>
  <w:style w:type="character" w:styleId="25">
    <w:name w:val="Emphasis"/>
    <w:basedOn w:val="23"/>
    <w:qFormat/>
    <w:uiPriority w:val="0"/>
    <w:rPr>
      <w:i/>
    </w:rPr>
  </w:style>
  <w:style w:type="character" w:styleId="26">
    <w:name w:val="Hyperlink"/>
    <w:basedOn w:val="23"/>
    <w:autoRedefine/>
    <w:unhideWhenUsed/>
    <w:qFormat/>
    <w:uiPriority w:val="99"/>
    <w:rPr>
      <w:color w:val="0000FF" w:themeColor="hyperlink"/>
      <w:u w:val="single"/>
      <w14:textFill>
        <w14:solidFill>
          <w14:schemeClr w14:val="hlink"/>
        </w14:solidFill>
      </w14:textFill>
    </w:rPr>
  </w:style>
  <w:style w:type="character" w:styleId="27">
    <w:name w:val="annotation reference"/>
    <w:basedOn w:val="23"/>
    <w:autoRedefine/>
    <w:semiHidden/>
    <w:unhideWhenUsed/>
    <w:qFormat/>
    <w:uiPriority w:val="99"/>
    <w:rPr>
      <w:sz w:val="21"/>
      <w:szCs w:val="21"/>
    </w:rPr>
  </w:style>
  <w:style w:type="character" w:styleId="28">
    <w:name w:val="HTML Sample"/>
    <w:basedOn w:val="23"/>
    <w:semiHidden/>
    <w:unhideWhenUsed/>
    <w:qFormat/>
    <w:uiPriority w:val="99"/>
    <w:rPr>
      <w:rFonts w:ascii="Courier New" w:hAnsi="Courier New"/>
    </w:rPr>
  </w:style>
  <w:style w:type="character" w:customStyle="1" w:styleId="29">
    <w:name w:val="批注框文本 字符"/>
    <w:basedOn w:val="23"/>
    <w:link w:val="12"/>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字符"/>
    <w:basedOn w:val="23"/>
    <w:link w:val="14"/>
    <w:autoRedefine/>
    <w:qFormat/>
    <w:uiPriority w:val="99"/>
    <w:rPr>
      <w:rFonts w:ascii="@仿宋_GB2312" w:hAnsi="@仿宋_GB2312" w:eastAsia="@仿宋_GB2312" w:cs="@仿宋_GB2312"/>
      <w:sz w:val="18"/>
      <w:szCs w:val="18"/>
    </w:rPr>
  </w:style>
  <w:style w:type="character" w:customStyle="1" w:styleId="34">
    <w:name w:val="页脚 字符"/>
    <w:basedOn w:val="23"/>
    <w:link w:val="13"/>
    <w:autoRedefine/>
    <w:qFormat/>
    <w:uiPriority w:val="99"/>
    <w:rPr>
      <w:rFonts w:ascii="@仿宋_GB2312" w:hAnsi="@仿宋_GB2312" w:eastAsia="@仿宋_GB2312" w:cs="@仿宋_GB2312"/>
      <w:sz w:val="18"/>
      <w:szCs w:val="18"/>
    </w:rPr>
  </w:style>
  <w:style w:type="character" w:customStyle="1" w:styleId="35">
    <w:name w:val="纯文本 字符"/>
    <w:link w:val="10"/>
    <w:autoRedefine/>
    <w:qFormat/>
    <w:uiPriority w:val="0"/>
    <w:rPr>
      <w:rFonts w:ascii="宋体" w:hAnsi="Courier New"/>
    </w:rPr>
  </w:style>
  <w:style w:type="character" w:customStyle="1" w:styleId="36">
    <w:name w:val="纯文本 字符1"/>
    <w:basedOn w:val="23"/>
    <w:autoRedefine/>
    <w:semiHidden/>
    <w:qFormat/>
    <w:uiPriority w:val="99"/>
    <w:rPr>
      <w:rFonts w:hAnsi="Courier New" w:cs="Courier New" w:asciiTheme="minorEastAsia"/>
      <w:szCs w:val="20"/>
    </w:rPr>
  </w:style>
  <w:style w:type="character" w:customStyle="1" w:styleId="37">
    <w:name w:val="未处理的提及1"/>
    <w:basedOn w:val="23"/>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1"/>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3"/>
    <w:autoRedefine/>
    <w:semiHidden/>
    <w:qFormat/>
    <w:uiPriority w:val="99"/>
    <w:rPr>
      <w:rFonts w:ascii="@仿宋_GB2312" w:hAnsi="@仿宋_GB2312" w:eastAsia="@仿宋_GB2312" w:cs="@仿宋_GB2312"/>
      <w:szCs w:val="20"/>
    </w:rPr>
  </w:style>
  <w:style w:type="character" w:customStyle="1" w:styleId="42">
    <w:name w:val="日期 字符1"/>
    <w:link w:val="11"/>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3"/>
    <w:autoRedefine/>
    <w:semiHidden/>
    <w:qFormat/>
    <w:uiPriority w:val="99"/>
    <w:rPr>
      <w:rFonts w:ascii="@仿宋_GB2312" w:hAnsi="@仿宋_GB2312" w:eastAsia="@仿宋_GB2312" w:cs="@仿宋_GB2312"/>
      <w:szCs w:val="20"/>
    </w:rPr>
  </w:style>
  <w:style w:type="character" w:customStyle="1" w:styleId="45">
    <w:name w:val="批注文字 字符"/>
    <w:link w:val="8"/>
    <w:autoRedefine/>
    <w:qFormat/>
    <w:uiPriority w:val="0"/>
    <w:rPr>
      <w:rFonts w:ascii="Arial" w:hAnsi="Arial" w:eastAsia="黑体" w:cs="Arial"/>
      <w:szCs w:val="20"/>
    </w:rPr>
  </w:style>
  <w:style w:type="character" w:customStyle="1" w:styleId="46">
    <w:name w:val="标题 1 字符"/>
    <w:basedOn w:val="23"/>
    <w:link w:val="3"/>
    <w:autoRedefine/>
    <w:qFormat/>
    <w:uiPriority w:val="9"/>
    <w:rPr>
      <w:rFonts w:ascii="@仿宋_GB2312" w:hAnsi="@仿宋_GB2312" w:eastAsia="@仿宋_GB2312" w:cs="@仿宋_GB2312"/>
      <w:b/>
      <w:bCs/>
      <w:kern w:val="44"/>
      <w:sz w:val="44"/>
      <w:szCs w:val="44"/>
    </w:rPr>
  </w:style>
  <w:style w:type="paragraph" w:customStyle="1" w:styleId="47">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字符"/>
    <w:basedOn w:val="23"/>
    <w:link w:val="5"/>
    <w:autoRedefine/>
    <w:semiHidden/>
    <w:qFormat/>
    <w:uiPriority w:val="9"/>
    <w:rPr>
      <w:rFonts w:ascii="@仿宋_GB2312" w:hAnsi="@仿宋_GB2312" w:eastAsia="@仿宋_GB2312" w:cs="@仿宋_GB2312"/>
      <w:b/>
      <w:bCs/>
      <w:sz w:val="32"/>
      <w:szCs w:val="32"/>
    </w:rPr>
  </w:style>
  <w:style w:type="character" w:customStyle="1" w:styleId="49">
    <w:name w:val="fontstyle01"/>
    <w:basedOn w:val="23"/>
    <w:autoRedefine/>
    <w:qFormat/>
    <w:uiPriority w:val="0"/>
    <w:rPr>
      <w:rFonts w:hint="eastAsia" w:ascii="宋体" w:hAnsi="宋体" w:eastAsia="宋体"/>
      <w:color w:val="000000"/>
      <w:sz w:val="22"/>
      <w:szCs w:val="22"/>
    </w:rPr>
  </w:style>
  <w:style w:type="character" w:customStyle="1" w:styleId="50">
    <w:name w:val="fontstyle21"/>
    <w:basedOn w:val="23"/>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3"/>
    <w:autoRedefine/>
    <w:semiHidden/>
    <w:qFormat/>
    <w:uiPriority w:val="9"/>
    <w:rPr>
      <w:rFonts w:asciiTheme="majorHAnsi" w:hAnsiTheme="majorHAnsi" w:eastAsiaTheme="majorEastAsia" w:cstheme="majorBidi"/>
      <w:b/>
      <w:bCs/>
      <w:sz w:val="28"/>
      <w:szCs w:val="28"/>
    </w:rPr>
  </w:style>
  <w:style w:type="character" w:customStyle="1" w:styleId="53">
    <w:name w:val="标题 4 字符1"/>
    <w:link w:val="6"/>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
    <w:name w:val="批注主题 字符"/>
    <w:basedOn w:val="45"/>
    <w:link w:val="19"/>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728F7E-7A72-4C1F-AAE1-0CADB4F3EF0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64</Pages>
  <Words>3108</Words>
  <Characters>3687</Characters>
  <Lines>295</Lines>
  <Paragraphs>83</Paragraphs>
  <TotalTime>23</TotalTime>
  <ScaleCrop>false</ScaleCrop>
  <LinksUpToDate>false</LinksUpToDate>
  <CharactersWithSpaces>3915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卫斯理</cp:lastModifiedBy>
  <cp:lastPrinted>2019-12-07T15:18:00Z</cp:lastPrinted>
  <dcterms:modified xsi:type="dcterms:W3CDTF">2026-07-02T03:24:43Z</dcterms:modified>
  <cp:revision>389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7DD2632302214BD493B5652581F58F5A_13</vt:lpwstr>
  </property>
  <property fmtid="{D5CDD505-2E9C-101B-9397-08002B2CF9AE}" pid="4" name="KSOTemplateDocerSaveRecord">
    <vt:lpwstr>eyJoZGlkIjoiOTVjYzMyNzY4ODlkZGIxOTc1NjIxMThkYTgzM2YyMjEiLCJ1c2VySWQiOiIyNTM1OTI4ODYifQ==</vt:lpwstr>
  </property>
</Properties>
</file>