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EB6AC">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p>
    <w:p w14:paraId="23B28634">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p>
    <w:p w14:paraId="12D348B2">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bookmarkStart w:id="0" w:name="_Hlk9544796"/>
      <w:r>
        <w:rPr>
          <w:rFonts w:hint="eastAsia" w:ascii="宋体" w:hAnsi="宋体" w:eastAsia="宋体"/>
          <w:b/>
          <w:bCs/>
          <w:sz w:val="52"/>
          <w:szCs w:val="52"/>
          <w:highlight w:val="none"/>
        </w:rPr>
        <w:t>安徽省政府采购项目</w:t>
      </w:r>
    </w:p>
    <w:p w14:paraId="4E9889F0">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公开招标文件示范文本</w:t>
      </w:r>
      <w:bookmarkEnd w:id="0"/>
      <w:r>
        <w:rPr>
          <w:rFonts w:hint="eastAsia" w:ascii="宋体" w:hAnsi="宋体" w:eastAsia="宋体"/>
          <w:b/>
          <w:bCs/>
          <w:sz w:val="52"/>
          <w:szCs w:val="52"/>
          <w:highlight w:val="none"/>
        </w:rPr>
        <w:t>（服务类）</w:t>
      </w:r>
    </w:p>
    <w:p w14:paraId="4CF09BA5">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（2024年版）</w:t>
      </w:r>
    </w:p>
    <w:p w14:paraId="458FF284">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3E57892C">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3F3620F2">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1A9AB417">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3BFB9778">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3DEEAA84">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highlight w:val="none"/>
          <w:u w:val="single"/>
          <w:lang w:eastAsia="zh-CN"/>
        </w:rPr>
      </w:pPr>
      <w:r>
        <w:rPr>
          <w:rFonts w:hint="eastAsia" w:ascii="宋体" w:hAnsi="宋体" w:eastAsia="宋体"/>
          <w:b/>
          <w:spacing w:val="20"/>
          <w:kern w:val="0"/>
          <w:sz w:val="32"/>
          <w:szCs w:val="32"/>
          <w:highlight w:val="none"/>
        </w:rPr>
        <w:t>项目名称：</w:t>
      </w:r>
      <w:r>
        <w:rPr>
          <w:rFonts w:hint="eastAsia" w:ascii="宋体" w:hAnsi="宋体" w:eastAsia="宋体"/>
          <w:b/>
          <w:spacing w:val="20"/>
          <w:kern w:val="0"/>
          <w:sz w:val="32"/>
          <w:szCs w:val="32"/>
          <w:highlight w:val="none"/>
          <w:u w:val="single"/>
          <w:lang w:eastAsia="zh-CN"/>
        </w:rPr>
        <w:t>安徽省气象台2025年算力资源租赁服务项目（二次）</w:t>
      </w:r>
    </w:p>
    <w:p w14:paraId="08104E37">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项目编号：</w:t>
      </w:r>
      <w:r>
        <w:rPr>
          <w:rFonts w:hint="eastAsia" w:ascii="宋体" w:hAnsi="宋体" w:eastAsia="宋体"/>
          <w:b/>
          <w:spacing w:val="20"/>
          <w:kern w:val="0"/>
          <w:sz w:val="32"/>
          <w:szCs w:val="32"/>
          <w:highlight w:val="none"/>
          <w:u w:val="single"/>
        </w:rPr>
        <w:t>AHZJ-202518100502</w:t>
      </w:r>
    </w:p>
    <w:p w14:paraId="749559A9">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采 购 人：</w:t>
      </w:r>
      <w:r>
        <w:rPr>
          <w:rFonts w:hint="eastAsia" w:ascii="宋体" w:hAnsi="宋体" w:eastAsia="宋体"/>
          <w:b/>
          <w:spacing w:val="20"/>
          <w:kern w:val="0"/>
          <w:sz w:val="32"/>
          <w:szCs w:val="32"/>
          <w:highlight w:val="none"/>
          <w:u w:val="single"/>
        </w:rPr>
        <w:t>安徽省气象台</w:t>
      </w:r>
    </w:p>
    <w:p w14:paraId="209DA5C0">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采购代理机构：</w:t>
      </w:r>
      <w:r>
        <w:rPr>
          <w:rFonts w:hint="eastAsia" w:ascii="宋体" w:hAnsi="宋体" w:eastAsia="宋体"/>
          <w:b/>
          <w:spacing w:val="20"/>
          <w:kern w:val="0"/>
          <w:sz w:val="32"/>
          <w:szCs w:val="32"/>
          <w:highlight w:val="none"/>
          <w:u w:val="single"/>
        </w:rPr>
        <w:t>安徽中技工程咨询有限公司</w:t>
      </w:r>
    </w:p>
    <w:p w14:paraId="5AEC8C3E">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3FCD0A07">
      <w:pPr>
        <w:tabs>
          <w:tab w:val="left" w:pos="2410"/>
        </w:tabs>
        <w:autoSpaceDE w:val="0"/>
        <w:autoSpaceDN w:val="0"/>
        <w:adjustRightInd w:val="0"/>
        <w:snapToGrid w:val="0"/>
        <w:spacing w:line="360" w:lineRule="auto"/>
        <w:jc w:val="center"/>
        <w:rPr>
          <w:rFonts w:hint="eastAsia" w:ascii="宋体" w:hAnsi="宋体" w:eastAsia="宋体"/>
          <w:b/>
          <w:sz w:val="36"/>
          <w:highlight w:val="none"/>
        </w:rPr>
      </w:pPr>
      <w:r>
        <w:rPr>
          <w:rFonts w:hint="eastAsia" w:ascii="宋体" w:hAnsi="宋体" w:eastAsia="宋体"/>
          <w:b/>
          <w:sz w:val="36"/>
          <w:highlight w:val="none"/>
          <w:u w:val="single"/>
        </w:rPr>
        <w:t>2025</w:t>
      </w:r>
      <w:r>
        <w:rPr>
          <w:rFonts w:hint="eastAsia" w:ascii="宋体" w:hAnsi="宋体" w:eastAsia="宋体"/>
          <w:b/>
          <w:sz w:val="36"/>
          <w:highlight w:val="none"/>
        </w:rPr>
        <w:t>年</w:t>
      </w:r>
      <w:r>
        <w:rPr>
          <w:rFonts w:hint="eastAsia" w:ascii="宋体" w:hAnsi="宋体" w:eastAsia="宋体"/>
          <w:b/>
          <w:sz w:val="36"/>
          <w:highlight w:val="none"/>
          <w:u w:val="single"/>
        </w:rPr>
        <w:t>0</w:t>
      </w:r>
      <w:r>
        <w:rPr>
          <w:rFonts w:hint="eastAsia" w:ascii="宋体" w:hAnsi="宋体" w:eastAsia="宋体"/>
          <w:b/>
          <w:sz w:val="36"/>
          <w:highlight w:val="none"/>
          <w:u w:val="single"/>
          <w:lang w:val="en-US" w:eastAsia="zh-CN"/>
        </w:rPr>
        <w:t>6</w:t>
      </w:r>
      <w:r>
        <w:rPr>
          <w:rFonts w:hint="eastAsia" w:ascii="宋体" w:hAnsi="宋体" w:eastAsia="宋体"/>
          <w:b/>
          <w:sz w:val="36"/>
          <w:highlight w:val="none"/>
        </w:rPr>
        <w:t>月</w:t>
      </w:r>
      <w:r>
        <w:rPr>
          <w:rFonts w:ascii="宋体" w:hAnsi="宋体" w:eastAsia="宋体"/>
          <w:b/>
          <w:sz w:val="36"/>
          <w:highlight w:val="none"/>
        </w:rPr>
        <w:br w:type="page"/>
      </w:r>
    </w:p>
    <w:p w14:paraId="380690C6">
      <w:pPr>
        <w:tabs>
          <w:tab w:val="left" w:pos="2410"/>
        </w:tabs>
        <w:autoSpaceDE w:val="0"/>
        <w:autoSpaceDN w:val="0"/>
        <w:adjustRightInd w:val="0"/>
        <w:snapToGrid w:val="0"/>
        <w:spacing w:line="360" w:lineRule="auto"/>
        <w:jc w:val="center"/>
        <w:rPr>
          <w:rFonts w:hint="eastAsia" w:ascii="宋体" w:hAnsi="宋体" w:eastAsia="宋体"/>
          <w:b/>
          <w:sz w:val="28"/>
          <w:highlight w:val="none"/>
        </w:rPr>
      </w:pPr>
      <w:r>
        <w:rPr>
          <w:rFonts w:hint="eastAsia" w:ascii="宋体" w:hAnsi="宋体" w:eastAsia="宋体"/>
          <w:b/>
          <w:sz w:val="28"/>
          <w:highlight w:val="none"/>
        </w:rPr>
        <w:t>目  录</w:t>
      </w:r>
    </w:p>
    <w:p w14:paraId="6EECDAC9">
      <w:pPr>
        <w:pStyle w:val="19"/>
        <w:tabs>
          <w:tab w:val="right" w:leader="dot" w:pos="8306"/>
        </w:tabs>
        <w:rPr>
          <w:highlight w:val="none"/>
        </w:rPr>
      </w:pP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w:instrText>
      </w:r>
      <w:r>
        <w:rPr>
          <w:rFonts w:hint="eastAsia" w:asciiTheme="minorEastAsia" w:hAnsiTheme="minorEastAsia"/>
          <w:b/>
          <w:sz w:val="24"/>
          <w:szCs w:val="24"/>
          <w:highlight w:val="none"/>
        </w:rPr>
        <w:instrText xml:space="preserve">TOC \o "1-2" \h \z \u</w:instrText>
      </w:r>
      <w:r>
        <w:rPr>
          <w:rFonts w:asciiTheme="minorEastAsia" w:hAnsiTheme="minorEastAsia"/>
          <w:b/>
          <w:sz w:val="24"/>
          <w:szCs w:val="24"/>
          <w:highlight w:val="none"/>
        </w:rPr>
        <w:instrText xml:space="preserve"> </w:instrText>
      </w:r>
      <w:r>
        <w:rPr>
          <w:rFonts w:asciiTheme="minorEastAsia" w:hAnsiTheme="minorEastAsia"/>
          <w:b/>
          <w:sz w:val="24"/>
          <w:szCs w:val="24"/>
          <w:highlight w:val="none"/>
        </w:rPr>
        <w:fldChar w:fldCharType="separate"/>
      </w:r>
      <w:r>
        <w:rPr>
          <w:highlight w:val="none"/>
        </w:rPr>
        <w:fldChar w:fldCharType="begin"/>
      </w:r>
      <w:r>
        <w:rPr>
          <w:highlight w:val="none"/>
        </w:rPr>
        <w:instrText xml:space="preserve"> HYPERLINK \l "_Toc32331" </w:instrText>
      </w:r>
      <w:r>
        <w:rPr>
          <w:highlight w:val="none"/>
        </w:rPr>
        <w:fldChar w:fldCharType="separate"/>
      </w:r>
      <w:r>
        <w:rPr>
          <w:rFonts w:hint="eastAsia" w:asciiTheme="minorEastAsia" w:hAnsiTheme="minorEastAsia"/>
          <w:highlight w:val="none"/>
        </w:rPr>
        <w:t xml:space="preserve">第一章 </w:t>
      </w:r>
      <w:r>
        <w:rPr>
          <w:rFonts w:asciiTheme="minorEastAsia" w:hAnsiTheme="minorEastAsia"/>
          <w:highlight w:val="none"/>
        </w:rPr>
        <w:t xml:space="preserve"> 投标邀请</w:t>
      </w:r>
      <w:r>
        <w:rPr>
          <w:highlight w:val="none"/>
        </w:rPr>
        <w:tab/>
      </w:r>
      <w:r>
        <w:rPr>
          <w:highlight w:val="none"/>
        </w:rPr>
        <w:fldChar w:fldCharType="begin"/>
      </w:r>
      <w:r>
        <w:rPr>
          <w:highlight w:val="none"/>
        </w:rPr>
        <w:instrText xml:space="preserve"> PAGEREF _Toc32331 \h </w:instrText>
      </w:r>
      <w:r>
        <w:rPr>
          <w:highlight w:val="none"/>
        </w:rPr>
        <w:fldChar w:fldCharType="separate"/>
      </w:r>
      <w:r>
        <w:rPr>
          <w:highlight w:val="none"/>
        </w:rPr>
        <w:t>1</w:t>
      </w:r>
      <w:r>
        <w:rPr>
          <w:highlight w:val="none"/>
        </w:rPr>
        <w:fldChar w:fldCharType="end"/>
      </w:r>
      <w:r>
        <w:rPr>
          <w:highlight w:val="none"/>
        </w:rPr>
        <w:fldChar w:fldCharType="end"/>
      </w:r>
    </w:p>
    <w:p w14:paraId="0F924F94">
      <w:pPr>
        <w:pStyle w:val="19"/>
        <w:tabs>
          <w:tab w:val="right" w:leader="dot" w:pos="8306"/>
        </w:tabs>
        <w:rPr>
          <w:highlight w:val="none"/>
        </w:rPr>
      </w:pPr>
      <w:r>
        <w:rPr>
          <w:highlight w:val="none"/>
        </w:rPr>
        <w:fldChar w:fldCharType="begin"/>
      </w:r>
      <w:r>
        <w:rPr>
          <w:highlight w:val="none"/>
        </w:rPr>
        <w:instrText xml:space="preserve"> HYPERLINK \l "_Toc8888" </w:instrText>
      </w:r>
      <w:r>
        <w:rPr>
          <w:highlight w:val="none"/>
        </w:rPr>
        <w:fldChar w:fldCharType="separate"/>
      </w:r>
      <w:r>
        <w:rPr>
          <w:rFonts w:hint="eastAsia" w:asciiTheme="minorEastAsia" w:hAnsiTheme="minorEastAsia"/>
          <w:highlight w:val="none"/>
        </w:rPr>
        <w:t>第二章</w:t>
      </w:r>
      <w:r>
        <w:rPr>
          <w:rFonts w:asciiTheme="minorEastAsia" w:hAnsiTheme="minorEastAsia"/>
          <w:highlight w:val="none"/>
        </w:rPr>
        <w:t xml:space="preserve"> </w:t>
      </w:r>
      <w:r>
        <w:rPr>
          <w:rFonts w:hint="eastAsia" w:asciiTheme="minorEastAsia" w:hAnsiTheme="minorEastAsia"/>
          <w:highlight w:val="none"/>
        </w:rPr>
        <w:t xml:space="preserve"> </w:t>
      </w:r>
      <w:r>
        <w:rPr>
          <w:rFonts w:asciiTheme="minorEastAsia" w:hAnsiTheme="minorEastAsia"/>
          <w:highlight w:val="none"/>
        </w:rPr>
        <w:t>投标人须知</w:t>
      </w:r>
      <w:r>
        <w:rPr>
          <w:highlight w:val="none"/>
        </w:rPr>
        <w:tab/>
      </w:r>
      <w:r>
        <w:rPr>
          <w:highlight w:val="none"/>
        </w:rPr>
        <w:fldChar w:fldCharType="begin"/>
      </w:r>
      <w:r>
        <w:rPr>
          <w:highlight w:val="none"/>
        </w:rPr>
        <w:instrText xml:space="preserve"> PAGEREF _Toc8888 \h </w:instrText>
      </w:r>
      <w:r>
        <w:rPr>
          <w:highlight w:val="none"/>
        </w:rPr>
        <w:fldChar w:fldCharType="separate"/>
      </w:r>
      <w:r>
        <w:rPr>
          <w:highlight w:val="none"/>
        </w:rPr>
        <w:t>5</w:t>
      </w:r>
      <w:r>
        <w:rPr>
          <w:highlight w:val="none"/>
        </w:rPr>
        <w:fldChar w:fldCharType="end"/>
      </w:r>
      <w:r>
        <w:rPr>
          <w:highlight w:val="none"/>
        </w:rPr>
        <w:fldChar w:fldCharType="end"/>
      </w:r>
    </w:p>
    <w:p w14:paraId="7B038C4C">
      <w:pPr>
        <w:pStyle w:val="19"/>
        <w:tabs>
          <w:tab w:val="right" w:leader="dot" w:pos="8306"/>
        </w:tabs>
        <w:rPr>
          <w:highlight w:val="none"/>
        </w:rPr>
      </w:pPr>
      <w:r>
        <w:rPr>
          <w:highlight w:val="none"/>
        </w:rPr>
        <w:fldChar w:fldCharType="begin"/>
      </w:r>
      <w:r>
        <w:rPr>
          <w:highlight w:val="none"/>
        </w:rPr>
        <w:instrText xml:space="preserve"> HYPERLINK \l "_Toc22605" </w:instrText>
      </w:r>
      <w:r>
        <w:rPr>
          <w:highlight w:val="none"/>
        </w:rPr>
        <w:fldChar w:fldCharType="separate"/>
      </w:r>
      <w:r>
        <w:rPr>
          <w:rFonts w:hint="eastAsia" w:asciiTheme="minorEastAsia" w:hAnsiTheme="minorEastAsia"/>
          <w:highlight w:val="none"/>
        </w:rPr>
        <w:t>第三章  采购需求</w:t>
      </w:r>
      <w:r>
        <w:rPr>
          <w:highlight w:val="none"/>
        </w:rPr>
        <w:tab/>
      </w:r>
      <w:r>
        <w:rPr>
          <w:highlight w:val="none"/>
        </w:rPr>
        <w:fldChar w:fldCharType="begin"/>
      </w:r>
      <w:r>
        <w:rPr>
          <w:highlight w:val="none"/>
        </w:rPr>
        <w:instrText xml:space="preserve"> PAGEREF _Toc22605 \h </w:instrText>
      </w:r>
      <w:r>
        <w:rPr>
          <w:highlight w:val="none"/>
        </w:rPr>
        <w:fldChar w:fldCharType="separate"/>
      </w:r>
      <w:r>
        <w:rPr>
          <w:highlight w:val="none"/>
        </w:rPr>
        <w:t>18</w:t>
      </w:r>
      <w:r>
        <w:rPr>
          <w:highlight w:val="none"/>
        </w:rPr>
        <w:fldChar w:fldCharType="end"/>
      </w:r>
      <w:r>
        <w:rPr>
          <w:highlight w:val="none"/>
        </w:rPr>
        <w:fldChar w:fldCharType="end"/>
      </w:r>
    </w:p>
    <w:p w14:paraId="522A2DE7">
      <w:pPr>
        <w:pStyle w:val="19"/>
        <w:tabs>
          <w:tab w:val="right" w:leader="dot" w:pos="8306"/>
        </w:tabs>
        <w:rPr>
          <w:highlight w:val="none"/>
        </w:rPr>
      </w:pPr>
      <w:r>
        <w:rPr>
          <w:highlight w:val="none"/>
        </w:rPr>
        <w:fldChar w:fldCharType="begin"/>
      </w:r>
      <w:r>
        <w:rPr>
          <w:highlight w:val="none"/>
        </w:rPr>
        <w:instrText xml:space="preserve"> HYPERLINK \l "_Toc30824" </w:instrText>
      </w:r>
      <w:r>
        <w:rPr>
          <w:highlight w:val="none"/>
        </w:rPr>
        <w:fldChar w:fldCharType="separate"/>
      </w:r>
      <w:r>
        <w:rPr>
          <w:rFonts w:hint="eastAsia" w:asciiTheme="minorEastAsia" w:hAnsiTheme="minorEastAsia"/>
          <w:highlight w:val="none"/>
        </w:rPr>
        <w:t>第四章  评标方法和标准（综合评分法）</w:t>
      </w:r>
      <w:r>
        <w:rPr>
          <w:highlight w:val="none"/>
        </w:rPr>
        <w:tab/>
      </w:r>
      <w:r>
        <w:rPr>
          <w:highlight w:val="none"/>
        </w:rPr>
        <w:fldChar w:fldCharType="begin"/>
      </w:r>
      <w:r>
        <w:rPr>
          <w:highlight w:val="none"/>
        </w:rPr>
        <w:instrText xml:space="preserve"> PAGEREF _Toc30824 \h </w:instrText>
      </w:r>
      <w:r>
        <w:rPr>
          <w:highlight w:val="none"/>
        </w:rPr>
        <w:fldChar w:fldCharType="separate"/>
      </w:r>
      <w:r>
        <w:rPr>
          <w:highlight w:val="none"/>
        </w:rPr>
        <w:t>23</w:t>
      </w:r>
      <w:r>
        <w:rPr>
          <w:highlight w:val="none"/>
        </w:rPr>
        <w:fldChar w:fldCharType="end"/>
      </w:r>
      <w:r>
        <w:rPr>
          <w:highlight w:val="none"/>
        </w:rPr>
        <w:fldChar w:fldCharType="end"/>
      </w:r>
    </w:p>
    <w:p w14:paraId="372FDF25">
      <w:pPr>
        <w:pStyle w:val="19"/>
        <w:tabs>
          <w:tab w:val="right" w:leader="dot" w:pos="8306"/>
        </w:tabs>
        <w:rPr>
          <w:highlight w:val="none"/>
        </w:rPr>
      </w:pPr>
      <w:r>
        <w:rPr>
          <w:highlight w:val="none"/>
        </w:rPr>
        <w:fldChar w:fldCharType="begin"/>
      </w:r>
      <w:r>
        <w:rPr>
          <w:highlight w:val="none"/>
        </w:rPr>
        <w:instrText xml:space="preserve"> HYPERLINK \l "_Toc20405" </w:instrText>
      </w:r>
      <w:r>
        <w:rPr>
          <w:highlight w:val="none"/>
        </w:rPr>
        <w:fldChar w:fldCharType="separate"/>
      </w:r>
      <w:r>
        <w:rPr>
          <w:rFonts w:hint="eastAsia" w:asciiTheme="minorEastAsia" w:hAnsiTheme="minorEastAsia"/>
          <w:highlight w:val="none"/>
        </w:rPr>
        <w:t xml:space="preserve">第五章  </w:t>
      </w:r>
      <w:r>
        <w:rPr>
          <w:rFonts w:asciiTheme="minorEastAsia" w:hAnsiTheme="minorEastAsia"/>
          <w:highlight w:val="none"/>
        </w:rPr>
        <w:t>政府采购合同</w:t>
      </w:r>
      <w:r>
        <w:rPr>
          <w:highlight w:val="none"/>
        </w:rPr>
        <w:tab/>
      </w:r>
      <w:r>
        <w:rPr>
          <w:highlight w:val="none"/>
        </w:rPr>
        <w:fldChar w:fldCharType="begin"/>
      </w:r>
      <w:r>
        <w:rPr>
          <w:highlight w:val="none"/>
        </w:rPr>
        <w:instrText xml:space="preserve"> PAGEREF _Toc20405 \h </w:instrText>
      </w:r>
      <w:r>
        <w:rPr>
          <w:highlight w:val="none"/>
        </w:rPr>
        <w:fldChar w:fldCharType="separate"/>
      </w:r>
      <w:r>
        <w:rPr>
          <w:highlight w:val="none"/>
        </w:rPr>
        <w:t>31</w:t>
      </w:r>
      <w:r>
        <w:rPr>
          <w:highlight w:val="none"/>
        </w:rPr>
        <w:fldChar w:fldCharType="end"/>
      </w:r>
      <w:r>
        <w:rPr>
          <w:highlight w:val="none"/>
        </w:rPr>
        <w:fldChar w:fldCharType="end"/>
      </w:r>
    </w:p>
    <w:p w14:paraId="42905B51">
      <w:pPr>
        <w:pStyle w:val="19"/>
        <w:tabs>
          <w:tab w:val="right" w:leader="dot" w:pos="8306"/>
        </w:tabs>
        <w:rPr>
          <w:highlight w:val="none"/>
        </w:rPr>
      </w:pPr>
      <w:r>
        <w:rPr>
          <w:highlight w:val="none"/>
        </w:rPr>
        <w:fldChar w:fldCharType="begin"/>
      </w:r>
      <w:r>
        <w:rPr>
          <w:highlight w:val="none"/>
        </w:rPr>
        <w:instrText xml:space="preserve"> HYPERLINK \l "_Toc13555" </w:instrText>
      </w:r>
      <w:r>
        <w:rPr>
          <w:highlight w:val="none"/>
        </w:rPr>
        <w:fldChar w:fldCharType="separate"/>
      </w:r>
      <w:r>
        <w:rPr>
          <w:rFonts w:hint="eastAsia" w:asciiTheme="minorEastAsia" w:hAnsiTheme="minorEastAsia"/>
          <w:highlight w:val="none"/>
        </w:rPr>
        <w:t>第六章  投标文件格式</w:t>
      </w:r>
      <w:r>
        <w:rPr>
          <w:highlight w:val="none"/>
        </w:rPr>
        <w:tab/>
      </w:r>
      <w:r>
        <w:rPr>
          <w:highlight w:val="none"/>
        </w:rPr>
        <w:fldChar w:fldCharType="begin"/>
      </w:r>
      <w:r>
        <w:rPr>
          <w:highlight w:val="none"/>
        </w:rPr>
        <w:instrText xml:space="preserve"> PAGEREF _Toc13555 \h </w:instrText>
      </w:r>
      <w:r>
        <w:rPr>
          <w:highlight w:val="none"/>
        </w:rPr>
        <w:fldChar w:fldCharType="separate"/>
      </w:r>
      <w:r>
        <w:rPr>
          <w:highlight w:val="none"/>
        </w:rPr>
        <w:t>43</w:t>
      </w:r>
      <w:r>
        <w:rPr>
          <w:highlight w:val="none"/>
        </w:rPr>
        <w:fldChar w:fldCharType="end"/>
      </w:r>
      <w:r>
        <w:rPr>
          <w:highlight w:val="none"/>
        </w:rPr>
        <w:fldChar w:fldCharType="end"/>
      </w:r>
    </w:p>
    <w:p w14:paraId="370C1A34">
      <w:pPr>
        <w:pStyle w:val="19"/>
        <w:tabs>
          <w:tab w:val="right" w:leader="dot" w:pos="8306"/>
        </w:tabs>
        <w:rPr>
          <w:highlight w:val="none"/>
        </w:rPr>
      </w:pPr>
      <w:r>
        <w:rPr>
          <w:highlight w:val="none"/>
        </w:rPr>
        <w:fldChar w:fldCharType="begin"/>
      </w:r>
      <w:r>
        <w:rPr>
          <w:highlight w:val="none"/>
        </w:rPr>
        <w:instrText xml:space="preserve"> HYPERLINK \l "_Toc20819" </w:instrText>
      </w:r>
      <w:r>
        <w:rPr>
          <w:highlight w:val="none"/>
        </w:rPr>
        <w:fldChar w:fldCharType="separate"/>
      </w:r>
      <w:r>
        <w:rPr>
          <w:rFonts w:hint="eastAsia" w:asciiTheme="minorEastAsia" w:hAnsiTheme="minorEastAsia"/>
          <w:highlight w:val="none"/>
        </w:rPr>
        <w:t>第七章</w:t>
      </w:r>
      <w:r>
        <w:rPr>
          <w:rFonts w:hint="eastAsia" w:ascii="宋体" w:hAnsi="宋体" w:eastAsia="宋体"/>
          <w:bCs/>
          <w:highlight w:val="none"/>
        </w:rPr>
        <w:t xml:space="preserve">  政府采购</w:t>
      </w:r>
      <w:r>
        <w:rPr>
          <w:rFonts w:hint="eastAsia" w:asciiTheme="minorEastAsia" w:hAnsiTheme="minorEastAsia"/>
          <w:highlight w:val="none"/>
        </w:rPr>
        <w:t>供应</w:t>
      </w:r>
      <w:r>
        <w:rPr>
          <w:rFonts w:hint="eastAsia" w:ascii="宋体" w:hAnsi="宋体" w:eastAsia="宋体"/>
          <w:bCs/>
          <w:highlight w:val="none"/>
        </w:rPr>
        <w:t>商询问函和质疑函范本</w:t>
      </w:r>
      <w:r>
        <w:rPr>
          <w:highlight w:val="none"/>
        </w:rPr>
        <w:tab/>
      </w:r>
      <w:r>
        <w:rPr>
          <w:highlight w:val="none"/>
        </w:rPr>
        <w:fldChar w:fldCharType="begin"/>
      </w:r>
      <w:r>
        <w:rPr>
          <w:highlight w:val="none"/>
        </w:rPr>
        <w:instrText xml:space="preserve"> PAGEREF _Toc20819 \h </w:instrText>
      </w:r>
      <w:r>
        <w:rPr>
          <w:highlight w:val="none"/>
        </w:rPr>
        <w:fldChar w:fldCharType="separate"/>
      </w:r>
      <w:r>
        <w:rPr>
          <w:highlight w:val="none"/>
        </w:rPr>
        <w:t>58</w:t>
      </w:r>
      <w:r>
        <w:rPr>
          <w:highlight w:val="none"/>
        </w:rPr>
        <w:fldChar w:fldCharType="end"/>
      </w:r>
      <w:r>
        <w:rPr>
          <w:highlight w:val="none"/>
        </w:rPr>
        <w:fldChar w:fldCharType="end"/>
      </w:r>
    </w:p>
    <w:p w14:paraId="66560651">
      <w:pPr>
        <w:spacing w:line="360" w:lineRule="auto"/>
        <w:rPr>
          <w:rFonts w:hint="eastAsia" w:asciiTheme="minorEastAsia" w:hAnsiTheme="minorEastAsia" w:eastAsiaTheme="minorEastAsia"/>
          <w:b/>
          <w:sz w:val="32"/>
          <w:highlight w:val="none"/>
        </w:rPr>
      </w:pPr>
      <w:r>
        <w:rPr>
          <w:rFonts w:asciiTheme="minorEastAsia" w:hAnsiTheme="minorEastAsia" w:eastAsiaTheme="minorEastAsia"/>
          <w:szCs w:val="24"/>
          <w:highlight w:val="none"/>
        </w:rPr>
        <w:fldChar w:fldCharType="end"/>
      </w:r>
    </w:p>
    <w:p w14:paraId="0D3D51EE">
      <w:pPr>
        <w:spacing w:line="360" w:lineRule="auto"/>
        <w:jc w:val="center"/>
        <w:outlineLvl w:val="1"/>
        <w:rPr>
          <w:rFonts w:hint="eastAsia" w:asciiTheme="minorEastAsia" w:hAnsiTheme="minorEastAsia" w:eastAsiaTheme="minorEastAsia"/>
          <w:b/>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47CDEA6">
      <w:pPr>
        <w:spacing w:line="360" w:lineRule="auto"/>
        <w:jc w:val="center"/>
        <w:outlineLvl w:val="0"/>
        <w:rPr>
          <w:rFonts w:hint="eastAsia" w:asciiTheme="minorEastAsia" w:hAnsiTheme="minorEastAsia" w:eastAsiaTheme="minorEastAsia"/>
          <w:b/>
          <w:sz w:val="28"/>
          <w:highlight w:val="none"/>
        </w:rPr>
      </w:pPr>
      <w:bookmarkStart w:id="1" w:name="_Toc32331"/>
      <w:r>
        <w:rPr>
          <w:rFonts w:hint="eastAsia" w:asciiTheme="minorEastAsia" w:hAnsiTheme="minorEastAsia" w:eastAsiaTheme="minorEastAsia"/>
          <w:b/>
          <w:sz w:val="28"/>
          <w:highlight w:val="none"/>
        </w:rPr>
        <w:t xml:space="preserve">第一章 </w:t>
      </w:r>
      <w:r>
        <w:rPr>
          <w:rFonts w:asciiTheme="minorEastAsia" w:hAnsiTheme="minorEastAsia" w:eastAsiaTheme="minorEastAsia"/>
          <w:b/>
          <w:sz w:val="28"/>
          <w:highlight w:val="none"/>
        </w:rPr>
        <w:t xml:space="preserve"> 投标邀请</w:t>
      </w:r>
      <w:bookmarkEnd w:id="1"/>
    </w:p>
    <w:p w14:paraId="457628D9">
      <w:pPr>
        <w:spacing w:line="360" w:lineRule="auto"/>
        <w:ind w:firstLine="437"/>
        <w:outlineLvl w:val="1"/>
        <w:rPr>
          <w:rFonts w:hint="eastAsia" w:ascii="宋体" w:hAnsi="宋体" w:eastAsia="宋体"/>
          <w:b/>
          <w:bCs/>
          <w:sz w:val="24"/>
          <w:szCs w:val="18"/>
          <w:highlight w:val="none"/>
        </w:rPr>
      </w:pPr>
      <w:bookmarkStart w:id="2" w:name="_Toc1381"/>
      <w:bookmarkStart w:id="3" w:name="_Toc31518"/>
      <w:r>
        <w:rPr>
          <w:rFonts w:hint="eastAsia" w:ascii="宋体" w:hAnsi="宋体" w:eastAsia="宋体"/>
          <w:b/>
          <w:bCs/>
          <w:sz w:val="24"/>
          <w:szCs w:val="18"/>
          <w:highlight w:val="none"/>
        </w:rPr>
        <w:t>一、</w:t>
      </w:r>
      <w:bookmarkEnd w:id="2"/>
      <w:r>
        <w:rPr>
          <w:rFonts w:hint="eastAsia" w:ascii="宋体" w:hAnsi="宋体" w:eastAsia="宋体"/>
          <w:b/>
          <w:bCs/>
          <w:sz w:val="24"/>
          <w:szCs w:val="18"/>
          <w:highlight w:val="none"/>
        </w:rPr>
        <w:t>项目基本情况</w:t>
      </w:r>
      <w:bookmarkEnd w:id="3"/>
    </w:p>
    <w:p w14:paraId="6109DC8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1.项目编号：</w:t>
      </w:r>
      <w:r>
        <w:rPr>
          <w:rFonts w:hint="eastAsia" w:ascii="宋体" w:hAnsi="宋体" w:eastAsia="宋体"/>
          <w:sz w:val="24"/>
          <w:szCs w:val="18"/>
          <w:highlight w:val="none"/>
        </w:rPr>
        <w:t>AHZJ-202518100502</w:t>
      </w:r>
    </w:p>
    <w:p w14:paraId="525F179D">
      <w:pPr>
        <w:spacing w:line="360" w:lineRule="auto"/>
        <w:ind w:firstLine="435"/>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2.项目名称：</w:t>
      </w:r>
      <w:r>
        <w:rPr>
          <w:rFonts w:hint="eastAsia" w:ascii="宋体" w:hAnsi="宋体" w:eastAsia="宋体"/>
          <w:sz w:val="24"/>
          <w:szCs w:val="18"/>
          <w:highlight w:val="none"/>
          <w:lang w:eastAsia="zh-CN"/>
        </w:rPr>
        <w:t>安徽省气象台2025年算力资源租赁服务项目（二次）</w:t>
      </w:r>
    </w:p>
    <w:p w14:paraId="2519CEA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3.预算金额：</w:t>
      </w:r>
      <w:r>
        <w:rPr>
          <w:rFonts w:hint="eastAsia" w:ascii="宋体" w:hAnsi="宋体" w:eastAsia="宋体"/>
          <w:sz w:val="24"/>
          <w:szCs w:val="18"/>
          <w:highlight w:val="none"/>
        </w:rPr>
        <w:t>人民币6000000.00元</w:t>
      </w:r>
    </w:p>
    <w:p w14:paraId="6A1AD19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4.最高限价：</w:t>
      </w:r>
      <w:r>
        <w:rPr>
          <w:rFonts w:hint="eastAsia" w:ascii="宋体" w:hAnsi="宋体" w:eastAsia="宋体"/>
          <w:sz w:val="24"/>
          <w:szCs w:val="18"/>
          <w:highlight w:val="none"/>
        </w:rPr>
        <w:t>人民币6000000.00元</w:t>
      </w:r>
    </w:p>
    <w:p w14:paraId="172E62D7">
      <w:pPr>
        <w:spacing w:line="360" w:lineRule="auto"/>
        <w:ind w:firstLine="435"/>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sz w:val="24"/>
          <w:highlight w:val="none"/>
        </w:rPr>
        <w:t>5.采购需求：</w:t>
      </w:r>
      <w:r>
        <w:rPr>
          <w:rFonts w:hint="eastAsia" w:ascii="宋体" w:hAnsi="宋体" w:eastAsia="宋体"/>
          <w:sz w:val="24"/>
          <w:szCs w:val="18"/>
          <w:highlight w:val="none"/>
          <w:lang w:eastAsia="zh-CN"/>
        </w:rPr>
        <w:t>安徽省气象台2025年算力资源租赁服务项目（二次）</w:t>
      </w:r>
      <w:r>
        <w:rPr>
          <w:rFonts w:hint="eastAsia" w:ascii="宋体" w:hAnsi="宋体" w:eastAsia="宋体"/>
          <w:sz w:val="24"/>
          <w:szCs w:val="18"/>
          <w:highlight w:val="none"/>
        </w:rPr>
        <w:t>，包含：提供计算资源及技术支持服务，用于满足采购方软件平台的运行，并协助采购方软件开发团队共同完成系统的集成与优化。总集群固定X86</w:t>
      </w:r>
      <w:r>
        <w:rPr>
          <w:rFonts w:hint="eastAsia" w:ascii="宋体" w:hAnsi="宋体" w:eastAsia="宋体"/>
          <w:sz w:val="24"/>
          <w:szCs w:val="18"/>
          <w:highlight w:val="none"/>
          <w:lang w:val="en-US" w:eastAsia="zh-CN"/>
        </w:rPr>
        <w:t>架构（或同等级同架构）</w:t>
      </w:r>
      <w:r>
        <w:rPr>
          <w:rFonts w:hint="eastAsia" w:ascii="宋体" w:hAnsi="宋体" w:eastAsia="宋体"/>
          <w:sz w:val="24"/>
          <w:szCs w:val="18"/>
          <w:highlight w:val="none"/>
        </w:rPr>
        <w:t>CPU计算核心不低于20480物理核心，提供独享节点不低于160个；弹性X86</w:t>
      </w:r>
      <w:r>
        <w:rPr>
          <w:rFonts w:hint="eastAsia" w:ascii="宋体" w:hAnsi="宋体" w:eastAsia="宋体"/>
          <w:sz w:val="24"/>
          <w:szCs w:val="18"/>
          <w:highlight w:val="none"/>
          <w:lang w:val="en-US" w:eastAsia="zh-CN"/>
        </w:rPr>
        <w:t>架构（或同等级同架构）</w:t>
      </w:r>
      <w:r>
        <w:rPr>
          <w:rFonts w:hint="eastAsia" w:ascii="宋体" w:hAnsi="宋体" w:eastAsia="宋体"/>
          <w:sz w:val="24"/>
          <w:szCs w:val="18"/>
          <w:highlight w:val="none"/>
        </w:rPr>
        <w:t>CPU计算总核心不低于7680物理核心，使用时独享节点，节点不低于60个。独享云资源租用高性能并行存储2PB；计算网络不低于100Gb/sOPA或IB；为保障高性能运算平台稳定数据高速传输，算力中心到采购方采用冗余裸光纤互联，专线速率不低于100Gbps。同时配合采购方完成对其租用的集群设备所在机柜的位置和网络进行调整，并提供投标计算资源的对应的机柜摆放示意图。投标人需根据安徽省域内气象灾害风险隐患数据，提供专业的气象灾害风险咨询服务，以满足用户对全省各灾种风险区划及气象灾害风险评估。</w:t>
      </w:r>
    </w:p>
    <w:p w14:paraId="265463AC">
      <w:pPr>
        <w:spacing w:line="360" w:lineRule="auto"/>
        <w:ind w:firstLine="435"/>
        <w:rPr>
          <w:rFonts w:hint="eastAsia" w:ascii="宋体" w:hAnsi="宋体" w:eastAsia="宋体"/>
          <w:sz w:val="24"/>
          <w:szCs w:val="18"/>
          <w:highlight w:val="none"/>
          <w:lang w:eastAsia="zh-CN"/>
        </w:rPr>
      </w:pPr>
      <w:r>
        <w:rPr>
          <w:rFonts w:hint="eastAsia" w:asciiTheme="minorEastAsia" w:hAnsiTheme="minorEastAsia" w:eastAsiaTheme="minorEastAsia"/>
          <w:sz w:val="24"/>
          <w:highlight w:val="none"/>
        </w:rPr>
        <w:t>6.合同履行期限：</w:t>
      </w:r>
      <w:r>
        <w:rPr>
          <w:rFonts w:hint="eastAsia" w:asciiTheme="minorEastAsia" w:hAnsiTheme="minorEastAsia" w:eastAsiaTheme="minorEastAsia"/>
          <w:sz w:val="24"/>
          <w:highlight w:val="none"/>
          <w:lang w:val="en-US" w:eastAsia="zh-CN"/>
        </w:rPr>
        <w:t>服务期</w:t>
      </w:r>
      <w:r>
        <w:rPr>
          <w:rFonts w:hint="eastAsia" w:ascii="宋体" w:hAnsi="宋体" w:eastAsia="宋体"/>
          <w:sz w:val="24"/>
          <w:szCs w:val="18"/>
          <w:highlight w:val="none"/>
        </w:rPr>
        <w:t>1年</w:t>
      </w:r>
      <w:r>
        <w:rPr>
          <w:rFonts w:hint="eastAsia" w:ascii="宋体" w:hAnsi="宋体" w:eastAsia="宋体"/>
          <w:sz w:val="24"/>
          <w:szCs w:val="18"/>
          <w:highlight w:val="none"/>
          <w:lang w:eastAsia="zh-CN"/>
        </w:rPr>
        <w:t>。</w:t>
      </w:r>
    </w:p>
    <w:p w14:paraId="684A9BC4">
      <w:pPr>
        <w:spacing w:line="360" w:lineRule="auto"/>
        <w:ind w:firstLine="435"/>
        <w:rPr>
          <w:rFonts w:hint="default"/>
          <w:highlight w:val="none"/>
          <w:lang w:val="en-US" w:eastAsia="zh-CN"/>
        </w:rPr>
      </w:pPr>
      <w:r>
        <w:rPr>
          <w:rFonts w:hint="eastAsia" w:ascii="宋体" w:hAnsi="宋体" w:eastAsia="宋体"/>
          <w:sz w:val="24"/>
          <w:szCs w:val="18"/>
          <w:highlight w:val="none"/>
          <w:lang w:val="en-US" w:eastAsia="zh-CN"/>
        </w:rPr>
        <w:t>本项目为延续性项目，上期整个服务期限为一年（2024年6月30日至2025年6月30日止）。目前仍由原服务单位继续提供服务，服务至本次采购中标单位签订合同为止，中标单位需依照原服务单位实际服务的超出天数，支付相应的服务费用给原服务单位。</w:t>
      </w:r>
    </w:p>
    <w:p w14:paraId="30A0FA3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7.本项目不接受联合体投标。</w:t>
      </w:r>
    </w:p>
    <w:p w14:paraId="2AAAFCE6">
      <w:pPr>
        <w:spacing w:line="360" w:lineRule="auto"/>
        <w:ind w:firstLine="437"/>
        <w:outlineLvl w:val="1"/>
        <w:rPr>
          <w:rFonts w:hint="eastAsia" w:ascii="宋体" w:hAnsi="宋体" w:eastAsia="宋体"/>
          <w:b/>
          <w:bCs/>
          <w:sz w:val="24"/>
          <w:szCs w:val="18"/>
          <w:highlight w:val="none"/>
        </w:rPr>
      </w:pPr>
      <w:bookmarkStart w:id="4" w:name="_Toc13530"/>
      <w:bookmarkStart w:id="5" w:name="_Toc9204"/>
      <w:r>
        <w:rPr>
          <w:rFonts w:hint="eastAsia" w:ascii="宋体" w:hAnsi="宋体" w:eastAsia="宋体"/>
          <w:b/>
          <w:bCs/>
          <w:sz w:val="24"/>
          <w:szCs w:val="18"/>
          <w:highlight w:val="none"/>
        </w:rPr>
        <w:t>二、</w:t>
      </w:r>
      <w:bookmarkEnd w:id="4"/>
      <w:r>
        <w:rPr>
          <w:rFonts w:hint="eastAsia" w:ascii="宋体" w:hAnsi="宋体" w:eastAsia="宋体"/>
          <w:b/>
          <w:bCs/>
          <w:sz w:val="24"/>
          <w:szCs w:val="18"/>
          <w:highlight w:val="none"/>
        </w:rPr>
        <w:t>申请人的资格要求</w:t>
      </w:r>
      <w:bookmarkEnd w:id="5"/>
    </w:p>
    <w:p w14:paraId="7CB4C7E3">
      <w:pPr>
        <w:spacing w:line="360" w:lineRule="auto"/>
        <w:ind w:firstLine="435"/>
        <w:rPr>
          <w:rFonts w:hint="eastAsia" w:asciiTheme="minorEastAsia" w:hAnsiTheme="minorEastAsia" w:eastAsiaTheme="minorEastAsia"/>
          <w:sz w:val="24"/>
          <w:highlight w:val="none"/>
        </w:rPr>
      </w:pPr>
      <w:bookmarkStart w:id="6" w:name="_Toc30110"/>
      <w:r>
        <w:rPr>
          <w:rFonts w:hint="eastAsia" w:asciiTheme="minorEastAsia" w:hAnsiTheme="minorEastAsia" w:eastAsiaTheme="minorEastAsia"/>
          <w:sz w:val="24"/>
          <w:highlight w:val="none"/>
        </w:rPr>
        <w:t>1.满足《中华人民共和国政府采购法》第二十二条规定；</w:t>
      </w:r>
    </w:p>
    <w:p w14:paraId="3E65427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2.落实政府采购政策需满足的资格要求：</w:t>
      </w:r>
    </w:p>
    <w:p w14:paraId="4DB43BA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2.1中小企业政策：本项目不专门面向中小企业预留采购份额。</w:t>
      </w:r>
    </w:p>
    <w:p w14:paraId="16606C4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项目符合财政部、工业和信息化部制定的《政府采购促进中小企业发展管理办法》第六条第三款（按照本办法规定预留采购份额无法确保充分供应、充分竞争，或者存在可能影响政府采购目标实现的情形）之规定，为非专门面向中小企业采购项目。若中小企业对此有质疑，可按以下渠道递交质疑：以书面材料递交至采购人或采购代理机构处。</w:t>
      </w:r>
    </w:p>
    <w:p w14:paraId="0C25A826">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2.2</w:t>
      </w:r>
      <w:r>
        <w:rPr>
          <w:rFonts w:hint="eastAsia" w:asciiTheme="minorEastAsia" w:hAnsiTheme="minorEastAsia" w:eastAsiaTheme="minorEastAsia"/>
          <w:sz w:val="24"/>
          <w:highlight w:val="none"/>
        </w:rPr>
        <w:t>其它落实政府采购政策的资格要求（如有）：/。</w:t>
      </w:r>
    </w:p>
    <w:p w14:paraId="1BB0659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3.本项目的特定资格要求：/。</w:t>
      </w:r>
    </w:p>
    <w:p w14:paraId="59352226">
      <w:pPr>
        <w:spacing w:line="360" w:lineRule="auto"/>
        <w:ind w:firstLine="437"/>
        <w:outlineLvl w:val="1"/>
        <w:rPr>
          <w:rFonts w:hint="eastAsia" w:ascii="宋体" w:hAnsi="宋体" w:eastAsia="宋体"/>
          <w:b/>
          <w:bCs/>
          <w:sz w:val="24"/>
          <w:szCs w:val="18"/>
          <w:highlight w:val="none"/>
        </w:rPr>
      </w:pPr>
      <w:bookmarkStart w:id="7" w:name="_Toc21681"/>
      <w:r>
        <w:rPr>
          <w:rFonts w:hint="eastAsia" w:ascii="宋体" w:hAnsi="宋体" w:eastAsia="宋体"/>
          <w:b/>
          <w:bCs/>
          <w:sz w:val="24"/>
          <w:szCs w:val="18"/>
          <w:highlight w:val="none"/>
        </w:rPr>
        <w:t>三、</w:t>
      </w:r>
      <w:bookmarkEnd w:id="6"/>
      <w:r>
        <w:rPr>
          <w:rFonts w:hint="eastAsia" w:ascii="宋体" w:hAnsi="宋体" w:eastAsia="宋体"/>
          <w:b/>
          <w:bCs/>
          <w:sz w:val="24"/>
          <w:szCs w:val="18"/>
          <w:highlight w:val="none"/>
        </w:rPr>
        <w:t>获取招标文件</w:t>
      </w:r>
      <w:bookmarkEnd w:id="7"/>
    </w:p>
    <w:p w14:paraId="666BE7AA">
      <w:pPr>
        <w:spacing w:line="360" w:lineRule="auto"/>
        <w:ind w:firstLine="540"/>
        <w:rPr>
          <w:rFonts w:hint="eastAsia" w:asciiTheme="minorEastAsia" w:hAnsiTheme="minorEastAsia" w:eastAsiaTheme="minorEastAsia" w:cstheme="minorEastAsia"/>
          <w:i/>
          <w:iCs/>
          <w:sz w:val="24"/>
          <w:szCs w:val="24"/>
          <w:highlight w:val="none"/>
        </w:rPr>
      </w:pPr>
      <w:bookmarkStart w:id="8" w:name="_Toc7957"/>
      <w:r>
        <w:rPr>
          <w:rFonts w:hint="eastAsia" w:asciiTheme="minorEastAsia" w:hAnsiTheme="minorEastAsia" w:eastAsiaTheme="minorEastAsia" w:cstheme="minorEastAsia"/>
          <w:sz w:val="24"/>
          <w:szCs w:val="24"/>
          <w:highlight w:val="none"/>
        </w:rPr>
        <w:t>时间：2025年0</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日至2025年0</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27</w:t>
      </w:r>
      <w:r>
        <w:rPr>
          <w:rFonts w:hint="eastAsia" w:asciiTheme="minorEastAsia" w:hAnsiTheme="minorEastAsia" w:eastAsiaTheme="minorEastAsia" w:cstheme="minorEastAsia"/>
          <w:sz w:val="24"/>
          <w:szCs w:val="24"/>
          <w:highlight w:val="none"/>
        </w:rPr>
        <w:t>日，每天上午00:00至12:00，下午12:00至23:59</w:t>
      </w:r>
      <w:r>
        <w:rPr>
          <w:rFonts w:hint="eastAsia" w:asciiTheme="minorEastAsia" w:hAnsiTheme="minorEastAsia" w:eastAsiaTheme="minorEastAsia" w:cstheme="minorEastAsia"/>
          <w:i/>
          <w:iCs/>
          <w:sz w:val="24"/>
          <w:szCs w:val="24"/>
          <w:highlight w:val="none"/>
        </w:rPr>
        <w:t>（北京时间，法定节假日除外）</w:t>
      </w:r>
    </w:p>
    <w:p w14:paraId="54A3591F">
      <w:pPr>
        <w:spacing w:line="360" w:lineRule="auto"/>
        <w:ind w:firstLine="540"/>
        <w:rPr>
          <w:rFonts w:hint="eastAsia" w:ascii="宋体" w:hAnsi="宋体" w:eastAsia="宋体"/>
          <w:sz w:val="24"/>
          <w:szCs w:val="18"/>
          <w:highlight w:val="none"/>
        </w:rPr>
      </w:pPr>
      <w:r>
        <w:rPr>
          <w:rFonts w:hint="eastAsia" w:asciiTheme="minorEastAsia" w:hAnsiTheme="minorEastAsia" w:eastAsiaTheme="minorEastAsia" w:cstheme="minorEastAsia"/>
          <w:sz w:val="24"/>
          <w:szCs w:val="24"/>
          <w:highlight w:val="none"/>
        </w:rPr>
        <w:t>地点：</w:t>
      </w:r>
      <w:r>
        <w:rPr>
          <w:rFonts w:hint="eastAsia" w:ascii="宋体" w:hAnsi="宋体" w:eastAsia="宋体"/>
          <w:sz w:val="24"/>
          <w:szCs w:val="18"/>
          <w:highlight w:val="none"/>
        </w:rPr>
        <w:t>“徽采云”电子交易系统</w:t>
      </w:r>
    </w:p>
    <w:p w14:paraId="199ED77A">
      <w:pPr>
        <w:spacing w:line="360" w:lineRule="auto"/>
        <w:ind w:firstLine="540"/>
        <w:rPr>
          <w:rFonts w:hint="eastAsia" w:ascii="宋体" w:hAnsi="宋体" w:eastAsia="宋体"/>
          <w:sz w:val="24"/>
          <w:szCs w:val="18"/>
          <w:highlight w:val="none"/>
        </w:rPr>
      </w:pPr>
      <w:r>
        <w:rPr>
          <w:rFonts w:hint="eastAsia" w:asciiTheme="minorEastAsia" w:hAnsiTheme="minorEastAsia" w:eastAsiaTheme="minorEastAsia" w:cstheme="minorEastAsia"/>
          <w:sz w:val="24"/>
          <w:szCs w:val="24"/>
          <w:highlight w:val="none"/>
        </w:rPr>
        <w:t>方式：</w:t>
      </w:r>
      <w:r>
        <w:rPr>
          <w:rFonts w:hint="eastAsia" w:ascii="宋体" w:hAnsi="宋体" w:eastAsia="宋体"/>
          <w:sz w:val="24"/>
          <w:szCs w:val="18"/>
          <w:highlight w:val="none"/>
        </w:rPr>
        <w:t>1、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7DBD154B">
      <w:pPr>
        <w:spacing w:line="360" w:lineRule="auto"/>
        <w:ind w:firstLine="540"/>
        <w:rPr>
          <w:rFonts w:hint="eastAsia" w:ascii="宋体" w:hAnsi="宋体" w:eastAsia="宋体"/>
          <w:sz w:val="24"/>
          <w:szCs w:val="18"/>
          <w:highlight w:val="none"/>
        </w:rPr>
      </w:pPr>
      <w:r>
        <w:rPr>
          <w:rFonts w:hint="eastAsia" w:ascii="宋体" w:hAnsi="宋体" w:eastAsia="宋体"/>
          <w:sz w:val="24"/>
          <w:szCs w:val="18"/>
          <w:highlight w:val="none"/>
        </w:rPr>
        <w:t>2、采购文件获取过程中有任何疑问，请在工作时间（8：00-18:00节假日休息）拨打技术支持热线（非项目咨询）：95763。</w:t>
      </w:r>
    </w:p>
    <w:p w14:paraId="59E6E45E">
      <w:pPr>
        <w:spacing w:line="360" w:lineRule="auto"/>
        <w:ind w:firstLine="540"/>
        <w:rPr>
          <w:rFonts w:hint="eastAsia" w:asciiTheme="minorEastAsia" w:hAnsiTheme="minorEastAsia" w:eastAsiaTheme="minorEastAsia" w:cstheme="minorEastAsia"/>
          <w:sz w:val="24"/>
          <w:szCs w:val="24"/>
          <w:highlight w:val="none"/>
        </w:rPr>
      </w:pPr>
      <w:r>
        <w:rPr>
          <w:rFonts w:hint="eastAsia" w:ascii="宋体" w:hAnsi="宋体" w:eastAsia="宋体"/>
          <w:sz w:val="24"/>
          <w:szCs w:val="18"/>
          <w:highlight w:val="none"/>
        </w:rPr>
        <w:t>项目咨询请拨打电话：0551-65149581-657、18756962615。</w:t>
      </w:r>
    </w:p>
    <w:p w14:paraId="09D3C963">
      <w:pPr>
        <w:spacing w:line="360" w:lineRule="auto"/>
        <w:ind w:firstLine="437"/>
        <w:outlineLvl w:val="1"/>
        <w:rPr>
          <w:rFonts w:hint="eastAsia" w:ascii="宋体" w:hAnsi="宋体" w:eastAsia="宋体"/>
          <w:b/>
          <w:bCs/>
          <w:sz w:val="24"/>
          <w:szCs w:val="18"/>
          <w:highlight w:val="none"/>
        </w:rPr>
      </w:pPr>
      <w:bookmarkStart w:id="9" w:name="_Toc25902"/>
      <w:r>
        <w:rPr>
          <w:rFonts w:hint="eastAsia" w:ascii="宋体" w:hAnsi="宋体" w:eastAsia="宋体"/>
          <w:b/>
          <w:bCs/>
          <w:sz w:val="24"/>
          <w:szCs w:val="18"/>
          <w:highlight w:val="none"/>
        </w:rPr>
        <w:t>四、</w:t>
      </w:r>
      <w:bookmarkEnd w:id="8"/>
      <w:r>
        <w:rPr>
          <w:rFonts w:hint="eastAsia" w:ascii="宋体" w:hAnsi="宋体" w:eastAsia="宋体"/>
          <w:b/>
          <w:bCs/>
          <w:sz w:val="24"/>
          <w:szCs w:val="18"/>
          <w:highlight w:val="none"/>
        </w:rPr>
        <w:t>提交投标文件截止时间、开标时间和地点</w:t>
      </w:r>
      <w:bookmarkEnd w:id="9"/>
    </w:p>
    <w:p w14:paraId="1CE18946">
      <w:pPr>
        <w:spacing w:line="360" w:lineRule="auto"/>
        <w:ind w:firstLine="480" w:firstLineChars="200"/>
        <w:rPr>
          <w:rFonts w:hint="eastAsia" w:asciiTheme="minorEastAsia" w:hAnsiTheme="minorEastAsia" w:eastAsiaTheme="minorEastAsia" w:cstheme="minorEastAsia"/>
          <w:bCs/>
          <w:sz w:val="24"/>
          <w:szCs w:val="24"/>
          <w:highlight w:val="none"/>
        </w:rPr>
      </w:pPr>
      <w:bookmarkStart w:id="10" w:name="_Toc5082"/>
      <w:r>
        <w:rPr>
          <w:rFonts w:hint="eastAsia" w:asciiTheme="minorEastAsia" w:hAnsiTheme="minorEastAsia" w:eastAsiaTheme="minorEastAsia" w:cstheme="minorEastAsia"/>
          <w:bCs/>
          <w:sz w:val="24"/>
          <w:szCs w:val="24"/>
          <w:highlight w:val="none"/>
        </w:rPr>
        <w:t>2025年</w:t>
      </w:r>
      <w:r>
        <w:rPr>
          <w:rFonts w:hint="eastAsia" w:asciiTheme="minorEastAsia" w:hAnsiTheme="minorEastAsia" w:eastAsiaTheme="minorEastAsia" w:cstheme="minorEastAsia"/>
          <w:bCs/>
          <w:sz w:val="24"/>
          <w:szCs w:val="24"/>
          <w:highlight w:val="none"/>
          <w:lang w:val="en-US" w:eastAsia="zh-CN"/>
        </w:rPr>
        <w:t>07</w:t>
      </w:r>
      <w:r>
        <w:rPr>
          <w:rFonts w:hint="eastAsia" w:asciiTheme="minorEastAsia" w:hAnsiTheme="minorEastAsia" w:eastAsiaTheme="minorEastAsia" w:cstheme="minorEastAsia"/>
          <w:bCs/>
          <w:sz w:val="24"/>
          <w:szCs w:val="24"/>
          <w:highlight w:val="none"/>
        </w:rPr>
        <w:t>月</w:t>
      </w:r>
      <w:r>
        <w:rPr>
          <w:rFonts w:hint="eastAsia" w:asciiTheme="minorEastAsia" w:hAnsiTheme="minorEastAsia" w:eastAsiaTheme="minorEastAsia" w:cstheme="minorEastAsia"/>
          <w:bCs/>
          <w:sz w:val="24"/>
          <w:szCs w:val="24"/>
          <w:highlight w:val="none"/>
          <w:lang w:val="en-US" w:eastAsia="zh-CN"/>
        </w:rPr>
        <w:t>10</w:t>
      </w:r>
      <w:r>
        <w:rPr>
          <w:rFonts w:hint="eastAsia" w:asciiTheme="minorEastAsia" w:hAnsiTheme="minorEastAsia" w:eastAsiaTheme="minorEastAsia" w:cstheme="minorEastAsia"/>
          <w:bCs/>
          <w:sz w:val="24"/>
          <w:szCs w:val="24"/>
          <w:highlight w:val="none"/>
        </w:rPr>
        <w:t>日</w:t>
      </w:r>
      <w:r>
        <w:rPr>
          <w:rFonts w:hint="eastAsia" w:asciiTheme="minorEastAsia" w:hAnsiTheme="minorEastAsia" w:eastAsiaTheme="minorEastAsia" w:cstheme="minorEastAsia"/>
          <w:bCs/>
          <w:sz w:val="24"/>
          <w:szCs w:val="24"/>
          <w:highlight w:val="none"/>
          <w:lang w:val="en-US" w:eastAsia="zh-CN"/>
        </w:rPr>
        <w:t>14</w:t>
      </w:r>
      <w:r>
        <w:rPr>
          <w:rFonts w:hint="eastAsia" w:asciiTheme="minorEastAsia" w:hAnsiTheme="minorEastAsia" w:eastAsiaTheme="minorEastAsia" w:cstheme="minorEastAsia"/>
          <w:bCs/>
          <w:sz w:val="24"/>
          <w:szCs w:val="24"/>
          <w:highlight w:val="none"/>
        </w:rPr>
        <w:t>点30分</w:t>
      </w:r>
      <w:r>
        <w:rPr>
          <w:rFonts w:hint="eastAsia" w:asciiTheme="minorEastAsia" w:hAnsiTheme="minorEastAsia" w:eastAsiaTheme="minorEastAsia" w:cstheme="minorEastAsia"/>
          <w:bCs/>
          <w:i/>
          <w:iCs/>
          <w:sz w:val="24"/>
          <w:szCs w:val="24"/>
          <w:highlight w:val="none"/>
        </w:rPr>
        <w:t>（北京时间）</w:t>
      </w:r>
    </w:p>
    <w:p w14:paraId="135BFFA6">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地点：</w:t>
      </w:r>
      <w:r>
        <w:rPr>
          <w:rFonts w:hint="eastAsia" w:ascii="宋体" w:hAnsi="宋体" w:eastAsia="宋体"/>
          <w:sz w:val="24"/>
          <w:szCs w:val="18"/>
          <w:highlight w:val="none"/>
        </w:rPr>
        <w:t>“徽采云”电子交易系统</w:t>
      </w:r>
    </w:p>
    <w:p w14:paraId="4B6B4624">
      <w:pPr>
        <w:spacing w:line="360" w:lineRule="auto"/>
        <w:ind w:firstLine="437"/>
        <w:outlineLvl w:val="1"/>
        <w:rPr>
          <w:rFonts w:hint="eastAsia" w:ascii="宋体" w:hAnsi="宋体" w:eastAsia="宋体"/>
          <w:b/>
          <w:bCs/>
          <w:sz w:val="24"/>
          <w:szCs w:val="18"/>
          <w:highlight w:val="none"/>
        </w:rPr>
      </w:pPr>
      <w:bookmarkStart w:id="11" w:name="_Toc7753"/>
      <w:r>
        <w:rPr>
          <w:rFonts w:hint="eastAsia" w:ascii="宋体" w:hAnsi="宋体" w:eastAsia="宋体"/>
          <w:b/>
          <w:bCs/>
          <w:sz w:val="24"/>
          <w:szCs w:val="18"/>
          <w:highlight w:val="none"/>
        </w:rPr>
        <w:t>五、</w:t>
      </w:r>
      <w:bookmarkEnd w:id="10"/>
      <w:r>
        <w:rPr>
          <w:rFonts w:hint="eastAsia" w:ascii="宋体" w:hAnsi="宋体" w:eastAsia="宋体"/>
          <w:b/>
          <w:bCs/>
          <w:sz w:val="24"/>
          <w:szCs w:val="18"/>
          <w:highlight w:val="none"/>
        </w:rPr>
        <w:t>公告期限</w:t>
      </w:r>
      <w:bookmarkEnd w:id="11"/>
    </w:p>
    <w:p w14:paraId="6D6EADD0">
      <w:pPr>
        <w:spacing w:line="360" w:lineRule="auto"/>
        <w:ind w:firstLine="437"/>
        <w:rPr>
          <w:rFonts w:hint="eastAsia" w:ascii="宋体" w:hAnsi="宋体" w:eastAsia="宋体"/>
          <w:sz w:val="24"/>
          <w:szCs w:val="18"/>
          <w:highlight w:val="none"/>
        </w:rPr>
      </w:pPr>
      <w:bookmarkStart w:id="12" w:name="_Toc1215"/>
      <w:r>
        <w:rPr>
          <w:rFonts w:hint="eastAsia" w:ascii="宋体" w:hAnsi="宋体" w:eastAsia="宋体"/>
          <w:sz w:val="24"/>
          <w:szCs w:val="18"/>
          <w:highlight w:val="none"/>
        </w:rPr>
        <w:t>自本公告发布之日起5个工作日。</w:t>
      </w:r>
    </w:p>
    <w:p w14:paraId="4A0F037E">
      <w:pPr>
        <w:spacing w:line="360" w:lineRule="auto"/>
        <w:ind w:firstLine="437"/>
        <w:outlineLvl w:val="1"/>
        <w:rPr>
          <w:rFonts w:hint="eastAsia" w:ascii="宋体" w:hAnsi="宋体" w:eastAsia="宋体"/>
          <w:b/>
          <w:bCs/>
          <w:sz w:val="24"/>
          <w:szCs w:val="18"/>
          <w:highlight w:val="none"/>
        </w:rPr>
      </w:pPr>
      <w:bookmarkStart w:id="13" w:name="_Toc35393626"/>
      <w:bookmarkStart w:id="14" w:name="_Toc31539"/>
      <w:bookmarkStart w:id="15" w:name="_Toc35393795"/>
      <w:r>
        <w:rPr>
          <w:rFonts w:hint="eastAsia" w:ascii="宋体" w:hAnsi="宋体" w:eastAsia="宋体"/>
          <w:b/>
          <w:bCs/>
          <w:sz w:val="24"/>
          <w:szCs w:val="18"/>
          <w:highlight w:val="none"/>
        </w:rPr>
        <w:t>六、其他补充事宜</w:t>
      </w:r>
      <w:bookmarkEnd w:id="13"/>
      <w:bookmarkEnd w:id="14"/>
      <w:bookmarkEnd w:id="15"/>
    </w:p>
    <w:p w14:paraId="3D05C739">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1.本项目落实节能环保、中小微型企业扶持等相关政府采购政策。</w:t>
      </w:r>
    </w:p>
    <w:p w14:paraId="21B8B65E">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2.本次招标公告同时在安徽省政府采购网、安徽省招标投标信息网、中国政府采购网、中国招标投标公共服务平台上发布。</w:t>
      </w:r>
    </w:p>
    <w:p w14:paraId="4638F3C3">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3.投标人应合理安排招标文件获取时间，特别是网络速度慢的地区防止在系统关闭前网络拥堵无法操作。如果因计算机及网络故障造成无法完成招标文件获取，责任自负。</w:t>
      </w:r>
    </w:p>
    <w:p w14:paraId="11EC61D9">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4.投标文件的提交要求:投标人应当在投标文件提交截止时间前通过“徽采云”电子交易系统上传加密的电子投标文件，未在投标文件提交截止时间前完成上传的，视为逾期送达，拒绝接收。</w:t>
      </w:r>
    </w:p>
    <w:p w14:paraId="34728BCA">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5.电子招投标的说明</w:t>
      </w:r>
    </w:p>
    <w:p w14:paraId="29698293">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5.1电子招投标：本项目以数据电文形式，依托“徽采云”电子交易系统进行招投标活动；</w:t>
      </w:r>
    </w:p>
    <w:p w14:paraId="02DE13EB">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5.2投标准备：注册账号--详情参见“徽采云”平台供应商注册与配置手册“第2章入驻操作流程”</w:t>
      </w:r>
    </w:p>
    <w:p w14:paraId="4FC31219">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099A3AFA">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5.3招标文件的获取：使用CA登录“徽采云”电子交易系统；进入“项目采购”应用，在获取采购文件菜单中选择项目，获取招标文件；</w:t>
      </w:r>
    </w:p>
    <w:p w14:paraId="7CD53FE4">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5.4投标文件的制作：在“徽采云投标客户端”中完成“填写基本信息”、“制作和导入投标（响应）文件”、“标书关联”、“标书检查”、“电子签名”、“生成电子标书”等操作；</w:t>
      </w:r>
    </w:p>
    <w:p w14:paraId="1C00FB13">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5.5投标文件的上传：使用CA登录“徽采云”电子交易系统；进入“项目采购”应用，在投标文件上传菜单中选择项目，上传加密的投标文件（*.jmbs）；</w:t>
      </w:r>
    </w:p>
    <w:p w14:paraId="6CACDB72">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5.6投标文件的解密：投标人按照系统提示和招标文件规定,在规定时间内完成在线解密；</w:t>
      </w:r>
    </w:p>
    <w:p w14:paraId="3E6B928F">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5.7“徽采云”电子交易系统具体操作指南：详见安徽省政府采购网-徽采学院-电子交易系统学习专题-供应商-操作手册。</w:t>
      </w:r>
    </w:p>
    <w:p w14:paraId="3FE25263">
      <w:pPr>
        <w:pStyle w:val="11"/>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5.8 CA问题联系电话：安徽CA 400-880-4959；翔晟CA 0551-68105136。</w:t>
      </w:r>
    </w:p>
    <w:bookmarkEnd w:id="12"/>
    <w:p w14:paraId="687F8305">
      <w:pPr>
        <w:spacing w:line="360" w:lineRule="auto"/>
        <w:ind w:firstLine="437"/>
        <w:outlineLvl w:val="1"/>
        <w:rPr>
          <w:rFonts w:hint="eastAsia" w:ascii="宋体" w:hAnsi="宋体" w:eastAsia="宋体"/>
          <w:b/>
          <w:bCs/>
          <w:sz w:val="24"/>
          <w:szCs w:val="18"/>
          <w:highlight w:val="none"/>
        </w:rPr>
      </w:pPr>
      <w:bookmarkStart w:id="16" w:name="_Toc7265"/>
      <w:bookmarkStart w:id="17" w:name="_Toc13296"/>
      <w:r>
        <w:rPr>
          <w:rFonts w:hint="eastAsia" w:ascii="宋体" w:hAnsi="宋体" w:eastAsia="宋体"/>
          <w:b/>
          <w:bCs/>
          <w:sz w:val="24"/>
          <w:szCs w:val="18"/>
          <w:highlight w:val="none"/>
        </w:rPr>
        <w:t>七、</w:t>
      </w:r>
      <w:bookmarkEnd w:id="16"/>
      <w:r>
        <w:rPr>
          <w:rFonts w:hint="eastAsia" w:ascii="宋体" w:hAnsi="宋体" w:eastAsia="宋体"/>
          <w:b/>
          <w:bCs/>
          <w:sz w:val="24"/>
          <w:szCs w:val="18"/>
          <w:highlight w:val="none"/>
        </w:rPr>
        <w:t>对本次招标提出询问，请按以下方式联系</w:t>
      </w:r>
      <w:bookmarkEnd w:id="17"/>
    </w:p>
    <w:p w14:paraId="7ED23599">
      <w:pPr>
        <w:spacing w:line="360" w:lineRule="auto"/>
        <w:ind w:firstLine="437"/>
        <w:outlineLvl w:val="2"/>
        <w:rPr>
          <w:rFonts w:hint="eastAsia" w:ascii="宋体" w:hAnsi="宋体" w:eastAsia="宋体"/>
          <w:sz w:val="24"/>
          <w:szCs w:val="18"/>
          <w:highlight w:val="none"/>
        </w:rPr>
      </w:pPr>
      <w:r>
        <w:rPr>
          <w:rFonts w:hint="eastAsia" w:ascii="宋体" w:hAnsi="宋体" w:eastAsia="宋体"/>
          <w:sz w:val="24"/>
          <w:szCs w:val="18"/>
          <w:highlight w:val="none"/>
        </w:rPr>
        <w:t>1.采购人信息</w:t>
      </w:r>
    </w:p>
    <w:p w14:paraId="615F262A">
      <w:pPr>
        <w:spacing w:line="360" w:lineRule="auto"/>
        <w:ind w:firstLine="435"/>
        <w:rPr>
          <w:rFonts w:hint="eastAsia" w:ascii="宋体" w:hAnsi="宋体" w:eastAsia="宋体"/>
          <w:sz w:val="24"/>
          <w:szCs w:val="18"/>
          <w:highlight w:val="none"/>
        </w:rPr>
      </w:pPr>
      <w:r>
        <w:rPr>
          <w:rFonts w:hint="eastAsia" w:ascii="宋体" w:hAnsi="宋体" w:eastAsia="宋体" w:cs="宋体"/>
          <w:sz w:val="24"/>
          <w:szCs w:val="24"/>
          <w:highlight w:val="none"/>
        </w:rPr>
        <w:t>名  称</w:t>
      </w:r>
      <w:r>
        <w:rPr>
          <w:rFonts w:hint="eastAsia" w:ascii="宋体" w:hAnsi="宋体" w:eastAsia="宋体"/>
          <w:sz w:val="24"/>
          <w:szCs w:val="18"/>
          <w:highlight w:val="none"/>
        </w:rPr>
        <w:t>：安徽省气象台</w:t>
      </w:r>
    </w:p>
    <w:p w14:paraId="1A481591">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 xml:space="preserve">地 </w:t>
      </w:r>
      <w:r>
        <w:rPr>
          <w:rFonts w:ascii="宋体" w:hAnsi="宋体" w:eastAsia="宋体"/>
          <w:sz w:val="24"/>
          <w:szCs w:val="18"/>
          <w:highlight w:val="none"/>
        </w:rPr>
        <w:t xml:space="preserve"> </w:t>
      </w:r>
      <w:r>
        <w:rPr>
          <w:rFonts w:hint="eastAsia" w:ascii="宋体" w:hAnsi="宋体" w:eastAsia="宋体"/>
          <w:sz w:val="24"/>
          <w:szCs w:val="18"/>
          <w:highlight w:val="none"/>
        </w:rPr>
        <w:t>址：安徽省合肥市史河路16号</w:t>
      </w:r>
    </w:p>
    <w:p w14:paraId="5A701C43">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联系人：朱先生</w:t>
      </w:r>
    </w:p>
    <w:p w14:paraId="19F92636">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联系方式：0551-62290289</w:t>
      </w:r>
    </w:p>
    <w:p w14:paraId="063BA05D">
      <w:pPr>
        <w:spacing w:line="360" w:lineRule="auto"/>
        <w:ind w:firstLine="437"/>
        <w:outlineLvl w:val="2"/>
        <w:rPr>
          <w:rFonts w:hint="eastAsia" w:ascii="宋体" w:hAnsi="宋体" w:eastAsia="宋体"/>
          <w:sz w:val="24"/>
          <w:szCs w:val="18"/>
          <w:highlight w:val="none"/>
        </w:rPr>
      </w:pPr>
      <w:r>
        <w:rPr>
          <w:rFonts w:ascii="宋体" w:hAnsi="宋体" w:eastAsia="宋体"/>
          <w:sz w:val="24"/>
          <w:szCs w:val="18"/>
          <w:highlight w:val="none"/>
        </w:rPr>
        <w:t>2.采购代理机构</w:t>
      </w:r>
      <w:r>
        <w:rPr>
          <w:rFonts w:hint="eastAsia" w:ascii="宋体" w:hAnsi="宋体" w:eastAsia="宋体"/>
          <w:sz w:val="24"/>
          <w:szCs w:val="18"/>
          <w:highlight w:val="none"/>
        </w:rPr>
        <w:t>信息</w:t>
      </w:r>
    </w:p>
    <w:p w14:paraId="3883D2D9">
      <w:pPr>
        <w:spacing w:line="360" w:lineRule="auto"/>
        <w:ind w:firstLine="435"/>
        <w:rPr>
          <w:rFonts w:hint="eastAsia" w:ascii="宋体" w:hAnsi="宋体" w:eastAsia="宋体"/>
          <w:sz w:val="24"/>
          <w:szCs w:val="18"/>
          <w:highlight w:val="none"/>
        </w:rPr>
      </w:pPr>
      <w:r>
        <w:rPr>
          <w:rFonts w:hint="eastAsia" w:ascii="宋体" w:hAnsi="宋体" w:eastAsia="宋体" w:cs="宋体"/>
          <w:sz w:val="24"/>
          <w:szCs w:val="24"/>
          <w:highlight w:val="none"/>
        </w:rPr>
        <w:t>名  称</w:t>
      </w:r>
      <w:r>
        <w:rPr>
          <w:rFonts w:hint="eastAsia" w:ascii="宋体" w:hAnsi="宋体" w:eastAsia="宋体"/>
          <w:sz w:val="24"/>
          <w:szCs w:val="18"/>
          <w:highlight w:val="none"/>
        </w:rPr>
        <w:t>：安徽中技工程咨询有限公司</w:t>
      </w:r>
    </w:p>
    <w:p w14:paraId="343C981D">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地</w:t>
      </w:r>
      <w:r>
        <w:rPr>
          <w:rFonts w:ascii="宋体" w:hAnsi="宋体" w:eastAsia="宋体"/>
          <w:sz w:val="24"/>
          <w:szCs w:val="18"/>
          <w:highlight w:val="none"/>
        </w:rPr>
        <w:t xml:space="preserve">  址：</w:t>
      </w:r>
      <w:r>
        <w:rPr>
          <w:rFonts w:hint="eastAsia" w:ascii="宋体" w:hAnsi="宋体" w:eastAsia="宋体"/>
          <w:sz w:val="24"/>
          <w:szCs w:val="18"/>
          <w:highlight w:val="none"/>
        </w:rPr>
        <w:t>合肥市合作化南路27号</w:t>
      </w:r>
    </w:p>
    <w:p w14:paraId="13A45CBE">
      <w:pPr>
        <w:spacing w:line="360" w:lineRule="auto"/>
        <w:ind w:firstLine="435"/>
        <w:rPr>
          <w:rFonts w:hint="eastAsia"/>
          <w:highlight w:val="none"/>
        </w:rPr>
      </w:pPr>
      <w:r>
        <w:rPr>
          <w:rFonts w:hint="eastAsia" w:ascii="宋体" w:hAnsi="宋体" w:eastAsia="宋体"/>
          <w:sz w:val="24"/>
          <w:szCs w:val="18"/>
          <w:highlight w:val="none"/>
        </w:rPr>
        <w:t>联系人：王垚</w:t>
      </w:r>
    </w:p>
    <w:p w14:paraId="23868E16">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联系方式：0551－65149581-657、18756962615</w:t>
      </w:r>
    </w:p>
    <w:p w14:paraId="7C05AA25">
      <w:pPr>
        <w:spacing w:line="360" w:lineRule="auto"/>
        <w:ind w:firstLine="437"/>
        <w:outlineLvl w:val="2"/>
        <w:rPr>
          <w:rFonts w:hint="eastAsia" w:ascii="宋体" w:hAnsi="宋体" w:eastAsia="宋体"/>
          <w:b/>
          <w:sz w:val="24"/>
          <w:szCs w:val="18"/>
          <w:highlight w:val="none"/>
        </w:rPr>
      </w:pPr>
      <w:r>
        <w:rPr>
          <w:rFonts w:hint="eastAsia" w:ascii="宋体" w:hAnsi="宋体" w:eastAsia="宋体"/>
          <w:bCs/>
          <w:sz w:val="24"/>
          <w:szCs w:val="18"/>
          <w:highlight w:val="none"/>
        </w:rPr>
        <w:t>3</w:t>
      </w:r>
      <w:r>
        <w:rPr>
          <w:rFonts w:hint="eastAsia" w:ascii="宋体" w:hAnsi="宋体" w:eastAsia="宋体"/>
          <w:b/>
          <w:sz w:val="24"/>
          <w:szCs w:val="18"/>
          <w:highlight w:val="none"/>
        </w:rPr>
        <w:t>.</w:t>
      </w:r>
      <w:r>
        <w:rPr>
          <w:rFonts w:hint="eastAsia" w:ascii="宋体" w:hAnsi="宋体" w:eastAsia="宋体"/>
          <w:sz w:val="24"/>
          <w:szCs w:val="18"/>
          <w:highlight w:val="none"/>
        </w:rPr>
        <w:t>政府采购监督管理部门信息</w:t>
      </w:r>
    </w:p>
    <w:p w14:paraId="005D4A93">
      <w:pPr>
        <w:spacing w:line="360" w:lineRule="auto"/>
        <w:ind w:firstLine="435"/>
        <w:rPr>
          <w:rFonts w:hint="eastAsia" w:ascii="宋体" w:hAnsi="宋体" w:eastAsia="宋体"/>
          <w:sz w:val="24"/>
          <w:szCs w:val="18"/>
          <w:highlight w:val="none"/>
        </w:rPr>
      </w:pPr>
      <w:r>
        <w:rPr>
          <w:rFonts w:hint="eastAsia" w:ascii="宋体" w:hAnsi="宋体" w:eastAsia="宋体" w:cs="宋体"/>
          <w:sz w:val="24"/>
          <w:szCs w:val="24"/>
          <w:highlight w:val="none"/>
        </w:rPr>
        <w:t>名  称</w:t>
      </w:r>
      <w:r>
        <w:rPr>
          <w:rFonts w:hint="eastAsia" w:ascii="宋体" w:hAnsi="宋体" w:eastAsia="宋体"/>
          <w:sz w:val="24"/>
          <w:szCs w:val="18"/>
          <w:highlight w:val="none"/>
        </w:rPr>
        <w:t>：安徽省财政厅</w:t>
      </w:r>
    </w:p>
    <w:p w14:paraId="1602AA11">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地  址：安徽省合肥市阜南西路238号</w:t>
      </w:r>
    </w:p>
    <w:p w14:paraId="7F431EA6">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联系方式：0551-68150505</w:t>
      </w:r>
    </w:p>
    <w:p w14:paraId="4CFBB1A8">
      <w:pPr>
        <w:widowControl/>
        <w:jc w:val="left"/>
        <w:rPr>
          <w:rFonts w:hint="eastAsia" w:ascii="宋体" w:hAnsi="宋体" w:eastAsia="宋体"/>
          <w:sz w:val="24"/>
          <w:szCs w:val="18"/>
          <w:highlight w:val="none"/>
        </w:rPr>
      </w:pPr>
      <w:r>
        <w:rPr>
          <w:rFonts w:ascii="宋体" w:hAnsi="宋体" w:eastAsia="宋体"/>
          <w:sz w:val="24"/>
          <w:szCs w:val="18"/>
          <w:highlight w:val="none"/>
        </w:rPr>
        <w:br w:type="page"/>
      </w:r>
    </w:p>
    <w:p w14:paraId="6EDB66E6">
      <w:pPr>
        <w:spacing w:line="360" w:lineRule="auto"/>
        <w:jc w:val="center"/>
        <w:outlineLvl w:val="0"/>
        <w:rPr>
          <w:rFonts w:hint="eastAsia" w:asciiTheme="minorEastAsia" w:hAnsiTheme="minorEastAsia" w:eastAsiaTheme="minorEastAsia"/>
          <w:b/>
          <w:sz w:val="28"/>
          <w:highlight w:val="none"/>
        </w:rPr>
      </w:pPr>
      <w:bookmarkStart w:id="18" w:name="_Toc8888"/>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 xml:space="preserve"> </w:t>
      </w:r>
      <w:r>
        <w:rPr>
          <w:rFonts w:asciiTheme="minorEastAsia" w:hAnsiTheme="minorEastAsia" w:eastAsiaTheme="minorEastAsia"/>
          <w:b/>
          <w:sz w:val="28"/>
          <w:highlight w:val="none"/>
        </w:rPr>
        <w:t>投标人须知</w:t>
      </w:r>
      <w:bookmarkEnd w:id="18"/>
    </w:p>
    <w:p w14:paraId="720782D5">
      <w:pPr>
        <w:spacing w:line="360" w:lineRule="auto"/>
        <w:jc w:val="center"/>
        <w:outlineLvl w:val="1"/>
        <w:rPr>
          <w:rFonts w:hint="eastAsia" w:asciiTheme="minorEastAsia" w:hAnsiTheme="minorEastAsia" w:eastAsiaTheme="minorEastAsia"/>
          <w:b/>
          <w:sz w:val="24"/>
          <w:highlight w:val="none"/>
        </w:rPr>
      </w:pPr>
      <w:bookmarkStart w:id="19" w:name="_Toc13589"/>
      <w:bookmarkStart w:id="20" w:name="_Toc7178"/>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投标人须知前附表</w:t>
      </w:r>
      <w:bookmarkEnd w:id="19"/>
      <w:bookmarkEnd w:id="20"/>
    </w:p>
    <w:p w14:paraId="25331A32">
      <w:pPr>
        <w:spacing w:line="360" w:lineRule="auto"/>
        <w:ind w:firstLine="435"/>
        <w:rPr>
          <w:rFonts w:hint="eastAsia"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5"/>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229"/>
        <w:gridCol w:w="6161"/>
      </w:tblGrid>
      <w:tr w14:paraId="1C21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3480AA89">
            <w:pPr>
              <w:pStyle w:val="33"/>
              <w:widowControl w:val="0"/>
              <w:spacing w:before="0" w:beforeAutospacing="0" w:after="0" w:afterAutospacing="0" w:line="360" w:lineRule="auto"/>
              <w:rPr>
                <w:rFonts w:hint="eastAsia" w:ascii="宋体" w:hAnsi="宋体" w:eastAsia="宋体"/>
                <w:bCs w:val="0"/>
                <w:kern w:val="2"/>
                <w:sz w:val="24"/>
                <w:szCs w:val="20"/>
                <w:highlight w:val="none"/>
              </w:rPr>
            </w:pPr>
            <w:r>
              <w:rPr>
                <w:rFonts w:hint="eastAsia" w:ascii="宋体" w:hAnsi="宋体" w:eastAsia="宋体"/>
                <w:bCs w:val="0"/>
                <w:kern w:val="2"/>
                <w:sz w:val="24"/>
                <w:szCs w:val="20"/>
                <w:highlight w:val="none"/>
              </w:rPr>
              <w:t>条款号</w:t>
            </w:r>
          </w:p>
        </w:tc>
        <w:tc>
          <w:tcPr>
            <w:tcW w:w="1174" w:type="pct"/>
            <w:vAlign w:val="center"/>
          </w:tcPr>
          <w:p w14:paraId="471B105A">
            <w:pPr>
              <w:pStyle w:val="33"/>
              <w:widowControl w:val="0"/>
              <w:spacing w:before="0" w:beforeAutospacing="0" w:after="0" w:afterAutospacing="0" w:line="360" w:lineRule="auto"/>
              <w:rPr>
                <w:rFonts w:hint="eastAsia" w:ascii="宋体" w:hAnsi="宋体" w:eastAsia="宋体"/>
                <w:bCs w:val="0"/>
                <w:kern w:val="2"/>
                <w:sz w:val="24"/>
                <w:szCs w:val="20"/>
                <w:highlight w:val="none"/>
              </w:rPr>
            </w:pPr>
            <w:r>
              <w:rPr>
                <w:rFonts w:hint="eastAsia" w:ascii="宋体" w:hAnsi="宋体" w:eastAsia="宋体"/>
                <w:bCs w:val="0"/>
                <w:kern w:val="2"/>
                <w:sz w:val="24"/>
                <w:szCs w:val="20"/>
                <w:highlight w:val="none"/>
              </w:rPr>
              <w:t>条款名称</w:t>
            </w:r>
          </w:p>
        </w:tc>
        <w:tc>
          <w:tcPr>
            <w:tcW w:w="3244" w:type="pct"/>
            <w:vAlign w:val="center"/>
          </w:tcPr>
          <w:p w14:paraId="744F2A94">
            <w:pPr>
              <w:pStyle w:val="33"/>
              <w:widowControl w:val="0"/>
              <w:spacing w:before="0" w:beforeAutospacing="0" w:after="0" w:afterAutospacing="0" w:line="360" w:lineRule="auto"/>
              <w:rPr>
                <w:rFonts w:hint="eastAsia" w:ascii="宋体" w:hAnsi="宋体" w:eastAsia="宋体"/>
                <w:bCs w:val="0"/>
                <w:kern w:val="2"/>
                <w:sz w:val="24"/>
                <w:szCs w:val="20"/>
                <w:highlight w:val="none"/>
              </w:rPr>
            </w:pPr>
            <w:r>
              <w:rPr>
                <w:rFonts w:hint="eastAsia" w:ascii="宋体" w:hAnsi="宋体" w:eastAsia="宋体"/>
                <w:bCs w:val="0"/>
                <w:kern w:val="2"/>
                <w:sz w:val="24"/>
                <w:szCs w:val="20"/>
                <w:highlight w:val="none"/>
              </w:rPr>
              <w:t>内容、说明与要求</w:t>
            </w:r>
          </w:p>
        </w:tc>
      </w:tr>
      <w:tr w14:paraId="6A9F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477E4989">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5</w:t>
            </w:r>
            <w:r>
              <w:rPr>
                <w:rFonts w:ascii="宋体" w:hAnsi="宋体" w:eastAsia="宋体"/>
                <w:bCs/>
                <w:kern w:val="2"/>
                <w:highlight w:val="none"/>
              </w:rPr>
              <w:t>.</w:t>
            </w:r>
            <w:r>
              <w:rPr>
                <w:rFonts w:hint="eastAsia" w:ascii="宋体" w:hAnsi="宋体" w:eastAsia="宋体"/>
                <w:bCs/>
                <w:kern w:val="2"/>
                <w:highlight w:val="none"/>
              </w:rPr>
              <w:t>2</w:t>
            </w:r>
          </w:p>
        </w:tc>
        <w:tc>
          <w:tcPr>
            <w:tcW w:w="1174" w:type="pct"/>
            <w:vAlign w:val="center"/>
          </w:tcPr>
          <w:p w14:paraId="52D7EF39">
            <w:pPr>
              <w:pStyle w:val="33"/>
              <w:widowControl w:val="0"/>
              <w:spacing w:before="0" w:beforeAutospacing="0" w:after="0" w:afterAutospacing="0" w:line="360" w:lineRule="auto"/>
              <w:jc w:val="left"/>
              <w:rPr>
                <w:rFonts w:hint="eastAsia" w:ascii="宋体" w:hAnsi="宋体" w:eastAsia="宋体"/>
                <w:b w:val="0"/>
                <w:sz w:val="24"/>
                <w:highlight w:val="none"/>
              </w:rPr>
            </w:pPr>
            <w:r>
              <w:rPr>
                <w:rFonts w:hint="eastAsia" w:ascii="宋体" w:hAnsi="宋体" w:eastAsia="宋体"/>
                <w:b w:val="0"/>
                <w:kern w:val="2"/>
                <w:sz w:val="24"/>
                <w:szCs w:val="22"/>
                <w:highlight w:val="none"/>
              </w:rPr>
              <w:t>现场考察或标前答疑会</w:t>
            </w:r>
          </w:p>
        </w:tc>
        <w:tc>
          <w:tcPr>
            <w:tcW w:w="3244" w:type="pct"/>
            <w:vAlign w:val="center"/>
          </w:tcPr>
          <w:p w14:paraId="41015179">
            <w:pPr>
              <w:spacing w:line="360" w:lineRule="auto"/>
              <w:rPr>
                <w:rFonts w:hint="eastAsia" w:ascii="宋体" w:hAnsi="宋体" w:eastAsia="宋体"/>
                <w:sz w:val="24"/>
                <w:highlight w:val="none"/>
              </w:rPr>
            </w:pPr>
            <w:r>
              <w:rPr>
                <w:rFonts w:hint="eastAsia" w:ascii="宋体" w:hAnsi="宋体" w:eastAsia="宋体"/>
                <w:bCs/>
                <w:sz w:val="24"/>
                <w:szCs w:val="24"/>
                <w:highlight w:val="none"/>
              </w:rPr>
              <w:t>☑</w:t>
            </w:r>
            <w:r>
              <w:rPr>
                <w:rFonts w:hint="eastAsia" w:ascii="宋体" w:hAnsi="宋体" w:eastAsia="宋体"/>
                <w:sz w:val="24"/>
                <w:highlight w:val="none"/>
              </w:rPr>
              <w:t>不组织或不召开</w:t>
            </w:r>
          </w:p>
        </w:tc>
      </w:tr>
      <w:tr w14:paraId="17AB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7E6AA3F6">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6</w:t>
            </w:r>
            <w:r>
              <w:rPr>
                <w:rFonts w:ascii="宋体" w:hAnsi="宋体" w:eastAsia="宋体"/>
                <w:bCs/>
                <w:kern w:val="2"/>
                <w:highlight w:val="none"/>
              </w:rPr>
              <w:t>.1</w:t>
            </w:r>
          </w:p>
        </w:tc>
        <w:tc>
          <w:tcPr>
            <w:tcW w:w="1174" w:type="pct"/>
            <w:vAlign w:val="center"/>
          </w:tcPr>
          <w:p w14:paraId="5C21177E">
            <w:pPr>
              <w:pStyle w:val="33"/>
              <w:widowControl w:val="0"/>
              <w:spacing w:before="0" w:beforeAutospacing="0" w:after="0" w:afterAutospacing="0" w:line="360" w:lineRule="auto"/>
              <w:jc w:val="left"/>
              <w:rPr>
                <w:rFonts w:hint="eastAsia" w:ascii="宋体" w:hAnsi="宋体" w:eastAsia="宋体"/>
                <w:b w:val="0"/>
                <w:sz w:val="24"/>
                <w:highlight w:val="none"/>
              </w:rPr>
            </w:pPr>
            <w:r>
              <w:rPr>
                <w:rFonts w:hint="eastAsia" w:ascii="宋体" w:hAnsi="宋体" w:eastAsia="宋体"/>
                <w:b w:val="0"/>
                <w:sz w:val="24"/>
                <w:highlight w:val="none"/>
              </w:rPr>
              <w:t>网上询问截止时间</w:t>
            </w:r>
          </w:p>
        </w:tc>
        <w:tc>
          <w:tcPr>
            <w:tcW w:w="3244" w:type="pct"/>
            <w:vAlign w:val="center"/>
          </w:tcPr>
          <w:p w14:paraId="7C8F11D0">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u w:val="single"/>
              </w:rPr>
              <w:t>2025</w:t>
            </w:r>
            <w:r>
              <w:rPr>
                <w:rFonts w:ascii="宋体" w:hAnsi="宋体" w:eastAsia="宋体"/>
                <w:b w:val="0"/>
                <w:sz w:val="24"/>
                <w:highlight w:val="none"/>
              </w:rPr>
              <w:t>年</w:t>
            </w:r>
            <w:r>
              <w:rPr>
                <w:rFonts w:hint="eastAsia" w:ascii="宋体" w:hAnsi="宋体" w:eastAsia="宋体"/>
                <w:b w:val="0"/>
                <w:sz w:val="24"/>
                <w:highlight w:val="none"/>
                <w:u w:val="single"/>
              </w:rPr>
              <w:t>0</w:t>
            </w:r>
            <w:r>
              <w:rPr>
                <w:rFonts w:hint="eastAsia" w:ascii="宋体" w:hAnsi="宋体" w:eastAsia="宋体"/>
                <w:b w:val="0"/>
                <w:sz w:val="24"/>
                <w:highlight w:val="none"/>
                <w:u w:val="single"/>
                <w:lang w:val="en-US" w:eastAsia="zh-CN"/>
              </w:rPr>
              <w:t>6</w:t>
            </w:r>
            <w:r>
              <w:rPr>
                <w:rFonts w:ascii="宋体" w:hAnsi="宋体" w:eastAsia="宋体"/>
                <w:b w:val="0"/>
                <w:sz w:val="24"/>
                <w:highlight w:val="none"/>
              </w:rPr>
              <w:t>月</w:t>
            </w:r>
            <w:r>
              <w:rPr>
                <w:rFonts w:hint="eastAsia" w:ascii="宋体" w:hAnsi="宋体" w:eastAsia="宋体"/>
                <w:b w:val="0"/>
                <w:sz w:val="24"/>
                <w:highlight w:val="none"/>
                <w:u w:val="single"/>
                <w:lang w:val="en-US" w:eastAsia="zh-CN"/>
              </w:rPr>
              <w:t>30</w:t>
            </w:r>
            <w:bookmarkStart w:id="97" w:name="_GoBack"/>
            <w:bookmarkEnd w:id="97"/>
            <w:r>
              <w:rPr>
                <w:rFonts w:ascii="宋体" w:hAnsi="宋体" w:eastAsia="宋体"/>
                <w:b w:val="0"/>
                <w:sz w:val="24"/>
                <w:highlight w:val="none"/>
              </w:rPr>
              <w:t>日</w:t>
            </w:r>
            <w:r>
              <w:rPr>
                <w:rFonts w:hint="eastAsia" w:ascii="宋体" w:hAnsi="宋体" w:eastAsia="宋体"/>
                <w:b w:val="0"/>
                <w:sz w:val="24"/>
                <w:highlight w:val="none"/>
                <w:u w:val="single"/>
                <w:lang w:val="en-US" w:eastAsia="zh-CN"/>
              </w:rPr>
              <w:t>17</w:t>
            </w:r>
            <w:r>
              <w:rPr>
                <w:rFonts w:ascii="宋体" w:hAnsi="宋体" w:eastAsia="宋体"/>
                <w:b w:val="0"/>
                <w:sz w:val="24"/>
                <w:highlight w:val="none"/>
              </w:rPr>
              <w:t>时</w:t>
            </w:r>
            <w:r>
              <w:rPr>
                <w:rFonts w:hint="eastAsia" w:ascii="宋体" w:hAnsi="宋体" w:eastAsia="宋体"/>
                <w:b w:val="0"/>
                <w:sz w:val="24"/>
                <w:highlight w:val="none"/>
                <w:u w:val="single"/>
                <w:lang w:val="en-US" w:eastAsia="zh-CN"/>
              </w:rPr>
              <w:t>00</w:t>
            </w:r>
            <w:r>
              <w:rPr>
                <w:rFonts w:hint="eastAsia" w:ascii="宋体" w:hAnsi="宋体" w:eastAsia="宋体"/>
                <w:b w:val="0"/>
                <w:sz w:val="24"/>
                <w:highlight w:val="none"/>
              </w:rPr>
              <w:t>分</w:t>
            </w:r>
          </w:p>
        </w:tc>
      </w:tr>
      <w:tr w14:paraId="6B2D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2467BE4B">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7</w:t>
            </w:r>
            <w:r>
              <w:rPr>
                <w:rFonts w:ascii="宋体" w:hAnsi="宋体" w:eastAsia="宋体"/>
                <w:bCs/>
                <w:kern w:val="2"/>
                <w:highlight w:val="none"/>
              </w:rPr>
              <w:t>.1</w:t>
            </w:r>
          </w:p>
        </w:tc>
        <w:tc>
          <w:tcPr>
            <w:tcW w:w="1174" w:type="pct"/>
            <w:vAlign w:val="center"/>
          </w:tcPr>
          <w:p w14:paraId="3AFC076E">
            <w:pPr>
              <w:pStyle w:val="33"/>
              <w:widowControl w:val="0"/>
              <w:spacing w:before="0" w:beforeAutospacing="0" w:after="0" w:afterAutospacing="0" w:line="360" w:lineRule="auto"/>
              <w:jc w:val="left"/>
              <w:rPr>
                <w:rFonts w:hint="eastAsia" w:ascii="宋体" w:hAnsi="宋体" w:eastAsia="宋体"/>
                <w:b w:val="0"/>
                <w:sz w:val="24"/>
                <w:highlight w:val="none"/>
              </w:rPr>
            </w:pPr>
            <w:r>
              <w:rPr>
                <w:rFonts w:hint="eastAsia" w:ascii="宋体" w:hAnsi="宋体" w:eastAsia="宋体"/>
                <w:b w:val="0"/>
                <w:sz w:val="24"/>
                <w:highlight w:val="none"/>
              </w:rPr>
              <w:t>包别划分</w:t>
            </w:r>
          </w:p>
        </w:tc>
        <w:tc>
          <w:tcPr>
            <w:tcW w:w="3244" w:type="pct"/>
            <w:vAlign w:val="center"/>
          </w:tcPr>
          <w:p w14:paraId="71B5EC09">
            <w:pPr>
              <w:pStyle w:val="33"/>
              <w:widowControl w:val="0"/>
              <w:spacing w:before="0" w:beforeAutospacing="0" w:after="0" w:afterAutospacing="0" w:line="360" w:lineRule="auto"/>
              <w:jc w:val="both"/>
              <w:rPr>
                <w:rFonts w:hint="eastAsia" w:ascii="宋体" w:hAnsi="宋体" w:eastAsia="宋体"/>
                <w:b w:val="0"/>
                <w:sz w:val="24"/>
                <w:highlight w:val="none"/>
                <w:u w:val="single"/>
              </w:rPr>
            </w:pPr>
            <w:r>
              <w:rPr>
                <w:rFonts w:hint="eastAsia" w:ascii="宋体" w:hAnsi="宋体" w:eastAsia="宋体"/>
                <w:b w:val="0"/>
                <w:bCs w:val="0"/>
                <w:sz w:val="24"/>
                <w:szCs w:val="24"/>
                <w:highlight w:val="none"/>
              </w:rPr>
              <w:t>☑</w:t>
            </w:r>
            <w:r>
              <w:rPr>
                <w:rFonts w:ascii="宋体" w:hAnsi="宋体" w:eastAsia="宋体"/>
                <w:b w:val="0"/>
                <w:sz w:val="24"/>
                <w:highlight w:val="none"/>
              </w:rPr>
              <w:t>不分包</w:t>
            </w:r>
          </w:p>
        </w:tc>
      </w:tr>
      <w:tr w14:paraId="665B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3BCE726E">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10</w:t>
            </w:r>
            <w:r>
              <w:rPr>
                <w:rFonts w:ascii="宋体" w:hAnsi="宋体" w:eastAsia="宋体"/>
                <w:bCs/>
                <w:kern w:val="2"/>
                <w:highlight w:val="none"/>
              </w:rPr>
              <w:t>.1</w:t>
            </w:r>
          </w:p>
        </w:tc>
        <w:tc>
          <w:tcPr>
            <w:tcW w:w="1174" w:type="pct"/>
            <w:vAlign w:val="center"/>
          </w:tcPr>
          <w:p w14:paraId="7A08C617">
            <w:pPr>
              <w:pStyle w:val="33"/>
              <w:widowControl w:val="0"/>
              <w:spacing w:before="0" w:beforeAutospacing="0" w:after="0" w:afterAutospacing="0" w:line="360" w:lineRule="auto"/>
              <w:jc w:val="left"/>
              <w:rPr>
                <w:rFonts w:hint="eastAsia" w:ascii="宋体" w:hAnsi="宋体" w:eastAsia="宋体"/>
                <w:b w:val="0"/>
                <w:sz w:val="24"/>
                <w:highlight w:val="none"/>
              </w:rPr>
            </w:pPr>
            <w:r>
              <w:rPr>
                <w:rFonts w:hint="eastAsia" w:ascii="宋体" w:hAnsi="宋体" w:eastAsia="宋体"/>
                <w:b w:val="0"/>
                <w:sz w:val="24"/>
                <w:highlight w:val="none"/>
              </w:rPr>
              <w:t>投标保证金</w:t>
            </w:r>
          </w:p>
        </w:tc>
        <w:tc>
          <w:tcPr>
            <w:tcW w:w="3244" w:type="pct"/>
            <w:vAlign w:val="center"/>
          </w:tcPr>
          <w:p w14:paraId="3DA46248">
            <w:pPr>
              <w:spacing w:line="360" w:lineRule="auto"/>
              <w:rPr>
                <w:rFonts w:hint="eastAsia"/>
                <w:highlight w:val="none"/>
              </w:rPr>
            </w:pPr>
            <w:r>
              <w:rPr>
                <w:rFonts w:hint="eastAsia" w:ascii="宋体" w:hAnsi="宋体" w:eastAsia="宋体"/>
                <w:bCs/>
                <w:kern w:val="0"/>
                <w:sz w:val="24"/>
                <w:szCs w:val="28"/>
                <w:highlight w:val="none"/>
              </w:rPr>
              <w:t>不收取</w:t>
            </w:r>
          </w:p>
        </w:tc>
      </w:tr>
      <w:tr w14:paraId="2416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55383360">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11</w:t>
            </w:r>
            <w:r>
              <w:rPr>
                <w:rFonts w:ascii="宋体" w:hAnsi="宋体" w:eastAsia="宋体"/>
                <w:bCs/>
                <w:kern w:val="2"/>
                <w:highlight w:val="none"/>
              </w:rPr>
              <w:t>.1</w:t>
            </w:r>
          </w:p>
        </w:tc>
        <w:tc>
          <w:tcPr>
            <w:tcW w:w="1174" w:type="pct"/>
            <w:vAlign w:val="center"/>
          </w:tcPr>
          <w:p w14:paraId="6817DED6">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投标有效期</w:t>
            </w:r>
          </w:p>
        </w:tc>
        <w:tc>
          <w:tcPr>
            <w:tcW w:w="3244" w:type="pct"/>
            <w:vAlign w:val="center"/>
          </w:tcPr>
          <w:p w14:paraId="76CCA655">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u w:val="single"/>
              </w:rPr>
              <w:t>90</w:t>
            </w:r>
            <w:r>
              <w:rPr>
                <w:rFonts w:hint="eastAsia" w:ascii="宋体" w:hAnsi="宋体" w:eastAsia="宋体"/>
                <w:b w:val="0"/>
                <w:sz w:val="24"/>
                <w:highlight w:val="none"/>
              </w:rPr>
              <w:t>日历日</w:t>
            </w:r>
          </w:p>
        </w:tc>
      </w:tr>
      <w:tr w14:paraId="35E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7D496FA6">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13</w:t>
            </w:r>
            <w:r>
              <w:rPr>
                <w:rFonts w:ascii="宋体" w:hAnsi="宋体" w:eastAsia="宋体"/>
                <w:bCs/>
                <w:kern w:val="2"/>
                <w:highlight w:val="none"/>
              </w:rPr>
              <w:t>.</w:t>
            </w:r>
            <w:r>
              <w:rPr>
                <w:rFonts w:hint="eastAsia" w:ascii="宋体" w:hAnsi="宋体" w:eastAsia="宋体"/>
                <w:bCs/>
                <w:kern w:val="2"/>
                <w:highlight w:val="none"/>
              </w:rPr>
              <w:t>1</w:t>
            </w:r>
          </w:p>
        </w:tc>
        <w:tc>
          <w:tcPr>
            <w:tcW w:w="1174" w:type="pct"/>
            <w:vAlign w:val="center"/>
          </w:tcPr>
          <w:p w14:paraId="054D238D">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投标文件解密时间</w:t>
            </w:r>
          </w:p>
        </w:tc>
        <w:tc>
          <w:tcPr>
            <w:tcW w:w="3244" w:type="pct"/>
            <w:vAlign w:val="center"/>
          </w:tcPr>
          <w:p w14:paraId="7B598F97">
            <w:pPr>
              <w:pStyle w:val="33"/>
              <w:widowControl w:val="0"/>
              <w:spacing w:before="0" w:beforeAutospacing="0" w:after="0" w:afterAutospacing="0" w:line="360" w:lineRule="auto"/>
              <w:jc w:val="both"/>
              <w:rPr>
                <w:rFonts w:hint="eastAsia" w:ascii="宋体" w:hAnsi="宋体" w:eastAsia="宋体"/>
                <w:b w:val="0"/>
                <w:sz w:val="24"/>
                <w:highlight w:val="none"/>
                <w:u w:val="single"/>
              </w:rPr>
            </w:pPr>
            <w:r>
              <w:rPr>
                <w:rFonts w:hint="eastAsia" w:ascii="宋体" w:hAnsi="宋体" w:eastAsia="宋体"/>
                <w:b w:val="0"/>
                <w:sz w:val="24"/>
                <w:highlight w:val="none"/>
              </w:rPr>
              <w:t>投标截止时间后</w:t>
            </w:r>
            <w:r>
              <w:rPr>
                <w:rFonts w:hint="eastAsia" w:ascii="宋体" w:hAnsi="宋体" w:eastAsia="宋体"/>
                <w:b w:val="0"/>
                <w:sz w:val="24"/>
                <w:highlight w:val="none"/>
                <w:u w:val="single"/>
              </w:rPr>
              <w:t>30</w:t>
            </w:r>
            <w:r>
              <w:rPr>
                <w:rFonts w:hint="eastAsia" w:ascii="宋体" w:hAnsi="宋体" w:eastAsia="宋体"/>
                <w:b w:val="0"/>
                <w:sz w:val="24"/>
                <w:highlight w:val="none"/>
              </w:rPr>
              <w:t>分钟内</w:t>
            </w:r>
          </w:p>
        </w:tc>
      </w:tr>
      <w:tr w14:paraId="1B17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6B20E5E1">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14.1</w:t>
            </w:r>
          </w:p>
        </w:tc>
        <w:tc>
          <w:tcPr>
            <w:tcW w:w="1174" w:type="pct"/>
            <w:vAlign w:val="center"/>
          </w:tcPr>
          <w:p w14:paraId="681FD861">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资格审查</w:t>
            </w:r>
          </w:p>
        </w:tc>
        <w:tc>
          <w:tcPr>
            <w:tcW w:w="3244" w:type="pct"/>
            <w:vAlign w:val="center"/>
          </w:tcPr>
          <w:p w14:paraId="28BCF3F5">
            <w:pPr>
              <w:pStyle w:val="33"/>
              <w:widowControl w:val="0"/>
              <w:spacing w:before="0" w:beforeAutospacing="0" w:after="0" w:afterAutospacing="0" w:line="360" w:lineRule="auto"/>
              <w:jc w:val="both"/>
              <w:rPr>
                <w:rFonts w:hint="eastAsia" w:ascii="宋体" w:hAnsi="宋体" w:eastAsia="宋体"/>
                <w:b w:val="0"/>
                <w:bCs w:val="0"/>
                <w:sz w:val="24"/>
                <w:highlight w:val="none"/>
              </w:rPr>
            </w:pPr>
            <w:r>
              <w:rPr>
                <w:rFonts w:ascii="宋体" w:hAnsi="宋体" w:eastAsia="宋体"/>
                <w:b w:val="0"/>
                <w:bCs w:val="0"/>
                <w:sz w:val="24"/>
                <w:szCs w:val="24"/>
                <w:highlight w:val="none"/>
              </w:rPr>
              <w:t>□</w:t>
            </w:r>
            <w:r>
              <w:rPr>
                <w:rFonts w:hint="eastAsia" w:ascii="宋体" w:hAnsi="宋体" w:eastAsia="宋体"/>
                <w:b w:val="0"/>
                <w:bCs w:val="0"/>
                <w:sz w:val="24"/>
                <w:highlight w:val="none"/>
              </w:rPr>
              <w:t>采购人审查</w:t>
            </w:r>
          </w:p>
          <w:p w14:paraId="73E7B500">
            <w:pPr>
              <w:pStyle w:val="33"/>
              <w:widowControl w:val="0"/>
              <w:spacing w:before="0" w:beforeAutospacing="0" w:after="0" w:afterAutospacing="0" w:line="360" w:lineRule="auto"/>
              <w:jc w:val="both"/>
              <w:rPr>
                <w:rFonts w:hint="eastAsia" w:ascii="宋体" w:hAnsi="宋体" w:eastAsia="宋体"/>
                <w:b w:val="0"/>
                <w:sz w:val="24"/>
                <w:highlight w:val="none"/>
                <w:u w:val="single"/>
              </w:rPr>
            </w:pPr>
            <w:r>
              <w:rPr>
                <w:rFonts w:hint="eastAsia" w:ascii="宋体" w:hAnsi="宋体" w:eastAsia="宋体"/>
                <w:b w:val="0"/>
                <w:bCs w:val="0"/>
                <w:sz w:val="24"/>
                <w:szCs w:val="24"/>
                <w:highlight w:val="none"/>
              </w:rPr>
              <w:t>☑</w:t>
            </w:r>
            <w:r>
              <w:rPr>
                <w:rFonts w:hint="eastAsia" w:ascii="宋体" w:hAnsi="宋体" w:eastAsia="宋体"/>
                <w:b w:val="0"/>
                <w:bCs w:val="0"/>
                <w:sz w:val="24"/>
                <w:highlight w:val="none"/>
              </w:rPr>
              <w:t>采购人委托采购代理机构进行审查</w:t>
            </w:r>
          </w:p>
        </w:tc>
      </w:tr>
      <w:tr w14:paraId="7BDE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75792662">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.2</w:t>
            </w:r>
          </w:p>
        </w:tc>
        <w:tc>
          <w:tcPr>
            <w:tcW w:w="1174" w:type="pct"/>
            <w:vAlign w:val="center"/>
          </w:tcPr>
          <w:p w14:paraId="43C26467">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评标方法</w:t>
            </w:r>
          </w:p>
        </w:tc>
        <w:tc>
          <w:tcPr>
            <w:tcW w:w="3244" w:type="pct"/>
            <w:vAlign w:val="center"/>
          </w:tcPr>
          <w:p w14:paraId="1392A55A">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bCs w:val="0"/>
                <w:sz w:val="24"/>
                <w:szCs w:val="24"/>
                <w:highlight w:val="none"/>
              </w:rPr>
              <w:t>☑</w:t>
            </w:r>
            <w:r>
              <w:rPr>
                <w:rFonts w:hint="eastAsia" w:ascii="宋体" w:hAnsi="宋体" w:eastAsia="宋体"/>
                <w:b w:val="0"/>
                <w:sz w:val="24"/>
                <w:highlight w:val="none"/>
              </w:rPr>
              <w:t>综合评分法</w:t>
            </w:r>
          </w:p>
        </w:tc>
      </w:tr>
      <w:tr w14:paraId="2B78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15FE6BE3">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.3</w:t>
            </w:r>
          </w:p>
        </w:tc>
        <w:tc>
          <w:tcPr>
            <w:tcW w:w="1174" w:type="pct"/>
            <w:vAlign w:val="center"/>
          </w:tcPr>
          <w:p w14:paraId="5C7DB3DD">
            <w:pPr>
              <w:pStyle w:val="33"/>
              <w:widowControl w:val="0"/>
              <w:spacing w:before="0" w:beforeAutospacing="0" w:after="0" w:afterAutospacing="0" w:line="360" w:lineRule="auto"/>
              <w:jc w:val="both"/>
              <w:rPr>
                <w:rFonts w:hint="eastAsia" w:ascii="宋体" w:hAnsi="宋体" w:eastAsia="宋体"/>
                <w:b w:val="0"/>
                <w:i/>
                <w:sz w:val="24"/>
                <w:highlight w:val="none"/>
              </w:rPr>
            </w:pPr>
            <w:r>
              <w:rPr>
                <w:rFonts w:hint="eastAsia" w:ascii="宋体" w:hAnsi="宋体" w:eastAsia="宋体"/>
                <w:b w:val="0"/>
                <w:sz w:val="24"/>
                <w:highlight w:val="none"/>
              </w:rPr>
              <w:t>报价扣除</w:t>
            </w:r>
          </w:p>
        </w:tc>
        <w:tc>
          <w:tcPr>
            <w:tcW w:w="3244" w:type="pct"/>
            <w:vAlign w:val="center"/>
          </w:tcPr>
          <w:p w14:paraId="5D69FB4D">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（1）</w:t>
            </w:r>
            <w:r>
              <w:rPr>
                <w:rFonts w:ascii="宋体" w:hAnsi="宋体" w:eastAsia="宋体"/>
                <w:b w:val="0"/>
                <w:sz w:val="24"/>
                <w:highlight w:val="none"/>
              </w:rPr>
              <w:t>小型和微型</w:t>
            </w:r>
            <w:r>
              <w:rPr>
                <w:rFonts w:hint="eastAsia" w:ascii="宋体" w:hAnsi="宋体" w:eastAsia="宋体"/>
                <w:b w:val="0"/>
                <w:sz w:val="24"/>
                <w:highlight w:val="none"/>
              </w:rPr>
              <w:t>企业价格扣除：</w:t>
            </w:r>
            <w:r>
              <w:rPr>
                <w:rFonts w:hint="eastAsia" w:ascii="宋体" w:hAnsi="宋体" w:eastAsia="宋体"/>
                <w:b w:val="0"/>
                <w:sz w:val="24"/>
                <w:highlight w:val="none"/>
                <w:u w:val="single"/>
              </w:rPr>
              <w:t>10%</w:t>
            </w:r>
            <w:r>
              <w:rPr>
                <w:rFonts w:hint="eastAsia" w:ascii="宋体" w:hAnsi="宋体" w:eastAsia="宋体"/>
                <w:b w:val="0"/>
                <w:sz w:val="24"/>
                <w:highlight w:val="none"/>
              </w:rPr>
              <w:t>。</w:t>
            </w:r>
          </w:p>
          <w:p w14:paraId="45DAA6E4">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（2）监狱企业价格扣除：同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70416493">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（3）残疾人福利性单位价格扣除：同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17BC3CE3">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（4）符合条件的向小微企业分包的大中型企业价格扣除：</w:t>
            </w:r>
            <w:r>
              <w:rPr>
                <w:rFonts w:hint="eastAsia" w:ascii="宋体" w:hAnsi="宋体" w:eastAsia="宋体"/>
                <w:b w:val="0"/>
                <w:sz w:val="24"/>
                <w:highlight w:val="none"/>
                <w:u w:val="single"/>
              </w:rPr>
              <w:t xml:space="preserve">   </w:t>
            </w:r>
            <w:r>
              <w:rPr>
                <w:rFonts w:hint="eastAsia" w:ascii="宋体" w:hAnsi="宋体" w:eastAsia="宋体"/>
                <w:b w:val="0"/>
                <w:sz w:val="24"/>
                <w:highlight w:val="none"/>
                <w:u w:val="single"/>
                <w:lang w:val="en-US" w:eastAsia="zh-CN"/>
              </w:rPr>
              <w:t>不允许分包</w:t>
            </w:r>
            <w:r>
              <w:rPr>
                <w:rFonts w:hint="eastAsia" w:ascii="宋体" w:hAnsi="宋体" w:eastAsia="宋体"/>
                <w:b w:val="0"/>
                <w:sz w:val="24"/>
                <w:highlight w:val="none"/>
              </w:rPr>
              <w:t xml:space="preserve">。 </w:t>
            </w:r>
          </w:p>
        </w:tc>
      </w:tr>
      <w:tr w14:paraId="5B36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4B3C3145">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1</w:t>
            </w:r>
          </w:p>
        </w:tc>
        <w:tc>
          <w:tcPr>
            <w:tcW w:w="1174" w:type="pct"/>
            <w:vAlign w:val="center"/>
          </w:tcPr>
          <w:p w14:paraId="5F3B1462">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评标委员会推荐</w:t>
            </w:r>
            <w:r>
              <w:rPr>
                <w:rFonts w:ascii="宋体" w:hAnsi="宋体" w:eastAsia="宋体"/>
                <w:b w:val="0"/>
                <w:sz w:val="24"/>
                <w:highlight w:val="none"/>
              </w:rPr>
              <w:t>中标候选</w:t>
            </w:r>
            <w:r>
              <w:rPr>
                <w:rFonts w:hint="eastAsia" w:ascii="宋体" w:hAnsi="宋体" w:eastAsia="宋体"/>
                <w:b w:val="0"/>
                <w:sz w:val="24"/>
                <w:highlight w:val="none"/>
              </w:rPr>
              <w:t>人的</w:t>
            </w:r>
            <w:r>
              <w:rPr>
                <w:rFonts w:ascii="宋体" w:hAnsi="宋体" w:eastAsia="宋体"/>
                <w:b w:val="0"/>
                <w:sz w:val="24"/>
                <w:highlight w:val="none"/>
              </w:rPr>
              <w:t>数量</w:t>
            </w:r>
          </w:p>
        </w:tc>
        <w:tc>
          <w:tcPr>
            <w:tcW w:w="3244" w:type="pct"/>
            <w:vAlign w:val="center"/>
          </w:tcPr>
          <w:p w14:paraId="7889D827">
            <w:pPr>
              <w:pStyle w:val="33"/>
              <w:widowControl w:val="0"/>
              <w:spacing w:before="0" w:beforeAutospacing="0" w:after="0" w:afterAutospacing="0" w:line="360" w:lineRule="auto"/>
              <w:jc w:val="both"/>
              <w:rPr>
                <w:rFonts w:hint="eastAsia" w:ascii="宋体" w:hAnsi="宋体" w:eastAsia="宋体"/>
                <w:b w:val="0"/>
                <w:sz w:val="24"/>
                <w:highlight w:val="none"/>
                <w:u w:val="single"/>
              </w:rPr>
            </w:pPr>
            <w:r>
              <w:rPr>
                <w:rFonts w:hint="eastAsia" w:ascii="宋体" w:hAnsi="宋体" w:eastAsia="宋体"/>
                <w:b w:val="0"/>
                <w:sz w:val="24"/>
                <w:highlight w:val="none"/>
                <w:u w:val="single"/>
              </w:rPr>
              <w:t>3家</w:t>
            </w:r>
          </w:p>
        </w:tc>
      </w:tr>
      <w:tr w14:paraId="7007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4C576E09">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2</w:t>
            </w:r>
          </w:p>
        </w:tc>
        <w:tc>
          <w:tcPr>
            <w:tcW w:w="1174" w:type="pct"/>
            <w:vAlign w:val="center"/>
          </w:tcPr>
          <w:p w14:paraId="512533AC">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确定中标人</w:t>
            </w:r>
          </w:p>
        </w:tc>
        <w:tc>
          <w:tcPr>
            <w:tcW w:w="3244" w:type="pct"/>
            <w:vAlign w:val="center"/>
          </w:tcPr>
          <w:p w14:paraId="1B3C369D">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Theme="minorEastAsia" w:hAnsiTheme="minorEastAsia" w:eastAsiaTheme="minorEastAsia"/>
                <w:b w:val="0"/>
                <w:bCs w:val="0"/>
                <w:kern w:val="2"/>
                <w:sz w:val="24"/>
                <w:szCs w:val="24"/>
                <w:highlight w:val="none"/>
              </w:rPr>
              <w:t>☑采购人确定</w:t>
            </w:r>
          </w:p>
        </w:tc>
      </w:tr>
      <w:tr w14:paraId="74EC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772115BC">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ascii="宋体" w:hAnsi="宋体" w:eastAsia="宋体"/>
                <w:bCs/>
                <w:kern w:val="2"/>
                <w:highlight w:val="none"/>
              </w:rPr>
              <w:t>2</w:t>
            </w:r>
            <w:r>
              <w:rPr>
                <w:rFonts w:hint="eastAsia" w:ascii="宋体" w:hAnsi="宋体" w:eastAsia="宋体"/>
                <w:bCs/>
                <w:kern w:val="2"/>
                <w:highlight w:val="none"/>
              </w:rPr>
              <w:t>3</w:t>
            </w:r>
            <w:r>
              <w:rPr>
                <w:rFonts w:ascii="宋体" w:hAnsi="宋体" w:eastAsia="宋体"/>
                <w:bCs/>
                <w:kern w:val="2"/>
                <w:highlight w:val="none"/>
              </w:rPr>
              <w:t>.3</w:t>
            </w:r>
          </w:p>
        </w:tc>
        <w:tc>
          <w:tcPr>
            <w:tcW w:w="1174" w:type="pct"/>
            <w:vAlign w:val="center"/>
          </w:tcPr>
          <w:p w14:paraId="4B4BC1A9">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随中标结果公告同时公告的内容</w:t>
            </w:r>
          </w:p>
        </w:tc>
        <w:tc>
          <w:tcPr>
            <w:tcW w:w="3244" w:type="pct"/>
            <w:vAlign w:val="center"/>
          </w:tcPr>
          <w:p w14:paraId="34514DAE">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（1）中小企业声明函；</w:t>
            </w:r>
          </w:p>
          <w:p w14:paraId="2E1DEB85">
            <w:pPr>
              <w:pStyle w:val="33"/>
              <w:widowControl w:val="0"/>
              <w:spacing w:before="0" w:beforeAutospacing="0" w:after="0" w:afterAutospacing="0" w:line="360" w:lineRule="auto"/>
              <w:jc w:val="both"/>
              <w:rPr>
                <w:rFonts w:hint="eastAsia" w:ascii="宋体" w:hAnsi="宋体" w:eastAsia="宋体"/>
                <w:b w:val="0"/>
                <w:i/>
                <w:sz w:val="24"/>
                <w:highlight w:val="none"/>
              </w:rPr>
            </w:pPr>
            <w:r>
              <w:rPr>
                <w:rFonts w:hint="eastAsia" w:ascii="宋体" w:hAnsi="宋体" w:eastAsia="宋体"/>
                <w:b w:val="0"/>
                <w:sz w:val="24"/>
                <w:highlight w:val="none"/>
              </w:rPr>
              <w:t>（2）残疾人福利性单位声明函；</w:t>
            </w:r>
          </w:p>
          <w:p w14:paraId="4CE128F4">
            <w:pPr>
              <w:pStyle w:val="33"/>
              <w:widowControl w:val="0"/>
              <w:spacing w:before="0" w:beforeAutospacing="0" w:after="0" w:afterAutospacing="0" w:line="360" w:lineRule="auto"/>
              <w:jc w:val="both"/>
              <w:rPr>
                <w:rFonts w:hint="eastAsia" w:ascii="宋体" w:hAnsi="宋体" w:eastAsia="宋体"/>
                <w:b w:val="0"/>
                <w:bCs w:val="0"/>
                <w:sz w:val="24"/>
                <w:szCs w:val="24"/>
                <w:highlight w:val="none"/>
              </w:rPr>
            </w:pPr>
            <w:r>
              <w:rPr>
                <w:rFonts w:hint="eastAsia" w:ascii="宋体" w:hAnsi="宋体" w:eastAsia="宋体"/>
                <w:b w:val="0"/>
                <w:sz w:val="24"/>
                <w:highlight w:val="none"/>
              </w:rPr>
              <w:t>（3）中标（成交）供应商的评审总得分</w:t>
            </w:r>
          </w:p>
        </w:tc>
      </w:tr>
      <w:tr w14:paraId="5F9B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41F6C0A8">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24</w:t>
            </w:r>
            <w:r>
              <w:rPr>
                <w:rFonts w:ascii="宋体" w:hAnsi="宋体" w:eastAsia="宋体"/>
                <w:bCs/>
                <w:kern w:val="2"/>
                <w:highlight w:val="none"/>
              </w:rPr>
              <w:t>.1</w:t>
            </w:r>
          </w:p>
        </w:tc>
        <w:tc>
          <w:tcPr>
            <w:tcW w:w="1174" w:type="pct"/>
            <w:vAlign w:val="center"/>
          </w:tcPr>
          <w:p w14:paraId="3249C453">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中标通知书发出的形式</w:t>
            </w:r>
          </w:p>
        </w:tc>
        <w:tc>
          <w:tcPr>
            <w:tcW w:w="3244" w:type="pct"/>
            <w:vAlign w:val="center"/>
          </w:tcPr>
          <w:p w14:paraId="52FD6F14">
            <w:pPr>
              <w:pStyle w:val="33"/>
              <w:widowControl w:val="0"/>
              <w:spacing w:before="0" w:beforeAutospacing="0" w:after="0" w:afterAutospacing="0" w:line="360" w:lineRule="auto"/>
              <w:jc w:val="both"/>
              <w:rPr>
                <w:rFonts w:hint="eastAsia" w:ascii="宋体" w:hAnsi="宋体" w:eastAsia="宋体"/>
                <w:b w:val="0"/>
                <w:bCs w:val="0"/>
                <w:sz w:val="24"/>
                <w:szCs w:val="24"/>
                <w:highlight w:val="none"/>
              </w:rPr>
            </w:pPr>
            <w:r>
              <w:rPr>
                <w:rFonts w:hint="eastAsia" w:ascii="宋体" w:hAnsi="宋体" w:eastAsia="宋体"/>
                <w:b w:val="0"/>
                <w:bCs w:val="0"/>
                <w:sz w:val="24"/>
                <w:szCs w:val="24"/>
                <w:highlight w:val="none"/>
              </w:rPr>
              <w:t>☑书面</w:t>
            </w:r>
          </w:p>
        </w:tc>
      </w:tr>
      <w:tr w14:paraId="33B6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62A6AF0F">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25</w:t>
            </w:r>
            <w:r>
              <w:rPr>
                <w:rFonts w:ascii="宋体" w:hAnsi="宋体" w:eastAsia="宋体"/>
                <w:bCs/>
                <w:kern w:val="2"/>
                <w:highlight w:val="none"/>
              </w:rPr>
              <w:t>.1</w:t>
            </w:r>
          </w:p>
        </w:tc>
        <w:tc>
          <w:tcPr>
            <w:tcW w:w="1174" w:type="pct"/>
            <w:vAlign w:val="center"/>
          </w:tcPr>
          <w:p w14:paraId="2F96C936">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告知招标结果的形式</w:t>
            </w:r>
          </w:p>
        </w:tc>
        <w:tc>
          <w:tcPr>
            <w:tcW w:w="3244" w:type="pct"/>
            <w:vAlign w:val="center"/>
          </w:tcPr>
          <w:p w14:paraId="46B1F2A3">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kern w:val="0"/>
                <w:sz w:val="24"/>
                <w:szCs w:val="24"/>
                <w:highlight w:val="none"/>
              </w:rPr>
              <w:sym w:font="Wingdings" w:char="00FE"/>
            </w:r>
            <w:r>
              <w:rPr>
                <w:rFonts w:hint="eastAsia" w:asciiTheme="minorEastAsia" w:hAnsiTheme="minorEastAsia" w:eastAsiaTheme="minorEastAsia"/>
                <w:kern w:val="0"/>
                <w:sz w:val="24"/>
                <w:szCs w:val="24"/>
                <w:highlight w:val="none"/>
              </w:rPr>
              <w:t>投标人自行登录电子</w:t>
            </w:r>
            <w:r>
              <w:rPr>
                <w:rFonts w:hint="eastAsia" w:ascii="宋体" w:hAnsi="宋体" w:eastAsia="宋体" w:cs="宋体"/>
                <w:sz w:val="24"/>
                <w:szCs w:val="24"/>
                <w:highlight w:val="none"/>
              </w:rPr>
              <w:t>交易</w:t>
            </w:r>
            <w:r>
              <w:rPr>
                <w:rFonts w:hint="eastAsia" w:asciiTheme="minorEastAsia" w:hAnsiTheme="minorEastAsia" w:eastAsiaTheme="minorEastAsia"/>
                <w:kern w:val="0"/>
                <w:sz w:val="24"/>
                <w:szCs w:val="24"/>
                <w:highlight w:val="none"/>
              </w:rPr>
              <w:t>系统查看</w:t>
            </w:r>
          </w:p>
        </w:tc>
      </w:tr>
      <w:tr w14:paraId="0567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6CC75750">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26</w:t>
            </w:r>
            <w:r>
              <w:rPr>
                <w:rFonts w:ascii="宋体" w:hAnsi="宋体" w:eastAsia="宋体"/>
                <w:bCs/>
                <w:kern w:val="2"/>
                <w:highlight w:val="none"/>
              </w:rPr>
              <w:t>.1</w:t>
            </w:r>
          </w:p>
        </w:tc>
        <w:tc>
          <w:tcPr>
            <w:tcW w:w="1174" w:type="pct"/>
            <w:vAlign w:val="center"/>
          </w:tcPr>
          <w:p w14:paraId="366D798C">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履约保证金</w:t>
            </w:r>
          </w:p>
        </w:tc>
        <w:tc>
          <w:tcPr>
            <w:tcW w:w="3244" w:type="pct"/>
          </w:tcPr>
          <w:p w14:paraId="20DCAF7A">
            <w:pPr>
              <w:spacing w:line="360" w:lineRule="auto"/>
              <w:rPr>
                <w:rFonts w:hint="eastAsia" w:ascii="宋体" w:hAnsi="宋体" w:eastAsia="宋体"/>
                <w:bCs/>
                <w:kern w:val="0"/>
                <w:sz w:val="24"/>
                <w:szCs w:val="28"/>
                <w:highlight w:val="none"/>
              </w:rPr>
            </w:pPr>
            <w:r>
              <w:rPr>
                <w:rFonts w:hint="eastAsia" w:ascii="宋体" w:hAnsi="宋体" w:eastAsia="宋体"/>
                <w:bCs/>
                <w:kern w:val="0"/>
                <w:sz w:val="24"/>
                <w:szCs w:val="28"/>
                <w:highlight w:val="none"/>
              </w:rPr>
              <w:t>（1）金额：☑合同价的</w:t>
            </w:r>
            <w:r>
              <w:rPr>
                <w:rFonts w:hint="eastAsia" w:ascii="宋体" w:hAnsi="宋体" w:eastAsia="宋体"/>
                <w:bCs/>
                <w:kern w:val="0"/>
                <w:sz w:val="24"/>
                <w:szCs w:val="28"/>
                <w:highlight w:val="none"/>
                <w:u w:val="single"/>
              </w:rPr>
              <w:t>2.5</w:t>
            </w:r>
            <w:r>
              <w:rPr>
                <w:rFonts w:ascii="宋体" w:hAnsi="宋体" w:eastAsia="宋体"/>
                <w:bCs/>
                <w:kern w:val="0"/>
                <w:sz w:val="24"/>
                <w:szCs w:val="28"/>
                <w:highlight w:val="none"/>
              </w:rPr>
              <w:t>%</w:t>
            </w:r>
          </w:p>
          <w:p w14:paraId="4D4496F6">
            <w:pPr>
              <w:spacing w:line="360" w:lineRule="auto"/>
              <w:rPr>
                <w:rFonts w:hint="eastAsia" w:ascii="宋体" w:hAnsi="宋体" w:eastAsia="宋体"/>
                <w:bCs/>
                <w:kern w:val="0"/>
                <w:sz w:val="24"/>
                <w:szCs w:val="28"/>
                <w:highlight w:val="none"/>
              </w:rPr>
            </w:pPr>
            <w:r>
              <w:rPr>
                <w:rFonts w:hint="eastAsia" w:ascii="宋体" w:hAnsi="宋体" w:eastAsia="宋体"/>
                <w:bCs/>
                <w:kern w:val="0"/>
                <w:sz w:val="24"/>
                <w:szCs w:val="28"/>
                <w:highlight w:val="none"/>
              </w:rPr>
              <w:t>（2）支付方式：</w:t>
            </w:r>
          </w:p>
          <w:p w14:paraId="5B604BAF">
            <w:pPr>
              <w:spacing w:line="360" w:lineRule="auto"/>
              <w:rPr>
                <w:rFonts w:hint="eastAsia" w:ascii="宋体" w:hAnsi="宋体" w:eastAsia="宋体"/>
                <w:bCs/>
                <w:kern w:val="0"/>
                <w:sz w:val="24"/>
                <w:szCs w:val="28"/>
                <w:highlight w:val="none"/>
              </w:rPr>
            </w:pP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转账/电汇</w:t>
            </w:r>
            <w:r>
              <w:rPr>
                <w:rFonts w:hint="eastAsia" w:ascii="宋体" w:hAnsi="宋体" w:eastAsia="宋体"/>
                <w:bCs/>
                <w:kern w:val="0"/>
                <w:sz w:val="24"/>
                <w:szCs w:val="28"/>
                <w:highlight w:val="none"/>
              </w:rPr>
              <w:t xml:space="preserve"> </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 xml:space="preserve">支票 </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汇票</w:t>
            </w:r>
            <w:r>
              <w:rPr>
                <w:rFonts w:hint="eastAsia" w:ascii="宋体" w:hAnsi="宋体" w:eastAsia="宋体"/>
                <w:bCs/>
                <w:kern w:val="0"/>
                <w:sz w:val="24"/>
                <w:szCs w:val="28"/>
                <w:highlight w:val="none"/>
              </w:rPr>
              <w:t xml:space="preserve"> </w:t>
            </w:r>
            <w:r>
              <w:rPr>
                <w:rFonts w:hint="eastAsia" w:ascii="宋体" w:hAnsi="宋体" w:eastAsia="宋体"/>
                <w:bCs/>
                <w:kern w:val="0"/>
                <w:sz w:val="24"/>
                <w:szCs w:val="28"/>
                <w:highlight w:val="none"/>
              </w:rPr>
              <w:sym w:font="Wingdings" w:char="00FE"/>
            </w:r>
            <w:r>
              <w:rPr>
                <w:rFonts w:hint="eastAsia" w:ascii="宋体" w:hAnsi="宋体" w:eastAsia="宋体"/>
                <w:bCs/>
                <w:kern w:val="0"/>
                <w:sz w:val="24"/>
                <w:szCs w:val="28"/>
                <w:highlight w:val="none"/>
              </w:rPr>
              <w:t xml:space="preserve">本票 </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保</w:t>
            </w:r>
            <w:r>
              <w:rPr>
                <w:rFonts w:hint="eastAsia" w:ascii="宋体" w:hAnsi="宋体" w:eastAsia="宋体"/>
                <w:bCs/>
                <w:kern w:val="0"/>
                <w:sz w:val="24"/>
                <w:szCs w:val="28"/>
                <w:highlight w:val="none"/>
              </w:rPr>
              <w:t xml:space="preserve">险 </w:t>
            </w:r>
            <w:r>
              <w:rPr>
                <w:rFonts w:hint="eastAsia" w:ascii="宋体" w:hAnsi="宋体" w:eastAsia="宋体"/>
                <w:bCs/>
                <w:kern w:val="0"/>
                <w:sz w:val="24"/>
                <w:szCs w:val="28"/>
                <w:highlight w:val="none"/>
              </w:rPr>
              <w:sym w:font="Wingdings" w:char="00FE"/>
            </w:r>
            <w:r>
              <w:rPr>
                <w:rFonts w:hint="eastAsia" w:ascii="宋体" w:hAnsi="宋体" w:eastAsia="宋体"/>
                <w:bCs/>
                <w:kern w:val="0"/>
                <w:sz w:val="24"/>
                <w:szCs w:val="28"/>
                <w:highlight w:val="none"/>
              </w:rPr>
              <w:t>保</w:t>
            </w:r>
            <w:r>
              <w:rPr>
                <w:rFonts w:ascii="宋体" w:hAnsi="宋体" w:eastAsia="宋体"/>
                <w:bCs/>
                <w:kern w:val="0"/>
                <w:sz w:val="24"/>
                <w:szCs w:val="28"/>
                <w:highlight w:val="none"/>
              </w:rPr>
              <w:t>函</w:t>
            </w:r>
          </w:p>
          <w:p w14:paraId="18445D21">
            <w:pPr>
              <w:spacing w:line="360" w:lineRule="auto"/>
              <w:rPr>
                <w:rFonts w:hint="eastAsia" w:ascii="宋体" w:hAnsi="宋体" w:eastAsia="宋体"/>
                <w:bCs/>
                <w:kern w:val="0"/>
                <w:sz w:val="24"/>
                <w:szCs w:val="28"/>
                <w:highlight w:val="none"/>
              </w:rPr>
            </w:pPr>
            <w:r>
              <w:rPr>
                <w:rFonts w:hint="eastAsia" w:ascii="宋体" w:hAnsi="宋体" w:eastAsia="宋体"/>
                <w:bCs/>
                <w:kern w:val="0"/>
                <w:sz w:val="24"/>
                <w:szCs w:val="28"/>
                <w:highlight w:val="none"/>
              </w:rPr>
              <w:t>（3）收取单位：</w:t>
            </w:r>
            <w:r>
              <w:rPr>
                <w:rFonts w:hint="eastAsia" w:ascii="宋体" w:hAnsi="宋体" w:eastAsia="宋体"/>
                <w:bCs/>
                <w:kern w:val="0"/>
                <w:sz w:val="24"/>
                <w:szCs w:val="28"/>
                <w:highlight w:val="none"/>
                <w:u w:val="single"/>
              </w:rPr>
              <w:t>安徽省气象台</w:t>
            </w:r>
            <w:r>
              <w:rPr>
                <w:rFonts w:hint="eastAsia" w:ascii="宋体" w:hAnsi="宋体" w:eastAsia="宋体"/>
                <w:bCs/>
                <w:kern w:val="0"/>
                <w:sz w:val="24"/>
                <w:szCs w:val="28"/>
                <w:highlight w:val="none"/>
              </w:rPr>
              <w:t xml:space="preserve">              </w:t>
            </w:r>
          </w:p>
          <w:p w14:paraId="11B58BB0">
            <w:pPr>
              <w:spacing w:line="360" w:lineRule="auto"/>
              <w:rPr>
                <w:rFonts w:hint="eastAsia" w:ascii="宋体" w:hAnsi="宋体" w:eastAsia="宋体"/>
                <w:bCs/>
                <w:kern w:val="0"/>
                <w:sz w:val="24"/>
                <w:szCs w:val="28"/>
                <w:highlight w:val="none"/>
              </w:rPr>
            </w:pPr>
            <w:r>
              <w:rPr>
                <w:rFonts w:hint="eastAsia" w:ascii="宋体" w:hAnsi="宋体" w:eastAsia="宋体"/>
                <w:bCs/>
                <w:kern w:val="0"/>
                <w:sz w:val="24"/>
                <w:szCs w:val="28"/>
                <w:highlight w:val="none"/>
              </w:rPr>
              <w:t>（4）收取账号：</w:t>
            </w:r>
            <w:r>
              <w:rPr>
                <w:rFonts w:hint="eastAsia" w:ascii="宋体" w:hAnsi="宋体" w:eastAsia="宋体"/>
                <w:bCs/>
                <w:kern w:val="0"/>
                <w:sz w:val="24"/>
                <w:szCs w:val="28"/>
                <w:highlight w:val="none"/>
                <w:u w:val="single"/>
              </w:rPr>
              <w:t>中标后提供</w:t>
            </w:r>
          </w:p>
          <w:p w14:paraId="7CBCAA76">
            <w:pPr>
              <w:spacing w:line="360" w:lineRule="auto"/>
              <w:rPr>
                <w:rFonts w:hint="eastAsia" w:ascii="宋体" w:hAnsi="宋体" w:eastAsia="宋体"/>
                <w:sz w:val="24"/>
                <w:highlight w:val="none"/>
              </w:rPr>
            </w:pPr>
            <w:r>
              <w:rPr>
                <w:rFonts w:hint="eastAsia" w:ascii="宋体" w:hAnsi="宋体" w:eastAsia="宋体"/>
                <w:bCs/>
                <w:kern w:val="0"/>
                <w:sz w:val="24"/>
                <w:szCs w:val="28"/>
                <w:highlight w:val="none"/>
              </w:rPr>
              <w:t>（5）</w:t>
            </w:r>
            <w:r>
              <w:rPr>
                <w:rFonts w:hint="eastAsia" w:ascii="宋体" w:hAnsi="宋体" w:eastAsia="宋体"/>
                <w:sz w:val="24"/>
                <w:highlight w:val="none"/>
              </w:rPr>
              <w:t>退还时间：</w:t>
            </w:r>
            <w:r>
              <w:rPr>
                <w:rFonts w:hint="eastAsia" w:ascii="宋体" w:hAnsi="宋体" w:eastAsia="宋体"/>
                <w:bCs/>
                <w:kern w:val="0"/>
                <w:sz w:val="24"/>
                <w:szCs w:val="28"/>
                <w:highlight w:val="none"/>
                <w:u w:val="single"/>
              </w:rPr>
              <w:t>服务期满无息退还</w:t>
            </w:r>
          </w:p>
          <w:p w14:paraId="6CE474AA">
            <w:pPr>
              <w:spacing w:line="360" w:lineRule="auto"/>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注意事项：</w:t>
            </w:r>
          </w:p>
          <w:p w14:paraId="135C8B15">
            <w:pPr>
              <w:spacing w:line="360" w:lineRule="auto"/>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（1）以上各类机构出具的以担保函、保证保险承担责任的方式均须满足无条件见索即付条件。</w:t>
            </w:r>
          </w:p>
          <w:p w14:paraId="605058B4">
            <w:pPr>
              <w:spacing w:line="360" w:lineRule="auto"/>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（2）以担保函、保证保险形式缴纳履约保证金的，受益人和收取单位须为采购人。</w:t>
            </w:r>
          </w:p>
        </w:tc>
      </w:tr>
      <w:tr w14:paraId="7DF1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7B4DF832">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27</w:t>
            </w:r>
            <w:r>
              <w:rPr>
                <w:rFonts w:ascii="宋体" w:hAnsi="宋体" w:eastAsia="宋体"/>
                <w:bCs/>
                <w:kern w:val="2"/>
                <w:highlight w:val="none"/>
              </w:rPr>
              <w:t>.1</w:t>
            </w:r>
          </w:p>
        </w:tc>
        <w:tc>
          <w:tcPr>
            <w:tcW w:w="1174" w:type="pct"/>
            <w:vAlign w:val="center"/>
          </w:tcPr>
          <w:p w14:paraId="79378DBF">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签订合同和合同公告时间</w:t>
            </w:r>
          </w:p>
        </w:tc>
        <w:tc>
          <w:tcPr>
            <w:tcW w:w="3244" w:type="pct"/>
          </w:tcPr>
          <w:p w14:paraId="6345D4B1">
            <w:pPr>
              <w:adjustRightInd w:val="0"/>
              <w:spacing w:line="360" w:lineRule="auto"/>
              <w:rPr>
                <w:rFonts w:hint="eastAsia" w:ascii="宋体" w:hAnsi="宋体" w:eastAsia="宋体" w:cs="宋体"/>
                <w:sz w:val="24"/>
                <w:szCs w:val="24"/>
                <w:highlight w:val="none"/>
              </w:rPr>
            </w:pPr>
            <w:r>
              <w:rPr>
                <w:rFonts w:ascii="宋体" w:hAnsi="宋体" w:eastAsia="宋体" w:cs="宋体"/>
                <w:sz w:val="24"/>
                <w:szCs w:val="24"/>
                <w:highlight w:val="none"/>
              </w:rPr>
              <w:t>（1）采购人与中标人应当自发出中标通知书之日起7个工作日内签订合同，采购合同签订之日起2个工作日内完成政府采购合同公开。</w:t>
            </w:r>
          </w:p>
          <w:p w14:paraId="08FD7155">
            <w:pPr>
              <w:adjustRightInd w:val="0"/>
              <w:spacing w:line="360" w:lineRule="auto"/>
              <w:rPr>
                <w:rFonts w:hint="eastAsia" w:ascii="宋体" w:hAnsi="宋体" w:eastAsia="宋体"/>
                <w:b/>
                <w:bCs/>
                <w:kern w:val="0"/>
                <w:sz w:val="24"/>
                <w:szCs w:val="24"/>
                <w:highlight w:val="none"/>
              </w:rPr>
            </w:pPr>
            <w:r>
              <w:rPr>
                <w:rFonts w:ascii="宋体" w:hAnsi="宋体" w:eastAsia="宋体" w:cs="宋体"/>
                <w:sz w:val="24"/>
                <w:szCs w:val="24"/>
                <w:highlight w:val="none"/>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400B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32FB8DE6">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28</w:t>
            </w:r>
            <w:r>
              <w:rPr>
                <w:rFonts w:ascii="宋体" w:hAnsi="宋体" w:eastAsia="宋体"/>
                <w:bCs/>
                <w:kern w:val="2"/>
                <w:highlight w:val="none"/>
              </w:rPr>
              <w:t>.1</w:t>
            </w:r>
          </w:p>
        </w:tc>
        <w:tc>
          <w:tcPr>
            <w:tcW w:w="1174" w:type="pct"/>
            <w:vAlign w:val="center"/>
          </w:tcPr>
          <w:p w14:paraId="777F7410">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代理费用</w:t>
            </w:r>
          </w:p>
        </w:tc>
        <w:tc>
          <w:tcPr>
            <w:tcW w:w="3244" w:type="pct"/>
            <w:vAlign w:val="center"/>
          </w:tcPr>
          <w:p w14:paraId="6F947CE6">
            <w:pPr>
              <w:spacing w:before="39" w:line="360" w:lineRule="auto"/>
              <w:rPr>
                <w:rFonts w:hint="eastAsia" w:ascii="宋体" w:hAnsi="宋体" w:eastAsia="宋体" w:cs="宋体"/>
                <w:bCs/>
                <w:sz w:val="24"/>
                <w:szCs w:val="24"/>
                <w:highlight w:val="none"/>
              </w:rPr>
            </w:pPr>
            <w:r>
              <w:rPr>
                <w:rFonts w:hint="eastAsia" w:ascii="宋体" w:hAnsi="宋体" w:eastAsia="宋体"/>
                <w:bCs/>
                <w:kern w:val="0"/>
                <w:sz w:val="24"/>
                <w:szCs w:val="28"/>
                <w:highlight w:val="none"/>
              </w:rPr>
              <w:t>（1）</w:t>
            </w:r>
            <w:r>
              <w:rPr>
                <w:rFonts w:ascii="宋体" w:hAnsi="宋体" w:eastAsia="宋体"/>
                <w:bCs/>
                <w:kern w:val="0"/>
                <w:sz w:val="24"/>
                <w:szCs w:val="28"/>
                <w:highlight w:val="none"/>
              </w:rPr>
              <w:t>收费对象</w:t>
            </w:r>
            <w:r>
              <w:rPr>
                <w:rFonts w:ascii="宋体" w:hAnsi="宋体" w:eastAsia="宋体" w:cs="宋体"/>
                <w:bCs/>
                <w:spacing w:val="-12"/>
                <w:sz w:val="24"/>
                <w:szCs w:val="24"/>
                <w:highlight w:val="none"/>
              </w:rPr>
              <w:t>：</w:t>
            </w:r>
            <w:r>
              <w:rPr>
                <w:rFonts w:hint="eastAsia" w:ascii="宋体" w:hAnsi="宋体" w:eastAsia="宋体" w:cs="宋体"/>
                <w:bCs/>
                <w:sz w:val="24"/>
                <w:szCs w:val="24"/>
                <w:highlight w:val="none"/>
              </w:rPr>
              <w:t>☑</w:t>
            </w:r>
            <w:r>
              <w:rPr>
                <w:rFonts w:ascii="宋体" w:hAnsi="宋体" w:eastAsia="宋体" w:cs="宋体"/>
                <w:bCs/>
                <w:spacing w:val="14"/>
                <w:sz w:val="24"/>
                <w:szCs w:val="24"/>
                <w:highlight w:val="none"/>
              </w:rPr>
              <w:t>中标人</w:t>
            </w:r>
          </w:p>
          <w:p w14:paraId="2E8883C2">
            <w:pPr>
              <w:spacing w:before="24" w:line="360" w:lineRule="auto"/>
              <w:rPr>
                <w:rFonts w:hint="eastAsia" w:ascii="宋体" w:hAnsi="宋体" w:eastAsia="宋体"/>
                <w:bCs/>
                <w:kern w:val="0"/>
                <w:sz w:val="24"/>
                <w:szCs w:val="28"/>
                <w:highlight w:val="none"/>
              </w:rPr>
            </w:pPr>
            <w:r>
              <w:rPr>
                <w:rFonts w:hint="eastAsia" w:ascii="宋体" w:hAnsi="宋体" w:eastAsia="宋体"/>
                <w:bCs/>
                <w:kern w:val="0"/>
                <w:sz w:val="24"/>
                <w:szCs w:val="28"/>
                <w:highlight w:val="none"/>
              </w:rPr>
              <w:t>（2）</w:t>
            </w:r>
            <w:r>
              <w:rPr>
                <w:rFonts w:ascii="宋体" w:hAnsi="宋体" w:eastAsia="宋体"/>
                <w:bCs/>
                <w:kern w:val="0"/>
                <w:sz w:val="24"/>
                <w:szCs w:val="28"/>
                <w:highlight w:val="none"/>
              </w:rPr>
              <w:t>收取方式</w:t>
            </w:r>
            <w:r>
              <w:rPr>
                <w:rFonts w:ascii="宋体" w:hAnsi="宋体" w:eastAsia="宋体" w:cs="宋体"/>
                <w:bCs/>
                <w:sz w:val="24"/>
                <w:szCs w:val="24"/>
                <w:highlight w:val="none"/>
              </w:rPr>
              <w:t>：</w:t>
            </w:r>
            <w:r>
              <w:rPr>
                <w:rFonts w:hint="eastAsia" w:ascii="宋体" w:hAnsi="宋体" w:eastAsia="宋体" w:cs="宋体"/>
                <w:bCs/>
                <w:sz w:val="24"/>
                <w:szCs w:val="24"/>
                <w:highlight w:val="none"/>
              </w:rPr>
              <w:t>☑转账/电汇</w:t>
            </w:r>
          </w:p>
          <w:p w14:paraId="46337B39">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（3）</w:t>
            </w:r>
            <w:r>
              <w:rPr>
                <w:rFonts w:ascii="宋体" w:hAnsi="宋体" w:eastAsia="宋体"/>
                <w:b w:val="0"/>
                <w:sz w:val="24"/>
                <w:highlight w:val="none"/>
              </w:rPr>
              <w:t>收费标准：</w:t>
            </w:r>
            <w:r>
              <w:rPr>
                <w:rFonts w:hint="eastAsia" w:ascii="宋体" w:hAnsi="宋体" w:eastAsia="宋体" w:cs="宋体"/>
                <w:b w:val="0"/>
                <w:sz w:val="24"/>
                <w:szCs w:val="24"/>
                <w:highlight w:val="none"/>
                <w:u w:val="single"/>
              </w:rPr>
              <w:t>按计价格【2002】1980号文件规定的收费标准向中标人收取。</w:t>
            </w:r>
          </w:p>
        </w:tc>
      </w:tr>
      <w:tr w14:paraId="3A37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04F3C849">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31</w:t>
            </w:r>
            <w:r>
              <w:rPr>
                <w:rFonts w:ascii="宋体" w:hAnsi="宋体" w:eastAsia="宋体"/>
                <w:bCs/>
                <w:kern w:val="2"/>
                <w:highlight w:val="none"/>
              </w:rPr>
              <w:t>.</w:t>
            </w:r>
            <w:r>
              <w:rPr>
                <w:rFonts w:hint="eastAsia" w:ascii="宋体" w:hAnsi="宋体" w:eastAsia="宋体"/>
                <w:bCs/>
                <w:kern w:val="2"/>
                <w:highlight w:val="none"/>
              </w:rPr>
              <w:t>3</w:t>
            </w:r>
          </w:p>
        </w:tc>
        <w:tc>
          <w:tcPr>
            <w:tcW w:w="1174" w:type="pct"/>
            <w:vAlign w:val="center"/>
          </w:tcPr>
          <w:p w14:paraId="17573E49">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质疑函递交方式、接收部门、联系电话和通讯地址</w:t>
            </w:r>
          </w:p>
        </w:tc>
        <w:tc>
          <w:tcPr>
            <w:tcW w:w="3244" w:type="pct"/>
            <w:vAlign w:val="center"/>
          </w:tcPr>
          <w:p w14:paraId="08FD3EFB">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递交方式：书面形式</w:t>
            </w:r>
          </w:p>
          <w:p w14:paraId="7665C918">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接收部门：安徽中技工程咨询有限公司</w:t>
            </w:r>
          </w:p>
          <w:p w14:paraId="39E09A7A">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联系电话：0551-65149581转657、18756962615</w:t>
            </w:r>
          </w:p>
          <w:p w14:paraId="7892FE6D">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通讯地址：安徽省合肥市合作化南路27号</w:t>
            </w:r>
          </w:p>
        </w:tc>
      </w:tr>
      <w:tr w14:paraId="4403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vAlign w:val="center"/>
          </w:tcPr>
          <w:p w14:paraId="0304B1C7">
            <w:pPr>
              <w:pStyle w:val="34"/>
              <w:pBdr>
                <w:bottom w:val="none" w:color="auto" w:sz="0" w:space="0"/>
              </w:pBdr>
              <w:tabs>
                <w:tab w:val="clear" w:pos="4153"/>
                <w:tab w:val="clear" w:pos="8306"/>
              </w:tabs>
              <w:adjustRightInd/>
              <w:spacing w:line="360" w:lineRule="auto"/>
              <w:textAlignment w:val="auto"/>
              <w:rPr>
                <w:rFonts w:hint="eastAsia" w:ascii="宋体" w:hAnsi="宋体" w:eastAsia="宋体"/>
                <w:bCs/>
                <w:kern w:val="2"/>
                <w:highlight w:val="none"/>
              </w:rPr>
            </w:pPr>
            <w:r>
              <w:rPr>
                <w:rFonts w:hint="eastAsia" w:ascii="宋体" w:hAnsi="宋体" w:eastAsia="宋体"/>
                <w:bCs/>
                <w:kern w:val="2"/>
                <w:highlight w:val="none"/>
              </w:rPr>
              <w:t>32</w:t>
            </w:r>
          </w:p>
        </w:tc>
        <w:tc>
          <w:tcPr>
            <w:tcW w:w="1174" w:type="pct"/>
            <w:vAlign w:val="center"/>
          </w:tcPr>
          <w:p w14:paraId="6624CD99">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其他内容</w:t>
            </w:r>
          </w:p>
        </w:tc>
        <w:tc>
          <w:tcPr>
            <w:tcW w:w="3244" w:type="pct"/>
            <w:vAlign w:val="center"/>
          </w:tcPr>
          <w:p w14:paraId="2CF04A2A">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1、解释权：</w:t>
            </w:r>
          </w:p>
          <w:p w14:paraId="195A0719">
            <w:pPr>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w:t>
            </w:r>
            <w:r>
              <w:rPr>
                <w:rFonts w:asciiTheme="minorEastAsia" w:hAnsiTheme="minorEastAsia" w:eastAsiaTheme="minorEastAsia"/>
                <w:bCs/>
                <w:sz w:val="24"/>
                <w:szCs w:val="24"/>
                <w:highlight w:val="none"/>
              </w:rPr>
              <w:t>构成本招标文件的各个组成文件应互为解释，互为说明；</w:t>
            </w:r>
          </w:p>
          <w:p w14:paraId="2DCF1BC1">
            <w:pPr>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asciiTheme="minorEastAsia" w:hAnsiTheme="minorEastAsia" w:eastAsiaTheme="minorEastAsia"/>
                <w:bCs/>
                <w:sz w:val="24"/>
                <w:szCs w:val="24"/>
                <w:highlight w:val="none"/>
              </w:rPr>
              <w:t>同一组成文件中就同一事项的规定或约定不一致的，以编排顺序在后者为准；</w:t>
            </w:r>
          </w:p>
          <w:p w14:paraId="7D689480">
            <w:pPr>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w:t>
            </w:r>
            <w:r>
              <w:rPr>
                <w:rFonts w:asciiTheme="minorEastAsia" w:hAnsiTheme="minorEastAsia" w:eastAsiaTheme="minorEastAsia"/>
                <w:bCs/>
                <w:sz w:val="24"/>
                <w:szCs w:val="24"/>
                <w:highlight w:val="none"/>
              </w:rPr>
              <w:t>如有不明确或不一致，构成合同文件组成内容的，以合同文件约定内容为准，且以专用合同条款约定的合同文件优先顺序解释；</w:t>
            </w:r>
          </w:p>
          <w:p w14:paraId="3015E717">
            <w:pPr>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w:t>
            </w:r>
            <w:r>
              <w:rPr>
                <w:rFonts w:asciiTheme="minorEastAsia" w:hAnsiTheme="minorEastAsia" w:eastAsiaTheme="minorEastAsia"/>
                <w:bCs/>
                <w:sz w:val="24"/>
                <w:szCs w:val="24"/>
                <w:highlight w:val="none"/>
              </w:rPr>
              <w:t>除招标文件中有特别规定外，仅适用于招标投标阶段的规定，按招标公告、</w:t>
            </w:r>
            <w:r>
              <w:rPr>
                <w:rFonts w:hint="eastAsia" w:asciiTheme="minorEastAsia" w:hAnsiTheme="minorEastAsia" w:eastAsiaTheme="minorEastAsia"/>
                <w:bCs/>
                <w:sz w:val="24"/>
                <w:szCs w:val="24"/>
                <w:highlight w:val="none"/>
              </w:rPr>
              <w:t>投标邀请、</w:t>
            </w:r>
            <w:r>
              <w:rPr>
                <w:rFonts w:asciiTheme="minorEastAsia" w:hAnsiTheme="minorEastAsia" w:eastAsiaTheme="minorEastAsia"/>
                <w:bCs/>
                <w:sz w:val="24"/>
                <w:szCs w:val="24"/>
                <w:highlight w:val="none"/>
              </w:rPr>
              <w:t>投标人须知、评标</w:t>
            </w:r>
            <w:r>
              <w:rPr>
                <w:rFonts w:hint="eastAsia" w:asciiTheme="minorEastAsia" w:hAnsiTheme="minorEastAsia" w:eastAsiaTheme="minorEastAsia"/>
                <w:bCs/>
                <w:sz w:val="24"/>
                <w:szCs w:val="24"/>
                <w:highlight w:val="none"/>
              </w:rPr>
              <w:t>方</w:t>
            </w:r>
            <w:r>
              <w:rPr>
                <w:rFonts w:asciiTheme="minorEastAsia" w:hAnsiTheme="minorEastAsia" w:eastAsiaTheme="minorEastAsia"/>
                <w:bCs/>
                <w:sz w:val="24"/>
                <w:szCs w:val="24"/>
                <w:highlight w:val="none"/>
              </w:rPr>
              <w:t>法</w:t>
            </w:r>
            <w:r>
              <w:rPr>
                <w:rFonts w:hint="eastAsia" w:asciiTheme="minorEastAsia" w:hAnsiTheme="minorEastAsia" w:eastAsiaTheme="minorEastAsia"/>
                <w:bCs/>
                <w:sz w:val="24"/>
                <w:szCs w:val="24"/>
                <w:highlight w:val="none"/>
              </w:rPr>
              <w:t>和标准</w:t>
            </w:r>
            <w:r>
              <w:rPr>
                <w:rFonts w:asciiTheme="minorEastAsia" w:hAnsiTheme="minorEastAsia" w:eastAsiaTheme="minorEastAsia"/>
                <w:bCs/>
                <w:sz w:val="24"/>
                <w:szCs w:val="24"/>
                <w:highlight w:val="none"/>
              </w:rPr>
              <w:t>、投标文件格式的先后顺序解释；</w:t>
            </w:r>
          </w:p>
          <w:p w14:paraId="534F291B">
            <w:pPr>
              <w:pStyle w:val="33"/>
              <w:widowControl w:val="0"/>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（5）</w:t>
            </w:r>
            <w:r>
              <w:rPr>
                <w:rFonts w:asciiTheme="minorEastAsia" w:hAnsiTheme="minorEastAsia" w:eastAsiaTheme="minorEastAsia"/>
                <w:b w:val="0"/>
                <w:kern w:val="2"/>
                <w:sz w:val="24"/>
                <w:szCs w:val="24"/>
                <w:highlight w:val="none"/>
              </w:rPr>
              <w:t>按本款前述规定仍不能形成结论的，由</w:t>
            </w:r>
            <w:r>
              <w:rPr>
                <w:rFonts w:hint="eastAsia" w:asciiTheme="minorEastAsia" w:hAnsiTheme="minorEastAsia" w:eastAsiaTheme="minorEastAsia"/>
                <w:b w:val="0"/>
                <w:kern w:val="2"/>
                <w:sz w:val="24"/>
                <w:szCs w:val="24"/>
                <w:highlight w:val="none"/>
              </w:rPr>
              <w:t>采购</w:t>
            </w:r>
            <w:r>
              <w:rPr>
                <w:rFonts w:asciiTheme="minorEastAsia" w:hAnsiTheme="minorEastAsia" w:eastAsiaTheme="minorEastAsia"/>
                <w:b w:val="0"/>
                <w:kern w:val="2"/>
                <w:sz w:val="24"/>
                <w:szCs w:val="24"/>
                <w:highlight w:val="none"/>
              </w:rPr>
              <w:t>人负责解释。</w:t>
            </w:r>
          </w:p>
          <w:p w14:paraId="1EE8E327">
            <w:pPr>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2、“政采贷”融资指引：有融资需求的</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融资申请信息推送第三方平台、意向金融机构。</w:t>
            </w:r>
          </w:p>
          <w:p w14:paraId="675F09AF">
            <w:pPr>
              <w:pStyle w:val="33"/>
              <w:widowControl w:val="0"/>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3、电子保函指引：中标人可访问安徽省政府采购网“融资/保函”栏目，申请办理电子保函（包括：履约保函、预付款保函）。</w:t>
            </w:r>
          </w:p>
        </w:tc>
      </w:tr>
    </w:tbl>
    <w:p w14:paraId="54575325">
      <w:pPr>
        <w:spacing w:line="360" w:lineRule="auto"/>
        <w:jc w:val="center"/>
        <w:outlineLvl w:val="1"/>
        <w:rPr>
          <w:rFonts w:hint="eastAsia" w:asciiTheme="minorEastAsia" w:hAnsiTheme="minorEastAsia" w:eastAsiaTheme="minorEastAsia"/>
          <w:b/>
          <w:sz w:val="24"/>
          <w:highlight w:val="none"/>
        </w:rPr>
      </w:pPr>
      <w:r>
        <w:rPr>
          <w:rFonts w:asciiTheme="minorEastAsia" w:hAnsiTheme="minorEastAsia" w:eastAsiaTheme="minorEastAsia"/>
          <w:b/>
          <w:sz w:val="28"/>
          <w:highlight w:val="none"/>
        </w:rPr>
        <w:br w:type="page"/>
      </w:r>
      <w:bookmarkStart w:id="21" w:name="_Toc9427"/>
      <w:bookmarkStart w:id="22" w:name="_Toc24882"/>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投标人须知</w:t>
      </w:r>
      <w:r>
        <w:rPr>
          <w:rFonts w:hint="eastAsia" w:asciiTheme="minorEastAsia" w:hAnsiTheme="minorEastAsia" w:eastAsiaTheme="minorEastAsia"/>
          <w:b/>
          <w:sz w:val="24"/>
          <w:highlight w:val="none"/>
        </w:rPr>
        <w:t>正文</w:t>
      </w:r>
      <w:bookmarkEnd w:id="21"/>
      <w:bookmarkEnd w:id="22"/>
    </w:p>
    <w:p w14:paraId="351DA3E2">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1.采购人、采购代理机构及投标人</w:t>
      </w:r>
    </w:p>
    <w:p w14:paraId="4D24EF17">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.1采购人：是指依法开展政府采购活动的国家机关、事业单位、团体组织。</w:t>
      </w:r>
    </w:p>
    <w:p w14:paraId="1CF524F7">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.2采购代理机构：是指集中采购机构或从事采购代理业务的社会中介机构。</w:t>
      </w:r>
    </w:p>
    <w:p w14:paraId="0397E8E2">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.3政府采购监督管理部门：</w:t>
      </w:r>
      <w:r>
        <w:rPr>
          <w:rFonts w:hint="eastAsia" w:ascii="宋体" w:hAnsi="宋体" w:eastAsia="宋体"/>
          <w:sz w:val="24"/>
          <w:highlight w:val="none"/>
        </w:rPr>
        <w:t>各级人民政府指定的有关部门依法履行与政府采购活动有关的监督管理职责。</w:t>
      </w:r>
    </w:p>
    <w:p w14:paraId="75CDCEB6">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.4投标人：是指向采购人提供货物、工程或者服务的法人、</w:t>
      </w:r>
      <w:r>
        <w:rPr>
          <w:rFonts w:hint="eastAsia" w:ascii="宋体" w:hAnsi="宋体" w:eastAsia="宋体"/>
          <w:sz w:val="24"/>
          <w:highlight w:val="none"/>
        </w:rPr>
        <w:t>其他</w:t>
      </w:r>
      <w:r>
        <w:rPr>
          <w:rFonts w:ascii="宋体" w:hAnsi="宋体" w:eastAsia="宋体"/>
          <w:sz w:val="24"/>
          <w:highlight w:val="none"/>
        </w:rPr>
        <w:t>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本项目的投标人须满足以下条件：</w:t>
      </w:r>
    </w:p>
    <w:p w14:paraId="73800730">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1</w:t>
      </w:r>
      <w:r>
        <w:rPr>
          <w:rFonts w:ascii="宋体" w:hAnsi="宋体" w:eastAsia="宋体"/>
          <w:sz w:val="24"/>
          <w:highlight w:val="none"/>
        </w:rPr>
        <w:t>具备《中华人民共和国政府采购法》第二十二条关于供应商条件的规定，遵守本项目采购人本级和上级财政部门政府采购的有关规定。</w:t>
      </w:r>
    </w:p>
    <w:p w14:paraId="11A0AC02">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2</w:t>
      </w:r>
      <w:r>
        <w:rPr>
          <w:rFonts w:ascii="宋体" w:hAnsi="宋体" w:eastAsia="宋体"/>
          <w:sz w:val="24"/>
          <w:highlight w:val="none"/>
        </w:rPr>
        <w:t>以采购代理机构认可的方式获得了本项目的招标文件。</w:t>
      </w:r>
    </w:p>
    <w:p w14:paraId="5BF38E09">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3</w:t>
      </w:r>
      <w:r>
        <w:rPr>
          <w:rFonts w:ascii="宋体" w:hAnsi="宋体" w:eastAsia="宋体"/>
          <w:sz w:val="24"/>
          <w:highlight w:val="none"/>
        </w:rPr>
        <w:t>若</w:t>
      </w:r>
      <w:r>
        <w:rPr>
          <w:rFonts w:hint="eastAsia" w:ascii="宋体" w:hAnsi="宋体" w:eastAsia="宋体"/>
          <w:sz w:val="24"/>
          <w:highlight w:val="none"/>
        </w:rPr>
        <w:t>采购需求</w:t>
      </w:r>
      <w:r>
        <w:rPr>
          <w:rFonts w:ascii="宋体" w:hAnsi="宋体" w:eastAsia="宋体"/>
          <w:sz w:val="24"/>
          <w:highlight w:val="none"/>
        </w:rPr>
        <w:t>中写明允许采购进口产品，投标人应保证所投产品可履行合法报通关手续进入中国关境内。</w:t>
      </w:r>
    </w:p>
    <w:p w14:paraId="299CC9C9">
      <w:pPr>
        <w:spacing w:line="360" w:lineRule="auto"/>
        <w:ind w:firstLine="435"/>
        <w:rPr>
          <w:rFonts w:hint="eastAsia" w:ascii="宋体" w:hAnsi="宋体" w:eastAsia="宋体"/>
          <w:sz w:val="24"/>
          <w:highlight w:val="none"/>
        </w:rPr>
      </w:pPr>
      <w:r>
        <w:rPr>
          <w:rFonts w:hint="eastAsia" w:ascii="宋体" w:hAnsi="宋体" w:eastAsia="宋体"/>
          <w:sz w:val="24"/>
          <w:highlight w:val="none"/>
        </w:rPr>
        <w:t>若采购需求中未写明允许采购进口产品，如投标人所投产品为进口产品，其投标将被认定为</w:t>
      </w:r>
      <w:r>
        <w:rPr>
          <w:rFonts w:hint="eastAsia" w:ascii="宋体" w:hAnsi="宋体" w:eastAsia="宋体"/>
          <w:b/>
          <w:sz w:val="24"/>
          <w:highlight w:val="none"/>
        </w:rPr>
        <w:t>投标无效</w:t>
      </w:r>
      <w:r>
        <w:rPr>
          <w:rFonts w:hint="eastAsia" w:ascii="宋体" w:hAnsi="宋体" w:eastAsia="宋体"/>
          <w:sz w:val="24"/>
          <w:highlight w:val="none"/>
        </w:rPr>
        <w:t>。</w:t>
      </w:r>
    </w:p>
    <w:p w14:paraId="7EF5E7AD">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w:t>
      </w:r>
      <w:r>
        <w:rPr>
          <w:rFonts w:hint="eastAsia" w:ascii="宋体" w:hAnsi="宋体" w:eastAsia="宋体"/>
          <w:sz w:val="24"/>
          <w:highlight w:val="none"/>
        </w:rPr>
        <w:t>若招标公告</w:t>
      </w:r>
      <w:r>
        <w:rPr>
          <w:rFonts w:ascii="宋体" w:hAnsi="宋体" w:eastAsia="宋体"/>
          <w:sz w:val="24"/>
          <w:highlight w:val="none"/>
        </w:rPr>
        <w:t>中允许联合体投标，对联合体规定如下：</w:t>
      </w:r>
    </w:p>
    <w:p w14:paraId="3AC5D8E0">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5.1两个以上供应商可以组成一个投标联合体，以一个投标人的身份投标。联合体投标的，</w:t>
      </w:r>
      <w:r>
        <w:rPr>
          <w:rFonts w:hint="eastAsia" w:ascii="宋体" w:hAnsi="宋体" w:eastAsia="宋体"/>
          <w:sz w:val="24"/>
          <w:highlight w:val="none"/>
        </w:rPr>
        <w:t>招标文件获取</w:t>
      </w:r>
      <w:r>
        <w:rPr>
          <w:rFonts w:ascii="宋体" w:hAnsi="宋体" w:eastAsia="宋体"/>
          <w:sz w:val="24"/>
          <w:highlight w:val="none"/>
        </w:rPr>
        <w:t>手续由联合体</w:t>
      </w:r>
      <w:r>
        <w:rPr>
          <w:rFonts w:hint="eastAsia" w:ascii="宋体" w:hAnsi="宋体" w:eastAsia="宋体"/>
          <w:sz w:val="24"/>
          <w:highlight w:val="none"/>
        </w:rPr>
        <w:t>中</w:t>
      </w:r>
      <w:r>
        <w:rPr>
          <w:rFonts w:ascii="宋体" w:hAnsi="宋体" w:eastAsia="宋体"/>
          <w:sz w:val="24"/>
          <w:highlight w:val="none"/>
        </w:rPr>
        <w:t>任</w:t>
      </w:r>
      <w:r>
        <w:rPr>
          <w:rFonts w:hint="eastAsia" w:ascii="宋体" w:hAnsi="宋体" w:eastAsia="宋体"/>
          <w:sz w:val="24"/>
          <w:highlight w:val="none"/>
        </w:rPr>
        <w:t>一成员单位</w:t>
      </w:r>
      <w:r>
        <w:rPr>
          <w:rFonts w:ascii="宋体" w:hAnsi="宋体" w:eastAsia="宋体"/>
          <w:sz w:val="24"/>
          <w:highlight w:val="none"/>
        </w:rPr>
        <w:t>办理均可。</w:t>
      </w:r>
    </w:p>
    <w:p w14:paraId="531DDB1F">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5.2联合体各方均应符合《中华人民共和国政府采购法》第二十二条规定的条件。</w:t>
      </w:r>
    </w:p>
    <w:p w14:paraId="3B6C149F">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5.3采购人根据采购项目对投标人的特殊要求，联合体中至少应当有一方符合相关规定。</w:t>
      </w:r>
    </w:p>
    <w:p w14:paraId="3C5FE1DE">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5.4联合体各方应签订</w:t>
      </w:r>
      <w:r>
        <w:rPr>
          <w:rFonts w:hint="eastAsia" w:ascii="宋体" w:hAnsi="宋体" w:eastAsia="宋体"/>
          <w:sz w:val="24"/>
          <w:highlight w:val="none"/>
        </w:rPr>
        <w:t>联合协议</w:t>
      </w:r>
      <w:r>
        <w:rPr>
          <w:rFonts w:ascii="宋体" w:hAnsi="宋体" w:eastAsia="宋体"/>
          <w:sz w:val="24"/>
          <w:highlight w:val="none"/>
        </w:rPr>
        <w:t>，明确约定联合体各方承担的工作和相应的责任，并将</w:t>
      </w:r>
      <w:r>
        <w:rPr>
          <w:rFonts w:hint="eastAsia" w:ascii="宋体" w:hAnsi="宋体" w:eastAsia="宋体"/>
          <w:sz w:val="24"/>
          <w:highlight w:val="none"/>
        </w:rPr>
        <w:t>联合协议</w:t>
      </w:r>
      <w:r>
        <w:rPr>
          <w:rFonts w:ascii="宋体" w:hAnsi="宋体" w:eastAsia="宋体"/>
          <w:sz w:val="24"/>
          <w:highlight w:val="none"/>
        </w:rPr>
        <w:t>作为投标文件</w:t>
      </w:r>
      <w:r>
        <w:rPr>
          <w:rFonts w:hint="eastAsia" w:ascii="宋体" w:hAnsi="宋体" w:eastAsia="宋体"/>
          <w:sz w:val="24"/>
          <w:highlight w:val="none"/>
        </w:rPr>
        <w:t>的</w:t>
      </w:r>
      <w:r>
        <w:rPr>
          <w:rFonts w:ascii="宋体" w:hAnsi="宋体" w:eastAsia="宋体"/>
          <w:sz w:val="24"/>
          <w:highlight w:val="none"/>
        </w:rPr>
        <w:t>一部分提交。</w:t>
      </w:r>
    </w:p>
    <w:p w14:paraId="4568CDC7">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5.5大中型企业、其他自然人、法人或者非法人组织与小型、微型企业组成联合体共同参加投标，</w:t>
      </w:r>
      <w:r>
        <w:rPr>
          <w:rFonts w:hint="eastAsia" w:ascii="宋体" w:hAnsi="宋体" w:eastAsia="宋体"/>
          <w:sz w:val="24"/>
          <w:highlight w:val="none"/>
        </w:rPr>
        <w:t>联合协议中</w:t>
      </w:r>
      <w:r>
        <w:rPr>
          <w:rFonts w:ascii="宋体" w:hAnsi="宋体" w:eastAsia="宋体"/>
          <w:sz w:val="24"/>
          <w:highlight w:val="none"/>
        </w:rPr>
        <w:t>应写明小型、微型企业的协议合同金额占到</w:t>
      </w:r>
      <w:r>
        <w:rPr>
          <w:rFonts w:hint="eastAsia" w:ascii="宋体" w:hAnsi="宋体" w:eastAsia="宋体"/>
          <w:sz w:val="24"/>
          <w:highlight w:val="none"/>
        </w:rPr>
        <w:t>联合协议</w:t>
      </w:r>
      <w:r>
        <w:rPr>
          <w:rFonts w:ascii="宋体" w:hAnsi="宋体" w:eastAsia="宋体"/>
          <w:sz w:val="24"/>
          <w:highlight w:val="none"/>
        </w:rPr>
        <w:t>投标总金额的比例。</w:t>
      </w:r>
    </w:p>
    <w:p w14:paraId="60AB13BF">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5.6</w:t>
      </w:r>
      <w:r>
        <w:rPr>
          <w:rFonts w:hint="eastAsia" w:ascii="宋体" w:hAnsi="宋体" w:eastAsia="宋体"/>
          <w:sz w:val="24"/>
          <w:highlight w:val="none"/>
        </w:rPr>
        <w:t>联合体中有同类资质的供应商按照联合体分工承担相同工作的，</w:t>
      </w:r>
      <w:r>
        <w:rPr>
          <w:rFonts w:ascii="宋体" w:hAnsi="宋体" w:eastAsia="宋体"/>
          <w:sz w:val="24"/>
          <w:highlight w:val="none"/>
        </w:rPr>
        <w:t>应当按照</w:t>
      </w:r>
      <w:r>
        <w:rPr>
          <w:rFonts w:hint="eastAsia" w:ascii="宋体" w:hAnsi="宋体" w:eastAsia="宋体"/>
          <w:sz w:val="24"/>
          <w:highlight w:val="none"/>
        </w:rPr>
        <w:t>资质等级较低的供应商确定资质等级。</w:t>
      </w:r>
    </w:p>
    <w:p w14:paraId="1E217908">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sz w:val="24"/>
          <w:highlight w:val="none"/>
        </w:rPr>
        <w:t>投标无效</w:t>
      </w:r>
      <w:r>
        <w:rPr>
          <w:rFonts w:ascii="宋体" w:hAnsi="宋体" w:eastAsia="宋体"/>
          <w:sz w:val="24"/>
          <w:highlight w:val="none"/>
        </w:rPr>
        <w:t>。</w:t>
      </w:r>
    </w:p>
    <w:p w14:paraId="052CD7F0">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5.8对联合体投标的其他资格要求见</w:t>
      </w:r>
      <w:r>
        <w:rPr>
          <w:rFonts w:hint="eastAsia" w:ascii="宋体" w:hAnsi="宋体" w:eastAsia="宋体"/>
          <w:sz w:val="24"/>
          <w:highlight w:val="none"/>
        </w:rPr>
        <w:t>申请人的资格要求</w:t>
      </w:r>
      <w:r>
        <w:rPr>
          <w:rFonts w:ascii="宋体" w:hAnsi="宋体" w:eastAsia="宋体"/>
          <w:sz w:val="24"/>
          <w:highlight w:val="none"/>
        </w:rPr>
        <w:t>。</w:t>
      </w:r>
    </w:p>
    <w:p w14:paraId="2464D639">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2.资金落实情况</w:t>
      </w:r>
    </w:p>
    <w:p w14:paraId="4B7B1FD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本</w:t>
      </w:r>
      <w:r>
        <w:rPr>
          <w:rFonts w:hint="eastAsia" w:ascii="宋体" w:hAnsi="宋体" w:eastAsia="宋体"/>
          <w:sz w:val="24"/>
          <w:highlight w:val="none"/>
        </w:rPr>
        <w:t>项目</w:t>
      </w:r>
      <w:r>
        <w:rPr>
          <w:rFonts w:hint="eastAsia" w:asciiTheme="minorEastAsia" w:hAnsiTheme="minorEastAsia" w:eastAsiaTheme="minorEastAsia"/>
          <w:sz w:val="24"/>
          <w:highlight w:val="none"/>
        </w:rPr>
        <w:t>的采购人已获得足以支付本次招标后所签订的合同项下的资金。</w:t>
      </w:r>
    </w:p>
    <w:p w14:paraId="4D81AB30">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3.投标费用</w:t>
      </w:r>
    </w:p>
    <w:p w14:paraId="029124BC">
      <w:pPr>
        <w:spacing w:line="360" w:lineRule="auto"/>
        <w:ind w:firstLine="435"/>
        <w:rPr>
          <w:rFonts w:hint="eastAsia" w:ascii="宋体" w:hAnsi="宋体" w:eastAsia="宋体"/>
          <w:sz w:val="24"/>
          <w:highlight w:val="none"/>
        </w:rPr>
      </w:pPr>
      <w:r>
        <w:rPr>
          <w:rFonts w:hint="eastAsia" w:ascii="宋体" w:hAnsi="宋体" w:eastAsia="宋体"/>
          <w:sz w:val="24"/>
          <w:highlight w:val="none"/>
        </w:rPr>
        <w:t>不论投标的结果如何，投标人应承担所有与准备和参加投标有关的费用。</w:t>
      </w:r>
    </w:p>
    <w:p w14:paraId="153B010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4.适用法律</w:t>
      </w:r>
    </w:p>
    <w:p w14:paraId="13A38DB7">
      <w:pPr>
        <w:spacing w:line="360" w:lineRule="auto"/>
        <w:ind w:firstLine="435"/>
        <w:rPr>
          <w:rFonts w:hint="eastAsia" w:asciiTheme="minorEastAsia" w:hAnsiTheme="minorEastAsia" w:eastAsiaTheme="minorEastAsia"/>
          <w:sz w:val="24"/>
          <w:highlight w:val="none"/>
        </w:rPr>
      </w:pPr>
      <w:r>
        <w:rPr>
          <w:rFonts w:hint="eastAsia" w:ascii="宋体" w:hAnsi="宋体" w:eastAsia="宋体"/>
          <w:sz w:val="24"/>
          <w:highlight w:val="none"/>
        </w:rPr>
        <w:t>本项目采购人、采购代理机构、投标人、评标委员会的相关行为均受《中华人民共和国政府采购法》、《中</w:t>
      </w:r>
      <w:r>
        <w:rPr>
          <w:rFonts w:hint="eastAsia" w:ascii="宋体" w:hAnsi="宋体" w:eastAsia="宋体"/>
          <w:sz w:val="24"/>
          <w:szCs w:val="22"/>
          <w:highlight w:val="none"/>
        </w:rPr>
        <w:t>华人民共和国政府采购法实施条例》及本项目本级和上级财政部门、政府采购监督管理部门的政府采购有关规定的约束，其权利受到上述法律法规的保护。</w:t>
      </w:r>
    </w:p>
    <w:p w14:paraId="04806EFD">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5.招标文件构成</w:t>
      </w:r>
    </w:p>
    <w:p w14:paraId="4E2E9AA7">
      <w:pPr>
        <w:spacing w:line="360" w:lineRule="auto"/>
        <w:ind w:firstLine="435"/>
        <w:rPr>
          <w:rFonts w:hint="eastAsia" w:ascii="宋体" w:hAnsi="宋体" w:eastAsia="宋体"/>
          <w:sz w:val="24"/>
          <w:highlight w:val="none"/>
        </w:rPr>
      </w:pPr>
      <w:r>
        <w:rPr>
          <w:rFonts w:hint="eastAsia" w:ascii="宋体" w:hAnsi="宋体" w:eastAsia="宋体"/>
          <w:sz w:val="24"/>
          <w:highlight w:val="none"/>
        </w:rPr>
        <w:t>5.1招标文件包括下列内容：</w:t>
      </w:r>
    </w:p>
    <w:p w14:paraId="6CEFE217">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投标邀请</w:t>
      </w:r>
    </w:p>
    <w:p w14:paraId="49C17C00">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投标人须知</w:t>
      </w:r>
    </w:p>
    <w:p w14:paraId="1EBED85B">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1A7ED20F">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评标</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14:paraId="0E4D495E">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政府采购合同</w:t>
      </w:r>
    </w:p>
    <w:p w14:paraId="46044C4D">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投标文件格式</w:t>
      </w:r>
    </w:p>
    <w:p w14:paraId="2DF005CF">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第七章</w:t>
      </w:r>
      <w:r>
        <w:rPr>
          <w:rFonts w:asciiTheme="minorEastAsia" w:hAnsiTheme="minorEastAsia" w:eastAsiaTheme="minorEastAsia"/>
          <w:sz w:val="24"/>
          <w:highlight w:val="none"/>
        </w:rPr>
        <w:t xml:space="preserve">  政府采购</w:t>
      </w:r>
      <w:r>
        <w:rPr>
          <w:rFonts w:hint="eastAsia" w:asciiTheme="minorEastAsia" w:hAnsiTheme="minorEastAsia" w:eastAsiaTheme="minorEastAsia"/>
          <w:sz w:val="24"/>
          <w:highlight w:val="none"/>
        </w:rPr>
        <w:t>询问函和</w:t>
      </w:r>
      <w:r>
        <w:rPr>
          <w:rFonts w:asciiTheme="minorEastAsia" w:hAnsiTheme="minorEastAsia" w:eastAsiaTheme="minorEastAsia"/>
          <w:sz w:val="24"/>
          <w:highlight w:val="none"/>
        </w:rPr>
        <w:t>质疑函范本</w:t>
      </w:r>
    </w:p>
    <w:p w14:paraId="6C1B95E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现场</w:t>
      </w:r>
      <w:r>
        <w:rPr>
          <w:rFonts w:hint="eastAsia" w:asciiTheme="minorEastAsia" w:hAnsiTheme="minorEastAsia" w:eastAsiaTheme="minorEastAsia"/>
          <w:sz w:val="24"/>
          <w:highlight w:val="none"/>
        </w:rPr>
        <w:t>考察（</w:t>
      </w:r>
      <w:r>
        <w:rPr>
          <w:rFonts w:hint="eastAsia" w:ascii="宋体" w:hAnsi="宋体" w:eastAsia="宋体"/>
          <w:bCs/>
          <w:sz w:val="24"/>
          <w:szCs w:val="22"/>
          <w:highlight w:val="none"/>
        </w:rPr>
        <w:t>标前答疑会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w:t>
      </w:r>
    </w:p>
    <w:p w14:paraId="79520E7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投标人应认真阅读招标文件所有的事项、格式、条款和技术规范等。</w:t>
      </w:r>
    </w:p>
    <w:p w14:paraId="5C00CAF5">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招标文件的澄清与修改</w:t>
      </w:r>
    </w:p>
    <w:p w14:paraId="257704F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投标人如对招标文件内容有疑问，必须在</w:t>
      </w:r>
      <w:r>
        <w:rPr>
          <w:rFonts w:ascii="宋体" w:hAnsi="宋体" w:eastAsia="宋体"/>
          <w:sz w:val="24"/>
          <w:highlight w:val="none"/>
          <w:u w:val="single"/>
        </w:rPr>
        <w:t>投标人须知前附表</w:t>
      </w:r>
      <w:r>
        <w:rPr>
          <w:rFonts w:asciiTheme="minorEastAsia" w:hAnsiTheme="minorEastAsia" w:eastAsiaTheme="minorEastAsia"/>
          <w:sz w:val="24"/>
          <w:highlight w:val="none"/>
        </w:rPr>
        <w:t>规定的</w:t>
      </w:r>
      <w:r>
        <w:rPr>
          <w:rFonts w:hint="eastAsia" w:asciiTheme="minorEastAsia" w:hAnsiTheme="minorEastAsia" w:eastAsiaTheme="minorEastAsia"/>
          <w:sz w:val="24"/>
          <w:highlight w:val="none"/>
        </w:rPr>
        <w:t>网上询问</w:t>
      </w:r>
      <w:r>
        <w:rPr>
          <w:rFonts w:asciiTheme="minorEastAsia" w:hAnsiTheme="minorEastAsia" w:eastAsiaTheme="minorEastAsia"/>
          <w:sz w:val="24"/>
          <w:highlight w:val="none"/>
        </w:rPr>
        <w:t>截止时间前以网上提问形式</w:t>
      </w:r>
      <w:r>
        <w:rPr>
          <w:rFonts w:hint="eastAsia" w:asciiTheme="minorEastAsia" w:hAnsiTheme="minorEastAsia" w:eastAsiaTheme="minorEastAsia"/>
          <w:sz w:val="24"/>
          <w:highlight w:val="none"/>
        </w:rPr>
        <w:t>（电子交易系统）</w:t>
      </w:r>
      <w:r>
        <w:rPr>
          <w:rFonts w:asciiTheme="minorEastAsia" w:hAnsiTheme="minorEastAsia" w:eastAsiaTheme="minorEastAsia"/>
          <w:sz w:val="24"/>
          <w:highlight w:val="none"/>
        </w:rPr>
        <w:t>提交给采购代理机构。</w:t>
      </w:r>
    </w:p>
    <w:p w14:paraId="6206BAD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2采购人可主动地或在答复投标人提出的询问时对招标文件进行澄清与修改。</w:t>
      </w:r>
      <w:r>
        <w:rPr>
          <w:rFonts w:asciiTheme="minorEastAsia" w:hAnsiTheme="minorEastAsia" w:eastAsiaTheme="minorEastAsia"/>
          <w:sz w:val="24"/>
          <w:highlight w:val="none"/>
        </w:rPr>
        <w:t>采购代理机构将</w:t>
      </w:r>
      <w:r>
        <w:rPr>
          <w:rFonts w:hint="eastAsia" w:asciiTheme="minorEastAsia" w:hAnsiTheme="minorEastAsia" w:eastAsiaTheme="minorEastAsia"/>
          <w:sz w:val="24"/>
          <w:highlight w:val="none"/>
        </w:rPr>
        <w:t>在安徽省政府采购网以发布更正公告的方式</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澄清或修改招标文件，更正公告的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为招标文件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组成部分，对投标人起约束作用</w:t>
      </w:r>
      <w:r>
        <w:rPr>
          <w:rFonts w:hint="eastAsia" w:asciiTheme="minorEastAsia" w:hAnsiTheme="minorEastAsia" w:eastAsiaTheme="minorEastAsia"/>
          <w:sz w:val="24"/>
          <w:highlight w:val="none"/>
        </w:rPr>
        <w:t>。投标人应主动上网查询。采购代理机构不承担投标人未及时关注相关信息引发的相关责任。</w:t>
      </w:r>
    </w:p>
    <w:p w14:paraId="373ACA02">
      <w:pPr>
        <w:spacing w:line="360" w:lineRule="auto"/>
        <w:ind w:firstLine="435"/>
        <w:rPr>
          <w:rFonts w:hint="eastAsia" w:ascii="宋体" w:hAnsi="宋体" w:eastAsia="宋体"/>
          <w:sz w:val="24"/>
          <w:highlight w:val="none"/>
        </w:rPr>
      </w:pPr>
      <w:r>
        <w:rPr>
          <w:rFonts w:hint="eastAsia" w:ascii="宋体" w:hAnsi="宋体" w:eastAsia="宋体"/>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5648AE3">
      <w:pPr>
        <w:spacing w:line="360" w:lineRule="auto"/>
        <w:ind w:firstLine="435"/>
        <w:rPr>
          <w:rFonts w:hint="eastAsia" w:asciiTheme="minorEastAsia" w:hAnsiTheme="minorEastAsia" w:eastAsiaTheme="minorEastAsia"/>
          <w:i/>
          <w:iCs/>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疑问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项目投标的</w:t>
      </w:r>
      <w:r>
        <w:rPr>
          <w:rFonts w:hint="eastAsia" w:asciiTheme="minorEastAsia" w:hAnsiTheme="minorEastAsia" w:eastAsiaTheme="minorEastAsia"/>
          <w:sz w:val="24"/>
          <w:highlight w:val="none"/>
        </w:rPr>
        <w:t>投标人</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招标文件（含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i/>
          <w:sz w:val="24"/>
          <w:highlight w:val="none"/>
        </w:rPr>
        <w:t>。</w:t>
      </w:r>
    </w:p>
    <w:p w14:paraId="5D31105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投标范围及投标文件中标准和计量单位的使用</w:t>
      </w:r>
    </w:p>
    <w:p w14:paraId="3E4CA65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w:t>
      </w:r>
      <w:r>
        <w:rPr>
          <w:rFonts w:ascii="宋体" w:hAnsi="宋体" w:eastAsia="宋体"/>
          <w:sz w:val="24"/>
          <w:highlight w:val="none"/>
        </w:rPr>
        <w:t>项目</w:t>
      </w:r>
      <w:r>
        <w:rPr>
          <w:rFonts w:asciiTheme="minorEastAsia" w:hAnsiTheme="minorEastAsia" w:eastAsiaTheme="minorEastAsia"/>
          <w:sz w:val="24"/>
          <w:highlight w:val="none"/>
        </w:rPr>
        <w:t>有分包的，投标人可对招标文件其中某一个或几个分包进行投标，除非在</w:t>
      </w:r>
      <w:r>
        <w:rPr>
          <w:rFonts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中另有规定。</w:t>
      </w:r>
    </w:p>
    <w:p w14:paraId="1D95E4B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.2投标人应当对所投分包招标文件中“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需求”所列的所有内容进行投标，如仅响应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w:t>
      </w:r>
      <w:r>
        <w:rPr>
          <w:rFonts w:asciiTheme="minorEastAsia" w:hAnsiTheme="minorEastAsia" w:eastAsiaTheme="minorEastAsia"/>
          <w:sz w:val="24"/>
          <w:highlight w:val="none"/>
        </w:rPr>
        <w:t>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1A743885">
      <w:pPr>
        <w:spacing w:line="360" w:lineRule="auto"/>
        <w:ind w:firstLine="435"/>
        <w:rPr>
          <w:rFonts w:hint="eastAsia" w:asciiTheme="minorEastAsia" w:hAnsiTheme="minorEastAsia" w:eastAsiaTheme="minorEastAsia"/>
          <w:sz w:val="24"/>
          <w:highlight w:val="none"/>
        </w:rPr>
      </w:pPr>
      <w:bookmarkStart w:id="23" w:name="_Hlk16458980"/>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.3无论招标文件中是否要求，</w:t>
      </w:r>
      <w:r>
        <w:rPr>
          <w:rFonts w:hint="eastAsia" w:asciiTheme="minorEastAsia" w:hAnsiTheme="minorEastAsia" w:eastAsiaTheme="minorEastAsia"/>
          <w:sz w:val="24"/>
          <w:highlight w:val="none"/>
        </w:rPr>
        <w:t>投标人所投货物、服务及工程（如有）均应符合国家强制性标准。</w:t>
      </w:r>
    </w:p>
    <w:bookmarkEnd w:id="23"/>
    <w:p w14:paraId="77A8F95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投标人与采购</w:t>
      </w:r>
      <w:r>
        <w:rPr>
          <w:rFonts w:hint="eastAsia" w:asciiTheme="minorEastAsia" w:hAnsiTheme="minorEastAsia" w:eastAsiaTheme="minorEastAsia"/>
          <w:sz w:val="24"/>
          <w:highlight w:val="none"/>
        </w:rPr>
        <w:t>代理</w:t>
      </w:r>
      <w:r>
        <w:rPr>
          <w:rFonts w:asciiTheme="minorEastAsia" w:hAnsiTheme="minorEastAsia" w:eastAsiaTheme="minorEastAsia"/>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2872733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除</w:t>
      </w:r>
      <w:r>
        <w:rPr>
          <w:rFonts w:ascii="宋体" w:hAnsi="宋体" w:eastAsia="宋体"/>
          <w:sz w:val="24"/>
          <w:highlight w:val="none"/>
        </w:rPr>
        <w:t>招标文件</w:t>
      </w:r>
      <w:r>
        <w:rPr>
          <w:rFonts w:asciiTheme="minorEastAsia" w:hAnsiTheme="minorEastAsia" w:eastAsiaTheme="minorEastAsia"/>
          <w:sz w:val="24"/>
          <w:highlight w:val="none"/>
        </w:rPr>
        <w:t>中有特殊要求外，投标文件中所使用的计量单位，应采用中华人民共和国法定计量单位。</w:t>
      </w:r>
    </w:p>
    <w:p w14:paraId="49BA10EB">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投标文件构成</w:t>
      </w:r>
    </w:p>
    <w:p w14:paraId="0227D35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应完整地按招标文件提供的投标文件格式及要求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写投标文件，</w:t>
      </w:r>
      <w:r>
        <w:rPr>
          <w:rFonts w:hint="eastAsia" w:asciiTheme="minorEastAsia" w:hAnsiTheme="minorEastAsia" w:eastAsiaTheme="minorEastAsia"/>
          <w:sz w:val="24"/>
          <w:highlight w:val="none"/>
        </w:rPr>
        <w:t>具体内容详见本项目投标文件格式的相关内容。</w:t>
      </w:r>
    </w:p>
    <w:p w14:paraId="4CE3DE3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8.2</w:t>
      </w:r>
      <w:r>
        <w:rPr>
          <w:rFonts w:ascii="宋体" w:hAnsi="宋体" w:eastAsia="宋体"/>
          <w:sz w:val="24"/>
          <w:highlight w:val="none"/>
        </w:rPr>
        <w:t>投标人</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招标文件要求的</w:t>
      </w:r>
      <w:r>
        <w:rPr>
          <w:rFonts w:asciiTheme="minorEastAsia" w:hAnsiTheme="minorEastAsia" w:eastAsiaTheme="minorEastAsia"/>
          <w:sz w:val="24"/>
          <w:highlight w:val="none"/>
        </w:rPr>
        <w:t>证明文件，证明其投标内容符合招标文件规定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该证明文件是投标文件的一部分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证明文件</w:t>
      </w:r>
      <w:r>
        <w:rPr>
          <w:rFonts w:hint="eastAsia" w:asciiTheme="minorEastAsia" w:hAnsiTheme="minorEastAsia" w:eastAsiaTheme="minorEastAsia"/>
          <w:sz w:val="24"/>
          <w:highlight w:val="none"/>
        </w:rPr>
        <w:t>形式</w:t>
      </w:r>
      <w:r>
        <w:rPr>
          <w:rFonts w:asciiTheme="minorEastAsia" w:hAnsiTheme="minorEastAsia" w:eastAsiaTheme="minorEastAsia"/>
          <w:sz w:val="24"/>
          <w:highlight w:val="none"/>
        </w:rPr>
        <w:t>可以是文字资料、图纸和数据</w:t>
      </w:r>
      <w:bookmarkStart w:id="24" w:name="_Hlk11703583"/>
      <w:r>
        <w:rPr>
          <w:rFonts w:hint="eastAsia" w:asciiTheme="minorEastAsia" w:hAnsiTheme="minorEastAsia" w:eastAsiaTheme="minorEastAsia"/>
          <w:sz w:val="24"/>
          <w:highlight w:val="none"/>
        </w:rPr>
        <w:t>等。</w:t>
      </w:r>
    </w:p>
    <w:bookmarkEnd w:id="24"/>
    <w:p w14:paraId="5CD0B88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8.3</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公正，除非另有规定或说明，投标人对同一项目投标时，不得同时提供</w:t>
      </w:r>
      <w:r>
        <w:rPr>
          <w:rFonts w:hint="eastAsia" w:asciiTheme="minorEastAsia" w:hAnsiTheme="minorEastAsia" w:eastAsiaTheme="minorEastAsia"/>
          <w:sz w:val="24"/>
          <w:highlight w:val="none"/>
        </w:rPr>
        <w:t>备选</w:t>
      </w:r>
      <w:r>
        <w:rPr>
          <w:rFonts w:asciiTheme="minorEastAsia" w:hAnsiTheme="minorEastAsia" w:eastAsiaTheme="minorEastAsia"/>
          <w:sz w:val="24"/>
          <w:highlight w:val="none"/>
        </w:rPr>
        <w:t>投标方案。</w:t>
      </w:r>
    </w:p>
    <w:p w14:paraId="4E42F325">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投标报价</w:t>
      </w:r>
    </w:p>
    <w:p w14:paraId="7976BAD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2.1投标人的报价应当包括满足本次招标全部采购需求</w:t>
      </w:r>
      <w:r>
        <w:rPr>
          <w:rFonts w:hint="eastAsia" w:asciiTheme="minorEastAsia" w:hAnsiTheme="minorEastAsia" w:eastAsiaTheme="minorEastAsia"/>
          <w:sz w:val="24"/>
          <w:highlight w:val="none"/>
        </w:rPr>
        <w:t>。除招标文件另有规定外，所有投标均应以人民币报价。投标人的投标报价应遵守《中华人民共和国价格法》。</w:t>
      </w:r>
    </w:p>
    <w:p w14:paraId="5AE9BEB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.2投标人报价超过招标文件规定的预算金额或者分项、分包最高限价，其投标将被认定为</w:t>
      </w:r>
      <w:r>
        <w:rPr>
          <w:rFonts w:asciiTheme="minorEastAsia" w:hAnsiTheme="minorEastAsia" w:eastAsiaTheme="minorEastAsia"/>
          <w:b/>
          <w:bCs/>
          <w:sz w:val="24"/>
          <w:highlight w:val="none"/>
        </w:rPr>
        <w:t>投标无效</w:t>
      </w:r>
      <w:r>
        <w:rPr>
          <w:rFonts w:asciiTheme="minorEastAsia" w:hAnsiTheme="minorEastAsia" w:eastAsiaTheme="minorEastAsia"/>
          <w:sz w:val="24"/>
          <w:highlight w:val="none"/>
        </w:rPr>
        <w:t>。</w:t>
      </w:r>
    </w:p>
    <w:p w14:paraId="5447383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3投标报价</w:t>
      </w:r>
      <w:r>
        <w:rPr>
          <w:rFonts w:asciiTheme="minorEastAsia" w:hAnsiTheme="minorEastAsia" w:eastAsiaTheme="minorEastAsia"/>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4B43A058">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highlight w:val="none"/>
        </w:rPr>
        <w:t>必要时提交相关证明材料；投标人不能证明其报价合理性的，其投标将被认定为</w:t>
      </w:r>
      <w:r>
        <w:rPr>
          <w:rFonts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7C6B231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采购人不接受具有附加条件的报价。</w:t>
      </w:r>
    </w:p>
    <w:p w14:paraId="352D078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投标保证金</w:t>
      </w:r>
    </w:p>
    <w:p w14:paraId="1B85F93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10.1本项目不收取投标保证金。</w:t>
      </w:r>
    </w:p>
    <w:p w14:paraId="7DB79264">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投标有效期</w:t>
      </w:r>
    </w:p>
    <w:p w14:paraId="0678027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11.1投标有效期为从投标截止之日算起的日历天数，投标有效期详见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4504282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4B849F6E">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9E51B3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投标文件的递交、修改与撤回</w:t>
      </w:r>
    </w:p>
    <w:p w14:paraId="25513E02">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2.1投标人应当在招标公告规定的投标截止时间前</w:t>
      </w:r>
      <w:r>
        <w:rPr>
          <w:rFonts w:asciiTheme="minorEastAsia" w:hAnsiTheme="minorEastAsia" w:eastAsiaTheme="minorEastAsia"/>
          <w:sz w:val="24"/>
          <w:highlight w:val="none"/>
        </w:rPr>
        <w:t>，将加密的投标文件</w:t>
      </w:r>
      <w:r>
        <w:rPr>
          <w:rFonts w:hint="eastAsia" w:asciiTheme="minorEastAsia" w:hAnsiTheme="minorEastAsia" w:eastAsiaTheme="minorEastAsia"/>
          <w:sz w:val="24"/>
          <w:highlight w:val="none"/>
        </w:rPr>
        <w:t>在电子交易系统</w:t>
      </w:r>
      <w:r>
        <w:rPr>
          <w:rFonts w:asciiTheme="minorEastAsia" w:hAnsiTheme="minorEastAsia" w:eastAsiaTheme="minorEastAsia"/>
          <w:sz w:val="24"/>
          <w:highlight w:val="none"/>
        </w:rPr>
        <w:t>上传。</w:t>
      </w:r>
    </w:p>
    <w:p w14:paraId="38C49B55">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6987E61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开标</w:t>
      </w:r>
    </w:p>
    <w:p w14:paraId="1D92F4D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开标时，</w:t>
      </w:r>
      <w:r>
        <w:rPr>
          <w:rFonts w:ascii="宋体" w:hAnsi="宋体" w:eastAsia="宋体" w:cs="宋体"/>
          <w:sz w:val="24"/>
          <w:szCs w:val="24"/>
          <w:highlight w:val="none"/>
        </w:rPr>
        <w:t>各投标人应在</w:t>
      </w:r>
      <w:r>
        <w:rPr>
          <w:rFonts w:ascii="宋体" w:hAnsi="宋体" w:eastAsia="宋体" w:cs="宋体"/>
          <w:sz w:val="24"/>
          <w:szCs w:val="24"/>
          <w:highlight w:val="none"/>
          <w:u w:val="single"/>
        </w:rPr>
        <w:t>投标人须知前附表</w:t>
      </w:r>
      <w:r>
        <w:rPr>
          <w:rFonts w:ascii="宋体" w:hAnsi="宋体" w:eastAsia="宋体" w:cs="宋体"/>
          <w:sz w:val="24"/>
          <w:szCs w:val="24"/>
          <w:highlight w:val="none"/>
        </w:rPr>
        <w:t>规定的解密时间前</w:t>
      </w:r>
      <w:r>
        <w:rPr>
          <w:rFonts w:asciiTheme="minorEastAsia" w:hAnsiTheme="minorEastAsia" w:eastAsiaTheme="minorEastAsia"/>
          <w:sz w:val="24"/>
          <w:highlight w:val="none"/>
        </w:rPr>
        <w:t>对</w:t>
      </w:r>
      <w:r>
        <w:rPr>
          <w:rFonts w:hint="eastAsia" w:ascii="宋体" w:hAnsi="宋体" w:eastAsia="宋体" w:cs="宋体"/>
          <w:sz w:val="24"/>
          <w:szCs w:val="24"/>
          <w:highlight w:val="none"/>
        </w:rPr>
        <w:t>其</w:t>
      </w:r>
      <w:r>
        <w:rPr>
          <w:rFonts w:asciiTheme="minorEastAsia" w:hAnsiTheme="minorEastAsia" w:eastAsiaTheme="minorEastAsia"/>
          <w:sz w:val="24"/>
          <w:highlight w:val="none"/>
        </w:rPr>
        <w:t>投标文件</w:t>
      </w:r>
      <w:r>
        <w:rPr>
          <w:rFonts w:hint="eastAsia" w:asciiTheme="minorEastAsia" w:hAnsiTheme="minorEastAsia" w:eastAsiaTheme="minorEastAsia"/>
          <w:sz w:val="24"/>
          <w:highlight w:val="none"/>
        </w:rPr>
        <w:t>进行</w:t>
      </w:r>
      <w:r>
        <w:rPr>
          <w:rFonts w:asciiTheme="minorEastAsia" w:hAnsiTheme="minorEastAsia" w:eastAsiaTheme="minorEastAsia"/>
          <w:sz w:val="24"/>
          <w:highlight w:val="none"/>
        </w:rPr>
        <w:t>解密。</w:t>
      </w:r>
    </w:p>
    <w:p w14:paraId="29C8D3C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开标时，采购代理机构将通过网上开标系统公布</w:t>
      </w:r>
      <w:r>
        <w:rPr>
          <w:rFonts w:hint="eastAsia" w:asciiTheme="minorEastAsia" w:hAnsiTheme="minorEastAsia" w:eastAsiaTheme="minorEastAsia"/>
          <w:sz w:val="24"/>
          <w:highlight w:val="none"/>
        </w:rPr>
        <w:t>开标结果，公布内容包括投标人名称、投标价格及招标文件规定的内容。</w:t>
      </w:r>
    </w:p>
    <w:p w14:paraId="1872093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13.3采购人或采购代理机构将对开标过程进行记录，由参加开标的各投标人代表和相关工作人员签字确认，并存档备查。</w:t>
      </w:r>
    </w:p>
    <w:p w14:paraId="69D816C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投标人未派代表参加开标的，视同投标人认可开标结果。</w:t>
      </w:r>
    </w:p>
    <w:p w14:paraId="21EE0EE2">
      <w:pPr>
        <w:spacing w:line="360" w:lineRule="auto"/>
        <w:ind w:firstLine="435"/>
        <w:rPr>
          <w:rFonts w:hint="eastAsia" w:asciiTheme="minorEastAsia" w:hAnsiTheme="minorEastAsia" w:eastAsiaTheme="minorEastAsia"/>
          <w:sz w:val="28"/>
          <w:highlight w:val="none"/>
        </w:rPr>
      </w:pPr>
      <w:r>
        <w:rPr>
          <w:rFonts w:hint="eastAsia" w:asciiTheme="minorEastAsia" w:hAnsiTheme="minorEastAsia" w:eastAsiaTheme="minorEastAsia"/>
          <w:sz w:val="24"/>
          <w:highlight w:val="none"/>
        </w:rPr>
        <w:t>13.4投标人代表对开标过程和开标记录有疑义，以及认为采购人、采购代理机构相关工作人员有需要回避的情形的，应当场提出询问或者回避申请。</w:t>
      </w:r>
    </w:p>
    <w:p w14:paraId="44BDB7FD">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资格审查及组建评标委员会</w:t>
      </w:r>
    </w:p>
    <w:p w14:paraId="3D482E1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14.1采购人或采购代理机构依据法律法规和招标文件中规定的内</w:t>
      </w:r>
      <w:r>
        <w:rPr>
          <w:rFonts w:asciiTheme="minorEastAsia" w:hAnsiTheme="minorEastAsia" w:eastAsiaTheme="minorEastAsia"/>
          <w:sz w:val="24"/>
          <w:highlight w:val="none"/>
        </w:rPr>
        <w:t>容</w:t>
      </w:r>
      <w:r>
        <w:rPr>
          <w:rFonts w:hint="eastAsia" w:asciiTheme="minorEastAsia" w:hAnsiTheme="minorEastAsia" w:eastAsiaTheme="minorEastAsia"/>
          <w:sz w:val="24"/>
          <w:highlight w:val="none"/>
        </w:rPr>
        <w:t>，对投标人资格进行审查，未</w:t>
      </w:r>
      <w:r>
        <w:rPr>
          <w:rFonts w:asciiTheme="minorEastAsia" w:hAnsiTheme="minorEastAsia" w:eastAsiaTheme="minorEastAsia"/>
          <w:sz w:val="24"/>
          <w:highlight w:val="none"/>
        </w:rPr>
        <w:t>通过资格审查的投标人</w:t>
      </w:r>
      <w:r>
        <w:rPr>
          <w:rFonts w:hint="eastAsia" w:asciiTheme="minorEastAsia" w:hAnsiTheme="minorEastAsia" w:eastAsiaTheme="minorEastAsia"/>
          <w:sz w:val="24"/>
          <w:highlight w:val="none"/>
        </w:rPr>
        <w:t>不</w:t>
      </w:r>
      <w:r>
        <w:rPr>
          <w:rFonts w:asciiTheme="minorEastAsia" w:hAnsiTheme="minorEastAsia" w:eastAsiaTheme="minorEastAsia"/>
          <w:sz w:val="24"/>
          <w:highlight w:val="none"/>
        </w:rPr>
        <w:t>进入评标</w:t>
      </w:r>
      <w:r>
        <w:rPr>
          <w:rFonts w:hint="eastAsia" w:asciiTheme="minorEastAsia" w:hAnsiTheme="minorEastAsia" w:eastAsiaTheme="minorEastAsia"/>
          <w:sz w:val="24"/>
          <w:highlight w:val="none"/>
        </w:rPr>
        <w:t>。</w:t>
      </w:r>
    </w:p>
    <w:p w14:paraId="151DFA23">
      <w:pPr>
        <w:spacing w:line="360" w:lineRule="auto"/>
        <w:ind w:firstLine="435"/>
        <w:rPr>
          <w:rFonts w:hint="eastAsia" w:ascii="宋体" w:hAnsi="宋体" w:eastAsia="宋体" w:cs="宋体"/>
          <w:sz w:val="24"/>
          <w:szCs w:val="24"/>
          <w:highlight w:val="none"/>
        </w:rPr>
      </w:pPr>
      <w:bookmarkStart w:id="25" w:name="_Hlk24663244"/>
      <w:r>
        <w:rPr>
          <w:rFonts w:hint="eastAsia" w:ascii="宋体" w:hAnsi="宋体" w:eastAsia="宋体" w:cs="宋体"/>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p w14:paraId="3A11BDE6">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以联合体形式参加投标的，联合体成员存在以上不良信用记录的，联合体投标将被认定为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p w14:paraId="55AEE856">
      <w:pPr>
        <w:spacing w:line="360" w:lineRule="auto"/>
        <w:ind w:firstLine="435"/>
        <w:rPr>
          <w:rFonts w:hint="eastAsia" w:asciiTheme="minorEastAsia" w:hAnsiTheme="minorEastAsia" w:eastAsiaTheme="minorEastAsia"/>
          <w:sz w:val="24"/>
          <w:highlight w:val="none"/>
        </w:rPr>
      </w:pPr>
      <w:r>
        <w:rPr>
          <w:rFonts w:hint="eastAsia" w:ascii="宋体" w:hAnsi="宋体" w:eastAsia="宋体" w:cs="宋体"/>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32140588">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14.3按照</w:t>
      </w:r>
      <w:r>
        <w:rPr>
          <w:rFonts w:hint="eastAsia" w:ascii="宋体" w:hAnsi="宋体" w:eastAsia="宋体"/>
          <w:sz w:val="24"/>
          <w:highlight w:val="none"/>
        </w:rPr>
        <w:t>《</w:t>
      </w:r>
      <w:r>
        <w:rPr>
          <w:rFonts w:ascii="宋体" w:hAnsi="宋体" w:eastAsia="宋体"/>
          <w:sz w:val="24"/>
          <w:highlight w:val="none"/>
        </w:rPr>
        <w:t>中华人民共和国政府采购法》</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《中华人民共和国政府采购</w:t>
      </w:r>
      <w:r>
        <w:rPr>
          <w:rFonts w:hint="eastAsia" w:asciiTheme="minorEastAsia" w:hAnsiTheme="minorEastAsia" w:eastAsiaTheme="minorEastAsia"/>
          <w:sz w:val="24"/>
          <w:highlight w:val="none"/>
        </w:rPr>
        <w:t>法</w:t>
      </w:r>
      <w:r>
        <w:rPr>
          <w:rFonts w:asciiTheme="minorEastAsia" w:hAnsiTheme="minorEastAsia" w:eastAsiaTheme="minorEastAsia"/>
          <w:sz w:val="24"/>
          <w:highlight w:val="none"/>
        </w:rPr>
        <w:t>实施条例》</w:t>
      </w:r>
      <w:r>
        <w:rPr>
          <w:rFonts w:hint="eastAsia" w:asciiTheme="minorEastAsia" w:hAnsiTheme="minorEastAsia" w:eastAsiaTheme="minorEastAsia"/>
          <w:sz w:val="24"/>
          <w:highlight w:val="none"/>
        </w:rPr>
        <w:t>及本项目本级</w:t>
      </w:r>
      <w:r>
        <w:rPr>
          <w:rFonts w:asciiTheme="minorEastAsia" w:hAnsiTheme="minorEastAsia" w:eastAsiaTheme="minorEastAsia"/>
          <w:sz w:val="24"/>
          <w:highlight w:val="none"/>
        </w:rPr>
        <w:t>和上级财政部门</w:t>
      </w:r>
      <w:r>
        <w:rPr>
          <w:rFonts w:hint="eastAsia" w:asciiTheme="minorEastAsia" w:hAnsiTheme="minorEastAsia" w:eastAsiaTheme="minorEastAsia"/>
          <w:sz w:val="24"/>
          <w:highlight w:val="none"/>
        </w:rPr>
        <w:t>、政府采购监督管理部门的有关规定依法组建的</w:t>
      </w:r>
      <w:r>
        <w:rPr>
          <w:rFonts w:asciiTheme="minorEastAsia" w:hAnsiTheme="minorEastAsia" w:eastAsiaTheme="minorEastAsia"/>
          <w:sz w:val="24"/>
          <w:highlight w:val="none"/>
        </w:rPr>
        <w:t>评标委员会</w:t>
      </w:r>
      <w:r>
        <w:rPr>
          <w:rFonts w:hint="eastAsia" w:asciiTheme="minorEastAsia" w:hAnsiTheme="minorEastAsia" w:eastAsiaTheme="minorEastAsia"/>
          <w:sz w:val="24"/>
          <w:highlight w:val="none"/>
        </w:rPr>
        <w:t>，负责本项目评标工作。</w:t>
      </w:r>
    </w:p>
    <w:p w14:paraId="4525078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投标文件符合性审查与澄清</w:t>
      </w:r>
    </w:p>
    <w:p w14:paraId="389E86B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.1符合性审查是指依据招标文件的规定，从投标文件的有效性和完整性对招标文件的响应程度</w:t>
      </w:r>
      <w:r>
        <w:rPr>
          <w:rFonts w:ascii="宋体" w:hAnsi="宋体" w:eastAsia="宋体"/>
          <w:sz w:val="24"/>
          <w:highlight w:val="none"/>
        </w:rPr>
        <w:t>进行</w:t>
      </w:r>
      <w:r>
        <w:rPr>
          <w:rFonts w:asciiTheme="minorEastAsia" w:hAnsiTheme="minorEastAsia" w:eastAsiaTheme="minorEastAsia"/>
          <w:sz w:val="24"/>
          <w:highlight w:val="none"/>
        </w:rPr>
        <w:t>审查，以确定是否对招标文件的实质性要求做出响应。</w:t>
      </w:r>
    </w:p>
    <w:p w14:paraId="34A29E3A">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w:t>
      </w:r>
      <w:r>
        <w:rPr>
          <w:rFonts w:hint="eastAsia" w:ascii="宋体" w:hAnsi="宋体" w:eastAsia="宋体"/>
          <w:sz w:val="24"/>
          <w:highlight w:val="none"/>
        </w:rPr>
        <w:t>2投标文件的澄清</w:t>
      </w:r>
    </w:p>
    <w:p w14:paraId="5D9CF40E">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.1为有助于投标</w:t>
      </w:r>
      <w:r>
        <w:rPr>
          <w:rFonts w:hint="eastAsia" w:ascii="宋体" w:hAnsi="宋体" w:eastAsia="宋体"/>
          <w:sz w:val="24"/>
          <w:highlight w:val="none"/>
        </w:rPr>
        <w:t>文件</w:t>
      </w:r>
      <w:r>
        <w:rPr>
          <w:rFonts w:ascii="宋体" w:hAnsi="宋体" w:eastAsia="宋体"/>
          <w:sz w:val="24"/>
          <w:highlight w:val="none"/>
        </w:rPr>
        <w:t>的审查、评价和比较，在评标期间，评标委员会将以书面</w:t>
      </w:r>
      <w:r>
        <w:rPr>
          <w:rFonts w:hint="eastAsia" w:ascii="宋体" w:hAnsi="宋体" w:eastAsia="宋体"/>
          <w:sz w:val="24"/>
          <w:highlight w:val="none"/>
        </w:rPr>
        <w:t>方式（询标）</w:t>
      </w:r>
      <w:r>
        <w:rPr>
          <w:rFonts w:ascii="宋体" w:hAns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highlight w:val="none"/>
        </w:rPr>
        <w:t>审</w:t>
      </w:r>
      <w:r>
        <w:rPr>
          <w:rFonts w:ascii="宋体" w:hAnsi="宋体" w:eastAsia="宋体"/>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sz w:val="24"/>
          <w:highlight w:val="none"/>
        </w:rPr>
        <w:t>方式</w:t>
      </w:r>
      <w:r>
        <w:rPr>
          <w:rFonts w:ascii="宋体" w:hAnsi="宋体" w:eastAsia="宋体"/>
          <w:sz w:val="24"/>
          <w:highlight w:val="none"/>
        </w:rPr>
        <w:t>进行，并不得超出投标文件范围或者改变投标文件的实质性内容。</w:t>
      </w:r>
    </w:p>
    <w:p w14:paraId="694BA6E2">
      <w:pPr>
        <w:spacing w:line="360" w:lineRule="auto"/>
        <w:ind w:firstLine="435"/>
        <w:rPr>
          <w:rFonts w:hint="eastAsia" w:ascii="宋体" w:hAnsi="宋体" w:eastAsia="宋体"/>
          <w:sz w:val="24"/>
          <w:highlight w:val="none"/>
        </w:rPr>
      </w:pPr>
      <w:r>
        <w:rPr>
          <w:rFonts w:hint="eastAsia" w:ascii="宋体" w:hAnsi="宋体" w:eastAsia="宋体"/>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164E183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15.2</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投标人的澄清、说明或补正将作为投标文件的一部分。</w:t>
      </w:r>
    </w:p>
    <w:p w14:paraId="4D0420AB">
      <w:pPr>
        <w:spacing w:line="360" w:lineRule="auto"/>
        <w:ind w:firstLine="435"/>
        <w:rPr>
          <w:rFonts w:hint="eastAsia" w:ascii="宋体" w:hAnsi="宋体" w:eastAsia="宋体"/>
          <w:sz w:val="24"/>
          <w:highlight w:val="none"/>
        </w:rPr>
      </w:pPr>
      <w:r>
        <w:rPr>
          <w:rFonts w:hint="eastAsia" w:ascii="宋体" w:hAnsi="宋体" w:eastAsia="宋体"/>
          <w:sz w:val="24"/>
          <w:highlight w:val="none"/>
        </w:rPr>
        <w:t>15.2</w:t>
      </w:r>
      <w:r>
        <w:rPr>
          <w:rFonts w:ascii="宋体" w:hAnsi="宋体" w:eastAsia="宋体"/>
          <w:sz w:val="24"/>
          <w:highlight w:val="none"/>
        </w:rPr>
        <w:t>.3评标委员会对投标人提交的澄清、说明或补正有疑问的，可以要求投标人进一步澄清、说明或补正，直至满足评标委员会的要求。</w:t>
      </w:r>
    </w:p>
    <w:p w14:paraId="3266116B">
      <w:pPr>
        <w:spacing w:line="360" w:lineRule="auto"/>
        <w:ind w:firstLine="435"/>
        <w:rPr>
          <w:rFonts w:hint="eastAsia" w:ascii="宋体" w:hAnsi="宋体" w:eastAsia="宋体"/>
          <w:sz w:val="24"/>
          <w:highlight w:val="none"/>
        </w:rPr>
      </w:pPr>
      <w:r>
        <w:rPr>
          <w:rFonts w:hint="eastAsia" w:ascii="宋体" w:hAnsi="宋体" w:eastAsia="宋体"/>
          <w:sz w:val="24"/>
          <w:highlight w:val="none"/>
        </w:rPr>
        <w:t>15.3</w:t>
      </w:r>
      <w:r>
        <w:rPr>
          <w:rFonts w:ascii="宋体" w:hAnsi="宋体" w:eastAsia="宋体"/>
          <w:sz w:val="24"/>
          <w:highlight w:val="none"/>
        </w:rPr>
        <w:t>投标文件报价出现前后不一致的，按照下列规定修正：</w:t>
      </w:r>
    </w:p>
    <w:p w14:paraId="10B712C9">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）投标文件中开标一览表内容与投标文件中相应内容不一致的，以开标一览表为准；</w:t>
      </w:r>
    </w:p>
    <w:p w14:paraId="5A58657C">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）大写金额和小写金额不一致的，以大写金额为准；</w:t>
      </w:r>
    </w:p>
    <w:p w14:paraId="0C3A364B">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）单价金额小数点或者百分比有明显错位的，以开标一览表的总价为准，并修改单价；</w:t>
      </w:r>
    </w:p>
    <w:p w14:paraId="30419278">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）总价金额与按单价汇总金额不一致的，以单价金额计算结果为准。</w:t>
      </w:r>
    </w:p>
    <w:p w14:paraId="5E9CDA69">
      <w:pPr>
        <w:spacing w:line="360" w:lineRule="auto"/>
        <w:ind w:firstLine="435"/>
        <w:rPr>
          <w:rFonts w:hint="eastAsia" w:ascii="宋体" w:hAnsi="宋体" w:eastAsia="宋体"/>
          <w:sz w:val="24"/>
          <w:highlight w:val="none"/>
        </w:rPr>
      </w:pPr>
      <w:r>
        <w:rPr>
          <w:rFonts w:ascii="宋体" w:hAnsi="宋体" w:eastAsia="宋体"/>
          <w:sz w:val="24"/>
          <w:highlight w:val="none"/>
        </w:rPr>
        <w:t>同时出现两种以上不一致的，按照前款规定的顺序修正。修正后的报价按照第</w:t>
      </w:r>
      <w:r>
        <w:rPr>
          <w:rFonts w:hint="eastAsia" w:ascii="宋体" w:hAnsi="宋体" w:eastAsia="宋体"/>
          <w:sz w:val="24"/>
          <w:highlight w:val="none"/>
        </w:rPr>
        <w:t>15.</w:t>
      </w:r>
      <w:r>
        <w:rPr>
          <w:rFonts w:ascii="宋体" w:hAnsi="宋体" w:eastAsia="宋体"/>
          <w:sz w:val="24"/>
          <w:highlight w:val="none"/>
        </w:rPr>
        <w:t>4条的规定经投标人确认后产生约束力，投标人不确认的，其投标将被认定为</w:t>
      </w:r>
      <w:r>
        <w:rPr>
          <w:rFonts w:ascii="宋体" w:hAnsi="宋体" w:eastAsia="宋体"/>
          <w:b/>
          <w:sz w:val="24"/>
          <w:highlight w:val="none"/>
        </w:rPr>
        <w:t>投标无效</w:t>
      </w:r>
      <w:r>
        <w:rPr>
          <w:rFonts w:ascii="宋体" w:hAnsi="宋体" w:eastAsia="宋体"/>
          <w:sz w:val="24"/>
          <w:highlight w:val="none"/>
        </w:rPr>
        <w:t>。</w:t>
      </w:r>
    </w:p>
    <w:p w14:paraId="4273DFA9">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对不同文字文本投标文件的解释发生异议的，以中文文本为准。</w:t>
      </w:r>
    </w:p>
    <w:p w14:paraId="72583759">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16.投标无效</w:t>
      </w:r>
    </w:p>
    <w:p w14:paraId="3D50532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1根据本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的规定，评标委员会要审查每份投标文件是否实质上响应了招标文件的要求。投标人不得通过修正或撤销不符合要求的偏离，从而使其投标成为实质上响应的投标。</w:t>
      </w:r>
    </w:p>
    <w:p w14:paraId="4D9403A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评标委员会决定投标的响应性只根据招标文件要求和投标文件内容。</w:t>
      </w:r>
    </w:p>
    <w:p w14:paraId="425DAFE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无论何种原因，即使投标人投标时携带了证书材料的原件，但投标文件中未提供与之内容完全一致的扫描件的，评标委员会视同其未提供。</w:t>
      </w:r>
    </w:p>
    <w:p w14:paraId="1F3229A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2如发现下列情况之一的，其投标将被认定为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6273D0D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1）投标文件未按照招标文件规定要求签署、盖章的；</w:t>
      </w:r>
    </w:p>
    <w:p w14:paraId="1020A42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2）不具备招标文件中规定的资格要求的；</w:t>
      </w:r>
    </w:p>
    <w:p w14:paraId="4F4614E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3）报价超过招标文件中规定的预算金额或者最高限价的；</w:t>
      </w:r>
    </w:p>
    <w:p w14:paraId="4E9DC11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4）投标文件含有采购人不能接受的附加条件的；</w:t>
      </w:r>
    </w:p>
    <w:p w14:paraId="15061010">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5）法律、法规和招标文件规定的其他无效情形。</w:t>
      </w:r>
    </w:p>
    <w:p w14:paraId="24A2F4D4">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17.比较与评价</w:t>
      </w:r>
    </w:p>
    <w:p w14:paraId="1A9739A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17.1经符合性审查合格的投标文件，评标委员会将根据招标文件确定的评标方法和标准，对其投标文件作进一步的比较与评价。</w:t>
      </w:r>
    </w:p>
    <w:p w14:paraId="368B0D2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17.2评标严格按照</w:t>
      </w:r>
      <w:r>
        <w:rPr>
          <w:rFonts w:hint="eastAsia" w:ascii="宋体" w:hAnsi="宋体" w:eastAsia="宋体"/>
          <w:sz w:val="24"/>
          <w:highlight w:val="none"/>
        </w:rPr>
        <w:t>招标文件</w:t>
      </w:r>
      <w:r>
        <w:rPr>
          <w:rFonts w:hint="eastAsia" w:asciiTheme="minorEastAsia" w:hAnsiTheme="minorEastAsia" w:eastAsiaTheme="minorEastAsia"/>
          <w:sz w:val="24"/>
          <w:highlight w:val="none"/>
        </w:rPr>
        <w:t>的要求和条件进行。根据实际情况，在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中规定采用下列一种评标方法，详细评标方法和标准见招标文件第四章：</w:t>
      </w:r>
    </w:p>
    <w:p w14:paraId="0F83D946">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1）最低评标价法，是指</w:t>
      </w:r>
      <w:r>
        <w:rPr>
          <w:rFonts w:ascii="宋体" w:hAnsi="宋体" w:eastAsia="宋体"/>
          <w:sz w:val="24"/>
          <w:highlight w:val="none"/>
        </w:rPr>
        <w:t>投标文件满足招标文件全部实质性要求</w:t>
      </w:r>
      <w:r>
        <w:rPr>
          <w:rFonts w:hint="eastAsia" w:ascii="宋体" w:hAnsi="宋体" w:eastAsia="宋体"/>
          <w:sz w:val="24"/>
          <w:highlight w:val="none"/>
        </w:rPr>
        <w:t>，</w:t>
      </w:r>
      <w:r>
        <w:rPr>
          <w:rFonts w:ascii="宋体" w:hAnsi="宋体" w:eastAsia="宋体"/>
          <w:sz w:val="24"/>
          <w:highlight w:val="none"/>
        </w:rPr>
        <w:t>且投标报价最低的</w:t>
      </w:r>
      <w:r>
        <w:rPr>
          <w:rFonts w:hint="eastAsia" w:ascii="宋体" w:hAnsi="宋体" w:eastAsia="宋体"/>
          <w:sz w:val="24"/>
          <w:highlight w:val="none"/>
        </w:rPr>
        <w:t>投标人</w:t>
      </w:r>
      <w:r>
        <w:rPr>
          <w:rFonts w:ascii="宋体" w:hAnsi="宋体" w:eastAsia="宋体"/>
          <w:sz w:val="24"/>
          <w:highlight w:val="none"/>
        </w:rPr>
        <w:t>为中标</w:t>
      </w:r>
      <w:r>
        <w:rPr>
          <w:rFonts w:hint="eastAsia" w:ascii="宋体" w:hAnsi="宋体" w:eastAsia="宋体"/>
          <w:sz w:val="24"/>
          <w:highlight w:val="none"/>
        </w:rPr>
        <w:t>候选</w:t>
      </w:r>
      <w:r>
        <w:rPr>
          <w:rFonts w:ascii="宋体" w:hAnsi="宋体" w:eastAsia="宋体"/>
          <w:sz w:val="24"/>
          <w:highlight w:val="none"/>
        </w:rPr>
        <w:t>人的评标方法</w:t>
      </w:r>
      <w:r>
        <w:rPr>
          <w:rFonts w:hint="eastAsia" w:ascii="宋体" w:hAnsi="宋体" w:eastAsia="宋体"/>
          <w:sz w:val="24"/>
          <w:highlight w:val="none"/>
        </w:rPr>
        <w:t>。</w:t>
      </w:r>
    </w:p>
    <w:p w14:paraId="503318F0">
      <w:pPr>
        <w:spacing w:line="360" w:lineRule="auto"/>
        <w:ind w:firstLine="435"/>
        <w:rPr>
          <w:rFonts w:hint="eastAsia" w:ascii="宋体" w:hAnsi="宋体" w:eastAsia="宋体"/>
          <w:sz w:val="24"/>
          <w:highlight w:val="none"/>
        </w:rPr>
      </w:pPr>
      <w:r>
        <w:rPr>
          <w:rFonts w:hint="eastAsia" w:ascii="宋体" w:hAnsi="宋体" w:eastAsia="宋体"/>
          <w:sz w:val="24"/>
          <w:highlight w:val="none"/>
        </w:rPr>
        <w:t>（2）综合评分法，是</w:t>
      </w:r>
      <w:r>
        <w:rPr>
          <w:rFonts w:ascii="宋体" w:hAnsi="宋体" w:eastAsia="宋体"/>
          <w:sz w:val="24"/>
          <w:highlight w:val="none"/>
        </w:rPr>
        <w:t>指投标文件满足招标</w:t>
      </w:r>
      <w:r>
        <w:rPr>
          <w:rFonts w:hint="eastAsia" w:ascii="宋体" w:hAnsi="宋体" w:eastAsia="宋体"/>
          <w:sz w:val="24"/>
          <w:highlight w:val="none"/>
        </w:rPr>
        <w:t>文件</w:t>
      </w:r>
      <w:r>
        <w:rPr>
          <w:rFonts w:ascii="宋体" w:hAnsi="宋体" w:eastAsia="宋体"/>
          <w:sz w:val="24"/>
          <w:highlight w:val="none"/>
        </w:rPr>
        <w:t>全部实质性要求</w:t>
      </w:r>
      <w:r>
        <w:rPr>
          <w:rFonts w:hint="eastAsia" w:ascii="宋体" w:hAnsi="宋体" w:eastAsia="宋体"/>
          <w:sz w:val="24"/>
          <w:highlight w:val="none"/>
        </w:rPr>
        <w:t>，</w:t>
      </w:r>
      <w:r>
        <w:rPr>
          <w:rFonts w:ascii="宋体" w:hAnsi="宋体" w:eastAsia="宋体"/>
          <w:sz w:val="24"/>
          <w:highlight w:val="none"/>
        </w:rPr>
        <w:t>且按照评审因素的</w:t>
      </w:r>
      <w:r>
        <w:rPr>
          <w:rFonts w:hint="eastAsia" w:ascii="宋体" w:hAnsi="宋体" w:eastAsia="宋体"/>
          <w:sz w:val="24"/>
          <w:highlight w:val="none"/>
        </w:rPr>
        <w:t>量化</w:t>
      </w:r>
      <w:r>
        <w:rPr>
          <w:rFonts w:ascii="宋体" w:hAnsi="宋体" w:eastAsia="宋体"/>
          <w:sz w:val="24"/>
          <w:highlight w:val="none"/>
        </w:rPr>
        <w:t>指标评审得分最高的</w:t>
      </w:r>
      <w:r>
        <w:rPr>
          <w:rFonts w:hint="eastAsia" w:ascii="宋体" w:hAnsi="宋体" w:eastAsia="宋体"/>
          <w:sz w:val="24"/>
          <w:highlight w:val="none"/>
        </w:rPr>
        <w:t>投标人</w:t>
      </w:r>
      <w:r>
        <w:rPr>
          <w:rFonts w:ascii="宋体" w:hAnsi="宋体" w:eastAsia="宋体"/>
          <w:sz w:val="24"/>
          <w:highlight w:val="none"/>
        </w:rPr>
        <w:t>为中标候选人的评标方法。</w:t>
      </w:r>
    </w:p>
    <w:p w14:paraId="5350861A">
      <w:pPr>
        <w:spacing w:line="360" w:lineRule="auto"/>
        <w:ind w:firstLine="435"/>
        <w:rPr>
          <w:rFonts w:hint="eastAsia" w:ascii="宋体" w:hAnsi="宋体" w:eastAsia="宋体"/>
          <w:sz w:val="24"/>
          <w:highlight w:val="none"/>
        </w:rPr>
      </w:pPr>
      <w:r>
        <w:rPr>
          <w:rFonts w:hint="eastAsia" w:ascii="宋体" w:hAnsi="宋体" w:eastAsia="宋体"/>
          <w:sz w:val="24"/>
          <w:highlight w:val="none"/>
        </w:rPr>
        <w:t>17.</w:t>
      </w:r>
      <w:r>
        <w:rPr>
          <w:rFonts w:ascii="宋体" w:hAnsi="宋体" w:eastAsia="宋体"/>
          <w:sz w:val="24"/>
          <w:highlight w:val="none"/>
        </w:rPr>
        <w:t>3根据《政府采购促进中小企业发展管理办法》（财库〔2020〕46号）、《三部门联合发布关于促进残疾人就业政府采购政策的通知》（财库〔2017〕141号）</w:t>
      </w:r>
      <w:r>
        <w:rPr>
          <w:rFonts w:hint="eastAsia" w:ascii="宋体" w:hAnsi="宋体" w:eastAsia="宋体"/>
          <w:sz w:val="24"/>
          <w:highlight w:val="none"/>
        </w:rPr>
        <w:t>和</w:t>
      </w:r>
      <w:r>
        <w:rPr>
          <w:rFonts w:ascii="宋体" w:hAnsi="宋体" w:eastAsia="宋体"/>
          <w:sz w:val="24"/>
          <w:highlight w:val="none"/>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highlight w:val="none"/>
          <w:u w:val="single"/>
        </w:rPr>
        <w:t>投标人须知前附表</w:t>
      </w:r>
      <w:r>
        <w:rPr>
          <w:rFonts w:ascii="宋体" w:hAnsi="宋体" w:eastAsia="宋体"/>
          <w:sz w:val="24"/>
          <w:highlight w:val="none"/>
        </w:rPr>
        <w:t>中规定的标准扣除后的价格参与评审。对于同时属于小微企</w:t>
      </w:r>
      <w:r>
        <w:rPr>
          <w:rFonts w:hint="eastAsia" w:ascii="宋体" w:hAnsi="宋体" w:eastAsia="宋体"/>
          <w:sz w:val="24"/>
          <w:highlight w:val="none"/>
        </w:rPr>
        <w:t>业、监狱企业或残疾人福利性单位的，不重复进行投标报价扣除。</w:t>
      </w:r>
    </w:p>
    <w:p w14:paraId="53358842">
      <w:pPr>
        <w:spacing w:line="360" w:lineRule="auto"/>
        <w:ind w:firstLine="435"/>
        <w:rPr>
          <w:rFonts w:hint="eastAsia" w:ascii="宋体" w:hAnsi="宋体" w:eastAsia="宋体"/>
          <w:sz w:val="24"/>
          <w:highlight w:val="none"/>
        </w:rPr>
      </w:pPr>
      <w:r>
        <w:rPr>
          <w:rFonts w:hint="eastAsia" w:ascii="宋体" w:hAnsi="宋体" w:eastAsia="宋体"/>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highlight w:val="none"/>
        </w:rPr>
        <w:t>30%以上的，可给予联合体或者大中型企业的投标报价按照</w:t>
      </w:r>
      <w:r>
        <w:rPr>
          <w:rFonts w:ascii="宋体" w:hAnsi="宋体" w:eastAsia="宋体"/>
          <w:sz w:val="24"/>
          <w:highlight w:val="none"/>
          <w:u w:val="single"/>
        </w:rPr>
        <w:t>投标人须知前附表</w:t>
      </w:r>
      <w:r>
        <w:rPr>
          <w:rFonts w:ascii="宋体" w:hAnsi="宋体" w:eastAsia="宋体"/>
          <w:sz w:val="24"/>
          <w:highlight w:val="none"/>
        </w:rPr>
        <w:t>中规定的标准扣除后的价格参与评审。组成联合体或者接受分包的小微企业与联合体内其他企业、分包企业之间存在直接控股、管理关系的，不享受价格扣除优惠政策。</w:t>
      </w:r>
    </w:p>
    <w:p w14:paraId="47B92CA2">
      <w:pPr>
        <w:spacing w:line="360" w:lineRule="auto"/>
        <w:ind w:firstLine="435"/>
        <w:rPr>
          <w:rFonts w:hint="eastAsia" w:ascii="宋体" w:hAnsi="宋体" w:eastAsia="宋体"/>
          <w:sz w:val="24"/>
          <w:highlight w:val="none"/>
        </w:rPr>
      </w:pPr>
      <w:r>
        <w:rPr>
          <w:rFonts w:hint="eastAsia" w:ascii="宋体" w:hAnsi="宋体" w:eastAsia="宋体"/>
          <w:sz w:val="24"/>
          <w:highlight w:val="none"/>
        </w:rPr>
        <w:t>以联合体形式参加政府采购活动，联合体各方均为中小企业的，联合体视同中小企业。其中，联合体各方均为小微企业的，联合体视同小微企业。</w:t>
      </w:r>
    </w:p>
    <w:p w14:paraId="25F228D5">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废标、重新招标与变更采购方式</w:t>
      </w:r>
    </w:p>
    <w:p w14:paraId="56152F0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18.1出现下列情形之一，将导致项目废标：</w:t>
      </w:r>
    </w:p>
    <w:p w14:paraId="05B9C323">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1）符合专业条件的供应商或者对招标文件做实质性响应的供应商不足规定数量的；</w:t>
      </w:r>
    </w:p>
    <w:p w14:paraId="427FD3E8">
      <w:pPr>
        <w:spacing w:line="360" w:lineRule="auto"/>
        <w:ind w:firstLine="435"/>
        <w:rPr>
          <w:rFonts w:hint="eastAsia" w:ascii="宋体" w:hAnsi="宋体" w:eastAsia="宋体"/>
          <w:sz w:val="24"/>
          <w:highlight w:val="none"/>
        </w:rPr>
      </w:pPr>
      <w:r>
        <w:rPr>
          <w:rFonts w:hint="eastAsia" w:ascii="宋体" w:hAnsi="宋体" w:eastAsia="宋体"/>
          <w:sz w:val="24"/>
          <w:highlight w:val="none"/>
        </w:rPr>
        <w:t>（2）出现影响采购公正的违法、违规行为的；</w:t>
      </w:r>
    </w:p>
    <w:p w14:paraId="3CF13BFB">
      <w:pPr>
        <w:spacing w:line="360" w:lineRule="auto"/>
        <w:ind w:firstLine="435"/>
        <w:rPr>
          <w:rFonts w:hint="eastAsia" w:ascii="宋体" w:hAnsi="宋体" w:eastAsia="宋体"/>
          <w:sz w:val="24"/>
          <w:highlight w:val="none"/>
        </w:rPr>
      </w:pPr>
      <w:r>
        <w:rPr>
          <w:rFonts w:hint="eastAsia" w:ascii="宋体" w:hAnsi="宋体" w:eastAsia="宋体"/>
          <w:sz w:val="24"/>
          <w:highlight w:val="none"/>
        </w:rPr>
        <w:t>（3）投标人的报价均超过了采购预算，采购人不能支付的；</w:t>
      </w:r>
    </w:p>
    <w:p w14:paraId="0D96D7B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14:paraId="6EDE3E8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18.2公开招标数额标准以上的采购项目，投标截止后投标人不足</w:t>
      </w:r>
      <w:r>
        <w:rPr>
          <w:rFonts w:asciiTheme="minorEastAsia" w:hAnsiTheme="minorEastAsia" w:eastAsiaTheme="minorEastAsia"/>
          <w:sz w:val="24"/>
          <w:highlight w:val="none"/>
        </w:rPr>
        <w:t>3家或者通过</w:t>
      </w:r>
      <w:r>
        <w:rPr>
          <w:rFonts w:hint="eastAsia" w:asciiTheme="minorEastAsia" w:hAnsiTheme="minorEastAsia" w:eastAsiaTheme="minorEastAsia"/>
          <w:sz w:val="24"/>
          <w:highlight w:val="none"/>
        </w:rPr>
        <w:t>资格审查或符合性审查的投标人不足</w:t>
      </w:r>
      <w:r>
        <w:rPr>
          <w:rFonts w:asciiTheme="minorEastAsia" w:hAnsiTheme="minorEastAsia" w:eastAsiaTheme="minorEastAsia"/>
          <w:sz w:val="24"/>
          <w:highlight w:val="none"/>
        </w:rPr>
        <w:t>3家的，除采购任务取消情形外，按照以下方式处理：</w:t>
      </w:r>
    </w:p>
    <w:p w14:paraId="5F12947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（1）招标文件存在不合理条款或者招标程序不符合规定的，采购人、采购代理机构改正后依法重新招标；</w:t>
      </w:r>
    </w:p>
    <w:p w14:paraId="66D6932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（2）招标文件没有不合理条款、招标程序符合规定，需要采用其他采购方式采购的，采购人应当依法报</w:t>
      </w:r>
      <w:r>
        <w:rPr>
          <w:rFonts w:hint="eastAsia" w:ascii="宋体" w:hAnsi="宋体" w:eastAsia="宋体" w:cs="宋体"/>
          <w:color w:val="000000"/>
          <w:sz w:val="24"/>
          <w:szCs w:val="24"/>
          <w:highlight w:val="none"/>
        </w:rPr>
        <w:t>政府采购监督管理部门</w:t>
      </w:r>
      <w:r>
        <w:rPr>
          <w:rFonts w:hint="eastAsia" w:asciiTheme="minorEastAsia" w:hAnsiTheme="minorEastAsia" w:eastAsiaTheme="minorEastAsia"/>
          <w:sz w:val="24"/>
          <w:highlight w:val="none"/>
        </w:rPr>
        <w:t>批准。</w:t>
      </w:r>
    </w:p>
    <w:p w14:paraId="50D793DC">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79503935">
      <w:pPr>
        <w:spacing w:line="360" w:lineRule="auto"/>
        <w:ind w:firstLine="435"/>
        <w:rPr>
          <w:rFonts w:hint="eastAsia" w:ascii="宋体" w:hAnsi="宋体" w:eastAsia="宋体"/>
          <w:sz w:val="24"/>
          <w:highlight w:val="none"/>
        </w:rPr>
      </w:pPr>
      <w:r>
        <w:rPr>
          <w:rFonts w:hint="eastAsia" w:ascii="宋体" w:hAnsi="宋体" w:eastAsia="宋体"/>
          <w:sz w:val="24"/>
          <w:highlight w:val="none"/>
        </w:rPr>
        <w:t>19.1评标将在严格保密的情况下进行。</w:t>
      </w:r>
    </w:p>
    <w:p w14:paraId="15AFA1BD">
      <w:pPr>
        <w:spacing w:line="360" w:lineRule="auto"/>
        <w:ind w:firstLine="435"/>
        <w:rPr>
          <w:rFonts w:hint="eastAsia" w:ascii="宋体" w:hAnsi="宋体" w:eastAsia="宋体"/>
          <w:sz w:val="24"/>
          <w:highlight w:val="none"/>
        </w:rPr>
      </w:pPr>
      <w:r>
        <w:rPr>
          <w:rFonts w:hint="eastAsia" w:ascii="宋体" w:hAnsi="宋体" w:eastAsia="宋体"/>
          <w:sz w:val="24"/>
          <w:highlight w:val="none"/>
        </w:rPr>
        <w:t>19.2有关人员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守评</w:t>
      </w:r>
      <w:r>
        <w:rPr>
          <w:rFonts w:hint="eastAsia" w:ascii="宋体" w:hAnsi="宋体" w:eastAsia="宋体"/>
          <w:sz w:val="24"/>
          <w:highlight w:val="none"/>
        </w:rPr>
        <w:t>标</w:t>
      </w:r>
      <w:r>
        <w:rPr>
          <w:rFonts w:ascii="宋体" w:hAnsi="宋体" w:eastAsia="宋体"/>
          <w:sz w:val="24"/>
          <w:highlight w:val="none"/>
        </w:rPr>
        <w:t>工作纪律，不得</w:t>
      </w:r>
      <w:r>
        <w:rPr>
          <w:rFonts w:hint="eastAsia" w:ascii="宋体" w:hAnsi="宋体" w:eastAsia="宋体"/>
          <w:sz w:val="24"/>
          <w:highlight w:val="none"/>
        </w:rPr>
        <w:t>泄露</w:t>
      </w:r>
      <w:r>
        <w:rPr>
          <w:rFonts w:ascii="宋体" w:hAnsi="宋体" w:eastAsia="宋体"/>
          <w:sz w:val="24"/>
          <w:highlight w:val="none"/>
        </w:rPr>
        <w:t>评</w:t>
      </w:r>
      <w:r>
        <w:rPr>
          <w:rFonts w:hint="eastAsia" w:ascii="宋体" w:hAnsi="宋体" w:eastAsia="宋体"/>
          <w:sz w:val="24"/>
          <w:highlight w:val="none"/>
        </w:rPr>
        <w:t>标文件</w:t>
      </w:r>
      <w:r>
        <w:rPr>
          <w:rFonts w:ascii="宋体" w:hAnsi="宋体" w:eastAsia="宋体"/>
          <w:sz w:val="24"/>
          <w:highlight w:val="none"/>
        </w:rPr>
        <w:t>、评</w:t>
      </w:r>
      <w:r>
        <w:rPr>
          <w:rFonts w:hint="eastAsia" w:ascii="宋体" w:hAnsi="宋体" w:eastAsia="宋体"/>
          <w:sz w:val="24"/>
          <w:highlight w:val="none"/>
        </w:rPr>
        <w:t>标</w:t>
      </w:r>
      <w:r>
        <w:rPr>
          <w:rFonts w:ascii="宋体" w:hAnsi="宋体" w:eastAsia="宋体"/>
          <w:sz w:val="24"/>
          <w:highlight w:val="none"/>
        </w:rPr>
        <w:t>情况和评</w:t>
      </w:r>
      <w:r>
        <w:rPr>
          <w:rFonts w:hint="eastAsia" w:ascii="宋体" w:hAnsi="宋体" w:eastAsia="宋体"/>
          <w:sz w:val="24"/>
          <w:highlight w:val="none"/>
        </w:rPr>
        <w:t>标</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0DDC9054">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中标候选人的确定原则及标准</w:t>
      </w:r>
    </w:p>
    <w:p w14:paraId="619990A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20.1</w:t>
      </w:r>
      <w:r>
        <w:rPr>
          <w:rFonts w:asciiTheme="minorEastAsia" w:hAnsiTheme="minorEastAsia" w:eastAsiaTheme="minorEastAsia"/>
          <w:sz w:val="24"/>
          <w:highlight w:val="none"/>
        </w:rPr>
        <w:t>评</w:t>
      </w:r>
      <w:r>
        <w:rPr>
          <w:rFonts w:hint="eastAsia" w:asciiTheme="minorEastAsia" w:hAnsiTheme="minorEastAsia" w:eastAsiaTheme="minorEastAsia"/>
          <w:sz w:val="24"/>
          <w:highlight w:val="none"/>
        </w:rPr>
        <w:t>标</w:t>
      </w:r>
      <w:r>
        <w:rPr>
          <w:rFonts w:asciiTheme="minorEastAsia" w:hAnsiTheme="minorEastAsia" w:eastAsiaTheme="minorEastAsia"/>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sz w:val="24"/>
          <w:highlight w:val="none"/>
        </w:rPr>
        <w:t>，确定中标候选人</w:t>
      </w:r>
      <w:r>
        <w:rPr>
          <w:rFonts w:asciiTheme="minorEastAsia" w:hAnsiTheme="minorEastAsia" w:eastAsiaTheme="minorEastAsia"/>
          <w:sz w:val="24"/>
          <w:highlight w:val="none"/>
        </w:rPr>
        <w:t>：</w:t>
      </w:r>
    </w:p>
    <w:p w14:paraId="5B4E271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highlight w:val="none"/>
        </w:rPr>
        <w:t>出现两家或两家以上相同者，采取评标委员会随机抽取的方式确定中标候选顺序。</w:t>
      </w:r>
    </w:p>
    <w:p w14:paraId="603F46F8">
      <w:pPr>
        <w:spacing w:line="360" w:lineRule="auto"/>
        <w:ind w:firstLine="435"/>
        <w:rPr>
          <w:rFonts w:hint="eastAsia" w:eastAsiaTheme="minorEastAsia"/>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2）采用综合评分法的，评标结果按评审后得分由高到低顺序排列。得分相同的，</w:t>
      </w:r>
      <w:r>
        <w:rPr>
          <w:rFonts w:hint="eastAsia" w:asciiTheme="minorEastAsia" w:hAnsiTheme="minorEastAsia" w:eastAsiaTheme="minorEastAsia"/>
          <w:sz w:val="24"/>
          <w:highlight w:val="none"/>
        </w:rPr>
        <w:t>按投标报价由低到高顺序排列。</w:t>
      </w:r>
      <w:r>
        <w:rPr>
          <w:rFonts w:asciiTheme="minorEastAsia" w:hAnsiTheme="minorEastAsia" w:eastAsiaTheme="minorEastAsia"/>
          <w:sz w:val="24"/>
          <w:highlight w:val="none"/>
        </w:rPr>
        <w:t>得分与投标报价均相同的</w:t>
      </w:r>
      <w:r>
        <w:rPr>
          <w:rFonts w:hint="eastAsia" w:asciiTheme="minorEastAsia" w:hAnsiTheme="minorEastAsia" w:eastAsiaTheme="minorEastAsia"/>
          <w:sz w:val="24"/>
          <w:highlight w:val="none"/>
        </w:rPr>
        <w:t>，则采取评标委员会随机抽取的方式确定中标候选顺序。</w:t>
      </w:r>
    </w:p>
    <w:p w14:paraId="7692843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确定中标候选人和中标人</w:t>
      </w:r>
    </w:p>
    <w:p w14:paraId="6DE70FF0">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.1评标委员会将根据评标标准，按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中规定数量推荐中标候选人。</w:t>
      </w:r>
    </w:p>
    <w:p w14:paraId="545B61F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21.2按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由评标委员会或采购人确定中标人。</w:t>
      </w:r>
    </w:p>
    <w:p w14:paraId="50CB5E8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因重大变故采购任务取消时，采购人有权拒绝任何投标人中标，且对受影响的投标人不承担任何责任。</w:t>
      </w:r>
    </w:p>
    <w:p w14:paraId="24F77582">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编写评标报告</w:t>
      </w:r>
    </w:p>
    <w:p w14:paraId="4463C2B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2327D3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中标结果公告</w:t>
      </w:r>
    </w:p>
    <w:p w14:paraId="25FA756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除</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规定由评标委员会直接确定中标</w:t>
      </w:r>
      <w:r>
        <w:rPr>
          <w:rFonts w:hint="eastAsia" w:asciiTheme="minorEastAsia" w:hAnsiTheme="minorEastAsia" w:eastAsiaTheme="minorEastAsia"/>
          <w:sz w:val="24"/>
          <w:highlight w:val="none"/>
        </w:rPr>
        <w:t>人外，</w:t>
      </w:r>
      <w:r>
        <w:rPr>
          <w:rFonts w:asciiTheme="minorEastAsia" w:hAnsiTheme="minorEastAsia" w:eastAsiaTheme="minorEastAsia"/>
          <w:sz w:val="24"/>
          <w:highlight w:val="none"/>
        </w:rPr>
        <w:t>在评标结束后2个工作日内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采购代理机构将评标报告送采购人。采购人应当自收到评标报告之日起</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477DD9F">
      <w:pPr>
        <w:spacing w:line="360" w:lineRule="auto"/>
        <w:ind w:firstLine="435"/>
        <w:rPr>
          <w:rFonts w:hint="eastAsia" w:ascii="宋体" w:hAnsi="宋体" w:eastAsia="宋体"/>
          <w:sz w:val="24"/>
          <w:szCs w:val="18"/>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.2</w:t>
      </w:r>
      <w:r>
        <w:rPr>
          <w:rFonts w:hint="eastAsia" w:ascii="宋体" w:hAnsi="宋体" w:eastAsia="宋体"/>
          <w:sz w:val="24"/>
          <w:szCs w:val="18"/>
          <w:highlight w:val="none"/>
        </w:rPr>
        <w:t>自中标人确定之日起2个工作日内，采购代理机构将在安徽省政府采购网（www.ccgp-anhui.gov.cn）上发布中标结果公告。</w:t>
      </w:r>
    </w:p>
    <w:p w14:paraId="557DDC6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23.3</w:t>
      </w:r>
      <w:r>
        <w:rPr>
          <w:rFonts w:asciiTheme="minorEastAsia" w:hAnsiTheme="minorEastAsia" w:eastAsiaTheme="minorEastAsia"/>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中约定进行公告的内容。中标公告期限为1个工作日。</w:t>
      </w:r>
    </w:p>
    <w:p w14:paraId="587C30E1">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中标通知书</w:t>
      </w:r>
    </w:p>
    <w:p w14:paraId="2F6C180F">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.1采购代理机构</w:t>
      </w:r>
      <w:r>
        <w:rPr>
          <w:rFonts w:ascii="宋体" w:hAnsi="宋体" w:eastAsia="宋体"/>
          <w:sz w:val="24"/>
          <w:highlight w:val="none"/>
        </w:rPr>
        <w:t>发布</w:t>
      </w:r>
      <w:r>
        <w:rPr>
          <w:rFonts w:asciiTheme="minorEastAsia" w:hAnsiTheme="minorEastAsia" w:eastAsiaTheme="minorEastAsia"/>
          <w:sz w:val="24"/>
          <w:highlight w:val="none"/>
        </w:rPr>
        <w:t>中标结果公告</w:t>
      </w:r>
      <w:r>
        <w:rPr>
          <w:rFonts w:hint="eastAsia" w:asciiTheme="minorEastAsia" w:hAnsiTheme="minorEastAsia" w:eastAsiaTheme="minorEastAsia"/>
          <w:iCs/>
          <w:sz w:val="24"/>
          <w:highlight w:val="none"/>
        </w:rPr>
        <w:t>的</w:t>
      </w:r>
      <w:r>
        <w:rPr>
          <w:rFonts w:asciiTheme="minorEastAsia" w:hAnsiTheme="minorEastAsia" w:eastAsiaTheme="minorEastAsia"/>
          <w:sz w:val="24"/>
          <w:highlight w:val="none"/>
        </w:rPr>
        <w:t>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形式向中标人发出中标通知书。</w:t>
      </w:r>
    </w:p>
    <w:p w14:paraId="60E3B5A3">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.2中标通知书对采购人和中标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具有同等法律效力。中标通知书发出以后，采购人改变中标结果或者中标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放弃中标，应当承担相应的法律责任。</w:t>
      </w:r>
    </w:p>
    <w:p w14:paraId="1ABC2547">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.3中标通知书是</w:t>
      </w:r>
      <w:r>
        <w:rPr>
          <w:rFonts w:ascii="宋体" w:hAnsi="宋体" w:eastAsia="宋体"/>
          <w:sz w:val="24"/>
          <w:highlight w:val="none"/>
        </w:rPr>
        <w:t>合同</w:t>
      </w:r>
      <w:r>
        <w:rPr>
          <w:rFonts w:asciiTheme="minorEastAsia" w:hAnsiTheme="minorEastAsia" w:eastAsiaTheme="minorEastAsia"/>
          <w:sz w:val="24"/>
          <w:highlight w:val="none"/>
        </w:rPr>
        <w:t>的组成部分。</w:t>
      </w:r>
    </w:p>
    <w:p w14:paraId="3EEEE052">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告知招标结果</w:t>
      </w:r>
    </w:p>
    <w:p w14:paraId="6D20873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在公告</w:t>
      </w:r>
      <w:r>
        <w:rPr>
          <w:rFonts w:asciiTheme="minorEastAsia" w:hAnsiTheme="minorEastAsia" w:eastAsiaTheme="minorEastAsia"/>
          <w:sz w:val="24"/>
          <w:highlight w:val="none"/>
        </w:rPr>
        <w:t>中标结果的同时，采购代理机构同时以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w:t>
      </w:r>
      <w:r>
        <w:rPr>
          <w:rFonts w:hint="eastAsia" w:asciiTheme="minorEastAsia" w:hAnsiTheme="minorEastAsia" w:eastAsiaTheme="minorEastAsia"/>
          <w:sz w:val="24"/>
          <w:highlight w:val="none"/>
        </w:rPr>
        <w:t>告知未通过资格审查的投标人未通过的原因；采用综合评分法评审的，还将告知未中标人本人的评审得分和排序。</w:t>
      </w:r>
    </w:p>
    <w:p w14:paraId="13F082F5">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履约保证金</w:t>
      </w:r>
    </w:p>
    <w:p w14:paraId="0CDC9E3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26.1中标人应按照</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规定缴纳履约保证金。</w:t>
      </w:r>
    </w:p>
    <w:p w14:paraId="06AD5F39">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26.</w:t>
      </w:r>
      <w:r>
        <w:rPr>
          <w:rFonts w:asciiTheme="minorEastAsia" w:hAnsiTheme="minorEastAsia" w:eastAsiaTheme="minorEastAsia"/>
          <w:sz w:val="24"/>
          <w:highlight w:val="none"/>
        </w:rPr>
        <w:t>2</w:t>
      </w:r>
      <w:r>
        <w:rPr>
          <w:rFonts w:hint="eastAsia" w:ascii="宋体" w:hAnsi="宋体" w:eastAsia="宋体"/>
          <w:sz w:val="24"/>
          <w:highlight w:val="none"/>
        </w:rPr>
        <w:t>如果</w:t>
      </w:r>
      <w:r>
        <w:rPr>
          <w:rFonts w:hint="eastAsia" w:asciiTheme="minorEastAsia" w:hAnsiTheme="minorEastAsia" w:eastAsiaTheme="minorEastAsia"/>
          <w:sz w:val="24"/>
          <w:highlight w:val="none"/>
        </w:rPr>
        <w:t>中标人没有按照上述履约保证金的规定执行，将视为放弃中标资格。在此情况下，采购人可</w:t>
      </w:r>
      <w:r>
        <w:rPr>
          <w:rFonts w:asciiTheme="minorEastAsia" w:hAnsiTheme="minorEastAsia" w:eastAsiaTheme="minorEastAsia"/>
          <w:sz w:val="24"/>
          <w:highlight w:val="none"/>
        </w:rPr>
        <w:t>确定下一</w:t>
      </w:r>
      <w:r>
        <w:rPr>
          <w:rFonts w:hint="eastAsia" w:ascii="宋体" w:hAnsi="宋体" w:eastAsia="宋体"/>
          <w:sz w:val="24"/>
          <w:highlight w:val="none"/>
        </w:rPr>
        <w:t>中标</w:t>
      </w:r>
      <w:r>
        <w:rPr>
          <w:rFonts w:hint="eastAsia" w:asciiTheme="minorEastAsia" w:hAnsiTheme="minorEastAsia" w:eastAsiaTheme="minorEastAsia"/>
          <w:sz w:val="24"/>
          <w:highlight w:val="none"/>
        </w:rPr>
        <w:t>候选</w:t>
      </w:r>
      <w:r>
        <w:rPr>
          <w:rFonts w:asciiTheme="minorEastAsia" w:hAnsiTheme="minorEastAsia" w:eastAsiaTheme="minorEastAsia"/>
          <w:sz w:val="24"/>
          <w:highlight w:val="none"/>
        </w:rPr>
        <w:t>人为中标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，也可以重新开展采购活动。</w:t>
      </w:r>
    </w:p>
    <w:p w14:paraId="442AC1A2">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签订合同</w:t>
      </w:r>
    </w:p>
    <w:p w14:paraId="375338F9">
      <w:pPr>
        <w:spacing w:line="360" w:lineRule="auto"/>
        <w:ind w:firstLine="435"/>
        <w:rPr>
          <w:rFonts w:hint="eastAsia" w:ascii="宋体" w:hAnsi="宋体" w:eastAsia="宋体"/>
          <w:sz w:val="24"/>
          <w:highlight w:val="none"/>
        </w:rPr>
      </w:pPr>
      <w:r>
        <w:rPr>
          <w:rFonts w:hint="eastAsia" w:ascii="宋体" w:hAnsi="宋体" w:eastAsia="宋体"/>
          <w:sz w:val="24"/>
          <w:highlight w:val="none"/>
        </w:rPr>
        <w:t>27.1</w:t>
      </w:r>
      <w:r>
        <w:rPr>
          <w:rFonts w:hint="eastAsia" w:ascii="宋体" w:hAnsi="宋体" w:eastAsia="宋体" w:cs="宋体"/>
          <w:sz w:val="24"/>
          <w:szCs w:val="24"/>
          <w:highlight w:val="none"/>
        </w:rPr>
        <w:t>采购人与中标人应当按照</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规定的时间内完成政府采购合同签订及合同公告。</w:t>
      </w:r>
    </w:p>
    <w:p w14:paraId="0EBD6920">
      <w:pPr>
        <w:spacing w:line="360" w:lineRule="auto"/>
        <w:ind w:firstLine="435"/>
        <w:rPr>
          <w:rFonts w:hint="eastAsia" w:ascii="宋体" w:hAnsi="宋体" w:eastAsia="宋体"/>
          <w:sz w:val="24"/>
          <w:highlight w:val="none"/>
        </w:rPr>
      </w:pPr>
      <w:r>
        <w:rPr>
          <w:rFonts w:hint="eastAsia" w:ascii="宋体" w:hAnsi="宋体" w:eastAsia="宋体"/>
          <w:sz w:val="24"/>
          <w:highlight w:val="none"/>
        </w:rPr>
        <w:t>27.2招标文件、中标人的投标文件及其澄清文件等，均为签订合同的依据。</w:t>
      </w:r>
    </w:p>
    <w:p w14:paraId="13769ABD">
      <w:pPr>
        <w:spacing w:line="360" w:lineRule="auto"/>
        <w:ind w:firstLine="435"/>
        <w:rPr>
          <w:rFonts w:hint="eastAsia" w:ascii="宋体" w:hAnsi="宋体" w:eastAsia="宋体"/>
          <w:sz w:val="24"/>
          <w:highlight w:val="none"/>
        </w:rPr>
      </w:pPr>
      <w:r>
        <w:rPr>
          <w:rFonts w:hint="eastAsia" w:ascii="宋体" w:hAnsi="宋体" w:eastAsia="宋体"/>
          <w:sz w:val="24"/>
          <w:highlight w:val="none"/>
        </w:rPr>
        <w:t>27.3中</w:t>
      </w:r>
      <w:r>
        <w:rPr>
          <w:rFonts w:ascii="宋体" w:hAnsi="宋体" w:eastAsia="宋体"/>
          <w:sz w:val="24"/>
          <w:highlight w:val="none"/>
        </w:rPr>
        <w:t>标</w:t>
      </w:r>
      <w:r>
        <w:rPr>
          <w:rFonts w:hint="eastAsia" w:ascii="宋体" w:hAnsi="宋体" w:eastAsia="宋体"/>
          <w:sz w:val="24"/>
          <w:highlight w:val="none"/>
        </w:rPr>
        <w:t>人</w:t>
      </w:r>
      <w:r>
        <w:rPr>
          <w:rFonts w:ascii="宋体" w:hAnsi="宋体" w:eastAsia="宋体"/>
          <w:sz w:val="24"/>
          <w:highlight w:val="none"/>
        </w:rPr>
        <w:t>拒绝与采购人签订合同的，采购人可以按照评审报告推荐的中标候选人</w:t>
      </w:r>
      <w:r>
        <w:rPr>
          <w:rFonts w:hint="eastAsia" w:ascii="宋体" w:hAnsi="宋体" w:eastAsia="宋体"/>
          <w:sz w:val="24"/>
          <w:highlight w:val="none"/>
        </w:rPr>
        <w:t>名单</w:t>
      </w:r>
      <w:r>
        <w:rPr>
          <w:rFonts w:ascii="宋体" w:hAnsi="宋体" w:eastAsia="宋体"/>
          <w:sz w:val="24"/>
          <w:highlight w:val="none"/>
        </w:rPr>
        <w:t>排序</w:t>
      </w:r>
      <w:r>
        <w:rPr>
          <w:rFonts w:hint="eastAsia" w:ascii="宋体" w:hAnsi="宋体" w:eastAsia="宋体"/>
          <w:sz w:val="24"/>
          <w:highlight w:val="none"/>
        </w:rPr>
        <w:t>，</w:t>
      </w:r>
      <w:r>
        <w:rPr>
          <w:rFonts w:ascii="宋体" w:hAnsi="宋体" w:eastAsia="宋体"/>
          <w:sz w:val="24"/>
          <w:highlight w:val="none"/>
        </w:rPr>
        <w:t>确定下一</w:t>
      </w:r>
      <w:r>
        <w:rPr>
          <w:rFonts w:hint="eastAsia" w:ascii="宋体" w:hAnsi="宋体" w:eastAsia="宋体"/>
          <w:sz w:val="24"/>
          <w:highlight w:val="none"/>
        </w:rPr>
        <w:t>中标候选</w:t>
      </w:r>
      <w:r>
        <w:rPr>
          <w:rFonts w:ascii="宋体" w:hAnsi="宋体" w:eastAsia="宋体"/>
          <w:sz w:val="24"/>
          <w:highlight w:val="none"/>
        </w:rPr>
        <w:t>人为中标</w:t>
      </w:r>
      <w:r>
        <w:rPr>
          <w:rFonts w:hint="eastAsia" w:ascii="宋体" w:hAnsi="宋体" w:eastAsia="宋体"/>
          <w:sz w:val="24"/>
          <w:highlight w:val="none"/>
        </w:rPr>
        <w:t>人</w:t>
      </w:r>
      <w:r>
        <w:rPr>
          <w:rFonts w:ascii="宋体" w:hAnsi="宋体" w:eastAsia="宋体"/>
          <w:sz w:val="24"/>
          <w:highlight w:val="none"/>
        </w:rPr>
        <w:t>，也可以重新开展政府采购活动。</w:t>
      </w:r>
    </w:p>
    <w:p w14:paraId="481AFB48">
      <w:pPr>
        <w:spacing w:line="360" w:lineRule="auto"/>
        <w:ind w:firstLine="435"/>
        <w:rPr>
          <w:rFonts w:hint="eastAsia" w:ascii="宋体" w:hAnsi="宋体" w:eastAsia="宋体"/>
          <w:sz w:val="24"/>
          <w:highlight w:val="none"/>
        </w:rPr>
      </w:pPr>
      <w:r>
        <w:rPr>
          <w:rFonts w:hint="eastAsia" w:ascii="宋体" w:hAnsi="宋体" w:eastAsia="宋体"/>
          <w:sz w:val="24"/>
          <w:highlight w:val="none"/>
        </w:rPr>
        <w:t>27.4依据《政府采购促进中小企业发展管理办法》（财库〔</w:t>
      </w:r>
      <w:r>
        <w:rPr>
          <w:rFonts w:ascii="宋体" w:hAnsi="宋体" w:eastAsia="宋体"/>
          <w:sz w:val="24"/>
          <w:highlight w:val="none"/>
        </w:rPr>
        <w:t>2020〕46号</w:t>
      </w:r>
      <w:r>
        <w:rPr>
          <w:rFonts w:hint="eastAsia" w:ascii="宋体" w:hAnsi="宋体" w:eastAsia="宋体"/>
          <w:sz w:val="24"/>
          <w:highlight w:val="none"/>
        </w:rPr>
        <w:t>）规定享受扶持政策获得政府采购合同的，小微企业不得将合同分包给大中型企业，中型企业不得将合同分包给大型企业。</w:t>
      </w:r>
    </w:p>
    <w:p w14:paraId="4E26E2F4">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代理费用</w:t>
      </w:r>
    </w:p>
    <w:p w14:paraId="44DD96C3">
      <w:pPr>
        <w:spacing w:line="360" w:lineRule="auto"/>
        <w:ind w:firstLine="435"/>
        <w:rPr>
          <w:rFonts w:hint="eastAsia"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.1</w:t>
      </w:r>
      <w:r>
        <w:rPr>
          <w:rFonts w:hint="eastAsia" w:ascii="宋体" w:hAnsi="宋体" w:eastAsia="宋体"/>
          <w:sz w:val="24"/>
          <w:highlight w:val="none"/>
        </w:rPr>
        <w:t>本项目代理费用的收取按</w:t>
      </w:r>
      <w:r>
        <w:rPr>
          <w:rFonts w:hint="eastAsia" w:asciiTheme="minorEastAsia" w:hAnsiTheme="minorEastAsia" w:eastAsiaTheme="minorEastAsia"/>
          <w:sz w:val="24"/>
          <w:highlight w:val="none"/>
          <w:u w:val="single"/>
        </w:rPr>
        <w:t>投标人须知前附表的</w:t>
      </w:r>
      <w:r>
        <w:rPr>
          <w:rFonts w:hint="eastAsia" w:ascii="宋体" w:hAnsi="宋体" w:eastAsia="宋体"/>
          <w:sz w:val="24"/>
          <w:highlight w:val="none"/>
        </w:rPr>
        <w:t>规定执行</w:t>
      </w:r>
      <w:r>
        <w:rPr>
          <w:rFonts w:hint="eastAsia" w:asciiTheme="minorEastAsia" w:hAnsiTheme="minorEastAsia" w:eastAsiaTheme="minorEastAsia"/>
          <w:sz w:val="24"/>
          <w:highlight w:val="none"/>
        </w:rPr>
        <w:t>。</w:t>
      </w:r>
    </w:p>
    <w:p w14:paraId="03ED94CE">
      <w:pPr>
        <w:spacing w:line="360" w:lineRule="auto"/>
        <w:ind w:firstLine="437"/>
        <w:outlineLvl w:val="2"/>
        <w:rPr>
          <w:rFonts w:hint="eastAsia" w:asciiTheme="minorEastAsia" w:hAnsiTheme="minorEastAsia" w:eastAsiaTheme="minorEastAsia"/>
          <w:b/>
          <w:sz w:val="24"/>
          <w:highlight w:val="none"/>
        </w:rPr>
      </w:pPr>
      <w:bookmarkStart w:id="26" w:name="_Toc518923100"/>
      <w:bookmarkStart w:id="27" w:name="_Toc2583661"/>
      <w:r>
        <w:rPr>
          <w:rFonts w:hint="eastAsia" w:asciiTheme="minorEastAsia" w:hAnsiTheme="minorEastAsia" w:eastAsiaTheme="minorEastAsia"/>
          <w:b/>
          <w:sz w:val="24"/>
          <w:highlight w:val="none"/>
        </w:rPr>
        <w:t>29.廉洁自律</w:t>
      </w:r>
      <w:r>
        <w:rPr>
          <w:rFonts w:asciiTheme="minorEastAsia" w:hAnsiTheme="minorEastAsia" w:eastAsiaTheme="minorEastAsia"/>
          <w:b/>
          <w:sz w:val="24"/>
          <w:highlight w:val="none"/>
        </w:rPr>
        <w:t>规定</w:t>
      </w:r>
      <w:bookmarkEnd w:id="26"/>
      <w:bookmarkEnd w:id="27"/>
    </w:p>
    <w:p w14:paraId="4C724DC5">
      <w:pPr>
        <w:spacing w:line="360" w:lineRule="auto"/>
        <w:ind w:firstLine="435"/>
        <w:rPr>
          <w:rFonts w:hint="eastAsia" w:ascii="宋体" w:hAnsi="宋体" w:eastAsia="宋体"/>
          <w:sz w:val="24"/>
          <w:highlight w:val="none"/>
        </w:rPr>
      </w:pPr>
      <w:r>
        <w:rPr>
          <w:rFonts w:hint="eastAsia" w:ascii="宋体" w:hAnsi="宋体" w:eastAsia="宋体"/>
          <w:sz w:val="24"/>
          <w:highlight w:val="none"/>
        </w:rPr>
        <w:t>29.1采购代理机构</w:t>
      </w:r>
      <w:r>
        <w:rPr>
          <w:rFonts w:ascii="宋体" w:hAnsi="宋体" w:eastAsia="宋体"/>
          <w:sz w:val="24"/>
          <w:highlight w:val="none"/>
        </w:rPr>
        <w:t>工作人员</w:t>
      </w:r>
      <w:r>
        <w:rPr>
          <w:rFonts w:hint="eastAsia" w:ascii="宋体" w:hAnsi="宋体" w:eastAsia="宋体"/>
          <w:sz w:val="24"/>
          <w:highlight w:val="none"/>
        </w:rPr>
        <w:t>不得以不正当手段获取政府采购代理业务，不得与采购人、供应商恶意串通。</w:t>
      </w:r>
    </w:p>
    <w:p w14:paraId="581E5B7A">
      <w:pPr>
        <w:spacing w:line="360" w:lineRule="auto"/>
        <w:ind w:firstLine="435"/>
        <w:rPr>
          <w:rFonts w:hint="eastAsia" w:ascii="宋体" w:hAnsi="宋体" w:eastAsia="宋体"/>
          <w:sz w:val="24"/>
          <w:highlight w:val="none"/>
        </w:rPr>
      </w:pPr>
      <w:r>
        <w:rPr>
          <w:rFonts w:hint="eastAsia" w:ascii="宋体" w:hAnsi="宋体" w:eastAsia="宋体"/>
          <w:sz w:val="24"/>
          <w:highlight w:val="none"/>
        </w:rPr>
        <w:t>29.</w:t>
      </w:r>
      <w:r>
        <w:rPr>
          <w:rFonts w:ascii="宋体" w:hAnsi="宋体" w:eastAsia="宋体"/>
          <w:sz w:val="24"/>
          <w:highlight w:val="none"/>
        </w:rPr>
        <w:t>2</w:t>
      </w:r>
      <w:r>
        <w:rPr>
          <w:rFonts w:hint="eastAsia" w:ascii="宋体" w:hAnsi="宋体" w:eastAsia="宋体"/>
          <w:sz w:val="24"/>
          <w:highlight w:val="none"/>
        </w:rPr>
        <w:t>采购代理机构工作人员不得接受采购人或者供应商组织的宴请、旅游、娱乐，不得收受礼品、现金、有价证券等，不得向采购人或者供应商报销应当由个人承担的费用。</w:t>
      </w:r>
    </w:p>
    <w:p w14:paraId="1FA83A27">
      <w:pPr>
        <w:spacing w:line="360" w:lineRule="auto"/>
        <w:ind w:firstLine="437"/>
        <w:outlineLvl w:val="2"/>
        <w:rPr>
          <w:rFonts w:hint="eastAsia" w:asciiTheme="minorEastAsia" w:hAnsiTheme="minorEastAsia" w:eastAsiaTheme="minorEastAsia"/>
          <w:b/>
          <w:sz w:val="24"/>
          <w:highlight w:val="none"/>
        </w:rPr>
      </w:pPr>
      <w:bookmarkStart w:id="28" w:name="_Toc518923101"/>
      <w:bookmarkStart w:id="29" w:name="_Toc2583662"/>
      <w:r>
        <w:rPr>
          <w:rFonts w:hint="eastAsia" w:asciiTheme="minorEastAsia" w:hAnsiTheme="minorEastAsia" w:eastAsiaTheme="minorEastAsia"/>
          <w:b/>
          <w:sz w:val="24"/>
          <w:highlight w:val="none"/>
        </w:rPr>
        <w:t>30.人员回避</w:t>
      </w:r>
      <w:bookmarkEnd w:id="28"/>
      <w:bookmarkEnd w:id="29"/>
    </w:p>
    <w:p w14:paraId="13CBB40D">
      <w:pPr>
        <w:spacing w:line="360" w:lineRule="auto"/>
        <w:ind w:firstLine="435"/>
        <w:rPr>
          <w:rFonts w:ascii="仿宋_GB2312" w:hAnsi="宋体" w:eastAsia="仿宋_GB2312"/>
          <w:sz w:val="24"/>
          <w:highlight w:val="none"/>
        </w:rPr>
      </w:pPr>
      <w:r>
        <w:rPr>
          <w:rFonts w:hint="eastAsia" w:ascii="宋体" w:hAnsi="宋体" w:eastAsia="宋体"/>
          <w:sz w:val="24"/>
          <w:highlight w:val="none"/>
        </w:rPr>
        <w:t>投标人</w:t>
      </w:r>
      <w:r>
        <w:rPr>
          <w:rFonts w:ascii="宋体" w:hAnsi="宋体" w:eastAsia="宋体"/>
          <w:sz w:val="24"/>
          <w:highlight w:val="none"/>
        </w:rPr>
        <w:t>认为采购人员</w:t>
      </w:r>
      <w:r>
        <w:rPr>
          <w:rFonts w:hint="eastAsia" w:ascii="宋体" w:hAnsi="宋体" w:eastAsia="宋体"/>
          <w:sz w:val="24"/>
          <w:highlight w:val="none"/>
        </w:rPr>
        <w:t>及其</w:t>
      </w:r>
      <w:r>
        <w:rPr>
          <w:rFonts w:ascii="宋体" w:hAnsi="宋体" w:eastAsia="宋体"/>
          <w:sz w:val="24"/>
          <w:highlight w:val="none"/>
        </w:rPr>
        <w:t>相关人员有</w:t>
      </w:r>
      <w:r>
        <w:rPr>
          <w:rFonts w:hint="eastAsia" w:ascii="宋体" w:hAnsi="宋体" w:eastAsia="宋体"/>
          <w:sz w:val="24"/>
          <w:highlight w:val="none"/>
        </w:rPr>
        <w:t>法律</w:t>
      </w:r>
      <w:r>
        <w:rPr>
          <w:rFonts w:ascii="宋体" w:hAnsi="宋体" w:eastAsia="宋体"/>
          <w:sz w:val="24"/>
          <w:highlight w:val="none"/>
        </w:rPr>
        <w:t>法规所列与其他供应商</w:t>
      </w:r>
      <w:r>
        <w:rPr>
          <w:rFonts w:hint="eastAsia" w:ascii="宋体" w:hAnsi="宋体" w:eastAsia="宋体"/>
          <w:sz w:val="24"/>
          <w:highlight w:val="none"/>
        </w:rPr>
        <w:t>有</w:t>
      </w:r>
      <w:r>
        <w:rPr>
          <w:rFonts w:ascii="宋体" w:hAnsi="宋体" w:eastAsia="宋体"/>
          <w:sz w:val="24"/>
          <w:highlight w:val="none"/>
        </w:rPr>
        <w:t>利害关系的，可以向</w:t>
      </w:r>
      <w:r>
        <w:rPr>
          <w:rFonts w:hint="eastAsia" w:ascii="宋体" w:hAnsi="宋体" w:eastAsia="宋体"/>
          <w:sz w:val="24"/>
          <w:highlight w:val="none"/>
        </w:rPr>
        <w:t>采购人或</w:t>
      </w:r>
      <w:r>
        <w:rPr>
          <w:rFonts w:ascii="宋体" w:hAnsi="宋体" w:eastAsia="宋体"/>
          <w:sz w:val="24"/>
          <w:highlight w:val="none"/>
        </w:rPr>
        <w:t>采购代理机构书面提出回避申请，并说明理由。</w:t>
      </w:r>
    </w:p>
    <w:p w14:paraId="08C70DF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质疑的提出与接收</w:t>
      </w:r>
    </w:p>
    <w:p w14:paraId="576ED1BB">
      <w:pPr>
        <w:spacing w:line="360" w:lineRule="auto"/>
        <w:ind w:firstLine="435"/>
        <w:rPr>
          <w:rFonts w:hint="eastAsia" w:ascii="宋体" w:hAnsi="宋体" w:eastAsia="宋体"/>
          <w:sz w:val="24"/>
          <w:highlight w:val="none"/>
        </w:rPr>
      </w:pPr>
      <w:r>
        <w:rPr>
          <w:rFonts w:hint="eastAsia" w:ascii="宋体" w:hAnsi="宋体" w:eastAsia="宋体"/>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5170E473">
      <w:pPr>
        <w:spacing w:line="360" w:lineRule="auto"/>
        <w:ind w:firstLine="435"/>
        <w:rPr>
          <w:rFonts w:hint="eastAsia" w:ascii="宋体" w:hAnsi="宋体" w:eastAsia="宋体"/>
          <w:sz w:val="24"/>
          <w:highlight w:val="none"/>
        </w:rPr>
      </w:pPr>
      <w:r>
        <w:rPr>
          <w:rFonts w:hint="eastAsia" w:ascii="宋体" w:hAnsi="宋体" w:eastAsia="宋体"/>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2F8F0BB">
      <w:pPr>
        <w:spacing w:line="360" w:lineRule="auto"/>
        <w:ind w:firstLine="435"/>
        <w:rPr>
          <w:rFonts w:hint="eastAsia" w:ascii="宋体" w:hAnsi="宋体" w:eastAsia="宋体"/>
          <w:sz w:val="24"/>
          <w:highlight w:val="none"/>
        </w:rPr>
      </w:pPr>
      <w:r>
        <w:rPr>
          <w:rFonts w:hint="eastAsia" w:ascii="宋体" w:hAnsi="宋体" w:eastAsia="宋体"/>
          <w:sz w:val="24"/>
          <w:highlight w:val="none"/>
        </w:rPr>
        <w:t>31.3采购代理机构质疑函接收部门、联系电话和通讯地址，见</w:t>
      </w:r>
      <w:r>
        <w:rPr>
          <w:rFonts w:hint="eastAsia" w:ascii="宋体" w:hAnsi="宋体" w:eastAsia="宋体"/>
          <w:sz w:val="24"/>
          <w:highlight w:val="none"/>
          <w:u w:val="single"/>
        </w:rPr>
        <w:t>投标人须知前附表</w:t>
      </w:r>
      <w:r>
        <w:rPr>
          <w:rFonts w:hint="eastAsia" w:ascii="宋体" w:hAnsi="宋体" w:eastAsia="宋体"/>
          <w:sz w:val="24"/>
          <w:highlight w:val="none"/>
        </w:rPr>
        <w:t>。</w:t>
      </w:r>
    </w:p>
    <w:p w14:paraId="533837C9">
      <w:pPr>
        <w:spacing w:line="360" w:lineRule="auto"/>
        <w:ind w:firstLine="435"/>
        <w:rPr>
          <w:rFonts w:hint="eastAsia" w:ascii="宋体" w:hAnsi="宋体" w:eastAsia="宋体"/>
          <w:sz w:val="24"/>
          <w:highlight w:val="none"/>
        </w:rPr>
      </w:pPr>
      <w:r>
        <w:rPr>
          <w:rFonts w:hint="eastAsia" w:ascii="宋体" w:hAnsi="宋体" w:eastAsia="宋体"/>
          <w:sz w:val="24"/>
          <w:highlight w:val="none"/>
        </w:rPr>
        <w:t>注：上述条款中所要求的书面形式包含通过电子交易系统递交方式。</w:t>
      </w:r>
    </w:p>
    <w:p w14:paraId="2EC0EB9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需要补充的其他内容</w:t>
      </w:r>
    </w:p>
    <w:p w14:paraId="3A1BDED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5A3FF0A2">
      <w:pPr>
        <w:widowControl/>
        <w:jc w:val="left"/>
        <w:rPr>
          <w:rFonts w:hint="eastAsia" w:asciiTheme="minorEastAsia" w:hAnsiTheme="minorEastAsia" w:eastAsiaTheme="minorEastAsia"/>
          <w:b/>
          <w:sz w:val="28"/>
          <w:highlight w:val="none"/>
        </w:rPr>
      </w:pPr>
      <w:r>
        <w:rPr>
          <w:rFonts w:asciiTheme="minorEastAsia" w:hAnsiTheme="minorEastAsia" w:eastAsiaTheme="minorEastAsia"/>
          <w:sz w:val="24"/>
          <w:highlight w:val="none"/>
        </w:rPr>
        <w:br w:type="page"/>
      </w:r>
    </w:p>
    <w:p w14:paraId="61FF6897">
      <w:pPr>
        <w:numPr>
          <w:ilvl w:val="0"/>
          <w:numId w:val="2"/>
        </w:num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 xml:space="preserve"> </w:t>
      </w:r>
      <w:bookmarkStart w:id="30" w:name="_Toc22605"/>
      <w:r>
        <w:rPr>
          <w:rFonts w:hint="eastAsia" w:asciiTheme="minorEastAsia" w:hAnsiTheme="minorEastAsia" w:eastAsiaTheme="minorEastAsia"/>
          <w:b/>
          <w:sz w:val="28"/>
          <w:highlight w:val="none"/>
        </w:rPr>
        <w:t>采购需求</w:t>
      </w:r>
      <w:bookmarkEnd w:id="30"/>
    </w:p>
    <w:p w14:paraId="1E5C5EB8">
      <w:pPr>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58AA87F8">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1.本采购需求中提出的服务方案仅为参考，如无明确限制，投标人可以进行优化，提供满足采购人实际需要的更优（或者性能实质上不低于的）服务方案，且此方案须经评标委员会评审认可。</w:t>
      </w:r>
    </w:p>
    <w:p w14:paraId="212F07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rPr>
        <w:t>）：</w:t>
      </w:r>
    </w:p>
    <w:p w14:paraId="2448C4E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6B704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6222ACE">
      <w:pPr>
        <w:spacing w:line="360" w:lineRule="auto"/>
        <w:ind w:firstLine="480" w:firstLineChars="200"/>
        <w:rPr>
          <w:rFonts w:hint="eastAsia" w:ascii="宋体" w:hAnsi="宋体" w:eastAsia="宋体"/>
          <w:bCs/>
          <w:sz w:val="24"/>
          <w:szCs w:val="18"/>
          <w:highlight w:val="none"/>
        </w:rPr>
      </w:pPr>
      <w:r>
        <w:rPr>
          <w:rFonts w:hint="eastAsia" w:ascii="宋体" w:hAnsi="宋体" w:eastAsia="宋体" w:cs="宋体"/>
          <w:sz w:val="24"/>
          <w:szCs w:val="24"/>
          <w:highlight w:val="none"/>
        </w:rPr>
        <w:t>3.如采购人允许采用分包方式履行合同的，应当明确可以分包履行的相关内容。</w:t>
      </w:r>
    </w:p>
    <w:p w14:paraId="67D0E565">
      <w:pPr>
        <w:spacing w:line="360" w:lineRule="auto"/>
        <w:ind w:firstLine="437"/>
        <w:outlineLvl w:val="1"/>
        <w:rPr>
          <w:rFonts w:hint="eastAsia" w:ascii="宋体" w:hAnsi="宋体" w:eastAsia="宋体"/>
          <w:b/>
          <w:sz w:val="24"/>
          <w:szCs w:val="18"/>
          <w:highlight w:val="none"/>
        </w:rPr>
      </w:pPr>
      <w:bookmarkStart w:id="31" w:name="_Toc4148"/>
      <w:bookmarkStart w:id="32" w:name="_Toc21798"/>
      <w:bookmarkStart w:id="33" w:name="_Hlk23621890"/>
      <w:r>
        <w:rPr>
          <w:rFonts w:hint="eastAsia" w:ascii="宋体" w:hAnsi="宋体" w:eastAsia="宋体"/>
          <w:b/>
          <w:sz w:val="24"/>
          <w:szCs w:val="18"/>
          <w:highlight w:val="none"/>
        </w:rPr>
        <w:t>一、采购需求前附表</w:t>
      </w:r>
      <w:bookmarkEnd w:id="31"/>
      <w:bookmarkEnd w:id="32"/>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228"/>
        <w:gridCol w:w="6014"/>
      </w:tblGrid>
      <w:tr w14:paraId="007D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3FD353F">
            <w:pPr>
              <w:pStyle w:val="34"/>
              <w:pBdr>
                <w:bottom w:val="none" w:color="auto" w:sz="0" w:space="0"/>
              </w:pBdr>
              <w:tabs>
                <w:tab w:val="clear" w:pos="4153"/>
                <w:tab w:val="clear" w:pos="8306"/>
              </w:tabs>
              <w:adjustRightInd/>
              <w:spacing w:line="240" w:lineRule="auto"/>
              <w:textAlignment w:val="auto"/>
              <w:rPr>
                <w:rFonts w:hint="eastAsia"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33F09EC2">
            <w:pPr>
              <w:pStyle w:val="33"/>
              <w:widowControl w:val="0"/>
              <w:spacing w:before="0" w:beforeAutospacing="0" w:after="0" w:afterAutospacing="0" w:line="360" w:lineRule="auto"/>
              <w:rPr>
                <w:rFonts w:hint="eastAsia"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31074F65">
            <w:pPr>
              <w:pStyle w:val="33"/>
              <w:widowControl w:val="0"/>
              <w:spacing w:before="0" w:beforeAutospacing="0" w:after="0" w:afterAutospacing="0" w:line="360" w:lineRule="auto"/>
              <w:rPr>
                <w:rFonts w:hint="eastAsia" w:ascii="宋体" w:hAnsi="宋体" w:eastAsia="宋体"/>
                <w:bCs w:val="0"/>
                <w:sz w:val="24"/>
                <w:highlight w:val="none"/>
              </w:rPr>
            </w:pPr>
            <w:r>
              <w:rPr>
                <w:rFonts w:hint="eastAsia" w:ascii="宋体" w:hAnsi="宋体" w:eastAsia="宋体"/>
                <w:bCs w:val="0"/>
                <w:sz w:val="24"/>
                <w:highlight w:val="none"/>
              </w:rPr>
              <w:t>内容、说明与要求</w:t>
            </w:r>
          </w:p>
        </w:tc>
      </w:tr>
      <w:tr w14:paraId="1FCE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F0ED9BC">
            <w:pPr>
              <w:pStyle w:val="34"/>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27C3E747">
            <w:pPr>
              <w:pStyle w:val="33"/>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218C560D">
            <w:pPr>
              <w:pStyle w:val="33"/>
              <w:widowControl w:val="0"/>
              <w:spacing w:before="0" w:beforeAutospacing="0" w:after="0" w:afterAutospacing="0" w:line="360" w:lineRule="auto"/>
              <w:jc w:val="both"/>
              <w:rPr>
                <w:rFonts w:hint="eastAsia" w:ascii="宋体" w:hAnsi="宋体" w:eastAsia="宋体"/>
                <w:b w:val="0"/>
                <w:sz w:val="24"/>
                <w:highlight w:val="none"/>
                <w:u w:val="single"/>
              </w:rPr>
            </w:pPr>
            <w:r>
              <w:rPr>
                <w:rFonts w:hint="eastAsia" w:ascii="宋体" w:hAnsi="宋体" w:eastAsia="宋体"/>
                <w:b w:val="0"/>
                <w:sz w:val="24"/>
                <w:highlight w:val="none"/>
                <w:u w:val="single"/>
              </w:rPr>
              <w:t>合同签订后支付50%合同价款，剩余合同价款于2025年12月31日前一次性支付，招标人付款前中标人应提供合格有效的发票。</w:t>
            </w:r>
          </w:p>
        </w:tc>
      </w:tr>
      <w:tr w14:paraId="263A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CF9B92F">
            <w:pPr>
              <w:pStyle w:val="34"/>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5342247A">
            <w:pPr>
              <w:pStyle w:val="33"/>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14:paraId="2B7E4572">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u w:val="single"/>
              </w:rPr>
              <w:t>安徽省，招标人指定地点</w:t>
            </w:r>
          </w:p>
        </w:tc>
      </w:tr>
      <w:tr w14:paraId="3B55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90" w:type="pct"/>
            <w:vAlign w:val="center"/>
          </w:tcPr>
          <w:p w14:paraId="3F9CB9C3">
            <w:pPr>
              <w:pStyle w:val="34"/>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7A8F3BC3">
            <w:pPr>
              <w:pStyle w:val="33"/>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14:paraId="63F4A472">
            <w:pPr>
              <w:pStyle w:val="3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u w:val="single"/>
                <w:lang w:val="en-US" w:eastAsia="zh-CN"/>
              </w:rPr>
              <w:t>服务期</w:t>
            </w:r>
            <w:r>
              <w:rPr>
                <w:rFonts w:hint="eastAsia" w:ascii="宋体" w:hAnsi="宋体" w:eastAsia="宋体"/>
                <w:b w:val="0"/>
                <w:sz w:val="24"/>
                <w:highlight w:val="none"/>
                <w:u w:val="single"/>
              </w:rPr>
              <w:t>1年</w:t>
            </w:r>
          </w:p>
        </w:tc>
      </w:tr>
      <w:tr w14:paraId="7D79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B00A1A1">
            <w:pPr>
              <w:pStyle w:val="34"/>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14:paraId="42457BF9">
            <w:pPr>
              <w:pStyle w:val="33"/>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7EB1DB2A">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安徽省气象台2025年算力资源租赁服务项目（二次）</w:t>
            </w:r>
          </w:p>
          <w:p w14:paraId="0831E70D">
            <w:pPr>
              <w:spacing w:line="360" w:lineRule="auto"/>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所属行业：租赁服务</w:t>
            </w:r>
          </w:p>
        </w:tc>
      </w:tr>
      <w:bookmarkEnd w:id="33"/>
    </w:tbl>
    <w:p w14:paraId="3D848F06">
      <w:pPr>
        <w:rPr>
          <w:rFonts w:hint="eastAsia"/>
          <w:highlight w:val="none"/>
        </w:rPr>
      </w:pPr>
      <w:bookmarkStart w:id="34" w:name="_Toc12383"/>
    </w:p>
    <w:p w14:paraId="216FBC03">
      <w:pPr>
        <w:spacing w:line="360" w:lineRule="auto"/>
        <w:ind w:firstLine="437"/>
        <w:outlineLvl w:val="1"/>
        <w:rPr>
          <w:rFonts w:hint="eastAsia" w:ascii="宋体" w:hAnsi="宋体" w:eastAsia="宋体" w:cs="宋体"/>
          <w:b/>
          <w:kern w:val="44"/>
          <w:sz w:val="24"/>
          <w:szCs w:val="24"/>
          <w:highlight w:val="none"/>
        </w:rPr>
      </w:pPr>
      <w:r>
        <w:rPr>
          <w:rFonts w:hint="eastAsia" w:ascii="宋体" w:hAnsi="宋体" w:eastAsia="宋体"/>
          <w:b/>
          <w:sz w:val="24"/>
          <w:szCs w:val="18"/>
          <w:highlight w:val="none"/>
        </w:rPr>
        <w:t>二、采购需求</w:t>
      </w:r>
    </w:p>
    <w:bookmarkEnd w:id="34"/>
    <w:p w14:paraId="7C12BB38">
      <w:pPr>
        <w:numPr>
          <w:ilvl w:val="1"/>
          <w:numId w:val="3"/>
        </w:numPr>
        <w:bidi w:val="0"/>
        <w:adjustRightInd w:val="0"/>
        <w:snapToGrid w:val="0"/>
        <w:spacing w:before="50" w:beforeLines="50" w:after="50" w:afterLines="50" w:line="288" w:lineRule="auto"/>
        <w:ind w:left="0" w:leftChars="0" w:firstLine="0" w:firstLineChars="0"/>
        <w:outlineLvl w:val="1"/>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pPr>
      <w:r>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t>总体需求</w:t>
      </w:r>
    </w:p>
    <w:p w14:paraId="0EA9E713">
      <w:pPr>
        <w:bidi w:val="0"/>
        <w:adjustRightInd w:val="0"/>
        <w:snapToGrid w:val="0"/>
        <w:spacing w:line="360" w:lineRule="auto"/>
        <w:ind w:firstLine="482" w:firstLineChars="200"/>
        <w:rPr>
          <w:rFonts w:hint="default" w:ascii="宋体" w:hAnsi="宋体" w:eastAsia="宋体" w:cs="宋体"/>
          <w:b/>
          <w:bCs/>
          <w:color w:val="000000"/>
          <w:sz w:val="24"/>
          <w:szCs w:val="24"/>
          <w:highlight w:val="none"/>
          <w:lang w:val="en-US" w:eastAsia="zh-CN"/>
          <w14:textFill>
            <w14:solidFill>
              <w14:srgbClr w14:val="000000">
                <w14:lumMod w14:val="85000"/>
                <w14:lumOff w14:val="15000"/>
              </w14:srgbClr>
            </w14:solidFill>
          </w14:textFill>
        </w:rPr>
      </w:pPr>
      <w:r>
        <w:rPr>
          <w:rFonts w:hint="eastAsia" w:ascii="宋体" w:hAnsi="宋体" w:eastAsia="宋体" w:cs="宋体"/>
          <w:b/>
          <w:bCs/>
          <w:color w:val="000000"/>
          <w:sz w:val="24"/>
          <w:szCs w:val="24"/>
          <w:highlight w:val="none"/>
          <w:lang w:val="en-US" w:eastAsia="zh-CN"/>
          <w14:textFill>
            <w14:solidFill>
              <w14:srgbClr w14:val="000000">
                <w14:lumMod w14:val="85000"/>
                <w14:lumOff w14:val="15000"/>
              </w14:srgbClr>
            </w14:solidFill>
          </w14:textFill>
        </w:rPr>
        <w:t>1、项目概况：</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安徽省气象台2025年算力资源租赁服务项目（二次），包含：提供计算资源及技术支持服务，用于满足采购方软件平台的运行，并协助采购方软件开发团队共同完成系统的集成与优化。总集群固定X86架构（或同等级同架构）CPU计算核心不低于20480物理核心，提供独享节点不低于160个；弹性X86架构（或同等级同架构）CPU计算总核心不低于7680物理核心，使用时独享节点，节点不低于60个。独享云资源租用高性能并行存储2PB；计算网络不低于100Gb/sOPA或IB；为保障高性能运算平台稳定数据高速传输，算力中心到采购方采用冗余裸光纤互联，专线速率不低于100Gbps。同时配合采购方完成对其租用的集群设备所在机柜的位置和网络进行调整，并提供投标计算资源的对应的机柜摆放示意图。投标人需根据安徽省域内气象灾害风险隐患数据，提供专业的气象灾害风险咨询服务，以满足用户对全省各灾种风险区划及气象灾害风险评估。</w:t>
      </w:r>
    </w:p>
    <w:p w14:paraId="45E281F9">
      <w:pPr>
        <w:bidi w:val="0"/>
        <w:adjustRightInd w:val="0"/>
        <w:snapToGrid w:val="0"/>
        <w:spacing w:line="360" w:lineRule="auto"/>
        <w:ind w:firstLine="482" w:firstLineChars="200"/>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b/>
          <w:bCs/>
          <w:color w:val="000000"/>
          <w:sz w:val="24"/>
          <w:szCs w:val="24"/>
          <w:highlight w:val="none"/>
          <w:lang w:val="en-US" w:eastAsia="zh-CN"/>
          <w14:textFill>
            <w14:solidFill>
              <w14:srgbClr w14:val="000000">
                <w14:lumMod w14:val="85000"/>
                <w14:lumOff w14:val="15000"/>
              </w14:srgbClr>
            </w14:solidFill>
          </w14:textFill>
        </w:rPr>
        <w:t>2、</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服务期限</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服务期</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1年。</w:t>
      </w:r>
    </w:p>
    <w:p w14:paraId="10F53E60">
      <w:pPr>
        <w:spacing w:line="360" w:lineRule="auto"/>
        <w:ind w:firstLine="435"/>
        <w:rPr>
          <w:rFonts w:hint="default"/>
          <w:highlight w:val="none"/>
          <w:lang w:val="en-US" w:eastAsia="zh-CN"/>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w:t>
      </w:r>
      <w:r>
        <w:rPr>
          <w:rFonts w:hint="eastAsia" w:ascii="宋体" w:hAnsi="宋体" w:eastAsia="宋体"/>
          <w:sz w:val="24"/>
          <w:szCs w:val="18"/>
          <w:highlight w:val="none"/>
          <w:lang w:val="en-US" w:eastAsia="zh-CN"/>
        </w:rPr>
        <w:t>本项目为延续性项目，上期整个服务期限为一年（2024年6月30日至2025年6月30日止）。目前仍由原服务单位继续提供服务，服务至本次采购中标单位签订合同为止，中标单位需依照原服务单位实际服务的超出天数，支付相应的服务费用给原服务单位，投标时需提供加盖投标人公章的承诺函。</w:t>
      </w:r>
    </w:p>
    <w:p w14:paraId="7EF82639">
      <w:pPr>
        <w:bidi w:val="0"/>
        <w:adjustRightInd w:val="0"/>
        <w:snapToGrid w:val="0"/>
        <w:spacing w:line="360" w:lineRule="auto"/>
        <w:ind w:firstLine="482" w:firstLineChars="200"/>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b/>
          <w:bCs/>
          <w:color w:val="000000"/>
          <w:sz w:val="24"/>
          <w:szCs w:val="24"/>
          <w:highlight w:val="none"/>
          <w:lang w:val="en-US" w:eastAsia="zh-CN"/>
          <w14:textFill>
            <w14:solidFill>
              <w14:srgbClr w14:val="000000">
                <w14:lumMod w14:val="85000"/>
                <w14:lumOff w14:val="15000"/>
              </w14:srgbClr>
            </w14:solidFill>
          </w14:textFill>
        </w:rPr>
        <w:t>3</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、算力租赁服务内容：</w:t>
      </w:r>
    </w:p>
    <w:p w14:paraId="5637457B">
      <w:pPr>
        <w:bidi w:val="0"/>
        <w:adjustRightInd w:val="0"/>
        <w:snapToGrid w:val="0"/>
        <w:spacing w:line="360" w:lineRule="auto"/>
        <w:ind w:firstLine="480" w:firstLineChars="200"/>
        <w:rPr>
          <w:rFonts w:hint="eastAsia" w:ascii="宋体" w:hAnsi="宋体" w:eastAsia="宋体" w:cs="Times New Roman"/>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提供计算资源及技术支持服务，用于满足采购方软件平台的运行，并协助采购方软件开发团队共同完成系统的集成与优化。</w:t>
      </w:r>
      <w:bookmarkStart w:id="35" w:name="OLE_LINK3"/>
      <w:r>
        <w:rPr>
          <w:rFonts w:hint="eastAsia" w:ascii="宋体" w:hAnsi="宋体" w:eastAsia="宋体" w:cs="宋体"/>
          <w:color w:val="000000"/>
          <w:sz w:val="24"/>
          <w:szCs w:val="24"/>
          <w:highlight w:val="none"/>
          <w:lang w:bidi="ar"/>
        </w:rPr>
        <w:t>总集群固定X86</w:t>
      </w:r>
      <w:r>
        <w:rPr>
          <w:rFonts w:hint="eastAsia" w:ascii="宋体" w:hAnsi="宋体" w:eastAsia="宋体" w:cs="宋体"/>
          <w:color w:val="000000"/>
          <w:sz w:val="24"/>
          <w:szCs w:val="24"/>
          <w:highlight w:val="none"/>
          <w:lang w:val="en-US" w:eastAsia="zh-CN" w:bidi="ar"/>
        </w:rPr>
        <w:t>架构（或同等级同架构）</w:t>
      </w:r>
      <w:r>
        <w:rPr>
          <w:rFonts w:hint="eastAsia" w:ascii="宋体" w:hAnsi="宋体" w:eastAsia="宋体" w:cs="宋体"/>
          <w:color w:val="000000"/>
          <w:sz w:val="24"/>
          <w:szCs w:val="24"/>
          <w:highlight w:val="none"/>
          <w:lang w:bidi="ar"/>
        </w:rPr>
        <w:t xml:space="preserve"> CPU计算核心不低于20480物理核心</w:t>
      </w:r>
      <w:bookmarkEnd w:id="35"/>
      <w:r>
        <w:rPr>
          <w:rFonts w:hint="eastAsia" w:ascii="宋体" w:hAnsi="宋体" w:eastAsia="宋体" w:cs="宋体"/>
          <w:color w:val="000000"/>
          <w:sz w:val="24"/>
          <w:szCs w:val="24"/>
          <w:highlight w:val="none"/>
          <w:lang w:bidi="ar"/>
        </w:rPr>
        <w:t>，提供独享节点不低于160个；弹性X86</w:t>
      </w:r>
      <w:r>
        <w:rPr>
          <w:rFonts w:hint="eastAsia" w:ascii="宋体" w:hAnsi="宋体" w:eastAsia="宋体" w:cs="宋体"/>
          <w:color w:val="000000"/>
          <w:sz w:val="24"/>
          <w:szCs w:val="24"/>
          <w:highlight w:val="none"/>
          <w:lang w:val="en-US" w:eastAsia="zh-CN" w:bidi="ar"/>
        </w:rPr>
        <w:t>架构（或同等级同架构）</w:t>
      </w:r>
      <w:r>
        <w:rPr>
          <w:rFonts w:hint="eastAsia" w:ascii="宋体" w:hAnsi="宋体" w:eastAsia="宋体" w:cs="宋体"/>
          <w:color w:val="000000"/>
          <w:sz w:val="24"/>
          <w:szCs w:val="24"/>
          <w:highlight w:val="none"/>
          <w:lang w:bidi="ar"/>
        </w:rPr>
        <w:t xml:space="preserve"> CPU计算总核心不低于7680物理核心，使用时独享节点，节点不低于60个。独享云资源租用高性能并行存储可用空间不低于2PB；计算网络不低于100Gb/s OPA或IB；为保障高性能运算平台稳定数据高速传输，算力中心到采购方采用冗余裸光纤互联，专线速率不低于100Gbps。</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同时配合采购方完成对其租用的集群设备所在机柜的位置和网络进行调整，并提供投标计算资源的对应的机柜摆放示意图。</w:t>
      </w:r>
      <w:r>
        <w:rPr>
          <w:rFonts w:hint="eastAsia" w:ascii="宋体" w:hAnsi="宋体" w:eastAsia="宋体" w:cs="Times New Roman"/>
          <w:color w:val="000000"/>
          <w:sz w:val="24"/>
          <w:szCs w:val="24"/>
          <w:highlight w:val="none"/>
          <w14:textFill>
            <w14:solidFill>
              <w14:srgbClr w14:val="000000">
                <w14:lumMod w14:val="85000"/>
                <w14:lumOff w14:val="15000"/>
              </w14:srgbClr>
            </w14:solidFill>
          </w14:textFill>
        </w:rPr>
        <w:t>投标人需根据安徽省域内气象灾害风险隐患数据，提供专业的气象灾害风险咨询服务，以满足用户对全省各灾种风险区划及气象灾害风险评估。</w:t>
      </w:r>
    </w:p>
    <w:p w14:paraId="0F387047">
      <w:pPr>
        <w:numPr>
          <w:ilvl w:val="1"/>
          <w:numId w:val="3"/>
        </w:numPr>
        <w:bidi w:val="0"/>
        <w:adjustRightInd w:val="0"/>
        <w:snapToGrid w:val="0"/>
        <w:spacing w:before="50" w:beforeLines="50" w:after="50" w:afterLines="50" w:line="288" w:lineRule="auto"/>
        <w:ind w:left="0" w:leftChars="0" w:firstLine="0" w:firstLineChars="0"/>
        <w:outlineLvl w:val="1"/>
        <w:rPr>
          <w:rFonts w:hint="eastAsia" w:ascii="宋体" w:hAnsi="宋体" w:eastAsia="宋体" w:cs="宋体"/>
          <w:b/>
          <w:bCs/>
          <w:color w:val="000000"/>
          <w:kern w:val="2"/>
          <w:sz w:val="24"/>
          <w:szCs w:val="24"/>
          <w:highlight w:val="none"/>
          <w:lang w:val="en-US" w:eastAsia="zh-CN" w:bidi="ar-SA"/>
        </w:rPr>
      </w:pPr>
      <w:bookmarkStart w:id="36" w:name="_Toc7454"/>
      <w:r>
        <w:rPr>
          <w:rFonts w:hint="eastAsia" w:ascii="宋体" w:hAnsi="宋体" w:eastAsia="宋体" w:cs="宋体"/>
          <w:b/>
          <w:bCs/>
          <w:color w:val="000000"/>
          <w:kern w:val="2"/>
          <w:sz w:val="24"/>
          <w:szCs w:val="24"/>
          <w:highlight w:val="none"/>
          <w:lang w:val="en-US" w:eastAsia="zh-CN" w:bidi="ar-SA"/>
        </w:rPr>
        <w:t>云端资源租赁详细需求</w:t>
      </w:r>
      <w:bookmarkEnd w:id="36"/>
    </w:p>
    <w:p w14:paraId="57D5790A">
      <w:pPr>
        <w:numPr>
          <w:ilvl w:val="2"/>
          <w:numId w:val="3"/>
        </w:numPr>
        <w:bidi w:val="0"/>
        <w:adjustRightInd w:val="0"/>
        <w:snapToGrid w:val="0"/>
        <w:spacing w:before="50" w:beforeLines="50" w:after="50" w:afterLines="50" w:line="288" w:lineRule="auto"/>
        <w:ind w:left="0" w:leftChars="0" w:firstLine="0" w:firstLineChars="0"/>
        <w:outlineLvl w:val="2"/>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pPr>
      <w:r>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t>固定计算资源要求</w:t>
      </w:r>
    </w:p>
    <w:p w14:paraId="67A4F417">
      <w:pPr>
        <w:numPr>
          <w:ilvl w:val="0"/>
          <w:numId w:val="4"/>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lang w:bidi="ar"/>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w:t>
      </w:r>
      <w:r>
        <w:rPr>
          <w:rFonts w:hint="eastAsia" w:ascii="宋体" w:hAnsi="宋体" w:eastAsia="宋体" w:cs="宋体"/>
          <w:color w:val="000000"/>
          <w:sz w:val="24"/>
          <w:szCs w:val="24"/>
          <w:highlight w:val="none"/>
          <w:lang w:bidi="ar"/>
        </w:rPr>
        <w:t>总集群要求提供固定X86</w:t>
      </w:r>
      <w:r>
        <w:rPr>
          <w:rFonts w:hint="eastAsia" w:ascii="宋体" w:hAnsi="宋体" w:eastAsia="宋体" w:cs="宋体"/>
          <w:color w:val="000000"/>
          <w:sz w:val="24"/>
          <w:szCs w:val="24"/>
          <w:highlight w:val="none"/>
          <w:lang w:val="en-US" w:eastAsia="zh-CN" w:bidi="ar"/>
        </w:rPr>
        <w:t>架构（或同等级同架构）</w:t>
      </w:r>
      <w:r>
        <w:rPr>
          <w:rFonts w:hint="eastAsia" w:ascii="宋体" w:hAnsi="宋体" w:eastAsia="宋体" w:cs="宋体"/>
          <w:color w:val="000000"/>
          <w:sz w:val="24"/>
          <w:szCs w:val="24"/>
          <w:highlight w:val="none"/>
          <w:lang w:bidi="ar"/>
        </w:rPr>
        <w:t>CPU计算核心不低于20480物理核心。</w:t>
      </w:r>
      <w:r>
        <w:rPr>
          <w:rFonts w:hint="eastAsia" w:ascii="宋体" w:hAnsi="宋体" w:eastAsia="宋体" w:cs="宋体"/>
          <w:color w:val="000000"/>
          <w:sz w:val="24"/>
          <w:szCs w:val="24"/>
          <w:highlight w:val="none"/>
          <w:lang w:bidi="ar"/>
          <w14:textFill>
            <w14:solidFill>
              <w14:srgbClr w14:val="000000">
                <w14:lumMod w14:val="85000"/>
                <w14:lumOff w14:val="15000"/>
              </w14:srgbClr>
            </w14:solidFill>
          </w14:textFill>
        </w:rPr>
        <w:t>要求不少于160台的固定高性能计算节点，全部为物理计算节点，不接受虚拟主机。</w:t>
      </w:r>
      <w:r>
        <w:rPr>
          <w:rFonts w:hint="eastAsia" w:ascii="宋体" w:hAnsi="宋体" w:eastAsia="宋体" w:cs="宋体"/>
          <w:color w:val="000000"/>
          <w:sz w:val="24"/>
          <w:szCs w:val="24"/>
          <w:highlight w:val="none"/>
          <w:lang w:val="en-US" w:eastAsia="zh-CN" w:bidi="ar"/>
          <w14:textFill>
            <w14:solidFill>
              <w14:srgbClr w14:val="000000">
                <w14:lumMod w14:val="85000"/>
                <w14:lumOff w14:val="15000"/>
              </w14:srgbClr>
            </w14:solidFill>
          </w14:textFill>
        </w:rPr>
        <w:t>投标时需提供加盖投标人公章的承诺函(若投标人非算力中心直接参与投标的,还需提供加盖算力中心运营主体单位公章的授权函）。</w:t>
      </w:r>
    </w:p>
    <w:p w14:paraId="5E3D7CF8">
      <w:pPr>
        <w:numPr>
          <w:ilvl w:val="0"/>
          <w:numId w:val="4"/>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★要求单计算节点配置2颗</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X86架构</w:t>
      </w:r>
      <w:r>
        <w:rPr>
          <w:rFonts w:hint="eastAsia" w:ascii="宋体" w:hAnsi="宋体" w:eastAsia="宋体" w:cs="宋体"/>
          <w:color w:val="000000"/>
          <w:sz w:val="24"/>
          <w:szCs w:val="24"/>
          <w:highlight w:val="none"/>
          <w:lang w:eastAsia="zh-CN"/>
          <w14:textFill>
            <w14:solidFill>
              <w14:srgbClr w14:val="000000">
                <w14:lumMod w14:val="85000"/>
                <w14:lumOff w14:val="15000"/>
              </w14:srgbClr>
            </w14:solidFill>
          </w14:textFill>
        </w:rPr>
        <w:t>（</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或同等级同架构</w:t>
      </w:r>
      <w:r>
        <w:rPr>
          <w:rFonts w:hint="eastAsia" w:ascii="宋体" w:hAnsi="宋体" w:eastAsia="宋体" w:cs="宋体"/>
          <w:color w:val="000000"/>
          <w:sz w:val="24"/>
          <w:szCs w:val="24"/>
          <w:highlight w:val="none"/>
          <w:lang w:eastAsia="zh-CN"/>
          <w14:textFill>
            <w14:solidFill>
              <w14:srgbClr w14:val="000000">
                <w14:lumMod w14:val="85000"/>
                <w14:lumOff w14:val="15000"/>
              </w14:srgbClr>
            </w14:solidFill>
          </w14:textFill>
        </w:rPr>
        <w:t>）</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处理器（CPU），单CPU核数不低于64核，主频不低于2.0GHz，L3缓存不低于256MB；投标时提供具体CPU</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型号</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及具体的规格参数。</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投标时需</w:t>
      </w:r>
      <w:r>
        <w:rPr>
          <w:rFonts w:hint="eastAsia" w:ascii="宋体" w:hAnsi="宋体" w:eastAsia="宋体" w:cs="宋体"/>
          <w:color w:val="000000"/>
          <w:sz w:val="24"/>
          <w:szCs w:val="24"/>
          <w:highlight w:val="none"/>
          <w:lang w:val="en-US" w:eastAsia="zh-CN" w:bidi="ar"/>
          <w14:textFill>
            <w14:solidFill>
              <w14:srgbClr w14:val="000000">
                <w14:lumMod w14:val="85000"/>
                <w14:lumOff w14:val="15000"/>
              </w14:srgbClr>
            </w14:solidFill>
          </w14:textFill>
        </w:rPr>
        <w:t>提供加盖投标人公章的承诺函。</w:t>
      </w:r>
    </w:p>
    <w:p w14:paraId="4083685C">
      <w:pPr>
        <w:numPr>
          <w:ilvl w:val="0"/>
          <w:numId w:val="4"/>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要求单计算节点内存通道满配，容量不低于256GB内存。</w:t>
      </w:r>
    </w:p>
    <w:p w14:paraId="1B5867DD">
      <w:pPr>
        <w:numPr>
          <w:ilvl w:val="0"/>
          <w:numId w:val="4"/>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每台计算节点包含至少一块高速网卡，采用不低于100GbpsOPA或者HDR  Infiniband 互联，采用RDMA协议，支持实现跨节点并行计算，最小通信延迟&lt;1.5µs，需提供加盖</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算力中心</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运营主体单位公章的承诺函。</w:t>
      </w:r>
    </w:p>
    <w:p w14:paraId="7B9BBEC5">
      <w:pPr>
        <w:numPr>
          <w:ilvl w:val="0"/>
          <w:numId w:val="4"/>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具备异地资源灾备功能，紧急情况下在异地中心保障业务常态化运行。异地中心需满足足够的高性能计算节点（物理计算节点）不少于240台，单计算节点配置网络通信宽带不低于100Gb/s。投标时明确租用的集群设备所在</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算力中心</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地址。</w:t>
      </w:r>
    </w:p>
    <w:p w14:paraId="05593159">
      <w:pPr>
        <w:numPr>
          <w:ilvl w:val="0"/>
          <w:numId w:val="4"/>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▲投标人具备国产异构计算资源的即时交付能力，提供不低于2个异构计算节点资源；每台异构计算节点的 CPU与计算节点CPU同一型号、国产GPU数量≥2张（单张国产GPU双精度理论性能≥6.5TFlops）、内存≥256GB DDR4，</w:t>
      </w:r>
      <w:r>
        <w:rPr>
          <w:rFonts w:hint="eastAsia" w:ascii="宋体" w:hAnsi="宋体" w:eastAsia="宋体" w:cs="宋体"/>
          <w:color w:val="000000"/>
          <w:sz w:val="24"/>
          <w:szCs w:val="24"/>
          <w:highlight w:val="none"/>
          <w:lang w:val="en-US" w:eastAsia="zh-CN" w:bidi="ar"/>
          <w14:textFill>
            <w14:solidFill>
              <w14:srgbClr w14:val="000000">
                <w14:lumMod w14:val="85000"/>
                <w14:lumOff w14:val="15000"/>
              </w14:srgbClr>
            </w14:solidFill>
          </w14:textFill>
        </w:rPr>
        <w:t>投标时需提供加盖投标人公章的承诺函(若投标人非算力中心直接参与投标的，还需提供加盖算力中心运营主体单位公章的授权函）。</w:t>
      </w:r>
    </w:p>
    <w:p w14:paraId="4B6FEDB2">
      <w:pPr>
        <w:numPr>
          <w:ilvl w:val="2"/>
          <w:numId w:val="3"/>
        </w:numPr>
        <w:bidi w:val="0"/>
        <w:adjustRightInd w:val="0"/>
        <w:snapToGrid w:val="0"/>
        <w:spacing w:before="50" w:beforeLines="50" w:after="50" w:afterLines="50" w:line="288" w:lineRule="auto"/>
        <w:ind w:left="0" w:leftChars="0" w:firstLine="0" w:firstLineChars="0"/>
        <w:outlineLvl w:val="2"/>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pPr>
      <w:r>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t>弹性计算资源要求</w:t>
      </w:r>
    </w:p>
    <w:p w14:paraId="1A723B0F">
      <w:pPr>
        <w:numPr>
          <w:ilvl w:val="0"/>
          <w:numId w:val="5"/>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w:t>
      </w:r>
      <w:r>
        <w:rPr>
          <w:rFonts w:hint="eastAsia" w:ascii="宋体" w:hAnsi="宋体" w:eastAsia="宋体" w:cs="宋体"/>
          <w:color w:val="000000"/>
          <w:sz w:val="24"/>
          <w:szCs w:val="24"/>
          <w:highlight w:val="none"/>
          <w:lang w:bidi="ar"/>
        </w:rPr>
        <w:t>要求</w:t>
      </w:r>
      <w:r>
        <w:rPr>
          <w:rFonts w:hint="eastAsia" w:ascii="宋体" w:hAnsi="宋体" w:eastAsia="宋体" w:cs="宋体"/>
          <w:color w:val="000000"/>
          <w:sz w:val="24"/>
          <w:szCs w:val="24"/>
          <w:highlight w:val="none"/>
          <w:lang w:bidi="ar"/>
          <w14:textFill>
            <w14:solidFill>
              <w14:srgbClr w14:val="000000">
                <w14:lumMod w14:val="85000"/>
                <w14:lumOff w14:val="15000"/>
              </w14:srgbClr>
            </w14:solidFill>
          </w14:textFill>
        </w:rPr>
        <w:t>弹性X86</w:t>
      </w:r>
      <w:r>
        <w:rPr>
          <w:rFonts w:hint="eastAsia" w:ascii="宋体" w:hAnsi="宋体" w:eastAsia="宋体" w:cs="宋体"/>
          <w:color w:val="000000"/>
          <w:sz w:val="24"/>
          <w:szCs w:val="24"/>
          <w:highlight w:val="none"/>
          <w:lang w:val="en-US" w:eastAsia="zh-CN" w:bidi="ar"/>
          <w14:textFill>
            <w14:solidFill>
              <w14:srgbClr w14:val="000000">
                <w14:lumMod w14:val="85000"/>
                <w14:lumOff w14:val="15000"/>
              </w14:srgbClr>
            </w14:solidFill>
          </w14:textFill>
        </w:rPr>
        <w:t>架构（或同等级同架构）</w:t>
      </w:r>
      <w:r>
        <w:rPr>
          <w:rFonts w:hint="eastAsia" w:ascii="宋体" w:hAnsi="宋体" w:eastAsia="宋体" w:cs="宋体"/>
          <w:color w:val="000000"/>
          <w:sz w:val="24"/>
          <w:szCs w:val="24"/>
          <w:highlight w:val="none"/>
          <w:lang w:bidi="ar"/>
          <w14:textFill>
            <w14:solidFill>
              <w14:srgbClr w14:val="000000">
                <w14:lumMod w14:val="85000"/>
                <w14:lumOff w14:val="15000"/>
              </w14:srgbClr>
            </w14:solidFill>
          </w14:textFill>
        </w:rPr>
        <w:t xml:space="preserve"> CPU</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计算总核心不低于7680物理核心，</w:t>
      </w:r>
      <w:r>
        <w:rPr>
          <w:rFonts w:hint="eastAsia" w:ascii="宋体" w:hAnsi="宋体" w:eastAsia="宋体" w:cs="宋体"/>
          <w:color w:val="000000"/>
          <w:sz w:val="24"/>
          <w:szCs w:val="24"/>
          <w:highlight w:val="none"/>
          <w:lang w:bidi="ar"/>
          <w14:textFill>
            <w14:solidFill>
              <w14:srgbClr w14:val="000000">
                <w14:lumMod w14:val="85000"/>
                <w14:lumOff w14:val="15000"/>
              </w14:srgbClr>
            </w14:solidFill>
          </w14:textFill>
        </w:rPr>
        <w:t>提供不少于60台的</w:t>
      </w:r>
      <w:r>
        <w:rPr>
          <w:rFonts w:hint="eastAsia" w:ascii="宋体" w:hAnsi="宋体" w:eastAsia="宋体" w:cs="宋体"/>
          <w:color w:val="000000"/>
          <w:sz w:val="24"/>
          <w:szCs w:val="24"/>
          <w:highlight w:val="none"/>
          <w:lang w:bidi="ar"/>
        </w:rPr>
        <w:t>弹性高性能计算节点。要求全部为物理计算节点，不接受虚拟主机</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。弹性计算节点全年累计使用时长不低于4个月，采购方在资源需求的</w:t>
      </w:r>
      <w:r>
        <w:rPr>
          <w:rFonts w:hint="eastAsia" w:ascii="宋体" w:hAnsi="宋体" w:eastAsia="宋体" w:cs="宋体"/>
          <w:color w:val="000000"/>
          <w:sz w:val="24"/>
          <w:szCs w:val="24"/>
          <w:highlight w:val="none"/>
          <w:lang w:bidi="ar"/>
        </w:rPr>
        <w:t>前2周向投标人申请，</w:t>
      </w:r>
      <w:r>
        <w:rPr>
          <w:rFonts w:hint="eastAsia" w:ascii="宋体" w:hAnsi="宋体" w:eastAsia="宋体" w:cs="宋体"/>
          <w:color w:val="000000"/>
          <w:sz w:val="24"/>
          <w:szCs w:val="24"/>
          <w:highlight w:val="none"/>
          <w:lang w:val="en-US" w:eastAsia="zh-CN" w:bidi="ar"/>
          <w14:textFill>
            <w14:solidFill>
              <w14:srgbClr w14:val="000000">
                <w14:lumMod w14:val="85000"/>
                <w14:lumOff w14:val="15000"/>
              </w14:srgbClr>
            </w14:solidFill>
          </w14:textFill>
        </w:rPr>
        <w:t>投标时需提供加盖投标人公章的资源按时提供承诺函(若投标人非算力中心直接参与投标的,还需提供加盖算力中心运营主体单位公章的授权函）。</w:t>
      </w:r>
    </w:p>
    <w:p w14:paraId="31C469AC">
      <w:pPr>
        <w:numPr>
          <w:ilvl w:val="0"/>
          <w:numId w:val="5"/>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★要求单计算节点配置2颗X86架构</w:t>
      </w:r>
      <w:r>
        <w:rPr>
          <w:rFonts w:hint="eastAsia" w:ascii="宋体" w:hAnsi="宋体" w:eastAsia="宋体" w:cs="宋体"/>
          <w:color w:val="000000"/>
          <w:sz w:val="24"/>
          <w:szCs w:val="24"/>
          <w:highlight w:val="none"/>
          <w:lang w:eastAsia="zh-CN"/>
          <w14:textFill>
            <w14:solidFill>
              <w14:srgbClr w14:val="000000">
                <w14:lumMod w14:val="85000"/>
                <w14:lumOff w14:val="15000"/>
              </w14:srgbClr>
            </w14:solidFill>
          </w14:textFill>
        </w:rPr>
        <w:t>（</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或同等级同架构</w:t>
      </w:r>
      <w:r>
        <w:rPr>
          <w:rFonts w:hint="eastAsia" w:ascii="宋体" w:hAnsi="宋体" w:eastAsia="宋体" w:cs="宋体"/>
          <w:color w:val="000000"/>
          <w:sz w:val="24"/>
          <w:szCs w:val="24"/>
          <w:highlight w:val="none"/>
          <w:lang w:eastAsia="zh-CN"/>
          <w14:textFill>
            <w14:solidFill>
              <w14:srgbClr w14:val="000000">
                <w14:lumMod w14:val="85000"/>
                <w14:lumOff w14:val="15000"/>
              </w14:srgbClr>
            </w14:solidFill>
          </w14:textFill>
        </w:rPr>
        <w:t>）</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处理器（CPU），单CPU核数不低于64核，主频不低于3.0GHz，L3缓存不低于256MB；投标时提供具体CPU型及具体的规格参数。</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投标时需提供加盖投标人公章的承诺函。</w:t>
      </w:r>
    </w:p>
    <w:p w14:paraId="26FDE67B">
      <w:pPr>
        <w:numPr>
          <w:ilvl w:val="0"/>
          <w:numId w:val="5"/>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要求单计算节点内存通道满配，容量不低于256GB内存。</w:t>
      </w:r>
    </w:p>
    <w:p w14:paraId="17122B59">
      <w:pPr>
        <w:numPr>
          <w:ilvl w:val="0"/>
          <w:numId w:val="5"/>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每台计算节点包含至少一块高速网卡，采用不低于100GbpsOPA或者HDR</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 xml:space="preserve"> </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Infiniband 互联，采用RDMA协议，支持实现跨节点并行计算，最小通信延迟&lt;1.5µs。</w:t>
      </w:r>
    </w:p>
    <w:p w14:paraId="3C395D30">
      <w:pPr>
        <w:numPr>
          <w:ilvl w:val="2"/>
          <w:numId w:val="3"/>
        </w:numPr>
        <w:bidi w:val="0"/>
        <w:adjustRightInd w:val="0"/>
        <w:snapToGrid w:val="0"/>
        <w:spacing w:before="50" w:beforeLines="50" w:after="50" w:afterLines="50" w:line="288" w:lineRule="auto"/>
        <w:ind w:left="0" w:leftChars="0" w:firstLine="0" w:firstLineChars="0"/>
        <w:outlineLvl w:val="2"/>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pPr>
      <w:r>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t>云端存储资源要求</w:t>
      </w:r>
    </w:p>
    <w:p w14:paraId="0219B863">
      <w:pPr>
        <w:numPr>
          <w:ilvl w:val="0"/>
          <w:numId w:val="6"/>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★配套提供并行存储系统资源服务，提供固定可用存储空间不少于2PB（可用容量，非裸容量）。</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投标时需提供加盖投标人公章的承诺函</w:t>
      </w:r>
      <w:r>
        <w:rPr>
          <w:rFonts w:hint="eastAsia" w:ascii="宋体" w:hAnsi="宋体" w:eastAsia="宋体" w:cs="宋体"/>
          <w:color w:val="000000"/>
          <w:sz w:val="24"/>
          <w:szCs w:val="24"/>
          <w:highlight w:val="none"/>
          <w:lang w:val="en-US" w:eastAsia="zh-CN" w:bidi="ar"/>
          <w14:textFill>
            <w14:solidFill>
              <w14:srgbClr w14:val="000000">
                <w14:lumMod w14:val="85000"/>
                <w14:lumOff w14:val="15000"/>
              </w14:srgbClr>
            </w14:solidFill>
          </w14:textFill>
        </w:rPr>
        <w:t>(若投标人非算力中心直接参与投标的,还需提供加盖算力中心运营主体单位公章的授权函）。</w:t>
      </w:r>
    </w:p>
    <w:p w14:paraId="411A1768">
      <w:pPr>
        <w:numPr>
          <w:ilvl w:val="0"/>
          <w:numId w:val="6"/>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采用分布式并行存储架构、全模块架构冗余设计，无单一故障点。并行存储节点通过IB或OPA网络连接计算节点提供存储服务，磁盘或节点故障后，可自动触发数据重建修复，数据重建1TB容量时间≤10分钟，提供具有CNAS标识的检测报告；</w:t>
      </w:r>
    </w:p>
    <w:p w14:paraId="7955D638">
      <w:pPr>
        <w:numPr>
          <w:ilvl w:val="0"/>
          <w:numId w:val="6"/>
        </w:numPr>
        <w:bidi w:val="0"/>
        <w:adjustRightInd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▲提供</w:t>
      </w:r>
      <w:r>
        <w:rPr>
          <w:rFonts w:hint="eastAsia" w:ascii="宋体" w:hAnsi="宋体" w:eastAsia="宋体" w:cs="宋体"/>
          <w:color w:val="000000"/>
          <w:sz w:val="24"/>
          <w:szCs w:val="24"/>
          <w:highlight w:val="none"/>
        </w:rPr>
        <w:t>并行存储系统资源服务的并行存储系统应为商业版并行存储系统，如Parastor、GPFS等，</w:t>
      </w:r>
      <w:r>
        <w:rPr>
          <w:rFonts w:hint="eastAsia" w:ascii="宋体" w:hAnsi="宋体" w:eastAsia="宋体" w:cs="宋体"/>
          <w:b/>
          <w:bCs/>
          <w:color w:val="000000"/>
          <w:sz w:val="24"/>
          <w:szCs w:val="24"/>
          <w:highlight w:val="none"/>
        </w:rPr>
        <w:t>需提供系统截图证明，需加盖投标人公章</w:t>
      </w:r>
      <w:r>
        <w:rPr>
          <w:rFonts w:hint="eastAsia" w:ascii="宋体" w:hAnsi="宋体" w:eastAsia="宋体" w:cs="宋体"/>
          <w:color w:val="000000"/>
          <w:sz w:val="24"/>
          <w:szCs w:val="24"/>
          <w:highlight w:val="none"/>
        </w:rPr>
        <w:t>。</w:t>
      </w:r>
    </w:p>
    <w:p w14:paraId="51D03E18">
      <w:pPr>
        <w:numPr>
          <w:ilvl w:val="2"/>
          <w:numId w:val="3"/>
        </w:numPr>
        <w:bidi w:val="0"/>
        <w:adjustRightInd w:val="0"/>
        <w:snapToGrid w:val="0"/>
        <w:spacing w:before="50" w:beforeLines="50" w:after="50" w:afterLines="50" w:line="288" w:lineRule="auto"/>
        <w:ind w:left="0" w:leftChars="0" w:firstLine="0" w:firstLineChars="0"/>
        <w:outlineLvl w:val="2"/>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pPr>
      <w:r>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t>网络专线服务要求</w:t>
      </w:r>
    </w:p>
    <w:p w14:paraId="174B1A22">
      <w:pPr>
        <w:bidi w:val="0"/>
        <w:adjustRightInd w:val="0"/>
        <w:snapToGrid w:val="0"/>
        <w:spacing w:line="360"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w:t>
      </w:r>
      <w:r>
        <w:rPr>
          <w:rFonts w:hint="eastAsia" w:ascii="宋体" w:hAnsi="宋体" w:eastAsia="宋体" w:cs="宋体"/>
          <w:color w:val="000000"/>
          <w:sz w:val="24"/>
          <w:szCs w:val="24"/>
          <w:highlight w:val="none"/>
        </w:rPr>
        <w:t>气象业务数据量大，对延迟要求较高，为保障业务系统的数据安全及传输速度，云端资源支持气象将本地存储需挂载到云端计算集群，投标人负责接通省气象台至</w:t>
      </w:r>
      <w:r>
        <w:rPr>
          <w:rFonts w:hint="eastAsia" w:ascii="宋体" w:hAnsi="宋体" w:eastAsia="宋体" w:cs="宋体"/>
          <w:color w:val="000000"/>
          <w:sz w:val="24"/>
          <w:szCs w:val="24"/>
          <w:highlight w:val="none"/>
          <w:lang w:val="en-US" w:eastAsia="zh-CN"/>
        </w:rPr>
        <w:t>算力中心</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裸光纤专线（非二级运营商、非虚拟链路、非SDWAN），专线传输速率不低于100Gbps，延迟须满足用户本地存储挂载需求。</w:t>
      </w:r>
      <w:r>
        <w:rPr>
          <w:rFonts w:hint="eastAsia" w:ascii="宋体" w:hAnsi="宋体" w:eastAsia="宋体" w:cs="宋体"/>
          <w:b/>
          <w:bCs/>
          <w:color w:val="000000"/>
          <w:sz w:val="24"/>
          <w:szCs w:val="24"/>
          <w:highlight w:val="none"/>
          <w:lang w:val="en-US" w:eastAsia="zh-CN"/>
          <w14:textFill>
            <w14:solidFill>
              <w14:srgbClr w14:val="000000">
                <w14:lumMod w14:val="85000"/>
                <w14:lumOff w14:val="15000"/>
              </w14:srgbClr>
            </w14:solidFill>
          </w14:textFill>
        </w:rPr>
        <w:t>投标时需提供加盖投标人公章的承诺函及</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工业和信息化部颁发的专线运营商</w:t>
      </w:r>
      <w:r>
        <w:rPr>
          <w:rFonts w:hint="eastAsia" w:ascii="宋体" w:hAnsi="宋体" w:eastAsia="宋体" w:cs="宋体"/>
          <w:b/>
          <w:bCs/>
          <w:color w:val="000000"/>
          <w:sz w:val="24"/>
          <w:szCs w:val="24"/>
          <w:highlight w:val="none"/>
          <w:lang w:val="en-US" w:eastAsia="zh-CN"/>
          <w14:textFill>
            <w14:solidFill>
              <w14:srgbClr w14:val="000000">
                <w14:lumMod w14:val="85000"/>
                <w14:lumOff w14:val="15000"/>
              </w14:srgbClr>
            </w14:solidFill>
          </w14:textFill>
        </w:rPr>
        <w:t>的</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基础电信业务经营许可证</w:t>
      </w:r>
      <w:r>
        <w:rPr>
          <w:rFonts w:hint="eastAsia" w:ascii="宋体" w:hAnsi="宋体" w:eastAsia="宋体" w:cs="宋体"/>
          <w:b/>
          <w:bCs/>
          <w:color w:val="000000"/>
          <w:sz w:val="24"/>
          <w:szCs w:val="24"/>
          <w:highlight w:val="none"/>
          <w:lang w:val="en-US" w:eastAsia="zh-CN"/>
          <w14:textFill>
            <w14:solidFill>
              <w14:srgbClr w14:val="000000">
                <w14:lumMod w14:val="85000"/>
                <w14:lumOff w14:val="15000"/>
              </w14:srgbClr>
            </w14:solidFill>
          </w14:textFill>
        </w:rPr>
        <w:t>证书复印件或者扫描件</w:t>
      </w:r>
      <w:r>
        <w:rPr>
          <w:rFonts w:hint="eastAsia" w:ascii="宋体" w:hAnsi="宋体" w:eastAsia="宋体" w:cs="宋体"/>
          <w:b/>
          <w:bCs/>
          <w:color w:val="000000"/>
          <w:sz w:val="24"/>
          <w:szCs w:val="24"/>
          <w:highlight w:val="none"/>
        </w:rPr>
        <w:t>。</w:t>
      </w:r>
    </w:p>
    <w:p w14:paraId="001495D7">
      <w:pPr>
        <w:bidi w:val="0"/>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安徽省气象台机房：安徽省合肥市史河路16号数据中心机房。</w:t>
      </w:r>
    </w:p>
    <w:p w14:paraId="46688BA1">
      <w:pPr>
        <w:numPr>
          <w:ilvl w:val="2"/>
          <w:numId w:val="3"/>
        </w:numPr>
        <w:bidi w:val="0"/>
        <w:adjustRightInd w:val="0"/>
        <w:snapToGrid w:val="0"/>
        <w:spacing w:before="50" w:beforeLines="50" w:after="50" w:afterLines="50" w:line="288" w:lineRule="auto"/>
        <w:ind w:left="0" w:leftChars="0" w:firstLine="0" w:firstLineChars="0"/>
        <w:outlineLvl w:val="2"/>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pPr>
      <w:r>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t>业务数据迁移要求</w:t>
      </w:r>
    </w:p>
    <w:p w14:paraId="446DA9DA">
      <w:pPr>
        <w:numPr>
          <w:ilvl w:val="0"/>
          <w:numId w:val="0"/>
        </w:numPr>
        <w:bidi w:val="0"/>
        <w:adjustRightInd w:val="0"/>
        <w:snapToGrid w:val="0"/>
        <w:spacing w:line="360" w:lineRule="auto"/>
        <w:ind w:left="0" w:leftChars="0" w:firstLine="480" w:firstLineChars="200"/>
        <w:contextualSpacing/>
        <w:rPr>
          <w:rFonts w:hint="default"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w:t>
      </w:r>
      <w:r>
        <w:rPr>
          <w:rFonts w:hint="eastAsia" w:ascii="宋体" w:hAnsi="宋体" w:eastAsia="宋体" w:cs="宋体"/>
          <w:color w:val="000000"/>
          <w:sz w:val="24"/>
          <w:szCs w:val="24"/>
          <w:highlight w:val="none"/>
        </w:rPr>
        <w:t>为保障安徽省气象台业务系统及数据资源的平稳过渡与安全迁移,中标人需将安徽省气象台现有模式与业务相关数据完整迁移至新租赁的</w:t>
      </w:r>
      <w:r>
        <w:rPr>
          <w:rFonts w:hint="eastAsia" w:ascii="宋体" w:hAnsi="宋体" w:eastAsia="宋体" w:cs="宋体"/>
          <w:color w:val="000000"/>
          <w:sz w:val="24"/>
          <w:szCs w:val="24"/>
          <w:highlight w:val="none"/>
          <w:lang w:val="en-US" w:eastAsia="zh-CN"/>
        </w:rPr>
        <w:t>算力中心</w:t>
      </w:r>
      <w:r>
        <w:rPr>
          <w:rFonts w:hint="eastAsia" w:ascii="宋体" w:hAnsi="宋体" w:eastAsia="宋体" w:cs="宋体"/>
          <w:color w:val="000000"/>
          <w:sz w:val="24"/>
          <w:szCs w:val="24"/>
          <w:highlight w:val="none"/>
        </w:rPr>
        <w:t>数据库，模式数据应至少包含数值预报模式数据、集合预报模式数据及中小尺度气象模式数据，业务数据应至少包括气象观测数据、灾害预警数据、气象服务数据等。迁移完成后需提供数据校验报告，确保所有数据无遗漏、无损坏，业务系统功能完整可用。服务期满后，中标人需协助用户完成数据导出或安全销毁</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数据迁移及系统部署过程中产生的所有费用（包括软件适配、硬件配置、网络资源、人力成本等）均由中标人承担</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投标时需提供加盖投标人公章的承诺函。</w:t>
      </w:r>
    </w:p>
    <w:p w14:paraId="5A136C41">
      <w:pPr>
        <w:numPr>
          <w:ilvl w:val="2"/>
          <w:numId w:val="3"/>
        </w:numPr>
        <w:bidi w:val="0"/>
        <w:adjustRightInd w:val="0"/>
        <w:snapToGrid w:val="0"/>
        <w:spacing w:before="50" w:beforeLines="50" w:after="50" w:afterLines="50" w:line="288" w:lineRule="auto"/>
        <w:ind w:left="0" w:leftChars="0" w:firstLine="0" w:firstLineChars="0"/>
        <w:outlineLvl w:val="2"/>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pPr>
      <w:r>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t>计算平台功能要求</w:t>
      </w:r>
    </w:p>
    <w:p w14:paraId="5CB96EAF">
      <w:pPr>
        <w:numPr>
          <w:ilvl w:val="0"/>
          <w:numId w:val="7"/>
        </w:numPr>
        <w:bidi w:val="0"/>
        <w:adjustRightInd w:val="0"/>
        <w:snapToGrid w:val="0"/>
        <w:spacing w:line="360" w:lineRule="auto"/>
        <w:ind w:left="0" w:leftChars="0" w:firstLine="480" w:firstLineChars="200"/>
        <w:contextualSpacing/>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▲要求提供统一Web服务门户，支持用户统一身份认证，用户可以通过服务门户使用高性能计算，智能计算系统资源。通过WEB服务门户提交科学计算、智能计算的计算任务，支撑多种业务计算方式。</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投标时</w:t>
      </w:r>
      <w:r>
        <w:rPr>
          <w:rFonts w:hint="eastAsia" w:ascii="宋体" w:hAnsi="宋体" w:eastAsia="宋体" w:cs="宋体"/>
          <w:b/>
          <w:bCs/>
          <w:color w:val="000000"/>
          <w:sz w:val="24"/>
          <w:szCs w:val="24"/>
          <w:highlight w:val="none"/>
          <w:lang w:val="en-US" w:eastAsia="zh-CN"/>
          <w14:textFill>
            <w14:solidFill>
              <w14:srgbClr w14:val="000000">
                <w14:lumMod w14:val="85000"/>
                <w14:lumOff w14:val="15000"/>
              </w14:srgbClr>
            </w14:solidFill>
          </w14:textFill>
        </w:rPr>
        <w:t>需</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提供功能截图证明。</w:t>
      </w:r>
    </w:p>
    <w:p w14:paraId="7FE140B2">
      <w:pPr>
        <w:numPr>
          <w:ilvl w:val="0"/>
          <w:numId w:val="7"/>
        </w:numPr>
        <w:bidi w:val="0"/>
        <w:adjustRightInd w:val="0"/>
        <w:snapToGrid w:val="0"/>
        <w:spacing w:line="360" w:lineRule="auto"/>
        <w:ind w:left="0" w:leftChars="0" w:firstLine="480" w:firstLineChars="200"/>
        <w:contextualSpacing/>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提供的统一Web服务门户具备OpenAPI接口能力，支持用户本地算力平台通过接口调用Web服务门户中的资源，接口应具备认证授权、用户资源管理、作业管理、文件传输、容器管理以及桌面管理等功能。</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投标时</w:t>
      </w:r>
      <w:r>
        <w:rPr>
          <w:rFonts w:hint="eastAsia" w:ascii="宋体" w:hAnsi="宋体" w:eastAsia="宋体" w:cs="宋体"/>
          <w:b/>
          <w:bCs/>
          <w:color w:val="000000"/>
          <w:sz w:val="24"/>
          <w:szCs w:val="24"/>
          <w:highlight w:val="none"/>
          <w:lang w:val="en-US" w:eastAsia="zh-CN"/>
          <w14:textFill>
            <w14:solidFill>
              <w14:srgbClr w14:val="000000">
                <w14:lumMod w14:val="85000"/>
                <w14:lumOff w14:val="15000"/>
              </w14:srgbClr>
            </w14:solidFill>
          </w14:textFill>
        </w:rPr>
        <w:t>需</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提供OpenAPI接口配置相关证明文件；</w:t>
      </w:r>
    </w:p>
    <w:p w14:paraId="62C654A9">
      <w:pPr>
        <w:numPr>
          <w:ilvl w:val="0"/>
          <w:numId w:val="7"/>
        </w:numPr>
        <w:bidi w:val="0"/>
        <w:adjustRightInd w:val="0"/>
        <w:snapToGrid w:val="0"/>
        <w:spacing w:line="360" w:lineRule="auto"/>
        <w:ind w:left="0" w:leftChars="0" w:firstLine="480" w:firstLineChars="200"/>
        <w:contextualSpacing/>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提供超算资源池的访问功能，包含：SHELL功能以及web访问、运行队列、历史队列等功能，SHELL功能以及web访问支持无密码输入自动登录到集群，运行队列支持作业ID、作业状态等信息查询，历史队列需要包含详细的作业运行指标，如：队列的开始时间、结束时间、运行资源、输入文件、输出文件、错误日志等；投标时提供web截图证明。</w:t>
      </w:r>
    </w:p>
    <w:p w14:paraId="6068AA77">
      <w:pPr>
        <w:numPr>
          <w:ilvl w:val="0"/>
          <w:numId w:val="7"/>
        </w:numPr>
        <w:bidi w:val="0"/>
        <w:adjustRightInd w:val="0"/>
        <w:snapToGrid w:val="0"/>
        <w:spacing w:line="360" w:lineRule="auto"/>
        <w:ind w:left="0" w:leftChars="0" w:firstLine="480" w:firstLineChars="200"/>
        <w:contextualSpacing/>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提供基于B/S的文件管理功能，支持文件和文件夹的创建、删除、重命名，支持文件批量上传和打包下载；支持数据跨域分享及下载，用户将文件分享给其他人，通过分享链接和密码获取分享内容，支持设置一定时间的有效期。实现异地跨中心不稳定网络环境下大文件快速传输和断点续传；</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投标时</w:t>
      </w:r>
      <w:r>
        <w:rPr>
          <w:rFonts w:hint="eastAsia" w:ascii="宋体" w:hAnsi="宋体" w:eastAsia="宋体" w:cs="宋体"/>
          <w:b/>
          <w:bCs/>
          <w:color w:val="000000"/>
          <w:sz w:val="24"/>
          <w:szCs w:val="24"/>
          <w:highlight w:val="none"/>
          <w:lang w:val="en-US" w:eastAsia="zh-CN"/>
          <w14:textFill>
            <w14:solidFill>
              <w14:srgbClr w14:val="000000">
                <w14:lumMod w14:val="85000"/>
                <w14:lumOff w14:val="15000"/>
              </w14:srgbClr>
            </w14:solidFill>
          </w14:textFill>
        </w:rPr>
        <w:t>需</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提供功能截图证明</w:t>
      </w:r>
    </w:p>
    <w:p w14:paraId="50DFBECD">
      <w:pPr>
        <w:numPr>
          <w:ilvl w:val="0"/>
          <w:numId w:val="7"/>
        </w:numPr>
        <w:bidi w:val="0"/>
        <w:adjustRightInd w:val="0"/>
        <w:snapToGrid w:val="0"/>
        <w:spacing w:line="360" w:lineRule="auto"/>
        <w:ind w:left="0" w:leftChars="0" w:firstLine="480" w:firstLineChars="200"/>
        <w:contextualSpacing/>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计算平台支持用户组功能，可以实现同组用户之间资源共享及计费合并。</w:t>
      </w:r>
    </w:p>
    <w:p w14:paraId="237E0C5F">
      <w:pPr>
        <w:numPr>
          <w:ilvl w:val="0"/>
          <w:numId w:val="7"/>
        </w:numPr>
        <w:bidi w:val="0"/>
        <w:adjustRightInd w:val="0"/>
        <w:snapToGrid w:val="0"/>
        <w:spacing w:line="360" w:lineRule="auto"/>
        <w:ind w:left="0" w:leftChars="0" w:firstLine="480" w:firstLineChars="200"/>
        <w:contextualSpacing/>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平台支持文件传输客户端，客户端支持上传、下载功能，提供快传功能，提供计算作业文件计算中增长监控功能。</w:t>
      </w:r>
    </w:p>
    <w:p w14:paraId="7C001030">
      <w:pPr>
        <w:numPr>
          <w:ilvl w:val="0"/>
          <w:numId w:val="7"/>
        </w:numPr>
        <w:bidi w:val="0"/>
        <w:adjustRightInd w:val="0"/>
        <w:snapToGrid w:val="0"/>
        <w:spacing w:line="360" w:lineRule="auto"/>
        <w:ind w:left="0" w:leftChars="0" w:firstLine="480" w:firstLineChars="200"/>
        <w:contextualSpacing/>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计算平台提供文件及文件夹分享功能，且被分享用户只有下载权限，无上传权限。被分享用户可通过Windows、Mac和Linux三种操作系统任一操作下载文件及文件夹。</w:t>
      </w:r>
    </w:p>
    <w:p w14:paraId="70A04B07">
      <w:pPr>
        <w:numPr>
          <w:ilvl w:val="0"/>
          <w:numId w:val="7"/>
        </w:numPr>
        <w:bidi w:val="0"/>
        <w:adjustRightInd w:val="0"/>
        <w:snapToGrid w:val="0"/>
        <w:spacing w:line="360" w:lineRule="auto"/>
        <w:ind w:left="0" w:leftChars="0" w:firstLine="480" w:firstLineChars="200"/>
        <w:contextualSpacing/>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计算平台可提供Linux系统下的文件上传工具（非ssh、scp、sftp、rsync等系统工具），保证文件传输稳定性，且上传过程可监控传输速度。</w:t>
      </w:r>
    </w:p>
    <w:p w14:paraId="13DE712F">
      <w:pPr>
        <w:numPr>
          <w:ilvl w:val="2"/>
          <w:numId w:val="3"/>
        </w:numPr>
        <w:bidi w:val="0"/>
        <w:adjustRightInd w:val="0"/>
        <w:snapToGrid w:val="0"/>
        <w:spacing w:before="50" w:beforeLines="50" w:after="50" w:afterLines="50" w:line="288" w:lineRule="auto"/>
        <w:ind w:left="0" w:leftChars="0" w:firstLine="0" w:firstLineChars="0"/>
        <w:outlineLvl w:val="2"/>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pPr>
      <w:r>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t>网络安全要求</w:t>
      </w:r>
    </w:p>
    <w:p w14:paraId="3598DBAE">
      <w:pPr>
        <w:bidi w:val="0"/>
        <w:adjustRightInd w:val="0"/>
        <w:snapToGrid w:val="0"/>
        <w:spacing w:line="360" w:lineRule="auto"/>
        <w:ind w:firstLine="480" w:firstLineChars="200"/>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▲计算中心所在的数据中心的需通过国家信息安全等级保护三级备案。</w:t>
      </w:r>
      <w:r>
        <w:rPr>
          <w:rFonts w:hint="eastAsia" w:ascii="宋体" w:hAnsi="宋体" w:eastAsia="宋体" w:cs="宋体"/>
          <w:color w:val="000000"/>
          <w:sz w:val="24"/>
          <w:szCs w:val="24"/>
          <w:highlight w:val="none"/>
          <w:lang w:val="en-US" w:eastAsia="zh-CN"/>
          <w14:textFill>
            <w14:solidFill>
              <w14:srgbClr w14:val="000000">
                <w14:lumMod w14:val="85000"/>
                <w14:lumOff w14:val="15000"/>
              </w14:srgbClr>
            </w14:solidFill>
          </w14:textFill>
        </w:rPr>
        <w:t>投标时需提供</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加盖</w:t>
      </w:r>
      <w:r>
        <w:rPr>
          <w:rFonts w:hint="eastAsia" w:ascii="宋体" w:hAnsi="宋体" w:eastAsia="宋体" w:cs="宋体"/>
          <w:b/>
          <w:bCs/>
          <w:color w:val="000000"/>
          <w:sz w:val="24"/>
          <w:szCs w:val="24"/>
          <w:highlight w:val="none"/>
        </w:rPr>
        <w:t>计算中心运营主体单位</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公章</w:t>
      </w:r>
      <w:r>
        <w:rPr>
          <w:rFonts w:hint="eastAsia" w:ascii="宋体" w:hAnsi="宋体" w:eastAsia="宋体" w:cs="宋体"/>
          <w:b/>
          <w:bCs/>
          <w:color w:val="000000"/>
          <w:sz w:val="24"/>
          <w:szCs w:val="24"/>
          <w:highlight w:val="none"/>
          <w:lang w:val="en-US" w:eastAsia="zh-CN"/>
          <w14:textFill>
            <w14:solidFill>
              <w14:srgbClr w14:val="000000">
                <w14:lumMod w14:val="85000"/>
                <w14:lumOff w14:val="15000"/>
              </w14:srgbClr>
            </w14:solidFill>
          </w14:textFill>
        </w:rPr>
        <w:t>的证明材料</w:t>
      </w:r>
      <w:r>
        <w:rPr>
          <w:rFonts w:hint="eastAsia" w:ascii="宋体" w:hAnsi="宋体" w:eastAsia="宋体" w:cs="宋体"/>
          <w:b/>
          <w:bCs/>
          <w:color w:val="000000"/>
          <w:sz w:val="24"/>
          <w:szCs w:val="24"/>
          <w:highlight w:val="none"/>
          <w14:textFill>
            <w14:solidFill>
              <w14:srgbClr w14:val="000000">
                <w14:lumMod w14:val="85000"/>
                <w14:lumOff w14:val="15000"/>
              </w14:srgbClr>
            </w14:solidFill>
          </w14:textFill>
        </w:rPr>
        <w:t>。</w:t>
      </w:r>
    </w:p>
    <w:p w14:paraId="67C9691D">
      <w:pPr>
        <w:numPr>
          <w:ilvl w:val="2"/>
          <w:numId w:val="3"/>
        </w:numPr>
        <w:bidi w:val="0"/>
        <w:adjustRightInd w:val="0"/>
        <w:snapToGrid w:val="0"/>
        <w:spacing w:before="50" w:beforeLines="50" w:after="50" w:afterLines="50" w:line="288" w:lineRule="auto"/>
        <w:ind w:left="0" w:leftChars="0" w:firstLine="0" w:firstLineChars="0"/>
        <w:outlineLvl w:val="2"/>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pPr>
      <w:r>
        <w:rPr>
          <w:rFonts w:hint="eastAsia" w:ascii="宋体" w:hAnsi="宋体" w:eastAsia="宋体" w:cs="宋体"/>
          <w:b/>
          <w:bCs/>
          <w:color w:val="000000"/>
          <w:kern w:val="2"/>
          <w:sz w:val="24"/>
          <w:szCs w:val="24"/>
          <w:highlight w:val="none"/>
          <w:lang w:val="en-US" w:eastAsia="zh-CN" w:bidi="ar-SA"/>
          <w14:textFill>
            <w14:solidFill>
              <w14:srgbClr w14:val="000000">
                <w14:lumMod w14:val="85000"/>
                <w14:lumOff w14:val="15000"/>
              </w14:srgbClr>
            </w14:solidFill>
          </w14:textFill>
        </w:rPr>
        <w:t>基础环境要求</w:t>
      </w:r>
    </w:p>
    <w:p w14:paraId="6EE41306">
      <w:pPr>
        <w:widowControl/>
        <w:numPr>
          <w:ilvl w:val="0"/>
          <w:numId w:val="8"/>
        </w:numPr>
        <w:bidi w:val="0"/>
        <w:adjustRightInd w:val="0"/>
        <w:snapToGrid w:val="0"/>
        <w:spacing w:line="360" w:lineRule="auto"/>
        <w:ind w:left="0" w:leftChars="0"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应用软件：需配合采购方将用户现有的应用软件及版本包括但不限于WRF、WRF-chem、CMAQ、CAMx，部署或移植到计算中心中。</w:t>
      </w:r>
    </w:p>
    <w:p w14:paraId="4D9E2FC3">
      <w:pPr>
        <w:widowControl/>
        <w:numPr>
          <w:ilvl w:val="0"/>
          <w:numId w:val="8"/>
        </w:numPr>
        <w:bidi w:val="0"/>
        <w:adjustRightInd w:val="0"/>
        <w:snapToGrid w:val="0"/>
        <w:spacing w:line="360" w:lineRule="auto"/>
        <w:ind w:left="0" w:leftChars="0"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要求开发环境配置/C++/Fortran编译器、HIP编译器hipcc、hcc编译器hcc、opencl编译器；MPICH2、OpenMPI、Mvapich2等MPI环境、OpenMP并行环境；MKL、BLAS、LAPACK、ScaLAPACK、FFTW等函数库，允许用户自主编译来源清楚的计算软件，支持用户对应用软件的多版本环境进行自定义快速配置。</w:t>
      </w:r>
    </w:p>
    <w:p w14:paraId="684CD5E8">
      <w:pPr>
        <w:widowControl/>
        <w:numPr>
          <w:ilvl w:val="0"/>
          <w:numId w:val="8"/>
        </w:numPr>
        <w:bidi w:val="0"/>
        <w:adjustRightInd w:val="0"/>
        <w:snapToGrid w:val="0"/>
        <w:spacing w:line="360" w:lineRule="auto"/>
        <w:ind w:left="0" w:leftChars="0"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算中心交付后，由采购方提供算例，所有的软件计算时间应满足用户要求。每天按用户所需支持完成所有作业和业务运行。验收前提供WRF、CMAQ、WRF-chem、CAMx等软件的实际运行时效并满足采购方业务流程化运行。</w:t>
      </w:r>
    </w:p>
    <w:p w14:paraId="168B2A28">
      <w:pPr>
        <w:widowControl w:val="0"/>
        <w:autoSpaceDE w:val="0"/>
        <w:autoSpaceDN w:val="0"/>
        <w:adjustRightInd w:val="0"/>
        <w:spacing w:line="360" w:lineRule="auto"/>
        <w:ind w:firstLine="480" w:firstLineChars="200"/>
        <w:jc w:val="both"/>
        <w:rPr>
          <w:rFonts w:hint="eastAsia" w:ascii="楷体_GB2312" w:hAnsi="Calibri" w:eastAsia="楷体_GB2312" w:cs="Times New Roman"/>
          <w:color w:val="000000"/>
          <w:kern w:val="2"/>
          <w:sz w:val="24"/>
          <w:szCs w:val="24"/>
          <w:highlight w:val="none"/>
          <w:lang w:val="en-US" w:eastAsia="zh-CN" w:bidi="ar-SA"/>
        </w:rPr>
      </w:pPr>
    </w:p>
    <w:p w14:paraId="5919999A">
      <w:pPr>
        <w:numPr>
          <w:ilvl w:val="1"/>
          <w:numId w:val="3"/>
        </w:numPr>
        <w:bidi w:val="0"/>
        <w:adjustRightInd w:val="0"/>
        <w:snapToGrid w:val="0"/>
        <w:spacing w:before="50" w:beforeLines="50" w:after="50" w:afterLines="50" w:line="288" w:lineRule="auto"/>
        <w:ind w:left="0" w:leftChars="0" w:firstLine="0" w:firstLineChars="0"/>
        <w:outlineLvl w:val="1"/>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技术服务要求</w:t>
      </w:r>
    </w:p>
    <w:p w14:paraId="73A91063">
      <w:pPr>
        <w:widowControl/>
        <w:numPr>
          <w:ilvl w:val="1"/>
          <w:numId w:val="9"/>
        </w:numPr>
        <w:bidi w:val="0"/>
        <w:adjustRightInd w:val="0"/>
        <w:snapToGrid w:val="0"/>
        <w:spacing w:line="360" w:lineRule="auto"/>
        <w:ind w:left="0" w:leftChars="0"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系统具备良好的稳定性、可靠性，并具备 7×24 小时的机房运维和系统运维能力满足节假日不停机（例行检修除外）,</w:t>
      </w:r>
      <w:r>
        <w:rPr>
          <w:rFonts w:hint="eastAsia" w:ascii="宋体" w:hAnsi="宋体" w:eastAsia="宋体" w:cs="宋体"/>
          <w:color w:val="000000"/>
          <w:sz w:val="24"/>
          <w:szCs w:val="24"/>
          <w:highlight w:val="none"/>
          <w:lang w:bidi="ar"/>
        </w:rPr>
        <w:t>配置专门的运维服务人员；</w:t>
      </w:r>
      <w:r>
        <w:rPr>
          <w:rFonts w:hint="eastAsia" w:ascii="宋体" w:hAnsi="宋体" w:eastAsia="宋体" w:cs="宋体"/>
          <w:b/>
          <w:bCs/>
          <w:color w:val="000000"/>
          <w:sz w:val="24"/>
          <w:szCs w:val="24"/>
          <w:highlight w:val="none"/>
          <w:lang w:val="en-US" w:eastAsia="zh-CN"/>
        </w:rPr>
        <w:t>投标时需提供加盖投标人公章的承诺函。</w:t>
      </w:r>
    </w:p>
    <w:p w14:paraId="2493F998">
      <w:pPr>
        <w:widowControl/>
        <w:numPr>
          <w:ilvl w:val="1"/>
          <w:numId w:val="9"/>
        </w:numPr>
        <w:bidi w:val="0"/>
        <w:adjustRightInd w:val="0"/>
        <w:snapToGrid w:val="0"/>
        <w:spacing w:line="360" w:lineRule="auto"/>
        <w:ind w:left="0" w:leftChars="0"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投标人在服务期内提供技术支持及并行环境变量设置、计算技术故障排除、软件安装、硬件故障等技术服务。供应商需指定专人负责处理采购方服务请求，如果人员变更需提前5个工作日通知采购方。</w:t>
      </w:r>
    </w:p>
    <w:p w14:paraId="4F7EF7DB">
      <w:pPr>
        <w:widowControl/>
        <w:numPr>
          <w:ilvl w:val="1"/>
          <w:numId w:val="9"/>
        </w:numPr>
        <w:bidi w:val="0"/>
        <w:adjustRightInd w:val="0"/>
        <w:snapToGrid w:val="0"/>
        <w:spacing w:line="360" w:lineRule="auto"/>
        <w:ind w:left="0" w:leftChars="0" w:firstLine="480" w:firstLineChars="200"/>
        <w:textAlignment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提供不少于1名</w:t>
      </w:r>
      <w:r>
        <w:rPr>
          <w:rFonts w:hint="eastAsia" w:ascii="宋体" w:hAnsi="宋体" w:eastAsia="宋体" w:cs="宋体"/>
          <w:color w:val="000000"/>
          <w:sz w:val="24"/>
          <w:szCs w:val="24"/>
          <w:highlight w:val="none"/>
          <w:lang w:bidi="ar"/>
        </w:rPr>
        <w:t>气象或环境学历专业的资深工程师专属支持服务，包括：雨季、重大任务活动期间专人专项保障，定制化环境部署，运行效率优化，模式前沿技术分享交流，数学库优化等。</w:t>
      </w:r>
      <w:r>
        <w:rPr>
          <w:rFonts w:hint="eastAsia" w:ascii="宋体" w:hAnsi="宋体" w:eastAsia="宋体" w:cs="宋体"/>
          <w:b/>
          <w:bCs/>
          <w:color w:val="000000"/>
          <w:sz w:val="24"/>
          <w:szCs w:val="24"/>
          <w:highlight w:val="none"/>
          <w:lang w:val="en-US" w:eastAsia="zh-CN" w:bidi="ar"/>
        </w:rPr>
        <w:t>投标时</w:t>
      </w:r>
      <w:r>
        <w:rPr>
          <w:rFonts w:hint="eastAsia" w:ascii="宋体" w:hAnsi="宋体" w:eastAsia="宋体" w:cs="宋体"/>
          <w:b/>
          <w:bCs/>
          <w:color w:val="000000"/>
          <w:sz w:val="24"/>
          <w:szCs w:val="24"/>
          <w:highlight w:val="none"/>
          <w:lang w:bidi="ar"/>
        </w:rPr>
        <w:t>需提供气象或环境专业工程师学历学位证明文件。</w:t>
      </w:r>
    </w:p>
    <w:p w14:paraId="567FB482">
      <w:pPr>
        <w:widowControl/>
        <w:numPr>
          <w:ilvl w:val="1"/>
          <w:numId w:val="9"/>
        </w:numPr>
        <w:bidi w:val="0"/>
        <w:adjustRightInd w:val="0"/>
        <w:snapToGrid w:val="0"/>
        <w:spacing w:line="360" w:lineRule="auto"/>
        <w:ind w:left="0" w:leftChars="0" w:firstLine="480" w:firstLineChars="200"/>
        <w:textAlignment w:val="center"/>
        <w:rPr>
          <w:rFonts w:hint="eastAsia" w:ascii="宋体" w:hAnsi="宋体" w:eastAsia="宋体" w:cs="宋体"/>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投标人所</w:t>
      </w:r>
      <w:r>
        <w:rPr>
          <w:rFonts w:hint="eastAsia" w:ascii="宋体" w:hAnsi="宋体" w:eastAsia="宋体" w:cs="宋体"/>
          <w:color w:val="000000"/>
          <w:sz w:val="24"/>
          <w:szCs w:val="24"/>
          <w:highlight w:val="none"/>
          <w:lang w:bidi="ar"/>
        </w:rPr>
        <w:t>提供</w:t>
      </w: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的技术服务包括但不限于使用培训、程序移植测试、技术支持及并行环境变量设置、计算技术故障排除、软件安装、硬件故障处理等。服务期内提供 7 天（每周）×16 小时在线服务。</w:t>
      </w:r>
    </w:p>
    <w:p w14:paraId="2AA8CA16">
      <w:pPr>
        <w:widowControl/>
        <w:numPr>
          <w:ilvl w:val="1"/>
          <w:numId w:val="9"/>
        </w:numPr>
        <w:bidi w:val="0"/>
        <w:adjustRightInd w:val="0"/>
        <w:snapToGrid w:val="0"/>
        <w:spacing w:line="360" w:lineRule="auto"/>
        <w:ind w:left="0" w:leftChars="0" w:firstLine="480" w:firstLineChars="200"/>
        <w:textAlignment w:val="center"/>
        <w:rPr>
          <w:rFonts w:hint="eastAsia" w:ascii="宋体" w:hAnsi="宋体" w:eastAsia="宋体" w:cs="Times New Roman"/>
          <w:bCs/>
          <w:color w:val="000000"/>
          <w:sz w:val="24"/>
          <w:szCs w:val="24"/>
          <w:highlight w:val="none"/>
          <w14:textFill>
            <w14:solidFill>
              <w14:srgbClr w14:val="000000">
                <w14:lumMod w14:val="85000"/>
                <w14:lumOff w14:val="15000"/>
              </w14:srgbClr>
            </w14:solidFill>
          </w14:textFill>
        </w:rPr>
      </w:pPr>
      <w:r>
        <w:rPr>
          <w:rFonts w:hint="eastAsia" w:ascii="宋体" w:hAnsi="宋体" w:eastAsia="宋体" w:cs="宋体"/>
          <w:color w:val="000000"/>
          <w:sz w:val="24"/>
          <w:szCs w:val="24"/>
          <w:highlight w:val="none"/>
          <w14:textFill>
            <w14:solidFill>
              <w14:srgbClr w14:val="000000">
                <w14:lumMod w14:val="85000"/>
                <w14:lumOff w14:val="15000"/>
              </w14:srgbClr>
            </w14:solidFill>
          </w14:textFill>
        </w:rPr>
        <w:t>投标人在接收到用户的合理技术服务请求后，解决时限应不超过 1 个工作日。</w:t>
      </w:r>
      <w:r>
        <w:rPr>
          <w:rFonts w:hint="eastAsia" w:ascii="宋体" w:hAnsi="宋体" w:eastAsia="宋体" w:cs="宋体"/>
          <w:color w:val="000000"/>
          <w:sz w:val="24"/>
          <w:szCs w:val="24"/>
          <w:highlight w:val="none"/>
          <w:lang w:val="en-US"/>
          <w14:textFill>
            <w14:solidFill>
              <w14:srgbClr w14:val="000000">
                <w14:lumMod w14:val="85000"/>
                <w14:lumOff w14:val="15000"/>
              </w14:srgbClr>
            </w14:solidFill>
          </w14:textFill>
        </w:rPr>
        <w:t>投标人应向招标人汇报项目进度以及及时通过邮件的方式书面反馈任务实施中存在的</w:t>
      </w:r>
      <w:r>
        <w:rPr>
          <w:rFonts w:hint="eastAsia" w:ascii="宋体" w:hAnsi="宋体" w:eastAsia="宋体" w:cs="宋体"/>
          <w:color w:val="000000"/>
          <w:sz w:val="24"/>
          <w:szCs w:val="24"/>
          <w:highlight w:val="none"/>
          <w:lang w:val="en-US" w:bidi="ar"/>
        </w:rPr>
        <w:t>问题</w:t>
      </w:r>
      <w:r>
        <w:rPr>
          <w:rFonts w:hint="eastAsia" w:ascii="宋体" w:hAnsi="宋体" w:eastAsia="宋体" w:cs="宋体"/>
          <w:color w:val="000000"/>
          <w:sz w:val="24"/>
          <w:szCs w:val="24"/>
          <w:highlight w:val="none"/>
          <w:lang w:val="en-US"/>
          <w14:textFill>
            <w14:solidFill>
              <w14:srgbClr w14:val="000000">
                <w14:lumMod w14:val="85000"/>
                <w14:lumOff w14:val="15000"/>
              </w14:srgbClr>
            </w14:solidFill>
          </w14:textFill>
        </w:rPr>
        <w:t>及解决方案。</w:t>
      </w:r>
    </w:p>
    <w:p w14:paraId="1EDE3E68">
      <w:pPr>
        <w:pStyle w:val="11"/>
        <w:rPr>
          <w:rFonts w:hint="eastAsia"/>
          <w:bCs/>
          <w:highlight w:val="none"/>
        </w:rPr>
      </w:pPr>
    </w:p>
    <w:p w14:paraId="48BE8D1E">
      <w:pPr>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br w:type="page"/>
      </w:r>
    </w:p>
    <w:p w14:paraId="5138A37F">
      <w:pPr>
        <w:spacing w:line="360" w:lineRule="auto"/>
        <w:jc w:val="center"/>
        <w:outlineLvl w:val="0"/>
        <w:rPr>
          <w:rFonts w:hint="eastAsia" w:asciiTheme="minorEastAsia" w:hAnsiTheme="minorEastAsia" w:eastAsiaTheme="minorEastAsia"/>
          <w:b/>
          <w:sz w:val="28"/>
          <w:highlight w:val="none"/>
        </w:rPr>
      </w:pPr>
      <w:bookmarkStart w:id="37" w:name="_Toc30824"/>
      <w:r>
        <w:rPr>
          <w:rFonts w:hint="eastAsia" w:asciiTheme="minorEastAsia" w:hAnsiTheme="minorEastAsia" w:eastAsiaTheme="minorEastAsia"/>
          <w:b/>
          <w:sz w:val="28"/>
          <w:highlight w:val="none"/>
        </w:rPr>
        <w:t>第四章  评标方法和标准（综合评分法）</w:t>
      </w:r>
      <w:bookmarkEnd w:id="37"/>
    </w:p>
    <w:p w14:paraId="04E512B0">
      <w:pPr>
        <w:spacing w:line="360" w:lineRule="auto"/>
        <w:ind w:firstLine="437"/>
        <w:outlineLvl w:val="1"/>
        <w:rPr>
          <w:rFonts w:hint="eastAsia" w:asciiTheme="minorEastAsia" w:hAnsiTheme="minorEastAsia" w:eastAsiaTheme="minorEastAsia"/>
          <w:b/>
          <w:sz w:val="24"/>
          <w:highlight w:val="none"/>
        </w:rPr>
      </w:pPr>
      <w:bookmarkStart w:id="38" w:name="_Toc11823"/>
      <w:bookmarkStart w:id="39" w:name="_Toc4705"/>
      <w:r>
        <w:rPr>
          <w:rFonts w:hint="eastAsia" w:asciiTheme="minorEastAsia" w:hAnsiTheme="minorEastAsia" w:eastAsiaTheme="minorEastAsia"/>
          <w:b/>
          <w:sz w:val="24"/>
          <w:highlight w:val="none"/>
        </w:rPr>
        <w:t>一、总则</w:t>
      </w:r>
      <w:bookmarkEnd w:id="38"/>
      <w:bookmarkEnd w:id="39"/>
    </w:p>
    <w:p w14:paraId="630A8B5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本项目将按照招标文件第二章 投标人须知的相关要求</w:t>
      </w:r>
      <w:r>
        <w:rPr>
          <w:rFonts w:asciiTheme="minorEastAsia" w:hAnsiTheme="minorEastAsia" w:eastAsiaTheme="minorEastAsia"/>
          <w:sz w:val="24"/>
          <w:highlight w:val="none"/>
        </w:rPr>
        <w:t>及本章的规定评标。</w:t>
      </w:r>
    </w:p>
    <w:p w14:paraId="2690FC59">
      <w:pPr>
        <w:spacing w:line="360" w:lineRule="auto"/>
        <w:ind w:firstLine="437"/>
        <w:outlineLvl w:val="1"/>
        <w:rPr>
          <w:rFonts w:hint="eastAsia" w:asciiTheme="minorEastAsia" w:hAnsiTheme="minorEastAsia" w:eastAsiaTheme="minorEastAsia"/>
          <w:b/>
          <w:sz w:val="24"/>
          <w:highlight w:val="none"/>
        </w:rPr>
      </w:pPr>
      <w:bookmarkStart w:id="40" w:name="_Toc32410"/>
      <w:bookmarkStart w:id="41" w:name="_Toc31871"/>
      <w:r>
        <w:rPr>
          <w:rFonts w:hint="eastAsia" w:asciiTheme="minorEastAsia" w:hAnsiTheme="minorEastAsia" w:eastAsiaTheme="minorEastAsia"/>
          <w:b/>
          <w:sz w:val="24"/>
          <w:highlight w:val="none"/>
        </w:rPr>
        <w:t>二、评标方法</w:t>
      </w:r>
      <w:bookmarkEnd w:id="40"/>
      <w:bookmarkEnd w:id="41"/>
    </w:p>
    <w:p w14:paraId="232DB774">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810"/>
        <w:gridCol w:w="4998"/>
        <w:gridCol w:w="2073"/>
      </w:tblGrid>
      <w:tr w14:paraId="5629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BE39DCE">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b/>
                <w:sz w:val="24"/>
                <w:szCs w:val="22"/>
                <w:highlight w:val="none"/>
              </w:rPr>
              <w:t>资格审查表</w:t>
            </w:r>
          </w:p>
        </w:tc>
      </w:tr>
      <w:tr w14:paraId="02E6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19908BB0">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序号</w:t>
            </w:r>
          </w:p>
        </w:tc>
        <w:tc>
          <w:tcPr>
            <w:tcW w:w="942" w:type="pct"/>
            <w:tcBorders>
              <w:bottom w:val="single" w:color="auto" w:sz="4" w:space="0"/>
            </w:tcBorders>
            <w:vAlign w:val="center"/>
          </w:tcPr>
          <w:p w14:paraId="594BA25F">
            <w:pPr>
              <w:pStyle w:val="34"/>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szCs w:val="24"/>
                <w:highlight w:val="none"/>
              </w:rPr>
            </w:pPr>
            <w:r>
              <w:rPr>
                <w:rFonts w:hint="eastAsia" w:ascii="宋体" w:hAnsi="宋体" w:eastAsia="宋体"/>
                <w:kern w:val="2"/>
                <w:szCs w:val="24"/>
                <w:highlight w:val="none"/>
              </w:rPr>
              <w:t>审查因素</w:t>
            </w:r>
          </w:p>
        </w:tc>
        <w:tc>
          <w:tcPr>
            <w:tcW w:w="2601" w:type="pct"/>
            <w:tcBorders>
              <w:bottom w:val="single" w:color="auto" w:sz="4" w:space="0"/>
            </w:tcBorders>
            <w:vAlign w:val="center"/>
          </w:tcPr>
          <w:p w14:paraId="45A102A2">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审查内容</w:t>
            </w:r>
          </w:p>
        </w:tc>
        <w:tc>
          <w:tcPr>
            <w:tcW w:w="1077" w:type="pct"/>
            <w:tcBorders>
              <w:bottom w:val="single" w:color="auto" w:sz="4" w:space="0"/>
            </w:tcBorders>
            <w:vAlign w:val="center"/>
          </w:tcPr>
          <w:p w14:paraId="4CEEDED0">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格式要求</w:t>
            </w:r>
          </w:p>
        </w:tc>
      </w:tr>
      <w:tr w14:paraId="0A33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8" w:type="pct"/>
            <w:tcBorders>
              <w:bottom w:val="single" w:color="auto" w:sz="4" w:space="0"/>
            </w:tcBorders>
            <w:vAlign w:val="center"/>
          </w:tcPr>
          <w:p w14:paraId="6502AED5">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1</w:t>
            </w:r>
          </w:p>
        </w:tc>
        <w:tc>
          <w:tcPr>
            <w:tcW w:w="942" w:type="pct"/>
            <w:tcBorders>
              <w:bottom w:val="single" w:color="auto" w:sz="4" w:space="0"/>
            </w:tcBorders>
            <w:vAlign w:val="center"/>
          </w:tcPr>
          <w:p w14:paraId="32FA0436">
            <w:pPr>
              <w:spacing w:after="50" w:line="360" w:lineRule="auto"/>
              <w:ind w:right="-10"/>
              <w:jc w:val="center"/>
              <w:rPr>
                <w:rFonts w:hint="eastAsia" w:ascii="宋体" w:hAnsi="宋体" w:eastAsia="宋体"/>
                <w:sz w:val="24"/>
                <w:szCs w:val="28"/>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01" w:type="pct"/>
            <w:tcBorders>
              <w:bottom w:val="single" w:color="auto" w:sz="4" w:space="0"/>
            </w:tcBorders>
            <w:vAlign w:val="center"/>
          </w:tcPr>
          <w:p w14:paraId="3C806C80">
            <w:pPr>
              <w:spacing w:after="50" w:line="360" w:lineRule="auto"/>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p w14:paraId="25CF3F05">
            <w:pPr>
              <w:spacing w:after="50" w:line="360" w:lineRule="auto"/>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供有效的事业单位法人证书；</w:t>
            </w:r>
          </w:p>
          <w:p w14:paraId="1AB17876">
            <w:pPr>
              <w:spacing w:after="50" w:line="360" w:lineRule="auto"/>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rPr>
              <w:t>或</w:t>
            </w:r>
            <w:r>
              <w:rPr>
                <w:rFonts w:ascii="宋体" w:hAnsi="宋体" w:eastAsia="宋体" w:cs="宋体"/>
                <w:sz w:val="24"/>
                <w:szCs w:val="24"/>
                <w:highlight w:val="none"/>
              </w:rPr>
              <w:t>登记证书等证明文件；</w:t>
            </w:r>
          </w:p>
          <w:p w14:paraId="256711F3">
            <w:pPr>
              <w:spacing w:after="50" w:line="360" w:lineRule="auto"/>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供有效的个体工商户营业执照；</w:t>
            </w:r>
          </w:p>
          <w:p w14:paraId="7E284AE6">
            <w:pPr>
              <w:spacing w:after="50" w:line="360" w:lineRule="auto"/>
              <w:ind w:right="-10"/>
              <w:jc w:val="left"/>
              <w:rPr>
                <w:rFonts w:hint="eastAsia" w:ascii="宋体" w:hAnsi="宋体" w:eastAsia="宋体"/>
                <w:sz w:val="24"/>
                <w:szCs w:val="28"/>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供有效的自然人身份证明。</w:t>
            </w:r>
          </w:p>
        </w:tc>
        <w:tc>
          <w:tcPr>
            <w:tcW w:w="1077" w:type="pct"/>
            <w:vAlign w:val="center"/>
          </w:tcPr>
          <w:p w14:paraId="6ACE5F86">
            <w:pPr>
              <w:spacing w:line="360" w:lineRule="auto"/>
              <w:jc w:val="left"/>
              <w:rPr>
                <w:rFonts w:hint="eastAsia" w:ascii="宋体" w:hAnsi="宋体" w:eastAsia="宋体"/>
                <w:sz w:val="24"/>
                <w:highlight w:val="none"/>
              </w:rPr>
            </w:pPr>
            <w:r>
              <w:rPr>
                <w:rFonts w:hint="eastAsia" w:ascii="宋体" w:hAnsi="宋体" w:eastAsia="宋体" w:cs="宋体"/>
                <w:sz w:val="24"/>
                <w:szCs w:val="24"/>
                <w:highlight w:val="none"/>
              </w:rPr>
              <w:t>提供材料扫描件或电子证照，应完整的体现出材料或电子证照全部内容。联合体投标的联合体各方均须提供。</w:t>
            </w:r>
          </w:p>
        </w:tc>
      </w:tr>
      <w:tr w14:paraId="651C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8" w:type="pct"/>
            <w:tcBorders>
              <w:bottom w:val="single" w:color="auto" w:sz="4" w:space="0"/>
            </w:tcBorders>
            <w:vAlign w:val="center"/>
          </w:tcPr>
          <w:p w14:paraId="770919D9">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2</w:t>
            </w:r>
          </w:p>
        </w:tc>
        <w:tc>
          <w:tcPr>
            <w:tcW w:w="942" w:type="pct"/>
            <w:tcBorders>
              <w:bottom w:val="single" w:color="auto" w:sz="4" w:space="0"/>
            </w:tcBorders>
            <w:vAlign w:val="center"/>
          </w:tcPr>
          <w:p w14:paraId="33318BE0">
            <w:pPr>
              <w:spacing w:after="50" w:line="360" w:lineRule="auto"/>
              <w:ind w:right="-10"/>
              <w:jc w:val="center"/>
              <w:rPr>
                <w:rFonts w:hint="eastAsia" w:ascii="宋体" w:hAnsi="宋体" w:eastAsia="宋体"/>
                <w:sz w:val="24"/>
                <w:szCs w:val="28"/>
                <w:highlight w:val="none"/>
              </w:rPr>
            </w:pPr>
            <w:r>
              <w:rPr>
                <w:rFonts w:hint="eastAsia" w:ascii="宋体" w:hAnsi="宋体" w:eastAsia="宋体"/>
                <w:sz w:val="24"/>
                <w:szCs w:val="18"/>
                <w:highlight w:val="none"/>
              </w:rPr>
              <w:t>投标人资格声明书</w:t>
            </w:r>
          </w:p>
        </w:tc>
        <w:tc>
          <w:tcPr>
            <w:tcW w:w="2601" w:type="pct"/>
            <w:tcBorders>
              <w:bottom w:val="single" w:color="auto" w:sz="4" w:space="0"/>
            </w:tcBorders>
            <w:vAlign w:val="center"/>
          </w:tcPr>
          <w:p w14:paraId="0ECFD58A">
            <w:pPr>
              <w:spacing w:after="50" w:line="360" w:lineRule="auto"/>
              <w:ind w:right="-10"/>
              <w:jc w:val="left"/>
              <w:rPr>
                <w:rFonts w:hint="eastAsia" w:ascii="宋体" w:hAnsi="宋体" w:eastAsia="宋体"/>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rPr>
              <w:t>。</w:t>
            </w:r>
          </w:p>
        </w:tc>
        <w:tc>
          <w:tcPr>
            <w:tcW w:w="1077" w:type="pct"/>
            <w:vAlign w:val="center"/>
          </w:tcPr>
          <w:p w14:paraId="563FB558">
            <w:pPr>
              <w:spacing w:line="360" w:lineRule="auto"/>
              <w:jc w:val="left"/>
              <w:rPr>
                <w:rFonts w:hint="eastAsia" w:ascii="宋体" w:hAnsi="宋体" w:eastAsia="宋体" w:cs="宋体"/>
                <w:sz w:val="24"/>
                <w:szCs w:val="24"/>
                <w:highlight w:val="none"/>
              </w:rPr>
            </w:pPr>
            <w:r>
              <w:rPr>
                <w:rFonts w:hint="eastAsia" w:ascii="宋体" w:hAnsi="宋体" w:eastAsia="宋体"/>
                <w:sz w:val="24"/>
                <w:highlight w:val="none"/>
              </w:rPr>
              <w:t>详见第六章投标文件格式。</w:t>
            </w:r>
          </w:p>
        </w:tc>
      </w:tr>
      <w:tr w14:paraId="37DE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20464EB7">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3</w:t>
            </w:r>
          </w:p>
        </w:tc>
        <w:tc>
          <w:tcPr>
            <w:tcW w:w="942" w:type="pct"/>
            <w:tcBorders>
              <w:bottom w:val="single" w:color="auto" w:sz="4" w:space="0"/>
            </w:tcBorders>
            <w:vAlign w:val="center"/>
          </w:tcPr>
          <w:p w14:paraId="444674C2">
            <w:pPr>
              <w:spacing w:after="50" w:line="360" w:lineRule="auto"/>
              <w:ind w:right="-10"/>
              <w:jc w:val="center"/>
              <w:rPr>
                <w:rFonts w:hint="eastAsia" w:ascii="宋体" w:hAnsi="宋体" w:eastAsia="宋体"/>
                <w:sz w:val="24"/>
                <w:szCs w:val="28"/>
                <w:highlight w:val="none"/>
              </w:rPr>
            </w:pPr>
            <w:r>
              <w:rPr>
                <w:rFonts w:hint="eastAsia" w:ascii="宋体" w:hAnsi="宋体" w:eastAsia="宋体" w:cs="宋体"/>
                <w:sz w:val="24"/>
                <w:szCs w:val="24"/>
                <w:highlight w:val="none"/>
              </w:rPr>
              <w:t>投标人信用记录</w:t>
            </w:r>
          </w:p>
        </w:tc>
        <w:tc>
          <w:tcPr>
            <w:tcW w:w="2601" w:type="pct"/>
            <w:tcBorders>
              <w:bottom w:val="single" w:color="auto" w:sz="4" w:space="0"/>
            </w:tcBorders>
            <w:vAlign w:val="center"/>
          </w:tcPr>
          <w:p w14:paraId="5DFA0BBE">
            <w:pPr>
              <w:spacing w:after="50" w:line="360" w:lineRule="auto"/>
              <w:ind w:right="-10"/>
              <w:jc w:val="left"/>
              <w:rPr>
                <w:rFonts w:hint="eastAsia"/>
                <w:highlight w:val="none"/>
              </w:rPr>
            </w:pPr>
            <w:r>
              <w:rPr>
                <w:rFonts w:hint="eastAsia" w:ascii="宋体" w:hAnsi="宋体" w:eastAsia="宋体" w:cs="宋体"/>
                <w:sz w:val="24"/>
                <w:szCs w:val="24"/>
                <w:highlight w:val="none"/>
                <w:lang w:val="zh-CN"/>
              </w:rPr>
              <w:t>投标人不得存在投标人须知正文第1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条中</w:t>
            </w:r>
            <w:r>
              <w:rPr>
                <w:rFonts w:hint="eastAsia" w:ascii="宋体" w:hAnsi="宋体" w:eastAsia="宋体"/>
                <w:sz w:val="24"/>
                <w:szCs w:val="28"/>
                <w:highlight w:val="none"/>
              </w:rPr>
              <w:t>的</w:t>
            </w:r>
            <w:r>
              <w:rPr>
                <w:rFonts w:hint="eastAsia" w:ascii="宋体" w:hAnsi="宋体" w:eastAsia="宋体"/>
                <w:sz w:val="24"/>
                <w:szCs w:val="18"/>
                <w:highlight w:val="none"/>
              </w:rPr>
              <w:t>不良信用记录情形</w:t>
            </w:r>
          </w:p>
        </w:tc>
        <w:tc>
          <w:tcPr>
            <w:tcW w:w="1077" w:type="pct"/>
            <w:tcBorders>
              <w:bottom w:val="single" w:color="auto" w:sz="4" w:space="0"/>
            </w:tcBorders>
            <w:vAlign w:val="center"/>
          </w:tcPr>
          <w:p w14:paraId="5CA16CFC">
            <w:pPr>
              <w:spacing w:line="360" w:lineRule="auto"/>
              <w:jc w:val="left"/>
              <w:rPr>
                <w:rFonts w:hint="eastAsia"/>
                <w:highlight w:val="none"/>
              </w:rPr>
            </w:pPr>
            <w:r>
              <w:rPr>
                <w:rFonts w:hint="eastAsia" w:ascii="宋体" w:hAnsi="宋体" w:eastAsia="宋体" w:cs="宋体"/>
                <w:sz w:val="24"/>
                <w:szCs w:val="24"/>
                <w:highlight w:val="none"/>
              </w:rPr>
              <w:t>无须投标人提供，由采购人或采购代理机构查询。</w:t>
            </w:r>
          </w:p>
        </w:tc>
      </w:tr>
      <w:tr w14:paraId="55CD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7E62B8CF">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4</w:t>
            </w:r>
          </w:p>
        </w:tc>
        <w:tc>
          <w:tcPr>
            <w:tcW w:w="942" w:type="pct"/>
            <w:tcBorders>
              <w:bottom w:val="single" w:color="auto" w:sz="4" w:space="0"/>
            </w:tcBorders>
          </w:tcPr>
          <w:p w14:paraId="2C58E652">
            <w:pPr>
              <w:spacing w:after="50" w:line="360" w:lineRule="auto"/>
              <w:ind w:right="-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拟分包情况说明及分包意向协议</w:t>
            </w:r>
          </w:p>
        </w:tc>
        <w:tc>
          <w:tcPr>
            <w:tcW w:w="2601" w:type="pct"/>
            <w:tcBorders>
              <w:bottom w:val="single" w:color="auto" w:sz="4" w:space="0"/>
            </w:tcBorders>
            <w:vAlign w:val="center"/>
          </w:tcPr>
          <w:p w14:paraId="69889AD9">
            <w:pPr>
              <w:spacing w:after="50" w:line="360" w:lineRule="auto"/>
              <w:ind w:right="-10"/>
              <w:rPr>
                <w:rFonts w:hint="eastAsia" w:ascii="宋体" w:hAnsi="宋体" w:eastAsia="宋体" w:cs="宋体"/>
                <w:sz w:val="24"/>
                <w:szCs w:val="24"/>
                <w:highlight w:val="none"/>
              </w:rPr>
            </w:pPr>
            <w:r>
              <w:rPr>
                <w:rFonts w:hint="eastAsia" w:ascii="宋体" w:hAnsi="宋体" w:eastAsia="宋体" w:cs="宋体"/>
                <w:sz w:val="24"/>
                <w:szCs w:val="24"/>
                <w:highlight w:val="none"/>
              </w:rPr>
              <w:t>通过分包措施预留部分采购份额面向中小企业采购、且投标人因落实政府采购政策拟进行分包的。</w:t>
            </w:r>
          </w:p>
        </w:tc>
        <w:tc>
          <w:tcPr>
            <w:tcW w:w="1077" w:type="pct"/>
            <w:tcBorders>
              <w:bottom w:val="single" w:color="auto" w:sz="4" w:space="0"/>
            </w:tcBorders>
            <w:vAlign w:val="center"/>
          </w:tcPr>
          <w:p w14:paraId="38A9667A">
            <w:pPr>
              <w:spacing w:after="50" w:line="360" w:lineRule="auto"/>
              <w:ind w:right="-10"/>
              <w:rPr>
                <w:rFonts w:hint="eastAsia" w:ascii="宋体" w:hAnsi="宋体" w:eastAsia="宋体" w:cs="宋体"/>
                <w:sz w:val="24"/>
                <w:szCs w:val="24"/>
                <w:highlight w:val="none"/>
              </w:rPr>
            </w:pPr>
            <w:r>
              <w:rPr>
                <w:rFonts w:hint="eastAsia" w:ascii="宋体" w:hAnsi="宋体" w:eastAsia="宋体"/>
                <w:sz w:val="24"/>
                <w:highlight w:val="none"/>
              </w:rPr>
              <w:t>详见第六章投标文件格式。</w:t>
            </w:r>
          </w:p>
        </w:tc>
      </w:tr>
      <w:tr w14:paraId="27DA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39B23E1B">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5</w:t>
            </w:r>
          </w:p>
        </w:tc>
        <w:tc>
          <w:tcPr>
            <w:tcW w:w="942" w:type="pct"/>
            <w:tcBorders>
              <w:bottom w:val="single" w:color="auto" w:sz="4" w:space="0"/>
            </w:tcBorders>
            <w:vAlign w:val="center"/>
          </w:tcPr>
          <w:p w14:paraId="060559F8">
            <w:pPr>
              <w:spacing w:after="50" w:line="360" w:lineRule="auto"/>
              <w:ind w:right="-10"/>
              <w:rPr>
                <w:rFonts w:hint="eastAsia" w:ascii="宋体" w:hAnsi="宋体" w:eastAsia="宋体" w:cs="宋体"/>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601" w:type="pct"/>
            <w:tcBorders>
              <w:bottom w:val="single" w:color="auto" w:sz="4" w:space="0"/>
            </w:tcBorders>
            <w:vAlign w:val="center"/>
          </w:tcPr>
          <w:p w14:paraId="16592F80">
            <w:pPr>
              <w:spacing w:after="50" w:line="360" w:lineRule="auto"/>
              <w:ind w:right="-10"/>
              <w:rPr>
                <w:rFonts w:hint="eastAsia" w:ascii="宋体" w:hAnsi="宋体" w:eastAsia="宋体" w:cs="宋体"/>
                <w:sz w:val="24"/>
                <w:szCs w:val="24"/>
                <w:highlight w:val="none"/>
              </w:rPr>
            </w:pPr>
            <w:r>
              <w:rPr>
                <w:rFonts w:ascii="宋体" w:hAnsi="宋体" w:eastAsia="宋体" w:cs="宋体"/>
                <w:spacing w:val="-2"/>
                <w:sz w:val="24"/>
                <w:szCs w:val="24"/>
                <w:highlight w:val="none"/>
              </w:rPr>
              <w:t>如有，见第一章《投标邀请》</w:t>
            </w:r>
          </w:p>
        </w:tc>
        <w:tc>
          <w:tcPr>
            <w:tcW w:w="1077" w:type="pct"/>
            <w:tcBorders>
              <w:bottom w:val="single" w:color="auto" w:sz="4" w:space="0"/>
            </w:tcBorders>
            <w:vAlign w:val="center"/>
          </w:tcPr>
          <w:p w14:paraId="76800203">
            <w:pPr>
              <w:spacing w:after="50" w:line="360" w:lineRule="auto"/>
              <w:ind w:right="-10"/>
              <w:rPr>
                <w:rFonts w:hint="eastAsia" w:ascii="宋体" w:hAnsi="宋体" w:eastAsia="宋体"/>
                <w:sz w:val="24"/>
                <w:highlight w:val="none"/>
              </w:rPr>
            </w:pPr>
            <w:r>
              <w:rPr>
                <w:rFonts w:hint="eastAsia" w:ascii="宋体" w:hAnsi="宋体" w:eastAsia="宋体" w:cs="宋体"/>
                <w:sz w:val="24"/>
                <w:szCs w:val="24"/>
                <w:highlight w:val="none"/>
              </w:rPr>
              <w:t>提供材料扫描件或电子证照，应完整的体现出材料或电子证照全部内容。</w:t>
            </w:r>
          </w:p>
        </w:tc>
      </w:tr>
      <w:tr w14:paraId="37E9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748A7023">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6</w:t>
            </w:r>
          </w:p>
        </w:tc>
        <w:tc>
          <w:tcPr>
            <w:tcW w:w="942" w:type="pct"/>
            <w:vAlign w:val="center"/>
          </w:tcPr>
          <w:p w14:paraId="7DFCD7C3">
            <w:pPr>
              <w:spacing w:after="50" w:line="360" w:lineRule="auto"/>
              <w:ind w:right="-10"/>
              <w:rPr>
                <w:rFonts w:hint="eastAsia" w:ascii="宋体" w:hAnsi="宋体" w:eastAsia="宋体" w:cs="宋体"/>
                <w:spacing w:val="10"/>
                <w:sz w:val="24"/>
                <w:szCs w:val="24"/>
                <w:highlight w:val="none"/>
              </w:rPr>
            </w:pPr>
            <w:r>
              <w:rPr>
                <w:rFonts w:ascii="宋体" w:hAnsi="宋体" w:eastAsia="宋体" w:cs="宋体"/>
                <w:spacing w:val="10"/>
                <w:sz w:val="24"/>
                <w:szCs w:val="24"/>
                <w:highlight w:val="none"/>
              </w:rPr>
              <w:t>其他特定资格要求</w:t>
            </w:r>
          </w:p>
        </w:tc>
        <w:tc>
          <w:tcPr>
            <w:tcW w:w="2601" w:type="pct"/>
            <w:vAlign w:val="center"/>
          </w:tcPr>
          <w:p w14:paraId="67EE4727">
            <w:pPr>
              <w:spacing w:after="50" w:line="360" w:lineRule="auto"/>
              <w:ind w:right="-10"/>
              <w:rPr>
                <w:rFonts w:hint="eastAsia" w:ascii="宋体" w:hAnsi="宋体" w:eastAsia="宋体" w:cs="宋体"/>
                <w:spacing w:val="10"/>
                <w:sz w:val="24"/>
                <w:szCs w:val="24"/>
                <w:highlight w:val="none"/>
              </w:rPr>
            </w:pPr>
            <w:r>
              <w:rPr>
                <w:rFonts w:ascii="宋体" w:hAnsi="宋体" w:eastAsia="宋体" w:cs="宋体"/>
                <w:spacing w:val="10"/>
                <w:sz w:val="24"/>
                <w:szCs w:val="24"/>
                <w:highlight w:val="none"/>
              </w:rPr>
              <w:t>如有，见第一章《投标邀请》</w:t>
            </w:r>
          </w:p>
        </w:tc>
        <w:tc>
          <w:tcPr>
            <w:tcW w:w="1077" w:type="pct"/>
            <w:vAlign w:val="center"/>
          </w:tcPr>
          <w:p w14:paraId="3B2C91FD">
            <w:pPr>
              <w:spacing w:after="50" w:line="360" w:lineRule="auto"/>
              <w:ind w:right="-10"/>
              <w:rPr>
                <w:rFonts w:hint="eastAsia" w:ascii="宋体" w:hAnsi="宋体" w:eastAsia="宋体" w:cs="宋体"/>
                <w:spacing w:val="10"/>
                <w:sz w:val="24"/>
                <w:szCs w:val="24"/>
                <w:highlight w:val="none"/>
              </w:rPr>
            </w:pPr>
            <w:r>
              <w:rPr>
                <w:rFonts w:hint="eastAsia" w:ascii="宋体" w:hAnsi="宋体" w:eastAsia="宋体" w:cs="宋体"/>
                <w:sz w:val="24"/>
                <w:szCs w:val="24"/>
                <w:highlight w:val="none"/>
              </w:rPr>
              <w:t>提供材料扫描件或电子证照，应完整的体现出材料或电子证照全部内容。</w:t>
            </w:r>
          </w:p>
        </w:tc>
      </w:tr>
    </w:tbl>
    <w:p w14:paraId="0F8EFED5">
      <w:pPr>
        <w:spacing w:line="360" w:lineRule="auto"/>
        <w:ind w:firstLine="435"/>
        <w:rPr>
          <w:rFonts w:hint="eastAsia" w:asciiTheme="minorEastAsia" w:hAnsiTheme="minorEastAsia" w:eastAsiaTheme="minorEastAsia"/>
          <w:sz w:val="24"/>
          <w:highlight w:val="none"/>
        </w:rPr>
      </w:pPr>
      <w:r>
        <w:rPr>
          <w:rFonts w:hint="eastAsia" w:ascii="宋体" w:hAnsi="宋体" w:eastAsia="宋体"/>
          <w:b/>
          <w:bCs/>
          <w:sz w:val="24"/>
          <w:highlight w:val="none"/>
        </w:rPr>
        <w:t>资格审查指标通过标准：</w:t>
      </w:r>
      <w:r>
        <w:rPr>
          <w:rFonts w:hint="eastAsia" w:ascii="宋体" w:hAnsi="宋体" w:eastAsia="宋体"/>
          <w:sz w:val="24"/>
          <w:highlight w:val="none"/>
        </w:rPr>
        <w:t>投标人必须通过资格审查表中的全部评审指标。</w:t>
      </w:r>
    </w:p>
    <w:p w14:paraId="7BD2F569">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2.2符合性审查</w:t>
      </w:r>
    </w:p>
    <w:p w14:paraId="671DBAA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评标委员会对通过资格审查的投标人的投标文件进行符合性审查，以确定其是否满足招标文件的实质性要求。符合性审查表如下：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21"/>
        <w:gridCol w:w="3430"/>
        <w:gridCol w:w="2753"/>
      </w:tblGrid>
      <w:tr w14:paraId="417B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A8E55BB">
            <w:pPr>
              <w:adjustRightInd w:val="0"/>
              <w:snapToGrid w:val="0"/>
              <w:spacing w:line="360" w:lineRule="auto"/>
              <w:ind w:right="-10"/>
              <w:jc w:val="center"/>
              <w:rPr>
                <w:rFonts w:hint="eastAsia" w:ascii="宋体" w:hAnsi="宋体" w:eastAsia="宋体"/>
                <w:b/>
                <w:bCs/>
                <w:sz w:val="24"/>
                <w:highlight w:val="none"/>
              </w:rPr>
            </w:pPr>
            <w:r>
              <w:rPr>
                <w:rFonts w:hint="eastAsia" w:ascii="宋体" w:hAnsi="宋体" w:eastAsia="宋体"/>
                <w:b/>
                <w:bCs/>
                <w:sz w:val="24"/>
                <w:highlight w:val="none"/>
              </w:rPr>
              <w:t>符合性审查表</w:t>
            </w:r>
          </w:p>
        </w:tc>
      </w:tr>
      <w:tr w14:paraId="6471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49959914">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序号</w:t>
            </w:r>
          </w:p>
        </w:tc>
        <w:tc>
          <w:tcPr>
            <w:tcW w:w="1242" w:type="pct"/>
            <w:tcBorders>
              <w:bottom w:val="single" w:color="auto" w:sz="4" w:space="0"/>
            </w:tcBorders>
            <w:vAlign w:val="center"/>
          </w:tcPr>
          <w:p w14:paraId="0B1E7A06">
            <w:pPr>
              <w:pStyle w:val="34"/>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highlight w:val="none"/>
              </w:rPr>
            </w:pPr>
            <w:r>
              <w:rPr>
                <w:rFonts w:hint="eastAsia" w:ascii="宋体" w:hAnsi="宋体" w:eastAsia="宋体"/>
                <w:kern w:val="2"/>
                <w:highlight w:val="none"/>
              </w:rPr>
              <w:t>审查指标</w:t>
            </w:r>
          </w:p>
        </w:tc>
        <w:tc>
          <w:tcPr>
            <w:tcW w:w="1835" w:type="pct"/>
            <w:tcBorders>
              <w:bottom w:val="single" w:color="auto" w:sz="4" w:space="0"/>
            </w:tcBorders>
            <w:vAlign w:val="center"/>
          </w:tcPr>
          <w:p w14:paraId="2B3BDEEB">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审查标准</w:t>
            </w:r>
          </w:p>
        </w:tc>
        <w:tc>
          <w:tcPr>
            <w:tcW w:w="1472" w:type="pct"/>
            <w:tcBorders>
              <w:bottom w:val="single" w:color="auto" w:sz="4" w:space="0"/>
            </w:tcBorders>
            <w:vAlign w:val="center"/>
          </w:tcPr>
          <w:p w14:paraId="32E3B3B1">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格式要求</w:t>
            </w:r>
          </w:p>
        </w:tc>
      </w:tr>
      <w:tr w14:paraId="472A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3ED369">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242" w:type="pct"/>
            <w:vAlign w:val="center"/>
          </w:tcPr>
          <w:p w14:paraId="2A414620">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highlight w:val="none"/>
              </w:rPr>
              <w:t>开标一览表</w:t>
            </w:r>
          </w:p>
        </w:tc>
        <w:tc>
          <w:tcPr>
            <w:tcW w:w="1835" w:type="pct"/>
            <w:vAlign w:val="center"/>
          </w:tcPr>
          <w:p w14:paraId="252C1171">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2" w:type="pct"/>
            <w:vAlign w:val="center"/>
          </w:tcPr>
          <w:p w14:paraId="26A5F165">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6068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5471F73">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242" w:type="pct"/>
            <w:vAlign w:val="center"/>
          </w:tcPr>
          <w:p w14:paraId="548E5CE3">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投标函</w:t>
            </w:r>
          </w:p>
        </w:tc>
        <w:tc>
          <w:tcPr>
            <w:tcW w:w="1835" w:type="pct"/>
            <w:vAlign w:val="center"/>
          </w:tcPr>
          <w:p w14:paraId="748E4FB2">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2" w:type="pct"/>
            <w:vAlign w:val="center"/>
          </w:tcPr>
          <w:p w14:paraId="12945AB3">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24BF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AC7ED77">
            <w:pPr>
              <w:adjustRightInd w:val="0"/>
              <w:snapToGrid w:val="0"/>
              <w:spacing w:line="360" w:lineRule="auto"/>
              <w:ind w:right="-10"/>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1242" w:type="pct"/>
            <w:vAlign w:val="center"/>
          </w:tcPr>
          <w:p w14:paraId="02EDC0BB">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授权书</w:t>
            </w:r>
          </w:p>
        </w:tc>
        <w:tc>
          <w:tcPr>
            <w:tcW w:w="1835" w:type="pct"/>
            <w:vAlign w:val="center"/>
          </w:tcPr>
          <w:p w14:paraId="760778E2">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2" w:type="pct"/>
            <w:vAlign w:val="center"/>
          </w:tcPr>
          <w:p w14:paraId="17B563BA">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法定代表人参加投标的无需此件，提供身份证明即可。详见第六章投标文件格式。</w:t>
            </w:r>
          </w:p>
        </w:tc>
      </w:tr>
      <w:tr w14:paraId="21B9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513E987">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242" w:type="pct"/>
            <w:vAlign w:val="center"/>
          </w:tcPr>
          <w:p w14:paraId="47F2C545">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投标报价</w:t>
            </w:r>
          </w:p>
        </w:tc>
        <w:tc>
          <w:tcPr>
            <w:tcW w:w="1835" w:type="pct"/>
            <w:vAlign w:val="center"/>
          </w:tcPr>
          <w:p w14:paraId="4786D11E">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w:t>
            </w:r>
            <w:r>
              <w:rPr>
                <w:rFonts w:hint="eastAsia" w:asciiTheme="minorEastAsia" w:hAnsiTheme="minorEastAsia" w:eastAsiaTheme="minorEastAsia"/>
                <w:sz w:val="24"/>
                <w:highlight w:val="none"/>
              </w:rPr>
              <w:t>招标文件投标人须知正文第9条要求</w:t>
            </w:r>
          </w:p>
        </w:tc>
        <w:tc>
          <w:tcPr>
            <w:tcW w:w="1472" w:type="pct"/>
            <w:vAlign w:val="center"/>
          </w:tcPr>
          <w:p w14:paraId="1A1138B4">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6F45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307DE4B">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1242" w:type="pct"/>
            <w:vAlign w:val="center"/>
          </w:tcPr>
          <w:p w14:paraId="6FE7BD02">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商务响应情况</w:t>
            </w:r>
          </w:p>
        </w:tc>
        <w:tc>
          <w:tcPr>
            <w:tcW w:w="3430" w:type="dxa"/>
            <w:vAlign w:val="center"/>
          </w:tcPr>
          <w:p w14:paraId="284AE6CC">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符合招标文件采购需求中对付款方式、服务地点、服务期限等实质性要求</w:t>
            </w:r>
          </w:p>
        </w:tc>
        <w:tc>
          <w:tcPr>
            <w:tcW w:w="1472" w:type="pct"/>
            <w:vAlign w:val="center"/>
          </w:tcPr>
          <w:p w14:paraId="5C84D755">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商务</w:t>
            </w:r>
            <w:r>
              <w:rPr>
                <w:rFonts w:hint="eastAsia" w:asciiTheme="minorEastAsia" w:hAnsiTheme="minorEastAsia" w:eastAsiaTheme="minorEastAsia"/>
                <w:sz w:val="24"/>
                <w:highlight w:val="none"/>
              </w:rPr>
              <w:t>响应表</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w:t>
            </w:r>
          </w:p>
        </w:tc>
      </w:tr>
      <w:tr w14:paraId="2303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EFF1A2E">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1242" w:type="pct"/>
            <w:vAlign w:val="center"/>
          </w:tcPr>
          <w:p w14:paraId="7B9C37BD">
            <w:pPr>
              <w:spacing w:line="360" w:lineRule="auto"/>
              <w:jc w:val="center"/>
              <w:outlineLvl w:val="2"/>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技术响应情况</w:t>
            </w:r>
          </w:p>
        </w:tc>
        <w:tc>
          <w:tcPr>
            <w:tcW w:w="3430" w:type="dxa"/>
            <w:vAlign w:val="center"/>
          </w:tcPr>
          <w:p w14:paraId="3313567B">
            <w:pPr>
              <w:spacing w:after="50" w:line="360" w:lineRule="auto"/>
              <w:ind w:right="-10"/>
              <w:jc w:val="center"/>
              <w:rPr>
                <w:rFonts w:hint="eastAsia" w:asciiTheme="minorEastAsia" w:hAnsiTheme="minorEastAsia"/>
                <w:sz w:val="24"/>
                <w:szCs w:val="28"/>
                <w:highlight w:val="none"/>
              </w:rPr>
            </w:pPr>
            <w:r>
              <w:rPr>
                <w:rFonts w:hint="eastAsia" w:asciiTheme="minorEastAsia" w:hAnsiTheme="minorEastAsia" w:eastAsiaTheme="minorEastAsia"/>
                <w:sz w:val="24"/>
                <w:szCs w:val="28"/>
                <w:highlight w:val="none"/>
              </w:rPr>
              <w:t>符合招标文件采购需求中标★实质性要求</w:t>
            </w:r>
            <w:r>
              <w:rPr>
                <w:rFonts w:hint="eastAsia" w:asciiTheme="minorEastAsia" w:hAnsiTheme="minorEastAsia" w:eastAsiaTheme="minorEastAsia"/>
                <w:b/>
                <w:bCs/>
                <w:sz w:val="24"/>
                <w:szCs w:val="28"/>
                <w:highlight w:val="none"/>
              </w:rPr>
              <w:t>（“第三章 采购需求”中带★为实质性要求，不满足做投标无效处理，共</w:t>
            </w:r>
            <w:r>
              <w:rPr>
                <w:rFonts w:hint="eastAsia" w:asciiTheme="minorEastAsia" w:hAnsiTheme="minorEastAsia" w:eastAsiaTheme="minorEastAsia"/>
                <w:b/>
                <w:bCs/>
                <w:sz w:val="24"/>
                <w:szCs w:val="28"/>
                <w:highlight w:val="none"/>
                <w:lang w:val="en-US" w:eastAsia="zh-CN"/>
              </w:rPr>
              <w:t>6</w:t>
            </w:r>
            <w:r>
              <w:rPr>
                <w:rFonts w:hint="eastAsia" w:asciiTheme="minorEastAsia" w:hAnsiTheme="minorEastAsia" w:eastAsiaTheme="minorEastAsia"/>
                <w:b/>
                <w:bCs/>
                <w:sz w:val="24"/>
                <w:szCs w:val="28"/>
                <w:highlight w:val="none"/>
              </w:rPr>
              <w:t>项）</w:t>
            </w:r>
          </w:p>
        </w:tc>
        <w:tc>
          <w:tcPr>
            <w:tcW w:w="1472" w:type="pct"/>
            <w:vAlign w:val="center"/>
          </w:tcPr>
          <w:p w14:paraId="07E97A3D">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按要求提供证明材料，</w:t>
            </w:r>
            <w:r>
              <w:rPr>
                <w:rFonts w:hint="eastAsia" w:asciiTheme="minorEastAsia" w:hAnsiTheme="minorEastAsia" w:eastAsiaTheme="minorEastAsia"/>
                <w:sz w:val="24"/>
                <w:highlight w:val="none"/>
              </w:rPr>
              <w:t>详见第六章投标文件格式</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技术响应表</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w:t>
            </w:r>
          </w:p>
        </w:tc>
      </w:tr>
      <w:tr w14:paraId="0143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B5E4404">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1242" w:type="pct"/>
            <w:vAlign w:val="center"/>
          </w:tcPr>
          <w:p w14:paraId="7A642AF6">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其他要求</w:t>
            </w:r>
          </w:p>
        </w:tc>
        <w:tc>
          <w:tcPr>
            <w:tcW w:w="3430" w:type="dxa"/>
            <w:vAlign w:val="center"/>
          </w:tcPr>
          <w:p w14:paraId="6FD11394">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符合法律、行政法规规定的其他条件或招标文件列明的其他实质性要求</w:t>
            </w:r>
          </w:p>
        </w:tc>
        <w:tc>
          <w:tcPr>
            <w:tcW w:w="1472" w:type="pct"/>
            <w:vAlign w:val="center"/>
          </w:tcPr>
          <w:p w14:paraId="42E90A7A">
            <w:pPr>
              <w:adjustRightInd w:val="0"/>
              <w:snapToGrid w:val="0"/>
              <w:spacing w:line="360" w:lineRule="auto"/>
              <w:ind w:right="-10"/>
              <w:jc w:val="center"/>
              <w:rPr>
                <w:rFonts w:hint="eastAsia" w:asciiTheme="minorEastAsia" w:hAnsiTheme="minorEastAsia" w:eastAsiaTheme="minorEastAsia"/>
                <w:sz w:val="24"/>
                <w:highlight w:val="none"/>
              </w:rPr>
            </w:pPr>
          </w:p>
        </w:tc>
      </w:tr>
    </w:tbl>
    <w:p w14:paraId="21DA12C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rPr>
        <w:t>符合性审查指标通过标准：</w:t>
      </w:r>
      <w:r>
        <w:rPr>
          <w:rFonts w:hint="eastAsia" w:asciiTheme="minorEastAsia" w:hAnsiTheme="minorEastAsia" w:eastAsiaTheme="minorEastAsia"/>
          <w:sz w:val="24"/>
          <w:highlight w:val="none"/>
        </w:rPr>
        <w:t>投标人必须通过符合性审查表中的全部评审指标。</w:t>
      </w:r>
    </w:p>
    <w:p w14:paraId="460EF1F3">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2.3详细审查</w:t>
      </w:r>
    </w:p>
    <w:p w14:paraId="4664C93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.3.1</w:t>
      </w:r>
      <w:r>
        <w:rPr>
          <w:rFonts w:hint="eastAsia" w:asciiTheme="minorEastAsia" w:hAnsiTheme="minorEastAsia" w:eastAsiaTheme="minorEastAsia"/>
          <w:sz w:val="24"/>
          <w:highlight w:val="none"/>
        </w:rPr>
        <w:t>评标委员会按照下表对投标文件进行详细审查和评分。</w:t>
      </w:r>
    </w:p>
    <w:p w14:paraId="2387FB2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hint="eastAsia" w:asciiTheme="minorEastAsia" w:hAnsiTheme="minorEastAsia" w:eastAsiaTheme="minorEastAsia"/>
          <w:sz w:val="24"/>
          <w:highlight w:val="none"/>
          <w:u w:val="single"/>
        </w:rPr>
        <w:t>90</w:t>
      </w:r>
      <w:r>
        <w:rPr>
          <w:rFonts w:asciiTheme="minorEastAsia" w:hAnsiTheme="minorEastAsia" w:eastAsiaTheme="minorEastAsia"/>
          <w:sz w:val="24"/>
          <w:highlight w:val="none"/>
        </w:rPr>
        <w:t>%，价格分值占总分值的权重为</w:t>
      </w:r>
      <w:r>
        <w:rPr>
          <w:rFonts w:hint="eastAsia" w:asciiTheme="minorEastAsia" w:hAnsiTheme="minorEastAsia" w:eastAsiaTheme="minorEastAsia"/>
          <w:sz w:val="24"/>
          <w:highlight w:val="none"/>
          <w:u w:val="single"/>
        </w:rPr>
        <w:t>10</w:t>
      </w:r>
      <w:r>
        <w:rPr>
          <w:rFonts w:asciiTheme="minorEastAsia" w:hAnsiTheme="minorEastAsia" w:eastAsiaTheme="minorEastAsia"/>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886"/>
        <w:gridCol w:w="4107"/>
        <w:gridCol w:w="1733"/>
      </w:tblGrid>
      <w:tr w14:paraId="24E9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6" w:type="pct"/>
            <w:tcBorders>
              <w:top w:val="single" w:color="auto" w:sz="4" w:space="0"/>
              <w:left w:val="single" w:color="auto" w:sz="4" w:space="0"/>
              <w:bottom w:val="single" w:color="auto" w:sz="4" w:space="0"/>
              <w:right w:val="single" w:color="auto" w:sz="4" w:space="0"/>
            </w:tcBorders>
            <w:vAlign w:val="center"/>
          </w:tcPr>
          <w:p w14:paraId="32BBD008">
            <w:pPr>
              <w:spacing w:line="360" w:lineRule="auto"/>
              <w:jc w:val="center"/>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6A287ED9">
            <w:pPr>
              <w:spacing w:line="360" w:lineRule="auto"/>
              <w:jc w:val="center"/>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14:paraId="2E9730A9">
            <w:pPr>
              <w:spacing w:line="360" w:lineRule="auto"/>
              <w:jc w:val="center"/>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评分标准</w:t>
            </w:r>
          </w:p>
        </w:tc>
        <w:tc>
          <w:tcPr>
            <w:tcW w:w="927" w:type="pct"/>
            <w:tcBorders>
              <w:top w:val="single" w:color="auto" w:sz="4" w:space="0"/>
              <w:left w:val="single" w:color="auto" w:sz="4" w:space="0"/>
              <w:bottom w:val="single" w:color="auto" w:sz="4" w:space="0"/>
              <w:right w:val="single" w:color="auto" w:sz="4" w:space="0"/>
            </w:tcBorders>
            <w:vAlign w:val="center"/>
          </w:tcPr>
          <w:p w14:paraId="79329776">
            <w:pPr>
              <w:spacing w:line="360" w:lineRule="auto"/>
              <w:jc w:val="center"/>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分值范围</w:t>
            </w:r>
          </w:p>
        </w:tc>
      </w:tr>
      <w:tr w14:paraId="2498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restart"/>
            <w:tcBorders>
              <w:top w:val="single" w:color="auto" w:sz="4" w:space="0"/>
              <w:left w:val="single" w:color="auto" w:sz="4" w:space="0"/>
              <w:right w:val="single" w:color="auto" w:sz="4" w:space="0"/>
            </w:tcBorders>
            <w:vAlign w:val="center"/>
          </w:tcPr>
          <w:p w14:paraId="2D3D737B">
            <w:pPr>
              <w:spacing w:line="360" w:lineRule="auto"/>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技术资信分</w:t>
            </w:r>
          </w:p>
          <w:p w14:paraId="2983EE08">
            <w:pPr>
              <w:spacing w:line="360" w:lineRule="auto"/>
              <w:jc w:val="center"/>
              <w:rPr>
                <w:rFonts w:hint="eastAsia" w:asciiTheme="minorEastAsia" w:hAnsiTheme="minorEastAsia" w:eastAsiaTheme="minorEastAsia"/>
                <w:b/>
                <w:bCs/>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90</w:t>
            </w:r>
            <w:r>
              <w:rPr>
                <w:rFonts w:hint="eastAsia" w:asciiTheme="minorEastAsia" w:hAnsiTheme="minorEastAsia" w:eastAsiaTheme="minorEastAsia"/>
                <w:sz w:val="24"/>
                <w:highlight w:val="none"/>
              </w:rPr>
              <w:t>分）</w:t>
            </w:r>
          </w:p>
        </w:tc>
        <w:tc>
          <w:tcPr>
            <w:tcW w:w="1886" w:type="dxa"/>
            <w:tcBorders>
              <w:top w:val="single" w:color="auto" w:sz="4" w:space="0"/>
              <w:left w:val="single" w:color="auto" w:sz="4" w:space="0"/>
              <w:bottom w:val="single" w:color="auto" w:sz="4" w:space="0"/>
              <w:right w:val="single" w:color="auto" w:sz="4" w:space="0"/>
            </w:tcBorders>
            <w:vAlign w:val="center"/>
          </w:tcPr>
          <w:p w14:paraId="454F732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bCs/>
                <w:sz w:val="24"/>
                <w:highlight w:val="none"/>
              </w:rPr>
            </w:pPr>
            <w:r>
              <w:rPr>
                <w:rFonts w:hint="eastAsia" w:ascii="宋体" w:hAnsi="宋体" w:eastAsia="宋体" w:cs="宋体"/>
                <w:sz w:val="24"/>
                <w:szCs w:val="24"/>
                <w:highlight w:val="none"/>
              </w:rPr>
              <w:t>管理体系认证</w:t>
            </w:r>
          </w:p>
        </w:tc>
        <w:tc>
          <w:tcPr>
            <w:tcW w:w="4107" w:type="dxa"/>
            <w:tcBorders>
              <w:top w:val="single" w:color="auto" w:sz="4" w:space="0"/>
              <w:left w:val="single" w:color="auto" w:sz="4" w:space="0"/>
              <w:bottom w:val="single" w:color="auto" w:sz="4" w:space="0"/>
              <w:right w:val="single" w:color="auto" w:sz="4" w:space="0"/>
            </w:tcBorders>
            <w:vAlign w:val="center"/>
          </w:tcPr>
          <w:p w14:paraId="31E08AA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投标人具有经中国国家认证认可监督管理委员会认证机构颁发的有效的下列证书：</w:t>
            </w:r>
          </w:p>
          <w:p w14:paraId="3D72C02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（1）质量管理体系认证；</w:t>
            </w:r>
          </w:p>
          <w:p w14:paraId="51FCEAB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（2）环境管理体系认证；</w:t>
            </w:r>
          </w:p>
          <w:p w14:paraId="68FF30D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（3）信息技术服务管理体系认证；</w:t>
            </w:r>
          </w:p>
          <w:p w14:paraId="75BFC07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（4）信息安全管理体系认证。</w:t>
            </w:r>
          </w:p>
          <w:p w14:paraId="1A95638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每提供1个得1分，满分</w:t>
            </w:r>
            <w:r>
              <w:rPr>
                <w:rFonts w:hint="eastAsia" w:cs="宋体"/>
                <w:sz w:val="24"/>
                <w:szCs w:val="24"/>
                <w:highlight w:val="none"/>
                <w:lang w:val="en-US" w:eastAsia="zh-CN"/>
              </w:rPr>
              <w:t>4</w:t>
            </w:r>
            <w:r>
              <w:rPr>
                <w:rFonts w:hint="eastAsia" w:ascii="宋体" w:hAnsi="宋体" w:eastAsia="宋体" w:cs="宋体"/>
                <w:sz w:val="24"/>
                <w:szCs w:val="24"/>
                <w:highlight w:val="none"/>
              </w:rPr>
              <w:t>分。</w:t>
            </w:r>
          </w:p>
          <w:p w14:paraId="44277DF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bCs/>
                <w:sz w:val="24"/>
                <w:highlight w:val="none"/>
              </w:rPr>
            </w:pPr>
            <w:r>
              <w:rPr>
                <w:rFonts w:hint="eastAsia" w:ascii="宋体" w:hAnsi="宋体" w:eastAsia="宋体" w:cs="宋体"/>
                <w:b/>
                <w:bCs/>
                <w:sz w:val="24"/>
                <w:szCs w:val="24"/>
                <w:highlight w:val="none"/>
              </w:rPr>
              <w:t>注：投标文件中提供证书扫描件及全国认证认可信息公共服务平台官网证书信息查询截图。证书状态为“有效”。</w:t>
            </w:r>
          </w:p>
        </w:tc>
        <w:tc>
          <w:tcPr>
            <w:tcW w:w="1733" w:type="dxa"/>
            <w:tcBorders>
              <w:top w:val="single" w:color="auto" w:sz="4" w:space="0"/>
              <w:left w:val="single" w:color="auto" w:sz="4" w:space="0"/>
              <w:bottom w:val="single" w:color="auto" w:sz="4" w:space="0"/>
              <w:right w:val="single" w:color="auto" w:sz="4" w:space="0"/>
            </w:tcBorders>
            <w:vAlign w:val="center"/>
          </w:tcPr>
          <w:p w14:paraId="42507B5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bCs/>
                <w:sz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4</w:t>
            </w:r>
            <w:r>
              <w:rPr>
                <w:rFonts w:hint="eastAsia" w:ascii="宋体" w:hAnsi="宋体" w:eastAsia="宋体" w:cs="宋体"/>
                <w:sz w:val="24"/>
                <w:szCs w:val="24"/>
                <w:highlight w:val="none"/>
              </w:rPr>
              <w:t>分</w:t>
            </w:r>
          </w:p>
        </w:tc>
      </w:tr>
      <w:tr w14:paraId="4027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18B64126">
            <w:pPr>
              <w:spacing w:line="360" w:lineRule="auto"/>
              <w:ind w:firstLine="435"/>
              <w:jc w:val="center"/>
              <w:rPr>
                <w:rFonts w:hint="eastAsia" w:asciiTheme="minorEastAsia" w:hAnsiTheme="minorEastAsia" w:eastAsiaTheme="minorEastAsia"/>
                <w:b/>
                <w:bCs/>
                <w:sz w:val="24"/>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14:paraId="22EE12B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sz w:val="24"/>
                <w:highlight w:val="none"/>
              </w:rPr>
            </w:pPr>
            <w:r>
              <w:rPr>
                <w:rFonts w:hint="eastAsia" w:ascii="宋体" w:hAnsi="宋体" w:eastAsia="宋体" w:cs="宋体"/>
                <w:sz w:val="24"/>
                <w:szCs w:val="24"/>
                <w:highlight w:val="none"/>
              </w:rPr>
              <w:t>研发实力</w:t>
            </w:r>
          </w:p>
        </w:tc>
        <w:tc>
          <w:tcPr>
            <w:tcW w:w="4107" w:type="dxa"/>
            <w:tcBorders>
              <w:top w:val="single" w:color="auto" w:sz="4" w:space="0"/>
              <w:left w:val="single" w:color="auto" w:sz="4" w:space="0"/>
              <w:bottom w:val="single" w:color="auto" w:sz="4" w:space="0"/>
              <w:right w:val="single" w:color="auto" w:sz="4" w:space="0"/>
            </w:tcBorders>
            <w:vAlign w:val="center"/>
          </w:tcPr>
          <w:p w14:paraId="5097BFA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投标人具有较强的研发实力，获得高新技术企业认证证书，得2分。</w:t>
            </w:r>
          </w:p>
          <w:p w14:paraId="0138E0D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sz w:val="24"/>
                <w:highlight w:val="none"/>
              </w:rPr>
            </w:pPr>
            <w:r>
              <w:rPr>
                <w:rFonts w:hint="eastAsia" w:ascii="宋体" w:hAnsi="宋体" w:eastAsia="宋体" w:cs="宋体"/>
                <w:b/>
                <w:bCs/>
                <w:sz w:val="24"/>
                <w:szCs w:val="24"/>
                <w:highlight w:val="none"/>
              </w:rPr>
              <w:t>注：投标文件中提供证书扫描件。</w:t>
            </w:r>
          </w:p>
        </w:tc>
        <w:tc>
          <w:tcPr>
            <w:tcW w:w="1733" w:type="dxa"/>
            <w:tcBorders>
              <w:top w:val="single" w:color="auto" w:sz="4" w:space="0"/>
              <w:left w:val="single" w:color="auto" w:sz="4" w:space="0"/>
              <w:bottom w:val="single" w:color="auto" w:sz="4" w:space="0"/>
              <w:right w:val="single" w:color="auto" w:sz="4" w:space="0"/>
            </w:tcBorders>
            <w:vAlign w:val="center"/>
          </w:tcPr>
          <w:p w14:paraId="0A3C236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bCs/>
                <w:sz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2</w:t>
            </w:r>
            <w:r>
              <w:rPr>
                <w:rFonts w:hint="eastAsia" w:ascii="宋体" w:hAnsi="宋体" w:eastAsia="宋体" w:cs="宋体"/>
                <w:sz w:val="24"/>
                <w:szCs w:val="24"/>
                <w:highlight w:val="none"/>
              </w:rPr>
              <w:t>分</w:t>
            </w:r>
          </w:p>
        </w:tc>
      </w:tr>
      <w:tr w14:paraId="732E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41CF0E0B">
            <w:pPr>
              <w:spacing w:line="360" w:lineRule="auto"/>
              <w:ind w:firstLine="435"/>
              <w:jc w:val="center"/>
              <w:rPr>
                <w:rFonts w:hint="eastAsia" w:asciiTheme="minorEastAsia" w:hAnsiTheme="minorEastAsia" w:eastAsiaTheme="minorEastAsia"/>
                <w:b/>
                <w:bCs/>
                <w:sz w:val="24"/>
                <w:highlight w:val="none"/>
              </w:rPr>
            </w:pPr>
          </w:p>
        </w:tc>
        <w:tc>
          <w:tcPr>
            <w:tcW w:w="1886" w:type="dxa"/>
            <w:vMerge w:val="restart"/>
            <w:tcBorders>
              <w:top w:val="single" w:color="auto" w:sz="4" w:space="0"/>
              <w:left w:val="single" w:color="auto" w:sz="4" w:space="0"/>
              <w:bottom w:val="single" w:color="auto" w:sz="4" w:space="0"/>
              <w:right w:val="single" w:color="auto" w:sz="4" w:space="0"/>
            </w:tcBorders>
            <w:vAlign w:val="center"/>
          </w:tcPr>
          <w:p w14:paraId="3F5A8CF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sz w:val="24"/>
                <w:highlight w:val="none"/>
              </w:rPr>
            </w:pPr>
            <w:r>
              <w:rPr>
                <w:rFonts w:hint="eastAsia" w:ascii="宋体" w:hAnsi="宋体" w:eastAsia="宋体" w:cs="宋体"/>
                <w:sz w:val="24"/>
                <w:szCs w:val="24"/>
                <w:highlight w:val="none"/>
              </w:rPr>
              <w:t>数据中心、计算中心</w:t>
            </w:r>
          </w:p>
        </w:tc>
        <w:tc>
          <w:tcPr>
            <w:tcW w:w="4107" w:type="dxa"/>
            <w:tcBorders>
              <w:top w:val="single" w:color="auto" w:sz="4" w:space="0"/>
              <w:left w:val="single" w:color="auto" w:sz="4" w:space="0"/>
              <w:bottom w:val="single" w:color="auto" w:sz="4" w:space="0"/>
              <w:right w:val="single" w:color="auto" w:sz="4" w:space="0"/>
            </w:tcBorders>
            <w:vAlign w:val="center"/>
          </w:tcPr>
          <w:p w14:paraId="735BF41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bidi="ar"/>
              </w:rPr>
              <w:t>计算资源所在的</w:t>
            </w:r>
            <w:r>
              <w:rPr>
                <w:rFonts w:hint="eastAsia" w:ascii="宋体" w:hAnsi="宋体" w:eastAsia="宋体" w:cs="宋体"/>
                <w:color w:val="000000"/>
                <w:sz w:val="24"/>
                <w:szCs w:val="24"/>
                <w:highlight w:val="none"/>
                <w:lang w:val="en-US" w:eastAsia="zh-CN" w:bidi="ar"/>
              </w:rPr>
              <w:t>算力中心</w:t>
            </w:r>
            <w:r>
              <w:rPr>
                <w:rFonts w:hint="eastAsia" w:ascii="宋体" w:hAnsi="宋体" w:eastAsia="宋体" w:cs="宋体"/>
                <w:color w:val="000000"/>
                <w:sz w:val="24"/>
                <w:szCs w:val="24"/>
                <w:highlight w:val="none"/>
                <w:lang w:bidi="ar"/>
              </w:rPr>
              <w:t>具有较高冗余性和安全性，具有中国质量认证中心（简称CQC）颁发的数据中心场地基础设施评价B级或以上认证，</w:t>
            </w:r>
            <w:r>
              <w:rPr>
                <w:rFonts w:hint="eastAsia" w:ascii="宋体" w:hAnsi="宋体" w:eastAsia="宋体" w:cs="宋体"/>
                <w:sz w:val="24"/>
                <w:szCs w:val="24"/>
                <w:highlight w:val="none"/>
              </w:rPr>
              <w:t>证书状态为“有效”，得2分。</w:t>
            </w:r>
          </w:p>
          <w:p w14:paraId="5B271FC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sz w:val="24"/>
                <w:highlight w:val="none"/>
              </w:rPr>
            </w:pPr>
            <w:r>
              <w:rPr>
                <w:rFonts w:hint="eastAsia" w:ascii="宋体" w:hAnsi="宋体" w:eastAsia="宋体" w:cs="宋体"/>
                <w:b/>
                <w:bCs/>
                <w:sz w:val="24"/>
                <w:szCs w:val="24"/>
                <w:highlight w:val="none"/>
              </w:rPr>
              <w:t>注：投标文件中</w:t>
            </w:r>
            <w:r>
              <w:rPr>
                <w:rFonts w:hint="eastAsia" w:ascii="宋体" w:hAnsi="宋体" w:eastAsia="宋体" w:cs="宋体"/>
                <w:b/>
                <w:bCs/>
                <w:color w:val="000000"/>
                <w:sz w:val="24"/>
                <w:szCs w:val="24"/>
                <w:highlight w:val="none"/>
                <w:lang w:bidi="ar"/>
              </w:rPr>
              <w:t>提供证书扫描件并加盖投标人公章。</w:t>
            </w:r>
          </w:p>
        </w:tc>
        <w:tc>
          <w:tcPr>
            <w:tcW w:w="1733" w:type="dxa"/>
            <w:tcBorders>
              <w:top w:val="single" w:color="auto" w:sz="4" w:space="0"/>
              <w:left w:val="single" w:color="auto" w:sz="4" w:space="0"/>
              <w:bottom w:val="single" w:color="auto" w:sz="4" w:space="0"/>
              <w:right w:val="single" w:color="auto" w:sz="4" w:space="0"/>
            </w:tcBorders>
            <w:vAlign w:val="center"/>
          </w:tcPr>
          <w:p w14:paraId="5A3660D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bCs/>
                <w:sz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2</w:t>
            </w:r>
            <w:r>
              <w:rPr>
                <w:rFonts w:hint="eastAsia" w:ascii="宋体" w:hAnsi="宋体" w:eastAsia="宋体" w:cs="宋体"/>
                <w:sz w:val="24"/>
                <w:szCs w:val="24"/>
                <w:highlight w:val="none"/>
              </w:rPr>
              <w:t>分</w:t>
            </w:r>
          </w:p>
        </w:tc>
      </w:tr>
      <w:tr w14:paraId="3469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5892FD29">
            <w:pPr>
              <w:spacing w:line="360" w:lineRule="auto"/>
              <w:ind w:firstLine="435"/>
              <w:jc w:val="center"/>
              <w:rPr>
                <w:rFonts w:hint="eastAsia" w:asciiTheme="minorEastAsia" w:hAnsiTheme="minorEastAsia" w:eastAsiaTheme="minorEastAsia"/>
                <w:b/>
                <w:bCs/>
                <w:sz w:val="24"/>
                <w:highlight w:val="none"/>
              </w:rPr>
            </w:pPr>
          </w:p>
        </w:tc>
        <w:tc>
          <w:tcPr>
            <w:tcW w:w="1886" w:type="dxa"/>
            <w:vMerge w:val="continue"/>
            <w:tcBorders>
              <w:top w:val="single" w:color="auto" w:sz="4" w:space="0"/>
              <w:left w:val="single" w:color="auto" w:sz="4" w:space="0"/>
              <w:bottom w:val="single" w:color="auto" w:sz="4" w:space="0"/>
              <w:right w:val="single" w:color="auto" w:sz="4" w:space="0"/>
            </w:tcBorders>
            <w:vAlign w:val="center"/>
          </w:tcPr>
          <w:p w14:paraId="1A06F7E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sz w:val="24"/>
                <w:highlight w:val="none"/>
              </w:rPr>
            </w:pPr>
          </w:p>
        </w:tc>
        <w:tc>
          <w:tcPr>
            <w:tcW w:w="4107" w:type="dxa"/>
            <w:tcBorders>
              <w:top w:val="single" w:color="auto" w:sz="4" w:space="0"/>
              <w:left w:val="single" w:color="auto" w:sz="4" w:space="0"/>
              <w:bottom w:val="single" w:color="auto" w:sz="4" w:space="0"/>
              <w:right w:val="single" w:color="auto" w:sz="4" w:space="0"/>
            </w:tcBorders>
            <w:vAlign w:val="center"/>
          </w:tcPr>
          <w:p w14:paraId="0136AD8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支持节能环保，投标人所投的</w:t>
            </w:r>
            <w:r>
              <w:rPr>
                <w:rFonts w:hint="eastAsia" w:ascii="宋体" w:hAnsi="宋体" w:eastAsia="宋体" w:cs="宋体"/>
                <w:color w:val="000000"/>
                <w:sz w:val="24"/>
                <w:szCs w:val="24"/>
                <w:highlight w:val="none"/>
                <w:lang w:bidi="ar"/>
              </w:rPr>
              <w:t>计算资源所在的</w:t>
            </w:r>
            <w:r>
              <w:rPr>
                <w:rFonts w:hint="eastAsia" w:ascii="宋体" w:hAnsi="宋体" w:eastAsia="宋体" w:cs="宋体"/>
                <w:sz w:val="24"/>
                <w:szCs w:val="24"/>
                <w:highlight w:val="none"/>
              </w:rPr>
              <w:t>数据中心PUE值应≤1.3，得2分，否则不得分。</w:t>
            </w:r>
          </w:p>
          <w:p w14:paraId="48AFA5E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sz w:val="24"/>
                <w:highlight w:val="none"/>
              </w:rPr>
            </w:pPr>
            <w:r>
              <w:rPr>
                <w:rFonts w:hint="eastAsia" w:ascii="宋体" w:hAnsi="宋体" w:eastAsia="宋体" w:cs="宋体"/>
                <w:b/>
                <w:bCs/>
                <w:sz w:val="24"/>
                <w:szCs w:val="24"/>
                <w:highlight w:val="none"/>
              </w:rPr>
              <w:t>注：投标文件中提供数据中心设计时PUE计算书，并加盖</w:t>
            </w:r>
            <w:r>
              <w:rPr>
                <w:rFonts w:hint="eastAsia" w:ascii="宋体" w:hAnsi="宋体" w:eastAsia="宋体" w:cs="宋体"/>
                <w:b/>
                <w:bCs/>
                <w:sz w:val="24"/>
                <w:szCs w:val="24"/>
                <w:highlight w:val="none"/>
                <w:lang w:val="en-US" w:eastAsia="zh-CN"/>
              </w:rPr>
              <w:t>算力</w:t>
            </w:r>
            <w:r>
              <w:rPr>
                <w:rFonts w:hint="eastAsia" w:ascii="宋体" w:hAnsi="宋体" w:eastAsia="宋体" w:cs="宋体"/>
                <w:b/>
                <w:bCs/>
                <w:sz w:val="24"/>
                <w:szCs w:val="24"/>
                <w:highlight w:val="none"/>
              </w:rPr>
              <w:t>中心运营主体单位公章。</w:t>
            </w:r>
          </w:p>
        </w:tc>
        <w:tc>
          <w:tcPr>
            <w:tcW w:w="1733" w:type="dxa"/>
            <w:tcBorders>
              <w:top w:val="single" w:color="auto" w:sz="4" w:space="0"/>
              <w:left w:val="single" w:color="auto" w:sz="4" w:space="0"/>
              <w:bottom w:val="single" w:color="auto" w:sz="4" w:space="0"/>
              <w:right w:val="single" w:color="auto" w:sz="4" w:space="0"/>
            </w:tcBorders>
            <w:vAlign w:val="center"/>
          </w:tcPr>
          <w:p w14:paraId="55B24E1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bCs/>
                <w:sz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2</w:t>
            </w:r>
            <w:r>
              <w:rPr>
                <w:rFonts w:hint="eastAsia" w:ascii="宋体" w:hAnsi="宋体" w:eastAsia="宋体" w:cs="宋体"/>
                <w:sz w:val="24"/>
                <w:szCs w:val="24"/>
                <w:highlight w:val="none"/>
              </w:rPr>
              <w:t>分</w:t>
            </w:r>
          </w:p>
        </w:tc>
      </w:tr>
      <w:tr w14:paraId="2922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5BFF01D7">
            <w:pPr>
              <w:spacing w:line="360" w:lineRule="auto"/>
              <w:ind w:firstLine="435"/>
              <w:jc w:val="center"/>
              <w:rPr>
                <w:rFonts w:hint="eastAsia" w:asciiTheme="minorEastAsia" w:hAnsiTheme="minorEastAsia" w:eastAsiaTheme="minorEastAsia"/>
                <w:b/>
                <w:bCs/>
                <w:sz w:val="24"/>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14:paraId="4CE7597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p>
          <w:p w14:paraId="1BE7B2B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sz w:val="24"/>
                <w:highlight w:val="none"/>
              </w:rPr>
            </w:pPr>
            <w:r>
              <w:rPr>
                <w:rFonts w:hint="eastAsia" w:ascii="宋体" w:hAnsi="宋体" w:eastAsia="宋体" w:cs="宋体"/>
                <w:sz w:val="24"/>
                <w:szCs w:val="24"/>
                <w:highlight w:val="none"/>
              </w:rPr>
              <w:t>业绩</w:t>
            </w:r>
          </w:p>
        </w:tc>
        <w:tc>
          <w:tcPr>
            <w:tcW w:w="4107" w:type="dxa"/>
            <w:tcBorders>
              <w:top w:val="single" w:color="auto" w:sz="4" w:space="0"/>
              <w:left w:val="single" w:color="auto" w:sz="4" w:space="0"/>
              <w:bottom w:val="single" w:color="auto" w:sz="4" w:space="0"/>
              <w:right w:val="single" w:color="auto" w:sz="4" w:space="0"/>
            </w:tcBorders>
            <w:vAlign w:val="center"/>
          </w:tcPr>
          <w:p w14:paraId="6AC6F55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投标人具备高性能计算服务经验，提供为2021年1月1日（以合同签订时间为准）以后的计算（算力）资源服务的有效业绩合同证明并加盖投标人公章，每提供一份合同得1分，本项最高得5分，不提供不得分。</w:t>
            </w:r>
          </w:p>
          <w:p w14:paraId="70ADA84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sz w:val="24"/>
                <w:highlight w:val="none"/>
              </w:rPr>
            </w:pPr>
            <w:r>
              <w:rPr>
                <w:rFonts w:hint="eastAsia" w:ascii="宋体" w:hAnsi="宋体" w:eastAsia="宋体" w:cs="宋体"/>
                <w:b/>
                <w:bCs/>
                <w:sz w:val="24"/>
                <w:szCs w:val="24"/>
                <w:highlight w:val="none"/>
              </w:rPr>
              <w:t>注：投标文件中提供业绩合同扫描件或影印件，如合同中不能明确反映合同时间、项目内容等信息的，须另附业主证明等相关证明材料。若上述材料中无法体现评审要素时，须提供业绩项目招标文件关键页及中标通知书，并加投标人公章。</w:t>
            </w:r>
          </w:p>
        </w:tc>
        <w:tc>
          <w:tcPr>
            <w:tcW w:w="1733" w:type="dxa"/>
            <w:tcBorders>
              <w:top w:val="single" w:color="auto" w:sz="4" w:space="0"/>
              <w:left w:val="single" w:color="auto" w:sz="4" w:space="0"/>
              <w:bottom w:val="single" w:color="auto" w:sz="4" w:space="0"/>
              <w:right w:val="single" w:color="auto" w:sz="4" w:space="0"/>
            </w:tcBorders>
            <w:vAlign w:val="center"/>
          </w:tcPr>
          <w:p w14:paraId="2665C42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bCs/>
                <w:sz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分</w:t>
            </w:r>
          </w:p>
        </w:tc>
      </w:tr>
      <w:tr w14:paraId="74DF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30D20025">
            <w:pPr>
              <w:spacing w:line="360" w:lineRule="auto"/>
              <w:ind w:firstLine="435"/>
              <w:jc w:val="center"/>
              <w:rPr>
                <w:rFonts w:hint="eastAsia" w:asciiTheme="minorEastAsia" w:hAnsiTheme="minorEastAsia" w:eastAsiaTheme="minorEastAsia"/>
                <w:b/>
                <w:bCs/>
                <w:sz w:val="24"/>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14:paraId="035C6A4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sz w:val="24"/>
                <w:highlight w:val="none"/>
              </w:rPr>
            </w:pPr>
            <w:r>
              <w:rPr>
                <w:rFonts w:hint="eastAsia" w:ascii="宋体" w:hAnsi="宋体" w:eastAsia="宋体" w:cs="宋体"/>
                <w:sz w:val="24"/>
                <w:szCs w:val="24"/>
                <w:highlight w:val="none"/>
              </w:rPr>
              <w:t>响应情况</w:t>
            </w:r>
          </w:p>
        </w:tc>
        <w:tc>
          <w:tcPr>
            <w:tcW w:w="4107" w:type="dxa"/>
            <w:tcBorders>
              <w:top w:val="single" w:color="auto" w:sz="4" w:space="0"/>
              <w:left w:val="single" w:color="auto" w:sz="4" w:space="0"/>
              <w:bottom w:val="single" w:color="auto" w:sz="4" w:space="0"/>
              <w:right w:val="single" w:color="auto" w:sz="4" w:space="0"/>
            </w:tcBorders>
            <w:vAlign w:val="center"/>
          </w:tcPr>
          <w:p w14:paraId="4944261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“第三章 采购需求”中带★为实质性要求，不满足做投标无效处理，共</w:t>
            </w:r>
            <w:r>
              <w:rPr>
                <w:rFonts w:hint="eastAsia" w:cs="宋体"/>
                <w:sz w:val="24"/>
                <w:szCs w:val="24"/>
                <w:highlight w:val="none"/>
                <w:lang w:val="en-US" w:eastAsia="zh-CN"/>
              </w:rPr>
              <w:t>6</w:t>
            </w:r>
            <w:r>
              <w:rPr>
                <w:rFonts w:hint="eastAsia" w:ascii="宋体" w:hAnsi="宋体" w:eastAsia="宋体" w:cs="宋体"/>
                <w:sz w:val="24"/>
                <w:szCs w:val="24"/>
                <w:highlight w:val="none"/>
              </w:rPr>
              <w:t>项；</w:t>
            </w:r>
          </w:p>
          <w:p w14:paraId="4921CD0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▲代表重要指标，每有一条不满足扣3分，共6项；</w:t>
            </w:r>
          </w:p>
          <w:p w14:paraId="6799177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无标识则表示一般指标项，每有一条不满足扣1分；</w:t>
            </w:r>
          </w:p>
          <w:p w14:paraId="358A5DA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本项最低扣至0分，本项最高得30分。</w:t>
            </w:r>
          </w:p>
          <w:p w14:paraId="5B3E141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sz w:val="24"/>
                <w:highlight w:val="none"/>
              </w:rPr>
            </w:pPr>
            <w:r>
              <w:rPr>
                <w:rFonts w:hint="eastAsia" w:ascii="宋体" w:hAnsi="宋体" w:eastAsia="宋体" w:cs="宋体"/>
                <w:b/>
                <w:bCs/>
                <w:sz w:val="24"/>
                <w:szCs w:val="24"/>
                <w:highlight w:val="none"/>
              </w:rPr>
              <w:t>注：评标委员会以投标文件中的技术响应表响应情况进行评审，“第三章 采购需求”明确要求提供承诺或证明材料的，投标人须对应提供，否则视为未响应。</w:t>
            </w:r>
          </w:p>
        </w:tc>
        <w:tc>
          <w:tcPr>
            <w:tcW w:w="1733" w:type="dxa"/>
            <w:tcBorders>
              <w:top w:val="single" w:color="auto" w:sz="4" w:space="0"/>
              <w:left w:val="single" w:color="auto" w:sz="4" w:space="0"/>
              <w:bottom w:val="single" w:color="auto" w:sz="4" w:space="0"/>
              <w:right w:val="single" w:color="auto" w:sz="4" w:space="0"/>
            </w:tcBorders>
            <w:vAlign w:val="center"/>
          </w:tcPr>
          <w:p w14:paraId="46F9B6A0">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bCs/>
                <w:sz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30</w:t>
            </w:r>
            <w:r>
              <w:rPr>
                <w:rFonts w:hint="eastAsia" w:ascii="宋体" w:hAnsi="宋体" w:eastAsia="宋体" w:cs="宋体"/>
                <w:sz w:val="24"/>
                <w:szCs w:val="24"/>
                <w:highlight w:val="none"/>
              </w:rPr>
              <w:t>分</w:t>
            </w:r>
          </w:p>
        </w:tc>
      </w:tr>
      <w:tr w14:paraId="0D69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4EF35B29">
            <w:pPr>
              <w:spacing w:line="360" w:lineRule="auto"/>
              <w:ind w:firstLine="435"/>
              <w:jc w:val="center"/>
              <w:rPr>
                <w:rFonts w:hint="eastAsia" w:asciiTheme="minorEastAsia" w:hAnsiTheme="minorEastAsia" w:eastAsiaTheme="minorEastAsia"/>
                <w:b/>
                <w:bCs/>
                <w:sz w:val="24"/>
                <w:highlight w:val="none"/>
              </w:rPr>
            </w:pPr>
          </w:p>
        </w:tc>
        <w:tc>
          <w:tcPr>
            <w:tcW w:w="1886" w:type="dxa"/>
            <w:vMerge w:val="restart"/>
            <w:tcBorders>
              <w:top w:val="single" w:color="auto" w:sz="4" w:space="0"/>
              <w:left w:val="single" w:color="auto" w:sz="4" w:space="0"/>
              <w:bottom w:val="single" w:color="auto" w:sz="4" w:space="0"/>
              <w:right w:val="single" w:color="auto" w:sz="4" w:space="0"/>
            </w:tcBorders>
            <w:vAlign w:val="center"/>
          </w:tcPr>
          <w:p w14:paraId="68FD0CD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sz w:val="24"/>
                <w:highlight w:val="none"/>
              </w:rPr>
            </w:pPr>
            <w:r>
              <w:rPr>
                <w:rFonts w:hint="eastAsia" w:ascii="宋体" w:hAnsi="宋体" w:eastAsia="宋体" w:cs="宋体"/>
                <w:bCs/>
                <w:sz w:val="24"/>
                <w:szCs w:val="24"/>
                <w:highlight w:val="none"/>
              </w:rPr>
              <w:t>技术能力</w:t>
            </w:r>
          </w:p>
        </w:tc>
        <w:tc>
          <w:tcPr>
            <w:tcW w:w="4107" w:type="dxa"/>
            <w:tcBorders>
              <w:top w:val="single" w:color="auto" w:sz="4" w:space="0"/>
              <w:left w:val="single" w:color="auto" w:sz="4" w:space="0"/>
              <w:bottom w:val="single" w:color="auto" w:sz="4" w:space="0"/>
              <w:right w:val="single" w:color="auto" w:sz="4" w:space="0"/>
            </w:tcBorders>
            <w:vAlign w:val="center"/>
          </w:tcPr>
          <w:p w14:paraId="452F461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计算资源所在</w:t>
            </w:r>
            <w:r>
              <w:rPr>
                <w:rFonts w:hint="eastAsia" w:ascii="宋体" w:hAnsi="宋体" w:eastAsia="宋体" w:cs="宋体"/>
                <w:sz w:val="24"/>
                <w:szCs w:val="24"/>
                <w:highlight w:val="none"/>
                <w:lang w:val="en-US" w:eastAsia="zh-CN"/>
              </w:rPr>
              <w:t>算力</w:t>
            </w:r>
            <w:r>
              <w:rPr>
                <w:rFonts w:hint="eastAsia" w:ascii="宋体" w:hAnsi="宋体" w:eastAsia="宋体" w:cs="宋体"/>
                <w:sz w:val="24"/>
                <w:szCs w:val="24"/>
                <w:highlight w:val="none"/>
              </w:rPr>
              <w:t>中心建成时具有丰富的资源扩展，依据单</w:t>
            </w:r>
            <w:r>
              <w:rPr>
                <w:rFonts w:hint="eastAsia" w:ascii="宋体" w:hAnsi="宋体" w:eastAsia="宋体" w:cs="宋体"/>
                <w:sz w:val="24"/>
                <w:szCs w:val="24"/>
                <w:highlight w:val="none"/>
                <w:lang w:val="en-US" w:eastAsia="zh-CN"/>
              </w:rPr>
              <w:t>算力</w:t>
            </w:r>
            <w:r>
              <w:rPr>
                <w:rFonts w:hint="eastAsia" w:ascii="宋体" w:hAnsi="宋体" w:eastAsia="宋体" w:cs="宋体"/>
                <w:sz w:val="24"/>
                <w:szCs w:val="24"/>
                <w:highlight w:val="none"/>
              </w:rPr>
              <w:t xml:space="preserve">中心的同型号X86 </w:t>
            </w:r>
            <w:r>
              <w:rPr>
                <w:rFonts w:hint="eastAsia" w:ascii="宋体" w:hAnsi="宋体" w:eastAsia="宋体" w:cs="宋体"/>
                <w:sz w:val="24"/>
                <w:szCs w:val="24"/>
                <w:highlight w:val="none"/>
                <w:lang w:val="en-US" w:eastAsia="zh-CN"/>
              </w:rPr>
              <w:t>架构（或同等级同架构）</w:t>
            </w:r>
            <w:r>
              <w:rPr>
                <w:rFonts w:hint="eastAsia" w:ascii="宋体" w:hAnsi="宋体" w:eastAsia="宋体" w:cs="宋体"/>
                <w:sz w:val="24"/>
                <w:szCs w:val="24"/>
                <w:highlight w:val="none"/>
              </w:rPr>
              <w:t>CPU即时峰值核心数评分，5万≤核心数＜10万，得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分；10万≤核心数＜15万，得3分；15万≤核心数，得5分；其他不得分。</w:t>
            </w:r>
          </w:p>
          <w:p w14:paraId="229CF27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sz w:val="24"/>
                <w:highlight w:val="none"/>
              </w:rPr>
            </w:pPr>
            <w:r>
              <w:rPr>
                <w:rFonts w:hint="eastAsia" w:ascii="宋体" w:hAnsi="宋体" w:eastAsia="宋体" w:cs="宋体"/>
                <w:b/>
                <w:bCs/>
                <w:sz w:val="24"/>
                <w:szCs w:val="24"/>
                <w:highlight w:val="none"/>
              </w:rPr>
              <w:t>注：投标文件中提供</w:t>
            </w:r>
            <w:r>
              <w:rPr>
                <w:rFonts w:hint="eastAsia" w:ascii="宋体" w:hAnsi="宋体" w:eastAsia="宋体" w:cs="宋体"/>
                <w:b/>
                <w:bCs/>
                <w:sz w:val="24"/>
                <w:szCs w:val="24"/>
                <w:highlight w:val="none"/>
                <w:lang w:val="en-US" w:eastAsia="zh-CN"/>
              </w:rPr>
              <w:t>算力</w:t>
            </w:r>
            <w:r>
              <w:rPr>
                <w:rFonts w:hint="eastAsia" w:ascii="宋体" w:hAnsi="宋体" w:eastAsia="宋体" w:cs="宋体"/>
                <w:b/>
                <w:bCs/>
                <w:sz w:val="24"/>
                <w:szCs w:val="24"/>
                <w:highlight w:val="none"/>
              </w:rPr>
              <w:t>中心运营主体承诺函，并加盖</w:t>
            </w:r>
            <w:r>
              <w:rPr>
                <w:rFonts w:hint="eastAsia" w:ascii="宋体" w:hAnsi="宋体" w:eastAsia="宋体" w:cs="宋体"/>
                <w:b/>
                <w:bCs/>
                <w:sz w:val="24"/>
                <w:szCs w:val="24"/>
                <w:highlight w:val="none"/>
                <w:lang w:val="en-US" w:eastAsia="zh-CN"/>
              </w:rPr>
              <w:t>算力</w:t>
            </w:r>
            <w:r>
              <w:rPr>
                <w:rFonts w:hint="eastAsia" w:ascii="宋体" w:hAnsi="宋体" w:eastAsia="宋体" w:cs="宋体"/>
                <w:b/>
                <w:bCs/>
                <w:sz w:val="24"/>
                <w:szCs w:val="24"/>
                <w:highlight w:val="none"/>
              </w:rPr>
              <w:t>中心运营主体单位公章。</w:t>
            </w:r>
          </w:p>
        </w:tc>
        <w:tc>
          <w:tcPr>
            <w:tcW w:w="1733" w:type="dxa"/>
            <w:tcBorders>
              <w:top w:val="single" w:color="auto" w:sz="4" w:space="0"/>
              <w:left w:val="single" w:color="auto" w:sz="4" w:space="0"/>
              <w:bottom w:val="single" w:color="auto" w:sz="4" w:space="0"/>
              <w:right w:val="single" w:color="auto" w:sz="4" w:space="0"/>
            </w:tcBorders>
            <w:vAlign w:val="center"/>
          </w:tcPr>
          <w:p w14:paraId="10399DD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bCs/>
                <w:sz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分</w:t>
            </w:r>
          </w:p>
        </w:tc>
      </w:tr>
      <w:tr w14:paraId="55AF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12B4992D">
            <w:pPr>
              <w:spacing w:line="360" w:lineRule="auto"/>
              <w:ind w:firstLine="435"/>
              <w:jc w:val="center"/>
              <w:rPr>
                <w:rFonts w:hint="eastAsia" w:asciiTheme="minorEastAsia" w:hAnsiTheme="minorEastAsia" w:eastAsiaTheme="minorEastAsia"/>
                <w:b/>
                <w:bCs/>
                <w:sz w:val="24"/>
                <w:highlight w:val="none"/>
              </w:rPr>
            </w:pPr>
          </w:p>
        </w:tc>
        <w:tc>
          <w:tcPr>
            <w:tcW w:w="1886" w:type="dxa"/>
            <w:vMerge w:val="continue"/>
            <w:tcBorders>
              <w:top w:val="single" w:color="auto" w:sz="4" w:space="0"/>
              <w:left w:val="single" w:color="auto" w:sz="4" w:space="0"/>
              <w:bottom w:val="single" w:color="auto" w:sz="4" w:space="0"/>
              <w:right w:val="single" w:color="auto" w:sz="4" w:space="0"/>
            </w:tcBorders>
            <w:vAlign w:val="center"/>
          </w:tcPr>
          <w:p w14:paraId="35651DC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sz w:val="24"/>
                <w:highlight w:val="none"/>
              </w:rPr>
            </w:pPr>
          </w:p>
        </w:tc>
        <w:tc>
          <w:tcPr>
            <w:tcW w:w="4107" w:type="dxa"/>
            <w:tcBorders>
              <w:top w:val="single" w:color="auto" w:sz="4" w:space="0"/>
              <w:left w:val="single" w:color="auto" w:sz="4" w:space="0"/>
              <w:bottom w:val="single" w:color="auto" w:sz="4" w:space="0"/>
              <w:right w:val="single" w:color="auto" w:sz="4" w:space="0"/>
            </w:tcBorders>
            <w:vAlign w:val="center"/>
          </w:tcPr>
          <w:p w14:paraId="5FFE492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计算资源所在</w:t>
            </w:r>
            <w:r>
              <w:rPr>
                <w:rFonts w:hint="eastAsia" w:ascii="宋体" w:hAnsi="宋体" w:eastAsia="宋体" w:cs="宋体"/>
                <w:sz w:val="24"/>
                <w:szCs w:val="24"/>
                <w:highlight w:val="none"/>
                <w:lang w:val="en-US" w:eastAsia="zh-CN"/>
              </w:rPr>
              <w:t>算力</w:t>
            </w:r>
            <w:r>
              <w:rPr>
                <w:rFonts w:hint="eastAsia" w:ascii="宋体" w:hAnsi="宋体" w:eastAsia="宋体" w:cs="宋体"/>
                <w:sz w:val="24"/>
                <w:szCs w:val="24"/>
                <w:highlight w:val="none"/>
              </w:rPr>
              <w:t>中心具有国产众核加速器且适配气象相关模型的，得5分，否则不得分。</w:t>
            </w:r>
          </w:p>
          <w:p w14:paraId="56D5ED58">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sz w:val="24"/>
                <w:highlight w:val="none"/>
              </w:rPr>
            </w:pPr>
            <w:r>
              <w:rPr>
                <w:rFonts w:hint="eastAsia" w:ascii="宋体" w:hAnsi="宋体" w:eastAsia="宋体" w:cs="宋体"/>
                <w:b/>
                <w:bCs/>
                <w:sz w:val="24"/>
                <w:szCs w:val="24"/>
                <w:highlight w:val="none"/>
              </w:rPr>
              <w:t>注：投标文件中提供相关证明材料并加盖</w:t>
            </w:r>
            <w:r>
              <w:rPr>
                <w:rFonts w:hint="eastAsia" w:ascii="宋体" w:hAnsi="宋体" w:eastAsia="宋体" w:cs="宋体"/>
                <w:b/>
                <w:bCs/>
                <w:sz w:val="24"/>
                <w:szCs w:val="24"/>
                <w:highlight w:val="none"/>
                <w:lang w:val="en-US" w:eastAsia="zh-CN"/>
              </w:rPr>
              <w:t>算力</w:t>
            </w:r>
            <w:r>
              <w:rPr>
                <w:rFonts w:hint="eastAsia" w:ascii="宋体" w:hAnsi="宋体" w:eastAsia="宋体" w:cs="宋体"/>
                <w:b/>
                <w:bCs/>
                <w:sz w:val="24"/>
                <w:szCs w:val="24"/>
                <w:highlight w:val="none"/>
              </w:rPr>
              <w:t>中心运营主体单位公章。</w:t>
            </w:r>
          </w:p>
        </w:tc>
        <w:tc>
          <w:tcPr>
            <w:tcW w:w="1733" w:type="dxa"/>
            <w:tcBorders>
              <w:top w:val="single" w:color="auto" w:sz="4" w:space="0"/>
              <w:left w:val="single" w:color="auto" w:sz="4" w:space="0"/>
              <w:bottom w:val="single" w:color="auto" w:sz="4" w:space="0"/>
              <w:right w:val="single" w:color="auto" w:sz="4" w:space="0"/>
            </w:tcBorders>
            <w:vAlign w:val="center"/>
          </w:tcPr>
          <w:p w14:paraId="439C13C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bCs/>
                <w:sz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分</w:t>
            </w:r>
          </w:p>
        </w:tc>
      </w:tr>
      <w:tr w14:paraId="502D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40FEAC03">
            <w:pPr>
              <w:spacing w:line="360" w:lineRule="auto"/>
              <w:ind w:firstLine="435"/>
              <w:jc w:val="center"/>
              <w:rPr>
                <w:rFonts w:hint="eastAsia" w:asciiTheme="minorEastAsia" w:hAnsiTheme="minorEastAsia" w:eastAsiaTheme="minorEastAsia"/>
                <w:b/>
                <w:bCs/>
                <w:sz w:val="24"/>
                <w:highlight w:val="none"/>
              </w:rPr>
            </w:pPr>
          </w:p>
        </w:tc>
        <w:tc>
          <w:tcPr>
            <w:tcW w:w="1886" w:type="dxa"/>
            <w:vMerge w:val="continue"/>
            <w:tcBorders>
              <w:top w:val="single" w:color="auto" w:sz="4" w:space="0"/>
              <w:left w:val="single" w:color="auto" w:sz="4" w:space="0"/>
              <w:bottom w:val="single" w:color="auto" w:sz="4" w:space="0"/>
              <w:right w:val="single" w:color="auto" w:sz="4" w:space="0"/>
            </w:tcBorders>
            <w:vAlign w:val="center"/>
          </w:tcPr>
          <w:p w14:paraId="0519CE8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sz w:val="24"/>
                <w:highlight w:val="none"/>
              </w:rPr>
            </w:pPr>
          </w:p>
        </w:tc>
        <w:tc>
          <w:tcPr>
            <w:tcW w:w="4107" w:type="dxa"/>
            <w:tcBorders>
              <w:top w:val="single" w:color="auto" w:sz="4" w:space="0"/>
              <w:left w:val="single" w:color="auto" w:sz="4" w:space="0"/>
              <w:bottom w:val="single" w:color="auto" w:sz="4" w:space="0"/>
              <w:right w:val="single" w:color="auto" w:sz="4" w:space="0"/>
            </w:tcBorders>
            <w:vAlign w:val="center"/>
          </w:tcPr>
          <w:p w14:paraId="687F50D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投标人远程视频演示用户方提供的测试软件实际运行情况。现场演示环节计算资源调度顺畅，演示程序运行正常，得5分，其他不得分。</w:t>
            </w:r>
          </w:p>
          <w:p w14:paraId="3ECB83A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注：演示说明及程序需要达到的要求说明详见招标文件附件。</w:t>
            </w:r>
          </w:p>
          <w:p w14:paraId="040A6ED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关于远程视频演示部分说明：</w:t>
            </w:r>
          </w:p>
          <w:p w14:paraId="2C54D20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（一）陈述方式：本项目采用线上腾讯会议的方式进行远程视频演示，请投标人提前下载相关软件并保持电话畅通，如因未接收演示通知或因网络等问题产生的不良后果由投标人自行承担。</w:t>
            </w:r>
          </w:p>
          <w:p w14:paraId="29727BD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（二）演示顺序：根据评审系统顺序依次进行，以现场代理机构通知为准。</w:t>
            </w:r>
          </w:p>
          <w:p w14:paraId="498DC82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如投标人自愿放弃演示，由此带来的一切不利于投标人的后果由投标人自行承担。</w:t>
            </w:r>
          </w:p>
        </w:tc>
        <w:tc>
          <w:tcPr>
            <w:tcW w:w="1733" w:type="dxa"/>
            <w:tcBorders>
              <w:top w:val="single" w:color="auto" w:sz="4" w:space="0"/>
              <w:left w:val="single" w:color="auto" w:sz="4" w:space="0"/>
              <w:bottom w:val="single" w:color="auto" w:sz="4" w:space="0"/>
              <w:right w:val="single" w:color="auto" w:sz="4" w:space="0"/>
            </w:tcBorders>
            <w:vAlign w:val="center"/>
          </w:tcPr>
          <w:p w14:paraId="3E9E0B8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bCs/>
                <w:sz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分</w:t>
            </w:r>
          </w:p>
        </w:tc>
      </w:tr>
      <w:tr w14:paraId="3530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001833AE">
            <w:pPr>
              <w:spacing w:line="360" w:lineRule="auto"/>
              <w:ind w:firstLine="435"/>
              <w:jc w:val="center"/>
              <w:rPr>
                <w:rFonts w:hint="eastAsia" w:asciiTheme="minorEastAsia" w:hAnsiTheme="minorEastAsia" w:eastAsiaTheme="minorEastAsia"/>
                <w:b/>
                <w:bCs/>
                <w:sz w:val="24"/>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14:paraId="3B835B5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sz w:val="24"/>
                <w:highlight w:val="none"/>
              </w:rPr>
            </w:pPr>
            <w:r>
              <w:rPr>
                <w:rFonts w:hint="eastAsia" w:ascii="宋体" w:hAnsi="宋体" w:eastAsia="宋体" w:cs="宋体"/>
                <w:sz w:val="24"/>
                <w:szCs w:val="24"/>
                <w:highlight w:val="none"/>
              </w:rPr>
              <w:t>项目人员能力</w:t>
            </w:r>
          </w:p>
        </w:tc>
        <w:tc>
          <w:tcPr>
            <w:tcW w:w="4107" w:type="dxa"/>
            <w:tcBorders>
              <w:top w:val="single" w:color="auto" w:sz="4" w:space="0"/>
              <w:left w:val="single" w:color="auto" w:sz="4" w:space="0"/>
              <w:bottom w:val="single" w:color="auto" w:sz="4" w:space="0"/>
              <w:right w:val="single" w:color="auto" w:sz="4" w:space="0"/>
            </w:tcBorders>
            <w:vAlign w:val="center"/>
          </w:tcPr>
          <w:p w14:paraId="14303F7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投标人拟派项目经理具有项目管理专业人员（PMP）资格认证证书，投标时提供相关证书扫描件及近6个月的社保证明</w:t>
            </w:r>
            <w:r>
              <w:rPr>
                <w:rFonts w:hint="eastAsia" w:ascii="宋体" w:hAnsi="宋体" w:eastAsia="宋体" w:cs="宋体"/>
                <w:color w:val="000000"/>
                <w:sz w:val="24"/>
                <w:szCs w:val="24"/>
                <w:highlight w:val="none"/>
                <w:lang w:bidi="ar"/>
              </w:rPr>
              <w:t>得2分</w:t>
            </w:r>
            <w:r>
              <w:rPr>
                <w:rFonts w:hint="eastAsia" w:ascii="宋体" w:hAnsi="宋体" w:eastAsia="宋体" w:cs="宋体"/>
                <w:sz w:val="24"/>
                <w:szCs w:val="24"/>
                <w:highlight w:val="none"/>
              </w:rPr>
              <w:t>，不提供不得分。</w:t>
            </w:r>
          </w:p>
          <w:p w14:paraId="00ABD53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sz w:val="24"/>
                <w:highlight w:val="none"/>
              </w:rPr>
            </w:pPr>
            <w:r>
              <w:rPr>
                <w:rFonts w:hint="eastAsia" w:ascii="宋体" w:hAnsi="宋体" w:eastAsia="宋体" w:cs="宋体"/>
                <w:sz w:val="24"/>
                <w:szCs w:val="24"/>
                <w:highlight w:val="none"/>
              </w:rPr>
              <w:t>投标人拟派项目经理承诺能够常驻项目现场的得3分，须提供书面承诺并加盖投标人单位公章。</w:t>
            </w:r>
          </w:p>
        </w:tc>
        <w:tc>
          <w:tcPr>
            <w:tcW w:w="1733" w:type="dxa"/>
            <w:tcBorders>
              <w:top w:val="single" w:color="auto" w:sz="4" w:space="0"/>
              <w:left w:val="single" w:color="auto" w:sz="4" w:space="0"/>
              <w:bottom w:val="single" w:color="auto" w:sz="4" w:space="0"/>
              <w:right w:val="single" w:color="auto" w:sz="4" w:space="0"/>
            </w:tcBorders>
            <w:vAlign w:val="center"/>
          </w:tcPr>
          <w:p w14:paraId="36CB6D6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bCs/>
                <w:sz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分</w:t>
            </w:r>
          </w:p>
        </w:tc>
      </w:tr>
      <w:tr w14:paraId="6898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3FB47EBA">
            <w:pPr>
              <w:spacing w:line="360" w:lineRule="auto"/>
              <w:ind w:firstLine="435"/>
              <w:jc w:val="center"/>
              <w:rPr>
                <w:rFonts w:hint="eastAsia" w:asciiTheme="minorEastAsia" w:hAnsiTheme="minorEastAsia" w:eastAsiaTheme="minorEastAsia"/>
                <w:b/>
                <w:bCs/>
                <w:sz w:val="24"/>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14:paraId="0A6E746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资源投入能力</w:t>
            </w:r>
          </w:p>
        </w:tc>
        <w:tc>
          <w:tcPr>
            <w:tcW w:w="4107" w:type="dxa"/>
            <w:tcBorders>
              <w:top w:val="single" w:color="auto" w:sz="4" w:space="0"/>
              <w:left w:val="single" w:color="auto" w:sz="4" w:space="0"/>
              <w:bottom w:val="single" w:color="auto" w:sz="4" w:space="0"/>
              <w:right w:val="single" w:color="auto" w:sz="4" w:space="0"/>
            </w:tcBorders>
            <w:vAlign w:val="center"/>
          </w:tcPr>
          <w:p w14:paraId="347C8D6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ascii="宋体" w:hAnsi="宋体" w:eastAsia="宋体" w:cs="宋体"/>
                <w:sz w:val="24"/>
                <w:szCs w:val="24"/>
                <w:highlight w:val="none"/>
              </w:rPr>
              <w:t>根据投标人提供的弹性计算节点配置方案进行评分，基准配置为</w:t>
            </w:r>
            <w:r>
              <w:rPr>
                <w:rFonts w:hint="eastAsia" w:ascii="宋体" w:hAnsi="宋体" w:eastAsia="宋体" w:cs="宋体"/>
                <w:sz w:val="24"/>
                <w:szCs w:val="24"/>
                <w:highlight w:val="none"/>
              </w:rPr>
              <w:t>60</w:t>
            </w:r>
            <w:r>
              <w:rPr>
                <w:rFonts w:ascii="宋体" w:hAnsi="宋体" w:eastAsia="宋体" w:cs="宋体"/>
                <w:sz w:val="24"/>
                <w:szCs w:val="24"/>
                <w:highlight w:val="none"/>
              </w:rPr>
              <w:t>个节点（</w:t>
            </w:r>
            <w:r>
              <w:rPr>
                <w:rFonts w:hint="eastAsia" w:ascii="宋体" w:hAnsi="宋体" w:eastAsia="宋体" w:cs="宋体"/>
                <w:color w:val="000000"/>
                <w:sz w:val="24"/>
                <w:szCs w:val="24"/>
                <w:highlight w:val="none"/>
                <w:lang w:bidi="ar"/>
              </w:rPr>
              <w:t>全部为物理计算节点，不接受虚拟主机</w:t>
            </w:r>
            <w:r>
              <w:rPr>
                <w:rFonts w:ascii="宋体" w:hAnsi="宋体" w:eastAsia="宋体" w:cs="宋体"/>
                <w:sz w:val="24"/>
                <w:szCs w:val="24"/>
                <w:highlight w:val="none"/>
              </w:rPr>
              <w:t>）。每增加2个弹性</w:t>
            </w:r>
            <w:r>
              <w:rPr>
                <w:rFonts w:hint="eastAsia" w:ascii="宋体" w:hAnsi="宋体" w:eastAsia="宋体" w:cs="宋体"/>
                <w:sz w:val="24"/>
                <w:szCs w:val="24"/>
                <w:highlight w:val="none"/>
              </w:rPr>
              <w:t>物理</w:t>
            </w:r>
            <w:r>
              <w:rPr>
                <w:rFonts w:ascii="宋体" w:hAnsi="宋体" w:eastAsia="宋体" w:cs="宋体"/>
                <w:sz w:val="24"/>
                <w:szCs w:val="24"/>
                <w:highlight w:val="none"/>
              </w:rPr>
              <w:t>节点</w:t>
            </w:r>
            <w:r>
              <w:rPr>
                <w:rFonts w:hint="eastAsia" w:ascii="宋体" w:hAnsi="宋体" w:eastAsia="宋体" w:cs="宋体"/>
                <w:sz w:val="24"/>
                <w:szCs w:val="24"/>
                <w:highlight w:val="none"/>
              </w:rPr>
              <w:t>加</w:t>
            </w:r>
            <w:r>
              <w:rPr>
                <w:rFonts w:ascii="宋体" w:hAnsi="宋体" w:eastAsia="宋体" w:cs="宋体"/>
                <w:sz w:val="24"/>
                <w:szCs w:val="24"/>
                <w:highlight w:val="none"/>
              </w:rPr>
              <w:t>1分，最高</w:t>
            </w:r>
            <w:r>
              <w:rPr>
                <w:rFonts w:hint="eastAsia" w:ascii="宋体" w:hAnsi="宋体" w:eastAsia="宋体" w:cs="宋体"/>
                <w:sz w:val="24"/>
                <w:szCs w:val="24"/>
                <w:highlight w:val="none"/>
              </w:rPr>
              <w:t>加</w:t>
            </w:r>
            <w:r>
              <w:rPr>
                <w:rFonts w:ascii="宋体" w:hAnsi="宋体" w:eastAsia="宋体" w:cs="宋体"/>
                <w:sz w:val="24"/>
                <w:szCs w:val="24"/>
                <w:highlight w:val="none"/>
              </w:rPr>
              <w:t>10分（即</w:t>
            </w:r>
            <w:r>
              <w:rPr>
                <w:rFonts w:hint="eastAsia" w:ascii="宋体" w:hAnsi="宋体" w:eastAsia="宋体" w:cs="宋体"/>
                <w:sz w:val="24"/>
                <w:szCs w:val="24"/>
                <w:highlight w:val="none"/>
              </w:rPr>
              <w:t>满分须</w:t>
            </w:r>
            <w:r>
              <w:rPr>
                <w:rFonts w:ascii="宋体" w:hAnsi="宋体" w:eastAsia="宋体" w:cs="宋体"/>
                <w:sz w:val="24"/>
                <w:szCs w:val="24"/>
                <w:highlight w:val="none"/>
              </w:rPr>
              <w:t>达到基准配置+20个节点）。</w:t>
            </w:r>
          </w:p>
          <w:p w14:paraId="52784F9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注：</w:t>
            </w:r>
            <w:r>
              <w:rPr>
                <w:rFonts w:ascii="宋体" w:hAnsi="宋体" w:eastAsia="宋体" w:cs="宋体"/>
                <w:b/>
                <w:bCs/>
                <w:sz w:val="24"/>
                <w:szCs w:val="24"/>
                <w:highlight w:val="none"/>
              </w:rPr>
              <w:t>节点需满足招标文件规定的技术规格要求，</w:t>
            </w:r>
            <w:r>
              <w:rPr>
                <w:rFonts w:hint="eastAsia" w:ascii="宋体" w:hAnsi="宋体" w:eastAsia="宋体" w:cs="宋体"/>
                <w:b/>
                <w:bCs/>
                <w:sz w:val="24"/>
                <w:szCs w:val="24"/>
                <w:highlight w:val="none"/>
              </w:rPr>
              <w:t>须提供书面承诺并加盖投标人单位公章。</w:t>
            </w:r>
          </w:p>
        </w:tc>
        <w:tc>
          <w:tcPr>
            <w:tcW w:w="1733" w:type="dxa"/>
            <w:tcBorders>
              <w:top w:val="single" w:color="auto" w:sz="4" w:space="0"/>
              <w:left w:val="single" w:color="auto" w:sz="4" w:space="0"/>
              <w:bottom w:val="single" w:color="auto" w:sz="4" w:space="0"/>
              <w:right w:val="single" w:color="auto" w:sz="4" w:space="0"/>
            </w:tcBorders>
            <w:vAlign w:val="center"/>
          </w:tcPr>
          <w:p w14:paraId="648F4D6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rPr>
              <w:t>分</w:t>
            </w:r>
          </w:p>
        </w:tc>
      </w:tr>
      <w:tr w14:paraId="0027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318CB6D2">
            <w:pPr>
              <w:spacing w:line="360" w:lineRule="auto"/>
              <w:ind w:firstLine="435"/>
              <w:jc w:val="center"/>
              <w:rPr>
                <w:rFonts w:hint="eastAsia" w:asciiTheme="minorEastAsia" w:hAnsiTheme="minorEastAsia" w:eastAsiaTheme="minorEastAsia"/>
                <w:b/>
                <w:bCs/>
                <w:sz w:val="24"/>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14:paraId="7E4E57B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sz w:val="24"/>
                <w:highlight w:val="none"/>
              </w:rPr>
            </w:pPr>
            <w:r>
              <w:rPr>
                <w:rFonts w:hint="eastAsia" w:ascii="宋体" w:hAnsi="宋体" w:eastAsia="宋体" w:cs="宋体"/>
                <w:sz w:val="24"/>
                <w:szCs w:val="24"/>
                <w:highlight w:val="none"/>
              </w:rPr>
              <w:t>技术服务方案</w:t>
            </w:r>
          </w:p>
        </w:tc>
        <w:tc>
          <w:tcPr>
            <w:tcW w:w="4107" w:type="dxa"/>
            <w:tcBorders>
              <w:top w:val="single" w:color="auto" w:sz="4" w:space="0"/>
              <w:left w:val="single" w:color="auto" w:sz="4" w:space="0"/>
              <w:bottom w:val="single" w:color="auto" w:sz="4" w:space="0"/>
              <w:right w:val="single" w:color="auto" w:sz="4" w:space="0"/>
            </w:tcBorders>
            <w:vAlign w:val="center"/>
          </w:tcPr>
          <w:p w14:paraId="227A211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投标人提供的方案应涵盖技术方案、项目实施方案、售后服务方案、培训方案以及数据安全保障方案。</w:t>
            </w:r>
          </w:p>
          <w:p w14:paraId="692B2B6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1.针对本项目提供详细、可行的</w:t>
            </w:r>
            <w:r>
              <w:rPr>
                <w:rFonts w:hint="eastAsia" w:ascii="宋体" w:hAnsi="宋体" w:eastAsia="宋体" w:cs="宋体"/>
                <w:b/>
                <w:bCs/>
                <w:sz w:val="24"/>
                <w:szCs w:val="24"/>
                <w:highlight w:val="none"/>
              </w:rPr>
              <w:t>技术方案</w:t>
            </w:r>
            <w:r>
              <w:rPr>
                <w:rFonts w:hint="eastAsia" w:ascii="宋体" w:hAnsi="宋体" w:eastAsia="宋体" w:cs="宋体"/>
                <w:sz w:val="24"/>
                <w:szCs w:val="24"/>
                <w:highlight w:val="none"/>
              </w:rPr>
              <w:t>，方案内容应全面，本项最高得3分：方案内容详细、具备可行性、针对性强，得2分；方案内容较详细、可行、针对性较强，得1分；方案不完整，不可行，或未提供，不得分。</w:t>
            </w:r>
          </w:p>
          <w:p w14:paraId="07920FE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2.针对本项目提供详细、可行的项目</w:t>
            </w:r>
            <w:r>
              <w:rPr>
                <w:rFonts w:hint="eastAsia" w:ascii="宋体" w:hAnsi="宋体" w:eastAsia="宋体" w:cs="宋体"/>
                <w:b/>
                <w:bCs/>
                <w:sz w:val="24"/>
                <w:szCs w:val="24"/>
                <w:highlight w:val="none"/>
              </w:rPr>
              <w:t>实施方案</w:t>
            </w:r>
            <w:r>
              <w:rPr>
                <w:rFonts w:hint="eastAsia" w:ascii="宋体" w:hAnsi="宋体" w:eastAsia="宋体" w:cs="宋体"/>
                <w:sz w:val="24"/>
                <w:szCs w:val="24"/>
                <w:highlight w:val="none"/>
              </w:rPr>
              <w:t>，方案内容应全面，本项最高得3分：方案内容详细、具备可行性、针对性强，得2分；方案内容较详细、可行、针对性较强，得1分；方案不完整，不可行，或未提供，不得分。</w:t>
            </w:r>
          </w:p>
          <w:p w14:paraId="5A94F98E">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3.针对本项目提供全面</w:t>
            </w:r>
            <w:r>
              <w:rPr>
                <w:rFonts w:hint="eastAsia" w:ascii="宋体" w:hAnsi="宋体" w:eastAsia="宋体" w:cs="宋体"/>
                <w:b/>
                <w:bCs/>
                <w:sz w:val="24"/>
                <w:szCs w:val="24"/>
                <w:highlight w:val="none"/>
              </w:rPr>
              <w:t>售后服务方案</w:t>
            </w:r>
            <w:r>
              <w:rPr>
                <w:rFonts w:hint="eastAsia" w:ascii="宋体" w:hAnsi="宋体" w:eastAsia="宋体" w:cs="宋体"/>
                <w:sz w:val="24"/>
                <w:szCs w:val="24"/>
                <w:highlight w:val="none"/>
              </w:rPr>
              <w:t>，方案内容应全面，本项最高得3分：方案内容详细、具备可行性、针对性强，得2分；方案内容较详细、可行、针对性较强，得1分；方案不完整，不可行，或未提供，不得分。</w:t>
            </w:r>
          </w:p>
          <w:p w14:paraId="1543333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4.针对本项目提供详尽的</w:t>
            </w:r>
            <w:r>
              <w:rPr>
                <w:rFonts w:hint="eastAsia" w:ascii="宋体" w:hAnsi="宋体" w:eastAsia="宋体" w:cs="宋体"/>
                <w:b/>
                <w:bCs/>
                <w:sz w:val="24"/>
                <w:szCs w:val="24"/>
                <w:highlight w:val="none"/>
              </w:rPr>
              <w:t>培训方案</w:t>
            </w:r>
            <w:r>
              <w:rPr>
                <w:rFonts w:hint="eastAsia" w:ascii="宋体" w:hAnsi="宋体" w:eastAsia="宋体" w:cs="宋体"/>
                <w:sz w:val="24"/>
                <w:szCs w:val="24"/>
                <w:highlight w:val="none"/>
              </w:rPr>
              <w:t>，培训方案应具体可行，本项最高得3分：方案内容详细、具备可行性、针对性强，得2分；方案内容较详细、可行、针对性较强，得1分；方案不完整，不可行，或未提供，不得分。</w:t>
            </w:r>
          </w:p>
          <w:p w14:paraId="1D02524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sz w:val="24"/>
                <w:highlight w:val="none"/>
              </w:rPr>
            </w:pPr>
            <w:r>
              <w:rPr>
                <w:rFonts w:hint="eastAsia" w:ascii="宋体" w:hAnsi="宋体" w:eastAsia="宋体" w:cs="宋体"/>
                <w:sz w:val="24"/>
                <w:szCs w:val="24"/>
                <w:highlight w:val="none"/>
              </w:rPr>
              <w:t>5.针对本项目提供可行的</w:t>
            </w:r>
            <w:r>
              <w:rPr>
                <w:rFonts w:hint="eastAsia" w:ascii="宋体" w:hAnsi="宋体" w:eastAsia="宋体" w:cs="宋体"/>
                <w:b/>
                <w:bCs/>
                <w:sz w:val="24"/>
                <w:szCs w:val="24"/>
                <w:highlight w:val="none"/>
              </w:rPr>
              <w:t>数据安全保障方案</w:t>
            </w:r>
            <w:r>
              <w:rPr>
                <w:rFonts w:hint="eastAsia" w:ascii="宋体" w:hAnsi="宋体" w:eastAsia="宋体" w:cs="宋体"/>
                <w:sz w:val="24"/>
                <w:szCs w:val="24"/>
                <w:highlight w:val="none"/>
              </w:rPr>
              <w:t>，方案内容应涵盖物理安全、数据安全、网络安全、应用安全等方面，本项最高得3分：方案内容详细、具备可行性、针对性强，得2分；方案内容较详细、可行、针对性较强，得1分；方案不完整，不可行，或未提供，不得分。</w:t>
            </w:r>
          </w:p>
        </w:tc>
        <w:tc>
          <w:tcPr>
            <w:tcW w:w="1733" w:type="dxa"/>
            <w:tcBorders>
              <w:top w:val="single" w:color="auto" w:sz="4" w:space="0"/>
              <w:left w:val="single" w:color="auto" w:sz="4" w:space="0"/>
              <w:bottom w:val="single" w:color="auto" w:sz="4" w:space="0"/>
              <w:right w:val="single" w:color="auto" w:sz="4" w:space="0"/>
            </w:tcBorders>
            <w:vAlign w:val="center"/>
          </w:tcPr>
          <w:p w14:paraId="2E835A2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b/>
                <w:bCs/>
                <w:sz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u w:val="single"/>
              </w:rPr>
              <w:t>15</w:t>
            </w:r>
            <w:r>
              <w:rPr>
                <w:rFonts w:hint="eastAsia" w:ascii="宋体" w:hAnsi="宋体" w:eastAsia="宋体" w:cs="宋体"/>
                <w:sz w:val="24"/>
                <w:szCs w:val="24"/>
                <w:highlight w:val="none"/>
              </w:rPr>
              <w:t>分</w:t>
            </w:r>
          </w:p>
        </w:tc>
      </w:tr>
      <w:tr w14:paraId="42FE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tcBorders>
              <w:left w:val="single" w:color="auto" w:sz="4" w:space="0"/>
              <w:right w:val="single" w:color="auto" w:sz="4" w:space="0"/>
            </w:tcBorders>
            <w:vAlign w:val="center"/>
          </w:tcPr>
          <w:p w14:paraId="064349CF">
            <w:pPr>
              <w:spacing w:line="360" w:lineRule="auto"/>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价格分</w:t>
            </w:r>
          </w:p>
          <w:p w14:paraId="5E73435F">
            <w:pPr>
              <w:spacing w:line="360" w:lineRule="auto"/>
              <w:jc w:val="center"/>
              <w:rPr>
                <w:rFonts w:hint="eastAsia" w:asciiTheme="minorEastAsia" w:hAnsiTheme="minorEastAsia" w:eastAsiaTheme="minorEastAsia"/>
                <w:b/>
                <w:bCs/>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10</w:t>
            </w:r>
            <w:r>
              <w:rPr>
                <w:rFonts w:hint="eastAsia" w:asciiTheme="minorEastAsia" w:hAnsiTheme="minorEastAsia" w:eastAsiaTheme="minorEastAsia"/>
                <w:sz w:val="24"/>
                <w:highlight w:val="none"/>
              </w:rPr>
              <w:t>分）</w:t>
            </w:r>
          </w:p>
        </w:tc>
        <w:tc>
          <w:tcPr>
            <w:tcW w:w="4133" w:type="pct"/>
            <w:gridSpan w:val="3"/>
            <w:tcBorders>
              <w:top w:val="single" w:color="auto" w:sz="4" w:space="0"/>
              <w:left w:val="single" w:color="auto" w:sz="4" w:space="0"/>
              <w:bottom w:val="single" w:color="auto" w:sz="4" w:space="0"/>
              <w:right w:val="single" w:color="auto" w:sz="4" w:space="0"/>
            </w:tcBorders>
            <w:vAlign w:val="center"/>
          </w:tcPr>
          <w:p w14:paraId="06EC6C11">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sz w:val="24"/>
                <w:highlight w:val="none"/>
                <w:u w:val="single"/>
              </w:rPr>
              <w:t>10</w:t>
            </w:r>
            <w:r>
              <w:rPr>
                <w:rFonts w:hint="eastAsia" w:asciiTheme="minorEastAsia" w:hAnsiTheme="minorEastAsia" w:eastAsiaTheme="minorEastAsia"/>
                <w:sz w:val="24"/>
                <w:highlight w:val="none"/>
              </w:rPr>
              <w:t>分。其他投标人的价格分统一按照下列公式计算：</w:t>
            </w:r>
          </w:p>
          <w:p w14:paraId="36FA7FA0">
            <w:pPr>
              <w:spacing w:line="360" w:lineRule="auto"/>
              <w:rPr>
                <w:rFonts w:hint="eastAsia" w:asciiTheme="minorEastAsia" w:hAnsiTheme="minorEastAsia" w:eastAsiaTheme="minorEastAsia"/>
                <w:b/>
                <w:bCs/>
                <w:sz w:val="24"/>
                <w:highlight w:val="none"/>
              </w:rPr>
            </w:pPr>
            <w:r>
              <w:rPr>
                <w:rFonts w:hint="eastAsia" w:asciiTheme="minorEastAsia" w:hAnsiTheme="minorEastAsia" w:eastAsiaTheme="minorEastAsia"/>
                <w:sz w:val="24"/>
                <w:highlight w:val="none"/>
              </w:rPr>
              <w:t>投标报价得分＝（评标基准价/投标报价）×</w:t>
            </w:r>
            <w:r>
              <w:rPr>
                <w:rFonts w:hint="eastAsia" w:asciiTheme="minorEastAsia" w:hAnsiTheme="minorEastAsia" w:eastAsiaTheme="minorEastAsia"/>
                <w:sz w:val="24"/>
                <w:highlight w:val="none"/>
                <w:u w:val="single"/>
              </w:rPr>
              <w:t>10</w:t>
            </w:r>
            <w:r>
              <w:rPr>
                <w:rFonts w:hint="eastAsia" w:asciiTheme="minorEastAsia" w:hAnsiTheme="minorEastAsia" w:eastAsiaTheme="minorEastAsia"/>
                <w:sz w:val="24"/>
                <w:highlight w:val="none"/>
              </w:rPr>
              <w:t>％×100</w:t>
            </w:r>
          </w:p>
        </w:tc>
      </w:tr>
    </w:tbl>
    <w:p w14:paraId="46F6DA3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.3.3</w:t>
      </w:r>
      <w:r>
        <w:rPr>
          <w:rFonts w:hint="eastAsia" w:asciiTheme="minorEastAsia" w:hAnsiTheme="minorEastAsia" w:eastAsiaTheme="minorEastAsia"/>
          <w:sz w:val="24"/>
          <w:highlight w:val="none"/>
        </w:rPr>
        <w:t>分值汇总</w:t>
      </w:r>
    </w:p>
    <w:p w14:paraId="071DB89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评标委员会各成员应当独立对每个</w:t>
      </w:r>
      <w:r>
        <w:rPr>
          <w:rFonts w:hint="eastAsia" w:asciiTheme="minorEastAsia" w:hAnsiTheme="minorEastAsia" w:eastAsiaTheme="minorEastAsia"/>
          <w:sz w:val="24"/>
          <w:highlight w:val="none"/>
        </w:rPr>
        <w:t>有效</w:t>
      </w:r>
      <w:r>
        <w:rPr>
          <w:rFonts w:asciiTheme="minorEastAsia" w:hAnsiTheme="minorEastAsia" w:eastAsiaTheme="minorEastAsia"/>
          <w:sz w:val="24"/>
          <w:highlight w:val="none"/>
        </w:rPr>
        <w:t>投标人的投标文件进行评</w:t>
      </w:r>
      <w:r>
        <w:rPr>
          <w:rFonts w:hint="eastAsia" w:asciiTheme="minorEastAsia" w:hAnsiTheme="minorEastAsia" w:eastAsiaTheme="minorEastAsia"/>
          <w:sz w:val="24"/>
          <w:highlight w:val="none"/>
        </w:rPr>
        <w:t>分</w:t>
      </w:r>
      <w:r>
        <w:rPr>
          <w:rFonts w:asciiTheme="minorEastAsia" w:hAnsiTheme="minorEastAsia" w:eastAsiaTheme="minorEastAsia"/>
          <w:sz w:val="24"/>
          <w:highlight w:val="none"/>
        </w:rPr>
        <w:t>，并汇总每个投</w:t>
      </w:r>
      <w:r>
        <w:rPr>
          <w:rFonts w:hint="eastAsia" w:asciiTheme="minorEastAsia" w:hAnsiTheme="minorEastAsia" w:eastAsiaTheme="minorEastAsia"/>
          <w:sz w:val="24"/>
          <w:highlight w:val="none"/>
        </w:rPr>
        <w:t>标人的得分。取各位评委评分之平均值，四舍五入保留至小数点后两位数，</w:t>
      </w:r>
      <w:r>
        <w:rPr>
          <w:rFonts w:asciiTheme="minorEastAsia" w:hAnsiTheme="minorEastAsia" w:eastAsiaTheme="minorEastAsia"/>
          <w:sz w:val="24"/>
          <w:highlight w:val="none"/>
        </w:rPr>
        <w:t>得到该投标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w:t>
      </w:r>
      <w:r>
        <w:rPr>
          <w:rFonts w:hint="eastAsia" w:asciiTheme="minorEastAsia" w:hAnsiTheme="minorEastAsia" w:eastAsiaTheme="minorEastAsia"/>
          <w:sz w:val="24"/>
          <w:highlight w:val="none"/>
        </w:rPr>
        <w:t>。</w:t>
      </w:r>
    </w:p>
    <w:p w14:paraId="1A40099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将投标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的技术资信分加上根据上述标准计算出的价格分，即为该投标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的综合总得分。</w:t>
      </w:r>
      <w:r>
        <w:rPr>
          <w:rFonts w:asciiTheme="minorEastAsia" w:hAnsiTheme="minorEastAsia" w:eastAsiaTheme="minorEastAsia"/>
          <w:sz w:val="24"/>
          <w:highlight w:val="none"/>
        </w:rPr>
        <w:br w:type="page"/>
      </w:r>
    </w:p>
    <w:p w14:paraId="25BCECA7">
      <w:pPr>
        <w:spacing w:line="360" w:lineRule="auto"/>
        <w:jc w:val="center"/>
        <w:outlineLvl w:val="0"/>
        <w:rPr>
          <w:rFonts w:hint="eastAsia" w:asciiTheme="minorEastAsia" w:hAnsiTheme="minorEastAsia" w:eastAsiaTheme="minorEastAsia"/>
          <w:b/>
          <w:sz w:val="28"/>
          <w:highlight w:val="none"/>
        </w:rPr>
      </w:pPr>
      <w:bookmarkStart w:id="42" w:name="_Toc20405"/>
      <w:r>
        <w:rPr>
          <w:rFonts w:hint="eastAsia" w:asciiTheme="minorEastAsia" w:hAnsiTheme="minorEastAsia" w:eastAsiaTheme="minorEastAsia"/>
          <w:b/>
          <w:sz w:val="28"/>
          <w:highlight w:val="none"/>
        </w:rPr>
        <w:t xml:space="preserve">第五章  </w:t>
      </w:r>
      <w:r>
        <w:rPr>
          <w:rFonts w:asciiTheme="minorEastAsia" w:hAnsiTheme="minorEastAsia" w:eastAsiaTheme="minorEastAsia"/>
          <w:b/>
          <w:sz w:val="28"/>
          <w:highlight w:val="none"/>
        </w:rPr>
        <w:t>政府采购合同</w:t>
      </w:r>
      <w:bookmarkEnd w:id="42"/>
    </w:p>
    <w:p w14:paraId="5BCF93BD">
      <w:pPr>
        <w:spacing w:line="480" w:lineRule="auto"/>
        <w:jc w:val="cente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pPr>
      <w:bookmarkStart w:id="43" w:name="_Toc331685784"/>
    </w:p>
    <w:p w14:paraId="4563A808">
      <w:pPr>
        <w:spacing w:line="480" w:lineRule="auto"/>
        <w:jc w:val="cente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pPr>
    </w:p>
    <w:p w14:paraId="1B3203BD">
      <w:pPr>
        <w:widowControl/>
        <w:spacing w:line="360" w:lineRule="auto"/>
        <w:jc w:val="center"/>
        <w:rPr>
          <w:rFonts w:hint="eastAsia" w:ascii="宋体" w:hAnsi="宋体" w:eastAsia="宋体" w:cs="宋体"/>
          <w:spacing w:val="48"/>
          <w:sz w:val="36"/>
          <w:szCs w:val="36"/>
          <w:highlight w:val="none"/>
        </w:rPr>
      </w:pPr>
      <w:bookmarkStart w:id="44" w:name="_Hlk11711914"/>
    </w:p>
    <w:p w14:paraId="68C6326A">
      <w:pPr>
        <w:spacing w:after="120" w:line="415" w:lineRule="auto"/>
        <w:ind w:left="420" w:leftChars="200" w:firstLine="420" w:firstLineChars="200"/>
        <w:rPr>
          <w:rFonts w:hint="eastAsia" w:ascii="宋体" w:hAnsi="宋体" w:eastAsia="宋体" w:cs="宋体"/>
          <w:szCs w:val="32"/>
          <w:highlight w:val="none"/>
        </w:rPr>
      </w:pPr>
    </w:p>
    <w:p w14:paraId="1688F4A9">
      <w:pPr>
        <w:spacing w:after="120" w:line="415" w:lineRule="auto"/>
        <w:ind w:left="420" w:leftChars="200" w:firstLine="420" w:firstLineChars="200"/>
        <w:rPr>
          <w:rFonts w:hint="eastAsia" w:ascii="宋体" w:hAnsi="宋体" w:eastAsia="宋体" w:cs="宋体"/>
          <w:szCs w:val="32"/>
          <w:highlight w:val="none"/>
        </w:rPr>
      </w:pPr>
    </w:p>
    <w:p w14:paraId="1F1EBD4E">
      <w:pPr>
        <w:jc w:val="center"/>
        <w:rPr>
          <w:rFonts w:hint="eastAsia" w:ascii="宋体" w:hAnsi="宋体" w:eastAsia="宋体" w:cs="宋体"/>
          <w:spacing w:val="48"/>
          <w:sz w:val="36"/>
          <w:szCs w:val="36"/>
          <w:highlight w:val="none"/>
          <w:lang w:eastAsia="zh-CN"/>
        </w:rPr>
      </w:pPr>
      <w:r>
        <w:rPr>
          <w:rFonts w:hint="eastAsia" w:ascii="宋体" w:hAnsi="宋体" w:eastAsia="宋体" w:cs="宋体"/>
          <w:spacing w:val="48"/>
          <w:sz w:val="36"/>
          <w:szCs w:val="36"/>
          <w:highlight w:val="none"/>
          <w:lang w:eastAsia="zh-CN"/>
        </w:rPr>
        <w:t>安徽省气象台2025年算力资源租赁服务项目（二次）</w:t>
      </w:r>
    </w:p>
    <w:p w14:paraId="79511EDE">
      <w:pPr>
        <w:rPr>
          <w:rFonts w:hint="eastAsia" w:ascii="宋体" w:hAnsi="宋体" w:eastAsia="宋体" w:cs="宋体"/>
          <w:sz w:val="36"/>
          <w:szCs w:val="36"/>
          <w:highlight w:val="none"/>
        </w:rPr>
      </w:pPr>
    </w:p>
    <w:p w14:paraId="381A1A11">
      <w:pPr>
        <w:rPr>
          <w:rFonts w:hint="eastAsia" w:ascii="宋体" w:hAnsi="宋体" w:eastAsia="宋体" w:cs="宋体"/>
          <w:sz w:val="32"/>
          <w:highlight w:val="none"/>
        </w:rPr>
      </w:pPr>
    </w:p>
    <w:p w14:paraId="5C66DBE9">
      <w:pPr>
        <w:tabs>
          <w:tab w:val="left" w:pos="7350"/>
        </w:tabs>
        <w:spacing w:line="540" w:lineRule="auto"/>
        <w:rPr>
          <w:rFonts w:hint="eastAsia" w:ascii="宋体" w:hAnsi="宋体" w:eastAsia="宋体" w:cs="宋体"/>
          <w:sz w:val="32"/>
          <w:highlight w:val="none"/>
        </w:rPr>
      </w:pPr>
    </w:p>
    <w:p w14:paraId="710F5C66">
      <w:pPr>
        <w:tabs>
          <w:tab w:val="left" w:pos="7350"/>
        </w:tabs>
        <w:spacing w:line="540" w:lineRule="auto"/>
        <w:rPr>
          <w:rFonts w:hint="eastAsia" w:ascii="宋体" w:hAnsi="宋体" w:eastAsia="宋体" w:cs="宋体"/>
          <w:spacing w:val="48"/>
          <w:sz w:val="32"/>
          <w:highlight w:val="none"/>
        </w:rPr>
      </w:pPr>
    </w:p>
    <w:p w14:paraId="75589E53">
      <w:pPr>
        <w:tabs>
          <w:tab w:val="left" w:pos="7350"/>
        </w:tabs>
        <w:spacing w:line="360" w:lineRule="auto"/>
        <w:rPr>
          <w:rFonts w:hint="eastAsia" w:ascii="宋体" w:hAnsi="宋体" w:eastAsia="宋体" w:cs="宋体"/>
          <w:sz w:val="32"/>
          <w:highlight w:val="none"/>
          <w:u w:val="single"/>
        </w:rPr>
      </w:pPr>
      <w:r>
        <w:rPr>
          <w:rFonts w:hint="eastAsia" w:ascii="宋体" w:hAnsi="宋体" w:eastAsia="宋体" w:cs="宋体"/>
          <w:spacing w:val="48"/>
          <w:sz w:val="32"/>
          <w:highlight w:val="none"/>
        </w:rPr>
        <w:t>委托人</w:t>
      </w:r>
      <w:r>
        <w:rPr>
          <w:rFonts w:hint="eastAsia" w:ascii="宋体" w:hAnsi="宋体" w:eastAsia="宋体" w:cs="宋体"/>
          <w:sz w:val="32"/>
          <w:highlight w:val="none"/>
        </w:rPr>
        <w:t>（甲方）：</w:t>
      </w:r>
      <w:r>
        <w:rPr>
          <w:rFonts w:hint="eastAsia" w:ascii="宋体" w:hAnsi="宋体" w:eastAsia="宋体" w:cs="宋体"/>
          <w:sz w:val="32"/>
          <w:highlight w:val="none"/>
          <w:u w:val="single"/>
        </w:rPr>
        <w:t xml:space="preserve">  安徽省气象台     </w:t>
      </w:r>
    </w:p>
    <w:p w14:paraId="63BEDE4C">
      <w:pPr>
        <w:spacing w:line="360" w:lineRule="auto"/>
        <w:rPr>
          <w:rFonts w:hint="eastAsia" w:ascii="宋体" w:hAnsi="宋体" w:eastAsia="宋体" w:cs="宋体"/>
          <w:sz w:val="32"/>
          <w:highlight w:val="none"/>
          <w:u w:val="single"/>
        </w:rPr>
      </w:pPr>
      <w:r>
        <w:rPr>
          <w:rFonts w:hint="eastAsia" w:ascii="宋体" w:hAnsi="宋体" w:eastAsia="宋体" w:cs="宋体"/>
          <w:spacing w:val="48"/>
          <w:sz w:val="32"/>
          <w:highlight w:val="none"/>
        </w:rPr>
        <w:t>受托人</w:t>
      </w:r>
      <w:r>
        <w:rPr>
          <w:rFonts w:hint="eastAsia" w:ascii="宋体" w:hAnsi="宋体" w:eastAsia="宋体" w:cs="宋体"/>
          <w:sz w:val="32"/>
          <w:highlight w:val="none"/>
        </w:rPr>
        <w:t>（乙方）：</w:t>
      </w:r>
      <w:r>
        <w:rPr>
          <w:rFonts w:hint="eastAsia" w:ascii="宋体" w:hAnsi="宋体" w:eastAsia="宋体" w:cs="宋体"/>
          <w:sz w:val="32"/>
          <w:highlight w:val="none"/>
          <w:u w:val="single"/>
        </w:rPr>
        <w:t xml:space="preserve">                   </w:t>
      </w:r>
    </w:p>
    <w:p w14:paraId="2C62E519">
      <w:pPr>
        <w:spacing w:line="360" w:lineRule="auto"/>
        <w:rPr>
          <w:rFonts w:hint="eastAsia" w:ascii="宋体" w:hAnsi="宋体" w:eastAsia="宋体" w:cs="宋体"/>
          <w:sz w:val="32"/>
          <w:highlight w:val="none"/>
        </w:rPr>
      </w:pPr>
    </w:p>
    <w:p w14:paraId="68FBC19A">
      <w:pPr>
        <w:rPr>
          <w:rFonts w:hint="eastAsia" w:ascii="宋体" w:hAnsi="宋体" w:eastAsia="宋体" w:cs="宋体"/>
          <w:sz w:val="32"/>
          <w:highlight w:val="none"/>
        </w:rPr>
      </w:pPr>
    </w:p>
    <w:p w14:paraId="1D3F22C4">
      <w:pPr>
        <w:spacing w:after="120" w:line="415" w:lineRule="auto"/>
        <w:ind w:left="420" w:leftChars="200" w:firstLine="420" w:firstLineChars="200"/>
        <w:rPr>
          <w:rFonts w:hint="eastAsia" w:ascii="宋体" w:hAnsi="宋体" w:eastAsia="宋体" w:cs="宋体"/>
          <w:szCs w:val="32"/>
          <w:highlight w:val="none"/>
        </w:rPr>
      </w:pPr>
    </w:p>
    <w:p w14:paraId="1A25694F">
      <w:pPr>
        <w:rPr>
          <w:rFonts w:hint="eastAsia" w:ascii="宋体" w:hAnsi="宋体" w:eastAsia="宋体" w:cs="宋体"/>
          <w:sz w:val="32"/>
          <w:highlight w:val="none"/>
        </w:rPr>
      </w:pPr>
    </w:p>
    <w:p w14:paraId="2845C6B4">
      <w:pPr>
        <w:rPr>
          <w:rFonts w:hint="eastAsia" w:ascii="宋体" w:hAnsi="宋体" w:eastAsia="宋体" w:cs="宋体"/>
          <w:sz w:val="32"/>
          <w:highlight w:val="none"/>
        </w:rPr>
      </w:pPr>
    </w:p>
    <w:p w14:paraId="17E4BA6A">
      <w:pPr>
        <w:spacing w:after="120" w:line="415" w:lineRule="auto"/>
        <w:ind w:left="420" w:leftChars="200" w:firstLine="420" w:firstLineChars="200"/>
        <w:rPr>
          <w:rFonts w:hint="eastAsia" w:ascii="宋体" w:hAnsi="宋体" w:eastAsia="宋体" w:cs="宋体"/>
          <w:szCs w:val="32"/>
          <w:highlight w:val="none"/>
        </w:rPr>
      </w:pPr>
    </w:p>
    <w:p w14:paraId="3CD031E0">
      <w:pPr>
        <w:rPr>
          <w:rFonts w:hint="eastAsia" w:ascii="宋体" w:hAnsi="宋体" w:eastAsia="宋体" w:cs="宋体"/>
          <w:sz w:val="32"/>
          <w:highlight w:val="none"/>
        </w:rPr>
      </w:pPr>
      <w:r>
        <w:rPr>
          <w:rFonts w:hint="eastAsia" w:ascii="宋体" w:hAnsi="宋体" w:eastAsia="宋体" w:cs="宋体"/>
          <w:sz w:val="32"/>
          <w:highlight w:val="none"/>
        </w:rPr>
        <w:t>签订地点：         安徽省气象台</w:t>
      </w:r>
    </w:p>
    <w:p w14:paraId="1A162F26">
      <w:pPr>
        <w:spacing w:line="460" w:lineRule="exact"/>
        <w:rPr>
          <w:rFonts w:hint="eastAsia" w:ascii="宋体" w:hAnsi="宋体" w:eastAsia="宋体" w:cs="宋体"/>
          <w:sz w:val="24"/>
          <w:highlight w:val="none"/>
        </w:rPr>
      </w:pPr>
      <w:r>
        <w:rPr>
          <w:rFonts w:hint="eastAsia" w:ascii="宋体" w:hAnsi="宋体" w:eastAsia="宋体" w:cs="宋体"/>
          <w:sz w:val="32"/>
          <w:highlight w:val="none"/>
        </w:rPr>
        <w:t>签订日期：        2025年  月  日</w:t>
      </w:r>
    </w:p>
    <w:p w14:paraId="601B974D">
      <w:pPr>
        <w:spacing w:line="460" w:lineRule="exact"/>
        <w:ind w:firstLine="480" w:firstLineChars="200"/>
        <w:rPr>
          <w:rFonts w:hint="eastAsia" w:ascii="宋体" w:hAnsi="宋体" w:eastAsia="宋体" w:cs="宋体"/>
          <w:sz w:val="24"/>
          <w:highlight w:val="none"/>
        </w:rPr>
      </w:pPr>
    </w:p>
    <w:p w14:paraId="1D883E4A">
      <w:pPr>
        <w:spacing w:line="460" w:lineRule="exact"/>
        <w:ind w:firstLine="480" w:firstLineChars="200"/>
        <w:rPr>
          <w:rFonts w:hint="eastAsia" w:ascii="宋体" w:hAnsi="宋体" w:eastAsia="宋体" w:cs="宋体"/>
          <w:sz w:val="24"/>
          <w:highlight w:val="none"/>
        </w:rPr>
      </w:pPr>
    </w:p>
    <w:p w14:paraId="0ECA6425">
      <w:pPr>
        <w:widowControl/>
        <w:jc w:val="left"/>
        <w:rPr>
          <w:rFonts w:hint="eastAsia" w:ascii="宋体" w:hAnsi="宋体" w:eastAsia="宋体" w:cs="宋体"/>
          <w:sz w:val="24"/>
          <w:highlight w:val="none"/>
        </w:rPr>
      </w:pPr>
      <w:r>
        <w:rPr>
          <w:rFonts w:hint="eastAsia" w:ascii="宋体" w:hAnsi="宋体" w:eastAsia="宋体" w:cs="宋体"/>
          <w:sz w:val="24"/>
          <w:highlight w:val="none"/>
        </w:rPr>
        <w:br w:type="page"/>
      </w:r>
    </w:p>
    <w:p w14:paraId="057088F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4942C43E">
      <w:pPr>
        <w:spacing w:line="360" w:lineRule="auto"/>
        <w:rPr>
          <w:rFonts w:hint="eastAsia" w:ascii="宋体" w:hAnsi="宋体" w:eastAsia="宋体" w:cs="宋体"/>
          <w:sz w:val="24"/>
          <w:highlight w:val="non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216F62EE">
      <w:pPr>
        <w:spacing w:line="360" w:lineRule="auto"/>
        <w:rPr>
          <w:rFonts w:hint="eastAsia" w:ascii="宋体" w:hAnsi="宋体" w:eastAsia="宋体" w:cs="宋体"/>
          <w:sz w:val="24"/>
          <w:highlight w:val="none"/>
        </w:rPr>
      </w:pPr>
    </w:p>
    <w:p w14:paraId="4933073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（甲方）就</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（项目名称）采用政府采购方式选择</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（乙方）作为服务单位。现甲乙双方协商同意签订本合同。</w:t>
      </w:r>
    </w:p>
    <w:p w14:paraId="45A8E97A">
      <w:pPr>
        <w:pStyle w:val="7"/>
        <w:jc w:val="left"/>
        <w:rPr>
          <w:rFonts w:hint="eastAsia" w:ascii="宋体" w:hAnsi="宋体" w:eastAsia="宋体" w:cs="宋体"/>
          <w:szCs w:val="24"/>
          <w:highlight w:val="none"/>
        </w:rPr>
      </w:pPr>
      <w:r>
        <w:rPr>
          <w:rFonts w:hint="eastAsia" w:ascii="宋体" w:hAnsi="宋体" w:eastAsia="宋体" w:cs="宋体"/>
          <w:szCs w:val="24"/>
          <w:highlight w:val="none"/>
        </w:rPr>
        <w:t>1. 合同文件</w:t>
      </w:r>
    </w:p>
    <w:p w14:paraId="7C11CA0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下列与本次采购活动有关的文件及附件是本合同不可分割的组成部分，与本合同具有同等法律效力，这些文件包括但不限于：</w:t>
      </w:r>
    </w:p>
    <w:p w14:paraId="517F7CA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（1）中标通知书</w:t>
      </w:r>
    </w:p>
    <w:p w14:paraId="22DDE8E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（2）招标文件及附件</w:t>
      </w:r>
    </w:p>
    <w:p w14:paraId="363D0F1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（3）投标文件及附件</w:t>
      </w:r>
    </w:p>
    <w:p w14:paraId="5F795E3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（4）合同补充条款或说明</w:t>
      </w:r>
    </w:p>
    <w:p w14:paraId="4E1F606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（5）相关附件、图纸及电子版资料</w:t>
      </w:r>
    </w:p>
    <w:p w14:paraId="24C2511F">
      <w:pPr>
        <w:pStyle w:val="7"/>
        <w:jc w:val="left"/>
        <w:rPr>
          <w:rFonts w:hint="eastAsia" w:ascii="宋体" w:hAnsi="宋体" w:eastAsia="宋体" w:cs="宋体"/>
          <w:szCs w:val="24"/>
          <w:highlight w:val="none"/>
        </w:rPr>
      </w:pPr>
      <w:r>
        <w:rPr>
          <w:rFonts w:hint="eastAsia" w:ascii="宋体" w:hAnsi="宋体" w:eastAsia="宋体" w:cs="宋体"/>
          <w:szCs w:val="24"/>
          <w:highlight w:val="none"/>
        </w:rPr>
        <w:t>2. 服务内容</w:t>
      </w:r>
    </w:p>
    <w:p w14:paraId="4DAED5D9">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甲方委托乙方提供以下服务： </w:t>
      </w:r>
    </w:p>
    <w:p w14:paraId="474EB987">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服务名称：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23045C3">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服务内容：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0F11BE4">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服务要求：</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CC7A955">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服务期限：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2B801DD">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14:paraId="782C545F">
      <w:pPr>
        <w:pStyle w:val="7"/>
        <w:jc w:val="left"/>
        <w:rPr>
          <w:rFonts w:hint="eastAsia" w:ascii="宋体" w:hAnsi="宋体" w:eastAsia="宋体" w:cs="宋体"/>
          <w:szCs w:val="24"/>
          <w:highlight w:val="none"/>
        </w:rPr>
      </w:pPr>
      <w:r>
        <w:rPr>
          <w:rFonts w:hint="eastAsia" w:ascii="宋体" w:hAnsi="宋体" w:eastAsia="宋体" w:cs="宋体"/>
          <w:szCs w:val="24"/>
          <w:highlight w:val="none"/>
        </w:rPr>
        <w:t>3. 合同价格</w:t>
      </w:r>
    </w:p>
    <w:p w14:paraId="57ADBF97">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合同价格为（大写）：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p>
    <w:p w14:paraId="3F9BE018">
      <w:pPr>
        <w:snapToGri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3.2 合同价格包括的内容：</w:t>
      </w:r>
      <w:r>
        <w:rPr>
          <w:rFonts w:hint="eastAsia" w:ascii="宋体" w:hAnsi="宋体" w:eastAsia="宋体" w:cs="宋体"/>
          <w:sz w:val="24"/>
          <w:highlight w:val="none"/>
          <w:u w:val="single"/>
        </w:rPr>
        <w:t xml:space="preserve">                       </w:t>
      </w:r>
    </w:p>
    <w:p w14:paraId="59F0C33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 合同价格调整：</w:t>
      </w:r>
      <w:r>
        <w:rPr>
          <w:rFonts w:hint="eastAsia" w:ascii="宋体" w:hAnsi="宋体" w:eastAsia="宋体" w:cs="宋体"/>
          <w:sz w:val="24"/>
          <w:highlight w:val="none"/>
          <w:u w:val="single"/>
        </w:rPr>
        <w:t xml:space="preserve"> 合同价格为固定价格，不予调整</w:t>
      </w:r>
      <w:r>
        <w:rPr>
          <w:rFonts w:hint="eastAsia" w:ascii="宋体" w:hAnsi="宋体" w:eastAsia="宋体" w:cs="宋体"/>
          <w:sz w:val="24"/>
          <w:highlight w:val="none"/>
        </w:rPr>
        <w:t>。</w:t>
      </w:r>
    </w:p>
    <w:p w14:paraId="047D442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14:paraId="54ABA690">
      <w:pPr>
        <w:pStyle w:val="7"/>
        <w:jc w:val="left"/>
        <w:rPr>
          <w:rFonts w:hint="eastAsia" w:ascii="宋体" w:hAnsi="宋体" w:eastAsia="宋体" w:cs="宋体"/>
          <w:szCs w:val="24"/>
          <w:highlight w:val="none"/>
        </w:rPr>
      </w:pPr>
      <w:r>
        <w:rPr>
          <w:rFonts w:hint="eastAsia" w:ascii="宋体" w:hAnsi="宋体" w:eastAsia="宋体" w:cs="宋体"/>
          <w:szCs w:val="24"/>
          <w:highlight w:val="none"/>
        </w:rPr>
        <w:t>4. 付款方式</w:t>
      </w:r>
    </w:p>
    <w:p w14:paraId="5821D6D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 本合同项下所有款项均以人民币支付。</w:t>
      </w:r>
    </w:p>
    <w:p w14:paraId="253B47C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 乙方向甲方提交下列文件材料，经甲方审核无误后支付采购资金：</w:t>
      </w:r>
    </w:p>
    <w:p w14:paraId="6E3E5392">
      <w:pPr>
        <w:snapToGri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w:t>
      </w:r>
      <w:r>
        <w:rPr>
          <w:rFonts w:hint="eastAsia" w:ascii="宋体" w:hAnsi="宋体" w:eastAsia="宋体" w:cs="宋体"/>
          <w:sz w:val="24"/>
          <w:highlight w:val="none"/>
          <w:u w:val="single"/>
        </w:rPr>
        <w:t>经甲方确认的发票；</w:t>
      </w:r>
    </w:p>
    <w:p w14:paraId="6818E88B">
      <w:pPr>
        <w:snapToGri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（2）</w:t>
      </w:r>
      <w:r>
        <w:rPr>
          <w:rFonts w:hint="eastAsia" w:ascii="宋体" w:hAnsi="宋体" w:eastAsia="宋体" w:cs="宋体"/>
          <w:sz w:val="24"/>
          <w:highlight w:val="none"/>
          <w:u w:val="single"/>
        </w:rPr>
        <w:t>经甲乙双方确认签订的《验收报告》（或按项目进度阶段性《验收报告》）；</w:t>
      </w:r>
    </w:p>
    <w:p w14:paraId="1E9E1AE7">
      <w:pPr>
        <w:snapToGri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（3）</w:t>
      </w:r>
      <w:r>
        <w:rPr>
          <w:rFonts w:hint="eastAsia" w:ascii="宋体" w:hAnsi="宋体" w:eastAsia="宋体" w:cs="宋体"/>
          <w:sz w:val="24"/>
          <w:highlight w:val="none"/>
          <w:u w:val="single"/>
        </w:rPr>
        <w:t>其他材料。</w:t>
      </w:r>
    </w:p>
    <w:p w14:paraId="327AD3C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 合同款项的支付进度以招标文件的有关规定为准。如招标文件未作特别规定，则付款进度应符合如下约定：</w:t>
      </w:r>
    </w:p>
    <w:p w14:paraId="2D1C4F0B">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（1）第一次付款额应为合同价格的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（%），甲方应在乙方已经准备好，并递交了约定的服务成果文件及其它相关文件，而这些报告和文件符合合同附件上的要求并被甲方验收后付给乙方。 </w:t>
      </w:r>
    </w:p>
    <w:p w14:paraId="32111E3B">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（2）最后一次付款额应为合同价格的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（%），甲方应在乙方递交了最终服务成果文件及其它相关文件并完全履行合同完毕</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日内付给乙方。 </w:t>
      </w:r>
    </w:p>
    <w:p w14:paraId="55C190FA">
      <w:pPr>
        <w:pStyle w:val="7"/>
        <w:jc w:val="left"/>
        <w:rPr>
          <w:rFonts w:hint="eastAsia" w:ascii="宋体" w:hAnsi="宋体" w:eastAsia="宋体" w:cs="宋体"/>
          <w:szCs w:val="24"/>
          <w:highlight w:val="none"/>
        </w:rPr>
      </w:pPr>
      <w:r>
        <w:rPr>
          <w:rFonts w:hint="eastAsia" w:ascii="宋体" w:hAnsi="宋体" w:eastAsia="宋体" w:cs="宋体"/>
          <w:szCs w:val="24"/>
          <w:highlight w:val="none"/>
        </w:rPr>
        <w:t>5. 合同文件和资料的使用</w:t>
      </w:r>
    </w:p>
    <w:p w14:paraId="7DE3B4F6">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 没有甲方书面同意，乙方不得将甲方或代表甲方提供的有关合同或任何合同条文、技术规格和要求、计划、图纸、模型、样品或资料提供给与履行本合同无关的任何其他人。即使向与履行本合同有关的人员提供，也应注意保密并限于履行合同必须的范围。</w:t>
      </w:r>
    </w:p>
    <w:p w14:paraId="23A24205">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 没有甲方书面同意，除了履行本合同外，乙方不应使用合同条款第5.1款所列举的任何文件和资料。如果甲方有要求，除了合同本身以外，乙方在完成合同后应将这些文件及全部复制件还给甲方。</w:t>
      </w:r>
    </w:p>
    <w:p w14:paraId="22CB8F03">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 乙方的技术秘密、商业秘密和声明需要保密的资料和信息，甲方不得为合同以外的目的泄露给他人。</w:t>
      </w:r>
    </w:p>
    <w:p w14:paraId="763A2DB8">
      <w:pPr>
        <w:pStyle w:val="7"/>
        <w:jc w:val="left"/>
        <w:rPr>
          <w:rFonts w:hint="eastAsia" w:ascii="宋体" w:hAnsi="宋体" w:eastAsia="宋体" w:cs="宋体"/>
          <w:szCs w:val="24"/>
          <w:highlight w:val="none"/>
        </w:rPr>
      </w:pPr>
      <w:r>
        <w:rPr>
          <w:rFonts w:hint="eastAsia" w:ascii="宋体" w:hAnsi="宋体" w:eastAsia="宋体" w:cs="宋体"/>
          <w:szCs w:val="24"/>
          <w:highlight w:val="none"/>
        </w:rPr>
        <w:t>6. 知识产权</w:t>
      </w:r>
    </w:p>
    <w:p w14:paraId="30F8DE8F">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 乙方应保证，甲方使用本合同货物或货物的任何一部分时，免受第三方提出的侵犯其专利权、商标权、著作权或其他知识产权的起诉。</w:t>
      </w:r>
    </w:p>
    <w:p w14:paraId="567EF162">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如果发生第三方就乙方向甲方提供的本合同项下所涉及的货物及服务对甲方进行侵权指控，乙方应承担由此而引起的一切经济和法律责任。</w:t>
      </w:r>
    </w:p>
    <w:p w14:paraId="5EFF29D8">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 乙方在投标中采用专利技术的，专利技术的使用费包含在合同总价内。</w:t>
      </w:r>
    </w:p>
    <w:p w14:paraId="7DF53D39">
      <w:pPr>
        <w:pStyle w:val="7"/>
        <w:jc w:val="left"/>
        <w:rPr>
          <w:rFonts w:hint="eastAsia" w:ascii="宋体" w:hAnsi="宋体" w:eastAsia="宋体" w:cs="宋体"/>
          <w:szCs w:val="24"/>
          <w:highlight w:val="none"/>
        </w:rPr>
      </w:pPr>
      <w:r>
        <w:rPr>
          <w:rFonts w:hint="eastAsia" w:ascii="宋体" w:hAnsi="宋体" w:eastAsia="宋体" w:cs="宋体"/>
          <w:szCs w:val="24"/>
          <w:highlight w:val="none"/>
        </w:rPr>
        <w:t>7.联络</w:t>
      </w:r>
    </w:p>
    <w:p w14:paraId="443ABA47">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 甲方对乙方的合同履行情况进行督促和检查。</w:t>
      </w:r>
    </w:p>
    <w:p w14:paraId="1C091854">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7.2 乙方应设乙方代表，负责服务环节的业务协调以及与甲方的联络，并在合同生效后10天内向甲方书面提供乙方代表的姓名、职务、联系方式及授权书。</w:t>
      </w:r>
    </w:p>
    <w:p w14:paraId="23F6FC86">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 乙方代表的变更、撤销应获得甲方的书面认可。甲方有权根据乙方代表的工作情况，提出撤换人员的要求。乙方应根据第 7.2 款的要求尽快重新任命上述人员，在新任人员到位前原乙方代表继续承担第 7.2 款的职责。</w:t>
      </w:r>
    </w:p>
    <w:p w14:paraId="55426863">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7.4 甲乙双方通过代表联络与履行合同有关事宜均应采用书面形式。</w:t>
      </w:r>
    </w:p>
    <w:p w14:paraId="6FAB7148">
      <w:pPr>
        <w:pStyle w:val="7"/>
        <w:jc w:val="left"/>
        <w:rPr>
          <w:rFonts w:hint="eastAsia" w:ascii="宋体" w:hAnsi="宋体" w:eastAsia="宋体" w:cs="宋体"/>
          <w:szCs w:val="24"/>
          <w:highlight w:val="none"/>
        </w:rPr>
      </w:pPr>
      <w:r>
        <w:rPr>
          <w:rFonts w:hint="eastAsia" w:ascii="宋体" w:hAnsi="宋体" w:eastAsia="宋体" w:cs="宋体"/>
          <w:szCs w:val="24"/>
          <w:highlight w:val="none"/>
        </w:rPr>
        <w:t>8. 计划和报告</w:t>
      </w:r>
    </w:p>
    <w:p w14:paraId="1F25D6C3">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8.1 合同签订后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日内，乙方向甲方提供服务方案。如甲方认为需要调整，乙方应根据要求修改方案。</w:t>
      </w:r>
    </w:p>
    <w:p w14:paraId="09ACB735">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8.2 乙方应根据供应需求计划，按合同约定的时间向甲方提交进度报告。进度报告应包括：</w:t>
      </w:r>
    </w:p>
    <w:p w14:paraId="41FD20DB">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（1）服务安排计划；</w:t>
      </w:r>
    </w:p>
    <w:p w14:paraId="26E238AB">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（2）实际完成进度与计划完成进度的比较；</w:t>
      </w:r>
    </w:p>
    <w:p w14:paraId="4FA4BA0F">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（3）如果实际进度比计划进度滞后，应给出原因及改进措施。</w:t>
      </w:r>
    </w:p>
    <w:p w14:paraId="7D82A54A">
      <w:pPr>
        <w:pStyle w:val="7"/>
        <w:jc w:val="left"/>
        <w:rPr>
          <w:rFonts w:hint="eastAsia" w:ascii="宋体" w:hAnsi="宋体" w:eastAsia="宋体" w:cs="宋体"/>
          <w:szCs w:val="24"/>
          <w:highlight w:val="none"/>
        </w:rPr>
      </w:pPr>
      <w:r>
        <w:rPr>
          <w:rFonts w:hint="eastAsia" w:ascii="宋体" w:hAnsi="宋体" w:eastAsia="宋体" w:cs="宋体"/>
          <w:szCs w:val="24"/>
          <w:highlight w:val="none"/>
        </w:rPr>
        <w:t>9. 验收</w:t>
      </w:r>
    </w:p>
    <w:p w14:paraId="180C11E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9.1甲方对乙方提供的服务进行验收。</w:t>
      </w:r>
    </w:p>
    <w:p w14:paraId="221794E0">
      <w:pPr>
        <w:snapToGri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验收时间：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DB71390">
      <w:pPr>
        <w:snapToGrid w:val="0"/>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验收地点：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376725F">
      <w:pPr>
        <w:snapToGrid w:val="0"/>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验收方式：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220E987B">
      <w:pPr>
        <w:pStyle w:val="14"/>
        <w:tabs>
          <w:tab w:val="left" w:pos="0"/>
        </w:tabs>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9.2 乙方应对提供的服务成果作出全面自查和整理，并列出清单，作为甲方验收和使用的技术条件依据，清单应随提供的服务成果交给甲方。</w:t>
      </w:r>
    </w:p>
    <w:p w14:paraId="24FC64C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 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订《验收报告》。在经过两次限期整改后，服务仍达不到合同文件规定内容的，甲方有权拒收，并可以解除合同；由此引起甲方损失及赔偿责任由乙方承担。</w:t>
      </w:r>
    </w:p>
    <w:p w14:paraId="01B3D635">
      <w:pPr>
        <w:snapToGrid w:val="0"/>
        <w:spacing w:line="360" w:lineRule="auto"/>
        <w:ind w:firstLine="482"/>
        <w:textAlignment w:val="baseline"/>
        <w:rPr>
          <w:rFonts w:hint="eastAsia" w:ascii="宋体" w:hAnsi="宋体" w:eastAsia="宋体" w:cs="宋体"/>
          <w:sz w:val="24"/>
          <w:highlight w:val="none"/>
        </w:rPr>
      </w:pPr>
      <w:r>
        <w:rPr>
          <w:rFonts w:hint="eastAsia" w:ascii="宋体" w:hAnsi="宋体" w:eastAsia="宋体" w:cs="宋体"/>
          <w:sz w:val="24"/>
          <w:highlight w:val="none"/>
        </w:rPr>
        <w:t>9.4 甲方可以视项目规模或复杂情况聘请专业人员参与验收，大型或复杂项目，以及涉及专业服务内容的应当邀请国家认可的第三方质量检测机构参与验收。</w:t>
      </w:r>
    </w:p>
    <w:p w14:paraId="6B2D5889">
      <w:pPr>
        <w:snapToGrid w:val="0"/>
        <w:spacing w:line="360" w:lineRule="auto"/>
        <w:ind w:firstLine="482"/>
        <w:textAlignment w:val="baseline"/>
        <w:rPr>
          <w:rFonts w:hint="eastAsia" w:ascii="宋体" w:hAnsi="宋体" w:eastAsia="宋体" w:cs="宋体"/>
          <w:sz w:val="24"/>
          <w:highlight w:val="none"/>
        </w:rPr>
      </w:pPr>
      <w:r>
        <w:rPr>
          <w:rFonts w:hint="eastAsia" w:ascii="宋体" w:hAnsi="宋体" w:eastAsia="宋体" w:cs="宋体"/>
          <w:sz w:val="24"/>
          <w:highlight w:val="none"/>
        </w:rPr>
        <w:t>9.5 如项目实施情况需要分阶段验收，则根据实际情况分阶段出具《验收报告》。</w:t>
      </w:r>
    </w:p>
    <w:p w14:paraId="45AA833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9.6 如果合同双方对《验收报告》有分歧，双方须于出现分歧后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内给对方书面声明，以陈述理由及要求，并附有关证据。也可以邀请国家认可的质量检测机构或甲乙双方认可的第三方机构对服务进行鉴定。服务符合标准的，鉴定费由和误期责任甲方承担；不符合质量标准的，鉴定费由和误期责任乙方承担。</w:t>
      </w:r>
    </w:p>
    <w:p w14:paraId="3977F6A6">
      <w:pPr>
        <w:pStyle w:val="7"/>
        <w:jc w:val="left"/>
        <w:rPr>
          <w:rFonts w:hint="eastAsia" w:ascii="宋体" w:hAnsi="宋体" w:eastAsia="宋体" w:cs="宋体"/>
          <w:szCs w:val="24"/>
          <w:highlight w:val="none"/>
        </w:rPr>
      </w:pPr>
      <w:r>
        <w:rPr>
          <w:rFonts w:hint="eastAsia" w:ascii="宋体" w:hAnsi="宋体" w:eastAsia="宋体" w:cs="宋体"/>
          <w:szCs w:val="24"/>
          <w:highlight w:val="none"/>
        </w:rPr>
        <w:t>10. 分包、转包</w:t>
      </w:r>
    </w:p>
    <w:p w14:paraId="4A3DFDD8">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10.1除甲方事先书面同意外，乙方不得部分或全部转让其应履行的合同义务。</w:t>
      </w:r>
    </w:p>
    <w:p w14:paraId="47402282">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10.2除甲方事先书面同意外，乙方不得改变在投标文件中提出的分包项目和建议的分包人（如果有）。</w:t>
      </w:r>
    </w:p>
    <w:p w14:paraId="0278A34E">
      <w:pPr>
        <w:pStyle w:val="7"/>
        <w:jc w:val="left"/>
        <w:rPr>
          <w:rFonts w:hint="eastAsia" w:ascii="宋体" w:hAnsi="宋体" w:eastAsia="宋体" w:cs="宋体"/>
          <w:szCs w:val="24"/>
          <w:highlight w:val="none"/>
        </w:rPr>
      </w:pPr>
      <w:r>
        <w:rPr>
          <w:rFonts w:hint="eastAsia" w:ascii="宋体" w:hAnsi="宋体" w:eastAsia="宋体" w:cs="宋体"/>
          <w:szCs w:val="24"/>
          <w:highlight w:val="none"/>
        </w:rPr>
        <w:t>11. 违约</w:t>
      </w:r>
    </w:p>
    <w:p w14:paraId="691DA52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乙方违约</w:t>
      </w:r>
    </w:p>
    <w:p w14:paraId="31559D6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11.1.1 乙方所交付服务成果不符合本合同规定的，甲方有权拒收，乙方在得到甲方通知之日起</w:t>
      </w:r>
      <w:r>
        <w:rPr>
          <w:rFonts w:hint="eastAsia" w:ascii="宋体" w:hAnsi="宋体" w:eastAsia="宋体" w:cs="宋体"/>
          <w:sz w:val="24"/>
          <w:highlight w:val="none"/>
          <w:u w:val="single"/>
        </w:rPr>
        <w:t xml:space="preserve">  3  </w:t>
      </w:r>
      <w:r>
        <w:rPr>
          <w:rFonts w:hint="eastAsia" w:ascii="宋体" w:hAnsi="宋体" w:eastAsia="宋体" w:cs="宋体"/>
          <w:sz w:val="24"/>
          <w:highlight w:val="none"/>
        </w:rPr>
        <w:t>个工作日内采取补救措施，逾期仍未采取有效措施的，甲方有权要求乙方赔偿因此造成的损失或扣留履约保证金；同时乙方应向甲方支付合同总价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％的违约金/次。</w:t>
      </w:r>
    </w:p>
    <w:p w14:paraId="3C83D61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11.1.2 乙方无正当理由逾期交付服务的，每逾期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天，乙方向甲方偿付合同总额的</w:t>
      </w:r>
      <w:r>
        <w:rPr>
          <w:rFonts w:hint="eastAsia" w:ascii="宋体" w:hAnsi="宋体" w:eastAsia="宋体" w:cs="宋体"/>
          <w:sz w:val="24"/>
          <w:highlight w:val="none"/>
          <w:u w:val="single"/>
        </w:rPr>
        <w:t xml:space="preserve"> 1 </w:t>
      </w:r>
      <w:r>
        <w:rPr>
          <w:rFonts w:hint="eastAsia" w:ascii="宋体" w:hAnsi="宋体" w:eastAsia="宋体" w:cs="宋体"/>
          <w:sz w:val="24"/>
          <w:highlight w:val="none"/>
        </w:rPr>
        <w:t>‰的违约金，但累计误期违约金总额不超过合同总额的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％。如乙方逾期达</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天或达到误期违约金最高限额时，甲方有权解除合同，甲方解除合同的通知自到达乙方时生效。在此情况下，乙方给甲方造成的实际损失高于违约金的，对高出违约金的部分乙方应予以赔偿。</w:t>
      </w:r>
    </w:p>
    <w:p w14:paraId="28B975F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甲方违约</w:t>
      </w:r>
    </w:p>
    <w:p w14:paraId="6DEE77D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11.2.1 甲方无正当理由拒收乙方服务成果，甲方应向乙方支付拒付合同价款</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％的违约金/次。</w:t>
      </w:r>
    </w:p>
    <w:p w14:paraId="707946E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11.2.2 甲方未按合同规定的期限向乙方支付合同款的，每逾期1天甲方向乙方支付逾期价款的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‰违约金，但累计违约金总额不超过逾期价款的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7A2023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其它未尽事宜，以《民法典》和《政府采购法》等有关法律法规规定为准，无相关规定的，双方协商解决。</w:t>
      </w:r>
    </w:p>
    <w:p w14:paraId="1D3C6415">
      <w:pPr>
        <w:pStyle w:val="7"/>
        <w:jc w:val="left"/>
        <w:rPr>
          <w:rFonts w:hint="eastAsia" w:ascii="宋体" w:hAnsi="宋体" w:eastAsia="宋体" w:cs="宋体"/>
          <w:szCs w:val="24"/>
          <w:highlight w:val="none"/>
        </w:rPr>
      </w:pPr>
      <w:r>
        <w:rPr>
          <w:rFonts w:hint="eastAsia" w:ascii="宋体" w:hAnsi="宋体" w:eastAsia="宋体" w:cs="宋体"/>
          <w:szCs w:val="24"/>
          <w:highlight w:val="none"/>
        </w:rPr>
        <w:t>12. 合同解除</w:t>
      </w:r>
    </w:p>
    <w:p w14:paraId="30D83A98">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 乙方违约时合同解除</w:t>
      </w:r>
    </w:p>
    <w:p w14:paraId="724C9F33">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12.1.1 发生下列情形时，在甲方对乙方违约提出警告无效的情况下，甲方可以书面形式通知乙方，提出解除合同。</w:t>
      </w:r>
    </w:p>
    <w:p w14:paraId="00845A66">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（1）如果乙方未能在合同规定的时间内或未能在包括但不限于甲方同意延长的期限内提供部分或全部合同货物；</w:t>
      </w:r>
    </w:p>
    <w:p w14:paraId="708C99B3">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（2）如果乙方未能履行合同约定的义务；</w:t>
      </w:r>
    </w:p>
    <w:p w14:paraId="5CF14D08">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 乙方破产时解除合同</w:t>
      </w:r>
    </w:p>
    <w:p w14:paraId="30250B97">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或无清偿债务的能力，导致合同不能履行时，甲方可以以书面形式通知乙方解除合同而不对乙方进行任何补偿。同时该解除合同将不损害或影响甲方已经采取或将要采取的任何行动或补救措施的任何权利。</w:t>
      </w:r>
    </w:p>
    <w:p w14:paraId="183A77F9">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12.3 甲方违约解除合同</w:t>
      </w:r>
    </w:p>
    <w:p w14:paraId="16195650">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如果甲方无法继续履行或明确表示不履行或实质上已停止履行合同，乙方可以书面形式通知甲方，</w:t>
      </w:r>
      <w:r>
        <w:rPr>
          <w:rFonts w:hint="eastAsia" w:ascii="宋体" w:hAnsi="宋体" w:eastAsia="宋体" w:cs="宋体"/>
          <w:position w:val="-1"/>
          <w:sz w:val="24"/>
          <w:highlight w:val="none"/>
        </w:rPr>
        <w:t>提出解除合同。解除合同不免除甲方承担的违约责任。</w:t>
      </w:r>
    </w:p>
    <w:p w14:paraId="65110025">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12.4 甲方解除合同后的结清</w:t>
      </w:r>
    </w:p>
    <w:p w14:paraId="583F7769">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因乙方违约或破产，甲方提出解除合同的，在甲方通知乙方解除合同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天内，乙方向甲方提交有关资料和凭证，按下列方式结清。</w:t>
      </w:r>
    </w:p>
    <w:p w14:paraId="15D4ED89">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（1）乙方应将一切与合同有关的并已付款的文件、资料交付给甲方。</w:t>
      </w:r>
    </w:p>
    <w:p w14:paraId="24A953F3">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（2）甲方应清查各项付款和已扣款金额，包括按合同约定的违约扣款，以及由于解除合同给甲方造成损失的违约金额，并做详细说明。</w:t>
      </w:r>
    </w:p>
    <w:p w14:paraId="0F064714">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（4）甲乙双方确认上述往来款项和违约金额后，结清合同价款。</w:t>
      </w:r>
    </w:p>
    <w:p w14:paraId="7EE18DC6">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（5）甲乙双方未能就解除合同后的结清达成一致而形成争议的，按合同约定办理。</w:t>
      </w:r>
    </w:p>
    <w:p w14:paraId="2E08D805">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12.5 乙方解除合同的结清</w:t>
      </w:r>
    </w:p>
    <w:p w14:paraId="245411A8">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因甲方违约乙方提出解除合同的，在乙方通知甲方解除合同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天内，乙方向甲方提交有关资料和凭证，按下列方式结清。</w:t>
      </w:r>
    </w:p>
    <w:p w14:paraId="48362BB4">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（1）乙方应将一切与合同有关的并已付款的文件、资料交付给甲方。</w:t>
      </w:r>
    </w:p>
    <w:p w14:paraId="613771C7">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（2）乙方应清查已交付的合同货物金额，甲方已支付的金额，甲方未支付的金额，以及由于解除合同给乙方造成损失的违约金额，并做详细说明。</w:t>
      </w:r>
    </w:p>
    <w:p w14:paraId="2714D3E2">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（3）甲乙双方确认上述往来款项和违约金额后，结清合同价款，甲方应退还质量保证金和履约保证金。</w:t>
      </w:r>
    </w:p>
    <w:p w14:paraId="651150DA">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（4）甲乙双方未能就解除合同后的结清达成一致而形成争议的，按合同约定办理。</w:t>
      </w:r>
    </w:p>
    <w:p w14:paraId="6457AD89">
      <w:pPr>
        <w:pStyle w:val="7"/>
        <w:jc w:val="left"/>
        <w:rPr>
          <w:rFonts w:hint="eastAsia" w:ascii="宋体" w:hAnsi="宋体" w:eastAsia="宋体" w:cs="宋体"/>
          <w:szCs w:val="24"/>
          <w:highlight w:val="none"/>
        </w:rPr>
      </w:pPr>
      <w:r>
        <w:rPr>
          <w:rFonts w:hint="eastAsia" w:ascii="宋体" w:hAnsi="宋体" w:eastAsia="宋体" w:cs="宋体"/>
          <w:szCs w:val="24"/>
          <w:highlight w:val="none"/>
        </w:rPr>
        <w:t>13. 履约保证金</w:t>
      </w:r>
    </w:p>
    <w:p w14:paraId="12A941A8">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 乙方应向甲方提交提交履约保证金，履约保证金用于补偿甲方因乙方不能履行其合同义务而蒙受的损失。</w:t>
      </w:r>
    </w:p>
    <w:p w14:paraId="02487831">
      <w:pPr>
        <w:widowControl/>
        <w:adjustRightInd w:val="0"/>
        <w:snapToGri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履约保证金金额：</w:t>
      </w:r>
      <w:r>
        <w:rPr>
          <w:rFonts w:hint="eastAsia" w:ascii="宋体" w:hAnsi="宋体" w:eastAsia="宋体" w:cs="宋体"/>
          <w:sz w:val="24"/>
          <w:highlight w:val="none"/>
          <w:u w:val="single"/>
        </w:rPr>
        <w:t xml:space="preserve">                  </w:t>
      </w:r>
    </w:p>
    <w:p w14:paraId="31379F15">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履约保证金形式：</w:t>
      </w:r>
      <w:r>
        <w:rPr>
          <w:rFonts w:hint="eastAsia" w:ascii="宋体" w:hAnsi="宋体" w:eastAsia="宋体" w:cs="宋体"/>
          <w:sz w:val="24"/>
          <w:highlight w:val="none"/>
          <w:u w:val="single"/>
        </w:rPr>
        <w:t xml:space="preserve">                  </w:t>
      </w:r>
    </w:p>
    <w:p w14:paraId="3DDEB3B6">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履约保证金提交时间：</w:t>
      </w:r>
      <w:r>
        <w:rPr>
          <w:rFonts w:hint="eastAsia" w:ascii="宋体" w:hAnsi="宋体" w:eastAsia="宋体" w:cs="宋体"/>
          <w:sz w:val="24"/>
          <w:highlight w:val="none"/>
          <w:u w:val="single"/>
        </w:rPr>
        <w:t xml:space="preserve">              </w:t>
      </w:r>
    </w:p>
    <w:p w14:paraId="23A117BF">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13.2履约保证金的有效期为合同服务最后一批交货验收合格后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w:t>
      </w:r>
    </w:p>
    <w:p w14:paraId="7618D0ED">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13.3履约保证金在合同货物及服务最后一批交货验收合格后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天内无息退还。</w:t>
      </w:r>
    </w:p>
    <w:p w14:paraId="31140C6F">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13.4 履约保证金因乙方原因导致服务期限延长，其履约保证金有效期应相应延长。</w:t>
      </w:r>
    </w:p>
    <w:p w14:paraId="692DCD5F">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13.5 发生下列之一者，则不予退还履约保证金：</w:t>
      </w:r>
    </w:p>
    <w:p w14:paraId="1D2CA78E">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（1）乙方发生违约行为而完全终止合同；</w:t>
      </w:r>
    </w:p>
    <w:p w14:paraId="5524B798">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（2）乙方不履行实质性的投标承诺。</w:t>
      </w:r>
    </w:p>
    <w:p w14:paraId="7CA42738">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13.6 履约保证金的退还或不予退还并不免除乙方对已交付服务的质量责任。</w:t>
      </w:r>
    </w:p>
    <w:p w14:paraId="408189DA">
      <w:pPr>
        <w:pStyle w:val="7"/>
        <w:jc w:val="left"/>
        <w:rPr>
          <w:rFonts w:hint="eastAsia" w:ascii="宋体" w:hAnsi="宋体" w:eastAsia="宋体" w:cs="宋体"/>
          <w:szCs w:val="24"/>
          <w:highlight w:val="none"/>
        </w:rPr>
      </w:pPr>
      <w:r>
        <w:rPr>
          <w:rFonts w:hint="eastAsia" w:ascii="宋体" w:hAnsi="宋体" w:eastAsia="宋体" w:cs="宋体"/>
          <w:szCs w:val="24"/>
          <w:highlight w:val="none"/>
        </w:rPr>
        <w:t>14. 不可抗力</w:t>
      </w:r>
    </w:p>
    <w:p w14:paraId="4492496F">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 如果合同任何一方受诸如战争、严重的火灾、台风、地震、洪水以及任何其他不能预见、不能避免且不能克服的不可抗力事件的影响而无法履行合同项下的任何义务，受影响的一方应将此类事件的发生通知合同另一方，并应在不可抗力事件发生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天内书面</w:t>
      </w:r>
      <w:r>
        <w:rPr>
          <w:rFonts w:hint="eastAsia" w:ascii="宋体" w:hAnsi="宋体" w:eastAsia="宋体" w:cs="宋体"/>
          <w:position w:val="-1"/>
          <w:sz w:val="24"/>
          <w:highlight w:val="none"/>
        </w:rPr>
        <w:t>说明不可抗力和受阻碍的详细情</w:t>
      </w:r>
      <w:r>
        <w:rPr>
          <w:rFonts w:hint="eastAsia" w:ascii="宋体" w:hAnsi="宋体" w:eastAsia="宋体" w:cs="宋体"/>
          <w:sz w:val="24"/>
          <w:highlight w:val="none"/>
        </w:rPr>
        <w:t>况，并提供必要的证明。</w:t>
      </w:r>
    </w:p>
    <w:p w14:paraId="3B180DFA">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 受不可抗力事件影响的合同一方对于不可抗力事件导致的任何合同义务的迟延履行或不能履行不承担责任。但该合同方应尽快将不可抗力事件结束或其影响消除的情况通知合同另一方。双方由此产生的损失不得向对方提出索赔要求，也不承担误期赔偿或终止合同的责任。</w:t>
      </w:r>
    </w:p>
    <w:p w14:paraId="24DD03D1">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 合同双方应在不可抗力事件结束或其影响消除后，立即继续履行其合同义务，合同期限也应相应延长。如果不可抗力事件的影响持续超过</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天，合同任何一方均有权以书面形式通知对方部分或全部终止合同。</w:t>
      </w:r>
    </w:p>
    <w:p w14:paraId="4DE83427">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14.4 因不可抗力终止合同的结清参照第 13.5 款规定办理。</w:t>
      </w:r>
    </w:p>
    <w:p w14:paraId="6025A418">
      <w:pPr>
        <w:pStyle w:val="7"/>
        <w:jc w:val="left"/>
        <w:rPr>
          <w:rFonts w:hint="eastAsia" w:ascii="宋体" w:hAnsi="宋体" w:eastAsia="宋体" w:cs="宋体"/>
          <w:szCs w:val="24"/>
          <w:highlight w:val="none"/>
        </w:rPr>
      </w:pPr>
      <w:r>
        <w:rPr>
          <w:rFonts w:hint="eastAsia" w:ascii="宋体" w:hAnsi="宋体" w:eastAsia="宋体" w:cs="宋体"/>
          <w:szCs w:val="24"/>
          <w:highlight w:val="none"/>
        </w:rPr>
        <w:t>15. 税费</w:t>
      </w:r>
    </w:p>
    <w:p w14:paraId="1F150416">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15.1 按现行税法规定向甲方征收的与本合同有关的一切税费均由甲方负责。</w:t>
      </w:r>
    </w:p>
    <w:p w14:paraId="044A91E5">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15.2 按现行税法规定向乙方征收的与本合同有关的一切税费均由乙方负责。</w:t>
      </w:r>
    </w:p>
    <w:p w14:paraId="3BCB9FC3">
      <w:pPr>
        <w:pStyle w:val="7"/>
        <w:jc w:val="left"/>
        <w:rPr>
          <w:rFonts w:hint="eastAsia" w:ascii="宋体" w:hAnsi="宋体" w:eastAsia="宋体" w:cs="宋体"/>
          <w:szCs w:val="24"/>
          <w:highlight w:val="none"/>
        </w:rPr>
      </w:pPr>
      <w:r>
        <w:rPr>
          <w:rFonts w:hint="eastAsia" w:ascii="宋体" w:hAnsi="宋体" w:eastAsia="宋体" w:cs="宋体"/>
          <w:szCs w:val="24"/>
          <w:highlight w:val="none"/>
        </w:rPr>
        <w:t>16. 争议的解决</w:t>
      </w:r>
    </w:p>
    <w:p w14:paraId="0DBCBDB5">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16.1 合同履行过程中出现争议时，甲乙双方应本着公平、合理的原则，及时友好协商解决。如在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天内未能解决，按下列第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种方式解决：</w:t>
      </w:r>
    </w:p>
    <w:p w14:paraId="1CC66F45">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仲裁委员会申请仲裁；</w:t>
      </w:r>
    </w:p>
    <w:p w14:paraId="03A76B7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（2）向</w:t>
      </w:r>
      <w:r>
        <w:rPr>
          <w:rFonts w:hint="eastAsia" w:ascii="宋体" w:hAnsi="宋体" w:eastAsia="宋体" w:cs="宋体"/>
          <w:sz w:val="24"/>
          <w:highlight w:val="none"/>
          <w:u w:val="single"/>
        </w:rPr>
        <w:t xml:space="preserve">  甲方所在地的有管辖权   </w:t>
      </w:r>
      <w:r>
        <w:rPr>
          <w:rFonts w:hint="eastAsia" w:ascii="宋体" w:hAnsi="宋体" w:eastAsia="宋体" w:cs="宋体"/>
          <w:sz w:val="24"/>
          <w:highlight w:val="none"/>
        </w:rPr>
        <w:t>人民法院起诉。</w:t>
      </w:r>
    </w:p>
    <w:p w14:paraId="48D3171D">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 在争议期间，除存在争议的部分外，本合同其它部分应继续履行。</w:t>
      </w:r>
    </w:p>
    <w:p w14:paraId="652A8DAC">
      <w:pPr>
        <w:pStyle w:val="7"/>
        <w:jc w:val="left"/>
        <w:rPr>
          <w:rFonts w:hint="eastAsia" w:ascii="宋体" w:hAnsi="宋体" w:eastAsia="宋体" w:cs="宋体"/>
          <w:szCs w:val="24"/>
          <w:highlight w:val="none"/>
        </w:rPr>
      </w:pPr>
      <w:r>
        <w:rPr>
          <w:rFonts w:hint="eastAsia" w:ascii="宋体" w:hAnsi="宋体" w:eastAsia="宋体" w:cs="宋体"/>
          <w:szCs w:val="24"/>
          <w:highlight w:val="none"/>
        </w:rPr>
        <w:t>17. 适用法律</w:t>
      </w:r>
    </w:p>
    <w:p w14:paraId="2C89ED08">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本合同应按照中华人民共和国的法律进行解释。</w:t>
      </w:r>
    </w:p>
    <w:p w14:paraId="425714D0">
      <w:pPr>
        <w:pStyle w:val="7"/>
        <w:jc w:val="left"/>
        <w:rPr>
          <w:rFonts w:hint="eastAsia" w:ascii="宋体" w:hAnsi="宋体" w:eastAsia="宋体" w:cs="宋体"/>
          <w:szCs w:val="24"/>
          <w:highlight w:val="none"/>
        </w:rPr>
      </w:pPr>
      <w:r>
        <w:rPr>
          <w:rFonts w:hint="eastAsia" w:ascii="宋体" w:hAnsi="宋体" w:eastAsia="宋体" w:cs="宋体"/>
          <w:szCs w:val="24"/>
          <w:highlight w:val="none"/>
        </w:rPr>
        <w:t>18. 合同生效</w:t>
      </w:r>
    </w:p>
    <w:p w14:paraId="21C63F4A">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除法律另有规定外，甲方和乙方的法定代表人（单位负责人）或其委托代理人在合同协议书上签字并盖单位章后，合同生效。</w:t>
      </w:r>
    </w:p>
    <w:p w14:paraId="4D76B78C">
      <w:pPr>
        <w:pStyle w:val="7"/>
        <w:jc w:val="left"/>
        <w:rPr>
          <w:rFonts w:hint="eastAsia" w:ascii="宋体" w:hAnsi="宋体" w:eastAsia="宋体" w:cs="宋体"/>
          <w:szCs w:val="24"/>
          <w:highlight w:val="none"/>
        </w:rPr>
      </w:pPr>
      <w:r>
        <w:rPr>
          <w:rFonts w:hint="eastAsia" w:ascii="宋体" w:hAnsi="宋体" w:eastAsia="宋体" w:cs="宋体"/>
          <w:szCs w:val="24"/>
          <w:highlight w:val="none"/>
        </w:rPr>
        <w:t>19. 合同附件</w:t>
      </w:r>
    </w:p>
    <w:p w14:paraId="5E6C6281">
      <w:pPr>
        <w:widowControl/>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按合同协议书规定的合同组成部分作为合同附件。</w:t>
      </w:r>
    </w:p>
    <w:p w14:paraId="7F0BD73C">
      <w:pPr>
        <w:pStyle w:val="7"/>
        <w:jc w:val="left"/>
        <w:rPr>
          <w:rFonts w:hint="eastAsia" w:ascii="宋体" w:hAnsi="宋体" w:eastAsia="宋体" w:cs="宋体"/>
          <w:szCs w:val="24"/>
          <w:highlight w:val="none"/>
        </w:rPr>
      </w:pPr>
      <w:r>
        <w:rPr>
          <w:rFonts w:hint="eastAsia" w:ascii="宋体" w:hAnsi="宋体" w:eastAsia="宋体" w:cs="宋体"/>
          <w:szCs w:val="24"/>
          <w:highlight w:val="none"/>
        </w:rPr>
        <w:t>20. 补充条款</w:t>
      </w:r>
    </w:p>
    <w:p w14:paraId="044D19FA">
      <w:pPr>
        <w:widowControl/>
        <w:adjustRightInd w:val="0"/>
        <w:snapToGri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未经甲方事先书面许可，乙方不得以履行本政府采购合同为由，以广告或其他形式宣称其是政府采购指定供应商或其服务是政府采购指定服务。                                                                       </w:t>
      </w:r>
    </w:p>
    <w:p w14:paraId="1CEA44FE">
      <w:pPr>
        <w:pStyle w:val="7"/>
        <w:jc w:val="left"/>
        <w:rPr>
          <w:rFonts w:hint="eastAsia" w:ascii="宋体" w:hAnsi="宋体" w:eastAsia="宋体" w:cs="宋体"/>
          <w:szCs w:val="24"/>
          <w:highlight w:val="none"/>
        </w:rPr>
      </w:pPr>
      <w:r>
        <w:rPr>
          <w:rFonts w:hint="eastAsia" w:ascii="宋体" w:hAnsi="宋体" w:eastAsia="宋体" w:cs="宋体"/>
          <w:szCs w:val="24"/>
          <w:highlight w:val="none"/>
        </w:rPr>
        <w:t>21. 其他</w:t>
      </w:r>
    </w:p>
    <w:p w14:paraId="62658E7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本合同一式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份，甲、乙双方各执</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份，报政府采购主管部门备案一份。</w:t>
      </w:r>
    </w:p>
    <w:p w14:paraId="6D16CB3C">
      <w:pPr>
        <w:snapToGrid w:val="0"/>
        <w:spacing w:line="360" w:lineRule="auto"/>
        <w:ind w:firstLine="480" w:firstLineChars="200"/>
        <w:rPr>
          <w:rFonts w:hint="eastAsia" w:ascii="宋体" w:hAnsi="宋体" w:eastAsia="宋体" w:cs="宋体"/>
          <w:sz w:val="24"/>
          <w:highlight w:val="none"/>
        </w:rPr>
      </w:pPr>
    </w:p>
    <w:p w14:paraId="1E7FA77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   方：                        乙   方：</w:t>
      </w:r>
    </w:p>
    <w:p w14:paraId="22497FC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名称：（盖章）                    名称：（盖章）</w:t>
      </w:r>
    </w:p>
    <w:p w14:paraId="78B83B4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                           地址：</w:t>
      </w:r>
    </w:p>
    <w:p w14:paraId="4EC6026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法定代表人（签字）：              法定代表人（签字）：</w:t>
      </w:r>
    </w:p>
    <w:p w14:paraId="1D5728E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授权代表（签字）：                授权代表（签字）：</w:t>
      </w:r>
    </w:p>
    <w:p w14:paraId="33C7CBB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开户银行：                       开户银行：</w:t>
      </w:r>
    </w:p>
    <w:p w14:paraId="12DF7AC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银行帐号：                       银行帐号：</w:t>
      </w:r>
    </w:p>
    <w:p w14:paraId="227721A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时间：2025年  月  日            时间：2025年  月  日</w:t>
      </w:r>
    </w:p>
    <w:p w14:paraId="4F53D8D1">
      <w:pPr>
        <w:snapToGrid w:val="0"/>
        <w:spacing w:line="360" w:lineRule="auto"/>
        <w:ind w:firstLine="480" w:firstLineChars="200"/>
        <w:rPr>
          <w:rFonts w:hint="eastAsia" w:ascii="宋体" w:hAnsi="宋体" w:eastAsia="宋体" w:cs="宋体"/>
          <w:sz w:val="24"/>
          <w:highlight w:val="none"/>
        </w:rPr>
      </w:pPr>
    </w:p>
    <w:p w14:paraId="5EB1A423">
      <w:pPr>
        <w:adjustRightInd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合同见证方：采购代理机构盖章</w:t>
      </w:r>
    </w:p>
    <w:p w14:paraId="5FF2C73A">
      <w:pPr>
        <w:pStyle w:val="6"/>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45" w:name="_Toc497923302"/>
      <w:bookmarkStart w:id="46" w:name="_Toc500009175"/>
      <w:bookmarkStart w:id="47" w:name="_Toc526265701"/>
      <w:bookmarkStart w:id="48" w:name="_Toc500235607"/>
      <w:r>
        <w:rPr>
          <w:rFonts w:hint="eastAsia" w:ascii="宋体" w:hAnsi="宋体" w:eastAsia="宋体" w:cs="宋体"/>
          <w:sz w:val="24"/>
          <w:szCs w:val="24"/>
          <w:highlight w:val="none"/>
        </w:rPr>
        <w:t>附件一：合同协议书</w:t>
      </w:r>
      <w:bookmarkEnd w:id="45"/>
      <w:bookmarkEnd w:id="46"/>
      <w:bookmarkEnd w:id="47"/>
      <w:bookmarkEnd w:id="48"/>
    </w:p>
    <w:p w14:paraId="7FD1E737">
      <w:pPr>
        <w:autoSpaceDE w:val="0"/>
        <w:autoSpaceDN w:val="0"/>
        <w:adjustRightInd w:val="0"/>
        <w:spacing w:line="373" w:lineRule="exact"/>
        <w:ind w:right="72"/>
        <w:contextualSpacing/>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合同协</w:t>
      </w:r>
      <w:r>
        <w:rPr>
          <w:rFonts w:hint="eastAsia" w:ascii="宋体" w:hAnsi="宋体" w:eastAsia="宋体" w:cs="宋体"/>
          <w:spacing w:val="-3"/>
          <w:kern w:val="0"/>
          <w:sz w:val="24"/>
          <w:highlight w:val="none"/>
        </w:rPr>
        <w:t>议</w:t>
      </w:r>
      <w:r>
        <w:rPr>
          <w:rFonts w:hint="eastAsia" w:ascii="宋体" w:hAnsi="宋体" w:eastAsia="宋体" w:cs="宋体"/>
          <w:kern w:val="0"/>
          <w:sz w:val="24"/>
          <w:highlight w:val="none"/>
        </w:rPr>
        <w:t>书</w:t>
      </w:r>
    </w:p>
    <w:p w14:paraId="32A01F71">
      <w:pPr>
        <w:tabs>
          <w:tab w:val="left" w:pos="2440"/>
          <w:tab w:val="left" w:pos="4960"/>
        </w:tabs>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u w:val="single"/>
        </w:rPr>
        <w:tab/>
      </w:r>
      <w:r>
        <w:rPr>
          <w:rFonts w:hint="eastAsia" w:ascii="宋体" w:hAnsi="宋体" w:eastAsia="宋体" w:cs="宋体"/>
          <w:spacing w:val="-2"/>
          <w:kern w:val="0"/>
          <w:sz w:val="24"/>
          <w:highlight w:val="none"/>
        </w:rPr>
        <w:t>（甲</w:t>
      </w:r>
      <w:r>
        <w:rPr>
          <w:rFonts w:hint="eastAsia" w:ascii="宋体" w:hAnsi="宋体" w:eastAsia="宋体" w:cs="宋体"/>
          <w:kern w:val="0"/>
          <w:sz w:val="24"/>
          <w:highlight w:val="none"/>
        </w:rPr>
        <w:t>方名</w:t>
      </w:r>
      <w:r>
        <w:rPr>
          <w:rFonts w:hint="eastAsia" w:ascii="宋体" w:hAnsi="宋体" w:eastAsia="宋体" w:cs="宋体"/>
          <w:spacing w:val="-2"/>
          <w:kern w:val="0"/>
          <w:sz w:val="24"/>
          <w:highlight w:val="none"/>
        </w:rPr>
        <w:t>称</w:t>
      </w:r>
      <w:r>
        <w:rPr>
          <w:rFonts w:hint="eastAsia" w:ascii="宋体" w:hAnsi="宋体" w:eastAsia="宋体" w:cs="宋体"/>
          <w:spacing w:val="-67"/>
          <w:kern w:val="0"/>
          <w:sz w:val="24"/>
          <w:highlight w:val="none"/>
        </w:rPr>
        <w:t>，</w:t>
      </w:r>
      <w:r>
        <w:rPr>
          <w:rFonts w:hint="eastAsia" w:ascii="宋体" w:hAnsi="宋体" w:eastAsia="宋体" w:cs="宋体"/>
          <w:spacing w:val="-2"/>
          <w:kern w:val="0"/>
          <w:sz w:val="24"/>
          <w:highlight w:val="none"/>
        </w:rPr>
        <w:t>以</w:t>
      </w:r>
      <w:r>
        <w:rPr>
          <w:rFonts w:hint="eastAsia" w:ascii="宋体" w:hAnsi="宋体" w:eastAsia="宋体" w:cs="宋体"/>
          <w:kern w:val="0"/>
          <w:sz w:val="24"/>
          <w:highlight w:val="none"/>
        </w:rPr>
        <w:t>下</w:t>
      </w:r>
      <w:r>
        <w:rPr>
          <w:rFonts w:hint="eastAsia" w:ascii="宋体" w:hAnsi="宋体" w:eastAsia="宋体" w:cs="宋体"/>
          <w:spacing w:val="-2"/>
          <w:kern w:val="0"/>
          <w:sz w:val="24"/>
          <w:highlight w:val="none"/>
        </w:rPr>
        <w:t>简</w:t>
      </w:r>
      <w:r>
        <w:rPr>
          <w:rFonts w:hint="eastAsia" w:ascii="宋体" w:hAnsi="宋体" w:eastAsia="宋体" w:cs="宋体"/>
          <w:kern w:val="0"/>
          <w:sz w:val="24"/>
          <w:highlight w:val="none"/>
        </w:rPr>
        <w:t>称“</w:t>
      </w:r>
      <w:r>
        <w:rPr>
          <w:rFonts w:hint="eastAsia" w:ascii="宋体" w:hAnsi="宋体" w:eastAsia="宋体" w:cs="宋体"/>
          <w:spacing w:val="-2"/>
          <w:kern w:val="0"/>
          <w:sz w:val="24"/>
          <w:highlight w:val="none"/>
        </w:rPr>
        <w:t>甲</w:t>
      </w:r>
      <w:r>
        <w:rPr>
          <w:rFonts w:hint="eastAsia" w:ascii="宋体" w:hAnsi="宋体" w:eastAsia="宋体" w:cs="宋体"/>
          <w:kern w:val="0"/>
          <w:sz w:val="24"/>
          <w:highlight w:val="none"/>
        </w:rPr>
        <w:t>方”</w:t>
      </w:r>
      <w:r>
        <w:rPr>
          <w:rFonts w:hint="eastAsia" w:ascii="宋体" w:hAnsi="宋体" w:eastAsia="宋体" w:cs="宋体"/>
          <w:spacing w:val="-70"/>
          <w:kern w:val="0"/>
          <w:sz w:val="24"/>
          <w:highlight w:val="none"/>
        </w:rPr>
        <w:t>）</w:t>
      </w:r>
      <w:r>
        <w:rPr>
          <w:rFonts w:hint="eastAsia" w:ascii="宋体" w:hAnsi="宋体" w:eastAsia="宋体" w:cs="宋体"/>
          <w:kern w:val="0"/>
          <w:sz w:val="24"/>
          <w:highlight w:val="none"/>
        </w:rPr>
        <w:t>为获</w:t>
      </w:r>
      <w:r>
        <w:rPr>
          <w:rFonts w:hint="eastAsia" w:ascii="宋体" w:hAnsi="宋体" w:eastAsia="宋体" w:cs="宋体"/>
          <w:spacing w:val="-2"/>
          <w:kern w:val="0"/>
          <w:sz w:val="24"/>
          <w:highlight w:val="none"/>
        </w:rPr>
        <w:t>得</w:t>
      </w:r>
      <w:r>
        <w:rPr>
          <w:rFonts w:hint="eastAsia" w:ascii="宋体" w:hAnsi="宋体" w:eastAsia="宋体" w:cs="宋体"/>
          <w:kern w:val="0"/>
          <w:sz w:val="24"/>
          <w:highlight w:val="none"/>
          <w:u w:val="single"/>
        </w:rPr>
        <w:t xml:space="preserve"> </w:t>
      </w:r>
      <w:r>
        <w:rPr>
          <w:rFonts w:hint="eastAsia" w:ascii="宋体" w:hAnsi="宋体" w:eastAsia="宋体" w:cs="宋体"/>
          <w:spacing w:val="1"/>
          <w:kern w:val="0"/>
          <w:sz w:val="24"/>
          <w:highlight w:val="none"/>
          <w:u w:val="single"/>
        </w:rPr>
        <w:t xml:space="preserve">       </w:t>
      </w:r>
      <w:r>
        <w:rPr>
          <w:rFonts w:hint="eastAsia" w:ascii="宋体" w:hAnsi="宋体" w:eastAsia="宋体" w:cs="宋体"/>
          <w:kern w:val="0"/>
          <w:sz w:val="24"/>
          <w:highlight w:val="none"/>
          <w:u w:val="single"/>
        </w:rPr>
        <w:tab/>
      </w:r>
      <w:r>
        <w:rPr>
          <w:rFonts w:hint="eastAsia" w:ascii="宋体" w:hAnsi="宋体" w:eastAsia="宋体" w:cs="宋体"/>
          <w:spacing w:val="-2"/>
          <w:kern w:val="0"/>
          <w:sz w:val="24"/>
          <w:highlight w:val="none"/>
        </w:rPr>
        <w:t>（采购项目名</w:t>
      </w:r>
      <w:r>
        <w:rPr>
          <w:rFonts w:hint="eastAsia" w:ascii="宋体" w:hAnsi="宋体" w:eastAsia="宋体" w:cs="宋体"/>
          <w:kern w:val="0"/>
          <w:sz w:val="24"/>
          <w:highlight w:val="none"/>
        </w:rPr>
        <w:t>称）合同相关服务，已接受</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rPr>
        <w:t>（乙方名称，以下简称“乙方”）为提供上述合同货物和相关服务所作的投标</w:t>
      </w:r>
      <w:r>
        <w:rPr>
          <w:rFonts w:hint="eastAsia" w:ascii="宋体" w:hAnsi="宋体" w:eastAsia="宋体" w:cs="宋体"/>
          <w:spacing w:val="-2"/>
          <w:kern w:val="0"/>
          <w:position w:val="-1"/>
          <w:sz w:val="24"/>
          <w:highlight w:val="none"/>
        </w:rPr>
        <w:t>，</w:t>
      </w:r>
      <w:r>
        <w:rPr>
          <w:rFonts w:hint="eastAsia" w:ascii="宋体" w:hAnsi="宋体" w:eastAsia="宋体" w:cs="宋体"/>
          <w:kern w:val="0"/>
          <w:position w:val="-1"/>
          <w:sz w:val="24"/>
          <w:highlight w:val="none"/>
        </w:rPr>
        <w:t>甲</w:t>
      </w:r>
      <w:r>
        <w:rPr>
          <w:rFonts w:hint="eastAsia" w:ascii="宋体" w:hAnsi="宋体" w:eastAsia="宋体" w:cs="宋体"/>
          <w:spacing w:val="-2"/>
          <w:kern w:val="0"/>
          <w:position w:val="-1"/>
          <w:sz w:val="24"/>
          <w:highlight w:val="none"/>
        </w:rPr>
        <w:t>方</w:t>
      </w:r>
      <w:r>
        <w:rPr>
          <w:rFonts w:hint="eastAsia" w:ascii="宋体" w:hAnsi="宋体" w:eastAsia="宋体" w:cs="宋体"/>
          <w:kern w:val="0"/>
          <w:position w:val="-1"/>
          <w:sz w:val="24"/>
          <w:highlight w:val="none"/>
        </w:rPr>
        <w:t>和乙方</w:t>
      </w:r>
      <w:r>
        <w:rPr>
          <w:rFonts w:hint="eastAsia" w:ascii="宋体" w:hAnsi="宋体" w:eastAsia="宋体" w:cs="宋体"/>
          <w:spacing w:val="-2"/>
          <w:kern w:val="0"/>
          <w:position w:val="-1"/>
          <w:sz w:val="24"/>
          <w:highlight w:val="none"/>
        </w:rPr>
        <w:t>共</w:t>
      </w:r>
      <w:r>
        <w:rPr>
          <w:rFonts w:hint="eastAsia" w:ascii="宋体" w:hAnsi="宋体" w:eastAsia="宋体" w:cs="宋体"/>
          <w:kern w:val="0"/>
          <w:position w:val="-1"/>
          <w:sz w:val="24"/>
          <w:highlight w:val="none"/>
        </w:rPr>
        <w:t>同达</w:t>
      </w:r>
      <w:r>
        <w:rPr>
          <w:rFonts w:hint="eastAsia" w:ascii="宋体" w:hAnsi="宋体" w:eastAsia="宋体" w:cs="宋体"/>
          <w:spacing w:val="-2"/>
          <w:kern w:val="0"/>
          <w:position w:val="-1"/>
          <w:sz w:val="24"/>
          <w:highlight w:val="none"/>
        </w:rPr>
        <w:t>成</w:t>
      </w:r>
      <w:r>
        <w:rPr>
          <w:rFonts w:hint="eastAsia" w:ascii="宋体" w:hAnsi="宋体" w:eastAsia="宋体" w:cs="宋体"/>
          <w:kern w:val="0"/>
          <w:position w:val="-1"/>
          <w:sz w:val="24"/>
          <w:highlight w:val="none"/>
        </w:rPr>
        <w:t>如</w:t>
      </w:r>
      <w:r>
        <w:rPr>
          <w:rFonts w:hint="eastAsia" w:ascii="宋体" w:hAnsi="宋体" w:eastAsia="宋体" w:cs="宋体"/>
          <w:spacing w:val="-2"/>
          <w:kern w:val="0"/>
          <w:position w:val="-1"/>
          <w:sz w:val="24"/>
          <w:highlight w:val="none"/>
        </w:rPr>
        <w:t>下</w:t>
      </w:r>
      <w:r>
        <w:rPr>
          <w:rFonts w:hint="eastAsia" w:ascii="宋体" w:hAnsi="宋体" w:eastAsia="宋体" w:cs="宋体"/>
          <w:kern w:val="0"/>
          <w:position w:val="-1"/>
          <w:sz w:val="24"/>
          <w:highlight w:val="none"/>
        </w:rPr>
        <w:t>协</w:t>
      </w:r>
      <w:r>
        <w:rPr>
          <w:rFonts w:hint="eastAsia" w:ascii="宋体" w:hAnsi="宋体" w:eastAsia="宋体" w:cs="宋体"/>
          <w:spacing w:val="-2"/>
          <w:kern w:val="0"/>
          <w:position w:val="-1"/>
          <w:sz w:val="24"/>
          <w:highlight w:val="none"/>
        </w:rPr>
        <w:t>议</w:t>
      </w:r>
      <w:r>
        <w:rPr>
          <w:rFonts w:hint="eastAsia" w:ascii="宋体" w:hAnsi="宋体" w:eastAsia="宋体" w:cs="宋体"/>
          <w:kern w:val="0"/>
          <w:position w:val="-1"/>
          <w:sz w:val="24"/>
          <w:highlight w:val="none"/>
        </w:rPr>
        <w:t>：</w:t>
      </w:r>
    </w:p>
    <w:p w14:paraId="43E312A2">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pacing w:val="-2"/>
          <w:kern w:val="0"/>
          <w:sz w:val="24"/>
          <w:highlight w:val="none"/>
        </w:rPr>
        <w:t>本</w:t>
      </w:r>
      <w:r>
        <w:rPr>
          <w:rFonts w:hint="eastAsia" w:ascii="宋体" w:hAnsi="宋体" w:eastAsia="宋体" w:cs="宋体"/>
          <w:kern w:val="0"/>
          <w:sz w:val="24"/>
          <w:highlight w:val="none"/>
        </w:rPr>
        <w:t>协</w:t>
      </w:r>
      <w:r>
        <w:rPr>
          <w:rFonts w:hint="eastAsia" w:ascii="宋体" w:hAnsi="宋体" w:eastAsia="宋体" w:cs="宋体"/>
          <w:spacing w:val="-2"/>
          <w:kern w:val="0"/>
          <w:sz w:val="24"/>
          <w:highlight w:val="none"/>
        </w:rPr>
        <w:t>议</w:t>
      </w:r>
      <w:r>
        <w:rPr>
          <w:rFonts w:hint="eastAsia" w:ascii="宋体" w:hAnsi="宋体" w:eastAsia="宋体" w:cs="宋体"/>
          <w:kern w:val="0"/>
          <w:sz w:val="24"/>
          <w:highlight w:val="none"/>
        </w:rPr>
        <w:t>书</w:t>
      </w:r>
      <w:r>
        <w:rPr>
          <w:rFonts w:hint="eastAsia" w:ascii="宋体" w:hAnsi="宋体" w:eastAsia="宋体" w:cs="宋体"/>
          <w:spacing w:val="-2"/>
          <w:kern w:val="0"/>
          <w:sz w:val="24"/>
          <w:highlight w:val="none"/>
        </w:rPr>
        <w:t>与</w:t>
      </w:r>
      <w:r>
        <w:rPr>
          <w:rFonts w:hint="eastAsia" w:ascii="宋体" w:hAnsi="宋体" w:eastAsia="宋体" w:cs="宋体"/>
          <w:kern w:val="0"/>
          <w:sz w:val="24"/>
          <w:highlight w:val="none"/>
        </w:rPr>
        <w:t>下</w:t>
      </w:r>
      <w:r>
        <w:rPr>
          <w:rFonts w:hint="eastAsia" w:ascii="宋体" w:hAnsi="宋体" w:eastAsia="宋体" w:cs="宋体"/>
          <w:spacing w:val="-2"/>
          <w:kern w:val="0"/>
          <w:sz w:val="24"/>
          <w:highlight w:val="none"/>
        </w:rPr>
        <w:t>列</w:t>
      </w:r>
      <w:r>
        <w:rPr>
          <w:rFonts w:hint="eastAsia" w:ascii="宋体" w:hAnsi="宋体" w:eastAsia="宋体" w:cs="宋体"/>
          <w:kern w:val="0"/>
          <w:sz w:val="24"/>
          <w:highlight w:val="none"/>
        </w:rPr>
        <w:t>文</w:t>
      </w:r>
      <w:r>
        <w:rPr>
          <w:rFonts w:hint="eastAsia" w:ascii="宋体" w:hAnsi="宋体" w:eastAsia="宋体" w:cs="宋体"/>
          <w:spacing w:val="-2"/>
          <w:kern w:val="0"/>
          <w:sz w:val="24"/>
          <w:highlight w:val="none"/>
        </w:rPr>
        <w:t>件一</w:t>
      </w:r>
      <w:r>
        <w:rPr>
          <w:rFonts w:hint="eastAsia" w:ascii="宋体" w:hAnsi="宋体" w:eastAsia="宋体" w:cs="宋体"/>
          <w:kern w:val="0"/>
          <w:sz w:val="24"/>
          <w:highlight w:val="none"/>
        </w:rPr>
        <w:t>起构</w:t>
      </w:r>
      <w:r>
        <w:rPr>
          <w:rFonts w:hint="eastAsia" w:ascii="宋体" w:hAnsi="宋体" w:eastAsia="宋体" w:cs="宋体"/>
          <w:spacing w:val="-2"/>
          <w:kern w:val="0"/>
          <w:sz w:val="24"/>
          <w:highlight w:val="none"/>
        </w:rPr>
        <w:t>成</w:t>
      </w:r>
      <w:r>
        <w:rPr>
          <w:rFonts w:hint="eastAsia" w:ascii="宋体" w:hAnsi="宋体" w:eastAsia="宋体" w:cs="宋体"/>
          <w:kern w:val="0"/>
          <w:sz w:val="24"/>
          <w:highlight w:val="none"/>
        </w:rPr>
        <w:t>合</w:t>
      </w:r>
      <w:r>
        <w:rPr>
          <w:rFonts w:hint="eastAsia" w:ascii="宋体" w:hAnsi="宋体" w:eastAsia="宋体" w:cs="宋体"/>
          <w:spacing w:val="-2"/>
          <w:kern w:val="0"/>
          <w:sz w:val="24"/>
          <w:highlight w:val="none"/>
        </w:rPr>
        <w:t>同</w:t>
      </w:r>
      <w:r>
        <w:rPr>
          <w:rFonts w:hint="eastAsia" w:ascii="宋体" w:hAnsi="宋体" w:eastAsia="宋体" w:cs="宋体"/>
          <w:kern w:val="0"/>
          <w:sz w:val="24"/>
          <w:highlight w:val="none"/>
        </w:rPr>
        <w:t>文</w:t>
      </w:r>
      <w:r>
        <w:rPr>
          <w:rFonts w:hint="eastAsia" w:ascii="宋体" w:hAnsi="宋体" w:eastAsia="宋体" w:cs="宋体"/>
          <w:spacing w:val="-2"/>
          <w:kern w:val="0"/>
          <w:sz w:val="24"/>
          <w:highlight w:val="none"/>
        </w:rPr>
        <w:t>件</w:t>
      </w:r>
      <w:r>
        <w:rPr>
          <w:rFonts w:hint="eastAsia" w:ascii="宋体" w:hAnsi="宋体" w:eastAsia="宋体" w:cs="宋体"/>
          <w:kern w:val="0"/>
          <w:sz w:val="24"/>
          <w:highlight w:val="none"/>
        </w:rPr>
        <w:t>：</w:t>
      </w:r>
    </w:p>
    <w:p w14:paraId="794EAFDC">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pacing w:val="-2"/>
          <w:kern w:val="0"/>
          <w:sz w:val="24"/>
          <w:highlight w:val="none"/>
        </w:rPr>
        <w:t>）中标</w:t>
      </w:r>
      <w:r>
        <w:rPr>
          <w:rFonts w:hint="eastAsia" w:ascii="宋体" w:hAnsi="宋体" w:eastAsia="宋体" w:cs="宋体"/>
          <w:kern w:val="0"/>
          <w:sz w:val="24"/>
          <w:highlight w:val="none"/>
        </w:rPr>
        <w:t>通知书；</w:t>
      </w:r>
    </w:p>
    <w:p w14:paraId="5ABD710C">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pacing w:val="-2"/>
          <w:kern w:val="0"/>
          <w:sz w:val="24"/>
          <w:highlight w:val="none"/>
        </w:rPr>
        <w:t>）</w:t>
      </w:r>
      <w:r>
        <w:rPr>
          <w:rFonts w:hint="eastAsia" w:ascii="宋体" w:hAnsi="宋体" w:eastAsia="宋体" w:cs="宋体"/>
          <w:kern w:val="0"/>
          <w:sz w:val="24"/>
          <w:highlight w:val="none"/>
        </w:rPr>
        <w:t>投标函；</w:t>
      </w:r>
    </w:p>
    <w:p w14:paraId="30A6C961">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eastAsia="宋体" w:cs="宋体"/>
          <w:spacing w:val="-2"/>
          <w:kern w:val="0"/>
          <w:sz w:val="24"/>
          <w:highlight w:val="none"/>
        </w:rPr>
        <w:t>）</w:t>
      </w:r>
      <w:r>
        <w:rPr>
          <w:rFonts w:hint="eastAsia" w:ascii="宋体" w:hAnsi="宋体" w:eastAsia="宋体" w:cs="宋体"/>
          <w:kern w:val="0"/>
          <w:sz w:val="24"/>
          <w:highlight w:val="none"/>
        </w:rPr>
        <w:t>商</w:t>
      </w:r>
      <w:r>
        <w:rPr>
          <w:rFonts w:hint="eastAsia" w:ascii="宋体" w:hAnsi="宋体" w:eastAsia="宋体" w:cs="宋体"/>
          <w:spacing w:val="-2"/>
          <w:kern w:val="0"/>
          <w:sz w:val="24"/>
          <w:highlight w:val="none"/>
        </w:rPr>
        <w:t>务</w:t>
      </w:r>
      <w:r>
        <w:rPr>
          <w:rFonts w:hint="eastAsia" w:ascii="宋体" w:hAnsi="宋体" w:eastAsia="宋体" w:cs="宋体"/>
          <w:kern w:val="0"/>
          <w:sz w:val="24"/>
          <w:highlight w:val="none"/>
        </w:rPr>
        <w:t>和</w:t>
      </w:r>
      <w:r>
        <w:rPr>
          <w:rFonts w:hint="eastAsia" w:ascii="宋体" w:hAnsi="宋体" w:eastAsia="宋体" w:cs="宋体"/>
          <w:spacing w:val="-2"/>
          <w:kern w:val="0"/>
          <w:sz w:val="24"/>
          <w:highlight w:val="none"/>
        </w:rPr>
        <w:t>技术响应表</w:t>
      </w:r>
      <w:r>
        <w:rPr>
          <w:rFonts w:hint="eastAsia" w:ascii="宋体" w:hAnsi="宋体" w:eastAsia="宋体" w:cs="宋体"/>
          <w:kern w:val="0"/>
          <w:sz w:val="24"/>
          <w:highlight w:val="none"/>
        </w:rPr>
        <w:t>；</w:t>
      </w:r>
    </w:p>
    <w:p w14:paraId="098856EC">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eastAsia="宋体" w:cs="宋体"/>
          <w:spacing w:val="-2"/>
          <w:kern w:val="0"/>
          <w:sz w:val="24"/>
          <w:highlight w:val="none"/>
        </w:rPr>
        <w:t>）</w:t>
      </w:r>
      <w:r>
        <w:rPr>
          <w:rFonts w:hint="eastAsia" w:ascii="宋体" w:hAnsi="宋体" w:eastAsia="宋体" w:cs="宋体"/>
          <w:kern w:val="0"/>
          <w:sz w:val="24"/>
          <w:highlight w:val="none"/>
        </w:rPr>
        <w:t>合</w:t>
      </w:r>
      <w:r>
        <w:rPr>
          <w:rFonts w:hint="eastAsia" w:ascii="宋体" w:hAnsi="宋体" w:eastAsia="宋体" w:cs="宋体"/>
          <w:spacing w:val="-2"/>
          <w:kern w:val="0"/>
          <w:sz w:val="24"/>
          <w:highlight w:val="none"/>
        </w:rPr>
        <w:t>同</w:t>
      </w:r>
      <w:r>
        <w:rPr>
          <w:rFonts w:hint="eastAsia" w:ascii="宋体" w:hAnsi="宋体" w:eastAsia="宋体" w:cs="宋体"/>
          <w:kern w:val="0"/>
          <w:sz w:val="24"/>
          <w:highlight w:val="none"/>
        </w:rPr>
        <w:t>条</w:t>
      </w:r>
      <w:r>
        <w:rPr>
          <w:rFonts w:hint="eastAsia" w:ascii="宋体" w:hAnsi="宋体" w:eastAsia="宋体" w:cs="宋体"/>
          <w:spacing w:val="-2"/>
          <w:kern w:val="0"/>
          <w:sz w:val="24"/>
          <w:highlight w:val="none"/>
        </w:rPr>
        <w:t>款</w:t>
      </w:r>
      <w:r>
        <w:rPr>
          <w:rFonts w:hint="eastAsia" w:ascii="宋体" w:hAnsi="宋体" w:eastAsia="宋体" w:cs="宋体"/>
          <w:kern w:val="0"/>
          <w:sz w:val="24"/>
          <w:highlight w:val="none"/>
        </w:rPr>
        <w:t>；</w:t>
      </w:r>
    </w:p>
    <w:p w14:paraId="4E7B568D">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（5</w:t>
      </w:r>
      <w:r>
        <w:rPr>
          <w:rFonts w:hint="eastAsia" w:ascii="宋体" w:hAnsi="宋体" w:eastAsia="宋体" w:cs="宋体"/>
          <w:spacing w:val="-2"/>
          <w:kern w:val="0"/>
          <w:sz w:val="24"/>
          <w:highlight w:val="none"/>
        </w:rPr>
        <w:t>）</w:t>
      </w:r>
      <w:r>
        <w:rPr>
          <w:rFonts w:hint="eastAsia" w:ascii="宋体" w:hAnsi="宋体" w:eastAsia="宋体" w:cs="宋体"/>
          <w:kern w:val="0"/>
          <w:sz w:val="24"/>
          <w:highlight w:val="none"/>
        </w:rPr>
        <w:t>采购需求；</w:t>
      </w:r>
    </w:p>
    <w:p w14:paraId="6CB44F9D">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（6）分项报价表；</w:t>
      </w:r>
    </w:p>
    <w:p w14:paraId="5C5F258E">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（7）服务方案；</w:t>
      </w:r>
    </w:p>
    <w:p w14:paraId="4930AB9A">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（8）其他合同文件。</w:t>
      </w:r>
    </w:p>
    <w:p w14:paraId="6B3405D0">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pacing w:val="-2"/>
          <w:kern w:val="0"/>
          <w:sz w:val="24"/>
          <w:highlight w:val="none"/>
        </w:rPr>
        <w:t>上</w:t>
      </w:r>
      <w:r>
        <w:rPr>
          <w:rFonts w:hint="eastAsia" w:ascii="宋体" w:hAnsi="宋体" w:eastAsia="宋体" w:cs="宋体"/>
          <w:kern w:val="0"/>
          <w:sz w:val="24"/>
          <w:highlight w:val="none"/>
        </w:rPr>
        <w:t>述</w:t>
      </w:r>
      <w:r>
        <w:rPr>
          <w:rFonts w:hint="eastAsia" w:ascii="宋体" w:hAnsi="宋体" w:eastAsia="宋体" w:cs="宋体"/>
          <w:spacing w:val="-2"/>
          <w:kern w:val="0"/>
          <w:sz w:val="24"/>
          <w:highlight w:val="none"/>
        </w:rPr>
        <w:t>合</w:t>
      </w:r>
      <w:r>
        <w:rPr>
          <w:rFonts w:hint="eastAsia" w:ascii="宋体" w:hAnsi="宋体" w:eastAsia="宋体" w:cs="宋体"/>
          <w:kern w:val="0"/>
          <w:sz w:val="24"/>
          <w:highlight w:val="none"/>
        </w:rPr>
        <w:t>同</w:t>
      </w:r>
      <w:r>
        <w:rPr>
          <w:rFonts w:hint="eastAsia" w:ascii="宋体" w:hAnsi="宋体" w:eastAsia="宋体" w:cs="宋体"/>
          <w:spacing w:val="-2"/>
          <w:kern w:val="0"/>
          <w:sz w:val="24"/>
          <w:highlight w:val="none"/>
        </w:rPr>
        <w:t>文</w:t>
      </w:r>
      <w:r>
        <w:rPr>
          <w:rFonts w:hint="eastAsia" w:ascii="宋体" w:hAnsi="宋体" w:eastAsia="宋体" w:cs="宋体"/>
          <w:kern w:val="0"/>
          <w:sz w:val="24"/>
          <w:highlight w:val="none"/>
        </w:rPr>
        <w:t>件</w:t>
      </w:r>
      <w:r>
        <w:rPr>
          <w:rFonts w:hint="eastAsia" w:ascii="宋体" w:hAnsi="宋体" w:eastAsia="宋体" w:cs="宋体"/>
          <w:spacing w:val="-2"/>
          <w:kern w:val="0"/>
          <w:sz w:val="24"/>
          <w:highlight w:val="none"/>
        </w:rPr>
        <w:t>互</w:t>
      </w:r>
      <w:r>
        <w:rPr>
          <w:rFonts w:hint="eastAsia" w:ascii="宋体" w:hAnsi="宋体" w:eastAsia="宋体" w:cs="宋体"/>
          <w:kern w:val="0"/>
          <w:sz w:val="24"/>
          <w:highlight w:val="none"/>
        </w:rPr>
        <w:t>相</w:t>
      </w:r>
      <w:r>
        <w:rPr>
          <w:rFonts w:hint="eastAsia" w:ascii="宋体" w:hAnsi="宋体" w:eastAsia="宋体" w:cs="宋体"/>
          <w:spacing w:val="-2"/>
          <w:kern w:val="0"/>
          <w:sz w:val="24"/>
          <w:highlight w:val="none"/>
        </w:rPr>
        <w:t>补充</w:t>
      </w:r>
      <w:r>
        <w:rPr>
          <w:rFonts w:hint="eastAsia" w:ascii="宋体" w:hAnsi="宋体" w:eastAsia="宋体" w:cs="宋体"/>
          <w:kern w:val="0"/>
          <w:sz w:val="24"/>
          <w:highlight w:val="none"/>
        </w:rPr>
        <w:t>和解</w:t>
      </w:r>
      <w:r>
        <w:rPr>
          <w:rFonts w:hint="eastAsia" w:ascii="宋体" w:hAnsi="宋体" w:eastAsia="宋体" w:cs="宋体"/>
          <w:spacing w:val="-2"/>
          <w:kern w:val="0"/>
          <w:sz w:val="24"/>
          <w:highlight w:val="none"/>
        </w:rPr>
        <w:t>释</w:t>
      </w:r>
      <w:r>
        <w:rPr>
          <w:rFonts w:hint="eastAsia" w:ascii="宋体" w:hAnsi="宋体" w:eastAsia="宋体" w:cs="宋体"/>
          <w:spacing w:val="-12"/>
          <w:kern w:val="0"/>
          <w:sz w:val="24"/>
          <w:highlight w:val="none"/>
        </w:rPr>
        <w:t>。</w:t>
      </w:r>
      <w:r>
        <w:rPr>
          <w:rFonts w:hint="eastAsia" w:ascii="宋体" w:hAnsi="宋体" w:eastAsia="宋体" w:cs="宋体"/>
          <w:spacing w:val="-2"/>
          <w:kern w:val="0"/>
          <w:sz w:val="24"/>
          <w:highlight w:val="none"/>
        </w:rPr>
        <w:t>如</w:t>
      </w:r>
      <w:r>
        <w:rPr>
          <w:rFonts w:hint="eastAsia" w:ascii="宋体" w:hAnsi="宋体" w:eastAsia="宋体" w:cs="宋体"/>
          <w:kern w:val="0"/>
          <w:sz w:val="24"/>
          <w:highlight w:val="none"/>
        </w:rPr>
        <w:t>果</w:t>
      </w:r>
      <w:r>
        <w:rPr>
          <w:rFonts w:hint="eastAsia" w:ascii="宋体" w:hAnsi="宋体" w:eastAsia="宋体" w:cs="宋体"/>
          <w:spacing w:val="-2"/>
          <w:kern w:val="0"/>
          <w:sz w:val="24"/>
          <w:highlight w:val="none"/>
        </w:rPr>
        <w:t>合</w:t>
      </w:r>
      <w:r>
        <w:rPr>
          <w:rFonts w:hint="eastAsia" w:ascii="宋体" w:hAnsi="宋体" w:eastAsia="宋体" w:cs="宋体"/>
          <w:kern w:val="0"/>
          <w:sz w:val="24"/>
          <w:highlight w:val="none"/>
        </w:rPr>
        <w:t>同</w:t>
      </w:r>
      <w:r>
        <w:rPr>
          <w:rFonts w:hint="eastAsia" w:ascii="宋体" w:hAnsi="宋体" w:eastAsia="宋体" w:cs="宋体"/>
          <w:spacing w:val="-2"/>
          <w:kern w:val="0"/>
          <w:sz w:val="24"/>
          <w:highlight w:val="none"/>
        </w:rPr>
        <w:t>文</w:t>
      </w:r>
      <w:r>
        <w:rPr>
          <w:rFonts w:hint="eastAsia" w:ascii="宋体" w:hAnsi="宋体" w:eastAsia="宋体" w:cs="宋体"/>
          <w:kern w:val="0"/>
          <w:sz w:val="24"/>
          <w:highlight w:val="none"/>
        </w:rPr>
        <w:t>件</w:t>
      </w:r>
      <w:r>
        <w:rPr>
          <w:rFonts w:hint="eastAsia" w:ascii="宋体" w:hAnsi="宋体" w:eastAsia="宋体" w:cs="宋体"/>
          <w:spacing w:val="-2"/>
          <w:kern w:val="0"/>
          <w:sz w:val="24"/>
          <w:highlight w:val="none"/>
        </w:rPr>
        <w:t>之</w:t>
      </w:r>
      <w:r>
        <w:rPr>
          <w:rFonts w:hint="eastAsia" w:ascii="宋体" w:hAnsi="宋体" w:eastAsia="宋体" w:cs="宋体"/>
          <w:kern w:val="0"/>
          <w:sz w:val="24"/>
          <w:highlight w:val="none"/>
        </w:rPr>
        <w:t>间存</w:t>
      </w:r>
      <w:r>
        <w:rPr>
          <w:rFonts w:hint="eastAsia" w:ascii="宋体" w:hAnsi="宋体" w:eastAsia="宋体" w:cs="宋体"/>
          <w:spacing w:val="-2"/>
          <w:kern w:val="0"/>
          <w:sz w:val="24"/>
          <w:highlight w:val="none"/>
        </w:rPr>
        <w:t>在</w:t>
      </w:r>
      <w:r>
        <w:rPr>
          <w:rFonts w:hint="eastAsia" w:ascii="宋体" w:hAnsi="宋体" w:eastAsia="宋体" w:cs="宋体"/>
          <w:kern w:val="0"/>
          <w:sz w:val="24"/>
          <w:highlight w:val="none"/>
        </w:rPr>
        <w:t>矛</w:t>
      </w:r>
      <w:r>
        <w:rPr>
          <w:rFonts w:hint="eastAsia" w:ascii="宋体" w:hAnsi="宋体" w:eastAsia="宋体" w:cs="宋体"/>
          <w:spacing w:val="-2"/>
          <w:kern w:val="0"/>
          <w:sz w:val="24"/>
          <w:highlight w:val="none"/>
        </w:rPr>
        <w:t>盾</w:t>
      </w:r>
      <w:r>
        <w:rPr>
          <w:rFonts w:hint="eastAsia" w:ascii="宋体" w:hAnsi="宋体" w:eastAsia="宋体" w:cs="宋体"/>
          <w:kern w:val="0"/>
          <w:sz w:val="24"/>
          <w:highlight w:val="none"/>
        </w:rPr>
        <w:t>或</w:t>
      </w:r>
      <w:r>
        <w:rPr>
          <w:rFonts w:hint="eastAsia" w:ascii="宋体" w:hAnsi="宋体" w:eastAsia="宋体" w:cs="宋体"/>
          <w:spacing w:val="-2"/>
          <w:kern w:val="0"/>
          <w:sz w:val="24"/>
          <w:highlight w:val="none"/>
        </w:rPr>
        <w:t>不</w:t>
      </w:r>
      <w:r>
        <w:rPr>
          <w:rFonts w:hint="eastAsia" w:ascii="宋体" w:hAnsi="宋体" w:eastAsia="宋体" w:cs="宋体"/>
          <w:kern w:val="0"/>
          <w:sz w:val="24"/>
          <w:highlight w:val="none"/>
        </w:rPr>
        <w:t>一</w:t>
      </w:r>
      <w:r>
        <w:rPr>
          <w:rFonts w:hint="eastAsia" w:ascii="宋体" w:hAnsi="宋体" w:eastAsia="宋体" w:cs="宋体"/>
          <w:spacing w:val="-2"/>
          <w:kern w:val="0"/>
          <w:sz w:val="24"/>
          <w:highlight w:val="none"/>
        </w:rPr>
        <w:t>致</w:t>
      </w:r>
      <w:r>
        <w:rPr>
          <w:rFonts w:hint="eastAsia" w:ascii="宋体" w:hAnsi="宋体" w:eastAsia="宋体" w:cs="宋体"/>
          <w:kern w:val="0"/>
          <w:sz w:val="24"/>
          <w:highlight w:val="none"/>
        </w:rPr>
        <w:t>之</w:t>
      </w:r>
      <w:r>
        <w:rPr>
          <w:rFonts w:hint="eastAsia" w:ascii="宋体" w:hAnsi="宋体" w:eastAsia="宋体" w:cs="宋体"/>
          <w:spacing w:val="-2"/>
          <w:kern w:val="0"/>
          <w:sz w:val="24"/>
          <w:highlight w:val="none"/>
        </w:rPr>
        <w:t>处</w:t>
      </w:r>
      <w:r>
        <w:rPr>
          <w:rFonts w:hint="eastAsia" w:ascii="宋体" w:hAnsi="宋体" w:eastAsia="宋体" w:cs="宋体"/>
          <w:spacing w:val="-12"/>
          <w:kern w:val="0"/>
          <w:sz w:val="24"/>
          <w:highlight w:val="none"/>
        </w:rPr>
        <w:t>，</w:t>
      </w:r>
      <w:r>
        <w:rPr>
          <w:rFonts w:hint="eastAsia" w:ascii="宋体" w:hAnsi="宋体" w:eastAsia="宋体" w:cs="宋体"/>
          <w:kern w:val="0"/>
          <w:sz w:val="24"/>
          <w:highlight w:val="none"/>
        </w:rPr>
        <w:t>以</w:t>
      </w:r>
      <w:r>
        <w:rPr>
          <w:rFonts w:hint="eastAsia" w:ascii="宋体" w:hAnsi="宋体" w:eastAsia="宋体" w:cs="宋体"/>
          <w:spacing w:val="-2"/>
          <w:kern w:val="0"/>
          <w:sz w:val="24"/>
          <w:highlight w:val="none"/>
        </w:rPr>
        <w:t>上</w:t>
      </w:r>
      <w:r>
        <w:rPr>
          <w:rFonts w:hint="eastAsia" w:ascii="宋体" w:hAnsi="宋体" w:eastAsia="宋体" w:cs="宋体"/>
          <w:kern w:val="0"/>
          <w:sz w:val="24"/>
          <w:highlight w:val="none"/>
        </w:rPr>
        <w:t>述</w:t>
      </w:r>
      <w:r>
        <w:rPr>
          <w:rFonts w:hint="eastAsia" w:ascii="宋体" w:hAnsi="宋体" w:eastAsia="宋体" w:cs="宋体"/>
          <w:spacing w:val="-2"/>
          <w:kern w:val="0"/>
          <w:sz w:val="24"/>
          <w:highlight w:val="none"/>
        </w:rPr>
        <w:t>文</w:t>
      </w:r>
      <w:r>
        <w:rPr>
          <w:rFonts w:hint="eastAsia" w:ascii="宋体" w:hAnsi="宋体" w:eastAsia="宋体" w:cs="宋体"/>
          <w:kern w:val="0"/>
          <w:sz w:val="24"/>
          <w:highlight w:val="none"/>
        </w:rPr>
        <w:t>件的排</w:t>
      </w:r>
      <w:r>
        <w:rPr>
          <w:rFonts w:hint="eastAsia" w:ascii="宋体" w:hAnsi="宋体" w:eastAsia="宋体" w:cs="宋体"/>
          <w:spacing w:val="-2"/>
          <w:kern w:val="0"/>
          <w:sz w:val="24"/>
          <w:highlight w:val="none"/>
        </w:rPr>
        <w:t>列</w:t>
      </w:r>
      <w:r>
        <w:rPr>
          <w:rFonts w:hint="eastAsia" w:ascii="宋体" w:hAnsi="宋体" w:eastAsia="宋体" w:cs="宋体"/>
          <w:kern w:val="0"/>
          <w:sz w:val="24"/>
          <w:highlight w:val="none"/>
        </w:rPr>
        <w:t>顺</w:t>
      </w:r>
      <w:r>
        <w:rPr>
          <w:rFonts w:hint="eastAsia" w:ascii="宋体" w:hAnsi="宋体" w:eastAsia="宋体" w:cs="宋体"/>
          <w:spacing w:val="-2"/>
          <w:kern w:val="0"/>
          <w:sz w:val="24"/>
          <w:highlight w:val="none"/>
        </w:rPr>
        <w:t>序</w:t>
      </w:r>
      <w:r>
        <w:rPr>
          <w:rFonts w:hint="eastAsia" w:ascii="宋体" w:hAnsi="宋体" w:eastAsia="宋体" w:cs="宋体"/>
          <w:kern w:val="0"/>
          <w:sz w:val="24"/>
          <w:highlight w:val="none"/>
        </w:rPr>
        <w:t>在</w:t>
      </w:r>
      <w:r>
        <w:rPr>
          <w:rFonts w:hint="eastAsia" w:ascii="宋体" w:hAnsi="宋体" w:eastAsia="宋体" w:cs="宋体"/>
          <w:spacing w:val="-2"/>
          <w:kern w:val="0"/>
          <w:sz w:val="24"/>
          <w:highlight w:val="none"/>
        </w:rPr>
        <w:t>先</w:t>
      </w:r>
      <w:r>
        <w:rPr>
          <w:rFonts w:hint="eastAsia" w:ascii="宋体" w:hAnsi="宋体" w:eastAsia="宋体" w:cs="宋体"/>
          <w:kern w:val="0"/>
          <w:sz w:val="24"/>
          <w:highlight w:val="none"/>
        </w:rPr>
        <w:t>者</w:t>
      </w:r>
      <w:r>
        <w:rPr>
          <w:rFonts w:hint="eastAsia" w:ascii="宋体" w:hAnsi="宋体" w:eastAsia="宋体" w:cs="宋体"/>
          <w:spacing w:val="-2"/>
          <w:kern w:val="0"/>
          <w:sz w:val="24"/>
          <w:highlight w:val="none"/>
        </w:rPr>
        <w:t>为</w:t>
      </w:r>
      <w:r>
        <w:rPr>
          <w:rFonts w:hint="eastAsia" w:ascii="宋体" w:hAnsi="宋体" w:eastAsia="宋体" w:cs="宋体"/>
          <w:kern w:val="0"/>
          <w:sz w:val="24"/>
          <w:highlight w:val="none"/>
        </w:rPr>
        <w:t>准。</w:t>
      </w:r>
    </w:p>
    <w:p w14:paraId="45CFF8B8">
      <w:pPr>
        <w:tabs>
          <w:tab w:val="left" w:pos="4980"/>
          <w:tab w:val="left" w:pos="6760"/>
        </w:tabs>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eastAsia="宋体" w:cs="宋体"/>
          <w:spacing w:val="-2"/>
          <w:kern w:val="0"/>
          <w:sz w:val="24"/>
          <w:highlight w:val="none"/>
        </w:rPr>
        <w:t>签</w:t>
      </w:r>
      <w:r>
        <w:rPr>
          <w:rFonts w:hint="eastAsia" w:ascii="宋体" w:hAnsi="宋体" w:eastAsia="宋体" w:cs="宋体"/>
          <w:kern w:val="0"/>
          <w:sz w:val="24"/>
          <w:highlight w:val="none"/>
        </w:rPr>
        <w:t>约</w:t>
      </w:r>
      <w:r>
        <w:rPr>
          <w:rFonts w:hint="eastAsia" w:ascii="宋体" w:hAnsi="宋体" w:eastAsia="宋体" w:cs="宋体"/>
          <w:spacing w:val="-2"/>
          <w:kern w:val="0"/>
          <w:sz w:val="24"/>
          <w:highlight w:val="none"/>
        </w:rPr>
        <w:t>合</w:t>
      </w:r>
      <w:r>
        <w:rPr>
          <w:rFonts w:hint="eastAsia" w:ascii="宋体" w:hAnsi="宋体" w:eastAsia="宋体" w:cs="宋体"/>
          <w:kern w:val="0"/>
          <w:sz w:val="24"/>
          <w:highlight w:val="none"/>
        </w:rPr>
        <w:t>同</w:t>
      </w:r>
      <w:r>
        <w:rPr>
          <w:rFonts w:hint="eastAsia" w:ascii="宋体" w:hAnsi="宋体" w:eastAsia="宋体" w:cs="宋体"/>
          <w:spacing w:val="-2"/>
          <w:kern w:val="0"/>
          <w:sz w:val="24"/>
          <w:highlight w:val="none"/>
        </w:rPr>
        <w:t>价</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人</w:t>
      </w:r>
      <w:r>
        <w:rPr>
          <w:rFonts w:hint="eastAsia" w:ascii="宋体" w:hAnsi="宋体" w:eastAsia="宋体" w:cs="宋体"/>
          <w:kern w:val="0"/>
          <w:sz w:val="24"/>
          <w:highlight w:val="none"/>
        </w:rPr>
        <w:t>民</w:t>
      </w:r>
      <w:r>
        <w:rPr>
          <w:rFonts w:hint="eastAsia" w:ascii="宋体" w:hAnsi="宋体" w:eastAsia="宋体" w:cs="宋体"/>
          <w:spacing w:val="-2"/>
          <w:kern w:val="0"/>
          <w:sz w:val="24"/>
          <w:highlight w:val="none"/>
        </w:rPr>
        <w:t>币（</w:t>
      </w:r>
      <w:r>
        <w:rPr>
          <w:rFonts w:hint="eastAsia" w:ascii="宋体" w:hAnsi="宋体" w:eastAsia="宋体" w:cs="宋体"/>
          <w:kern w:val="0"/>
          <w:sz w:val="24"/>
          <w:highlight w:val="none"/>
        </w:rPr>
        <w:t>大写</w:t>
      </w:r>
      <w:r>
        <w:rPr>
          <w:rFonts w:hint="eastAsia" w:ascii="宋体" w:hAnsi="宋体" w:eastAsia="宋体" w:cs="宋体"/>
          <w:spacing w:val="-2"/>
          <w:kern w:val="0"/>
          <w:sz w:val="24"/>
          <w:highlight w:val="none"/>
        </w:rPr>
        <w:t>）</w:t>
      </w:r>
      <w:r>
        <w:rPr>
          <w:rFonts w:hint="eastAsia" w:ascii="宋体" w:hAnsi="宋体" w:eastAsia="宋体" w:cs="宋体"/>
          <w:kern w:val="0"/>
          <w:sz w:val="24"/>
          <w:highlight w:val="none"/>
          <w:u w:val="single"/>
        </w:rPr>
        <w:t xml:space="preserve"> </w:t>
      </w:r>
      <w:r>
        <w:rPr>
          <w:rFonts w:hint="eastAsia" w:ascii="宋体" w:hAnsi="宋体" w:eastAsia="宋体" w:cs="宋体"/>
          <w:spacing w:val="1"/>
          <w:kern w:val="0"/>
          <w:sz w:val="24"/>
          <w:highlight w:val="none"/>
          <w:u w:val="single"/>
        </w:rPr>
        <w:t xml:space="preserve"> </w:t>
      </w:r>
      <w:r>
        <w:rPr>
          <w:rFonts w:hint="eastAsia" w:ascii="宋体" w:hAnsi="宋体" w:eastAsia="宋体" w:cs="宋体"/>
          <w:kern w:val="0"/>
          <w:sz w:val="24"/>
          <w:highlight w:val="none"/>
          <w:u w:val="single"/>
        </w:rPr>
        <w:tab/>
      </w:r>
      <w:r>
        <w:rPr>
          <w:rFonts w:hint="eastAsia" w:ascii="宋体" w:hAnsi="宋体" w:eastAsia="宋体" w:cs="宋体"/>
          <w:spacing w:val="-2"/>
          <w:kern w:val="0"/>
          <w:sz w:val="24"/>
          <w:highlight w:val="none"/>
        </w:rPr>
        <w:t>（</w:t>
      </w:r>
      <w:r>
        <w:rPr>
          <w:rFonts w:hint="eastAsia" w:ascii="宋体" w:hAnsi="宋体" w:eastAsia="宋体" w:cs="宋体"/>
          <w:spacing w:val="-61"/>
          <w:w w:val="156"/>
          <w:kern w:val="0"/>
          <w:sz w:val="24"/>
          <w:highlight w:val="none"/>
        </w:rPr>
        <w:t>¥</w:t>
      </w:r>
      <w:r>
        <w:rPr>
          <w:rFonts w:hint="eastAsia" w:ascii="宋体" w:hAnsi="宋体" w:eastAsia="宋体" w:cs="宋体"/>
          <w:w w:val="201"/>
          <w:kern w:val="0"/>
          <w:sz w:val="24"/>
          <w:highlight w:val="none"/>
          <w:u w:val="single"/>
        </w:rPr>
        <w:t xml:space="preserve"> </w:t>
      </w:r>
      <w:r>
        <w:rPr>
          <w:rFonts w:hint="eastAsia" w:ascii="宋体" w:hAnsi="宋体" w:eastAsia="宋体" w:cs="宋体"/>
          <w:kern w:val="0"/>
          <w:sz w:val="24"/>
          <w:highlight w:val="none"/>
          <w:u w:val="single"/>
        </w:rPr>
        <w:tab/>
      </w:r>
      <w:r>
        <w:rPr>
          <w:rFonts w:hint="eastAsia" w:ascii="宋体" w:hAnsi="宋体" w:eastAsia="宋体" w:cs="宋体"/>
          <w:spacing w:val="-106"/>
          <w:kern w:val="0"/>
          <w:sz w:val="24"/>
          <w:highlight w:val="none"/>
        </w:rPr>
        <w:t>）</w:t>
      </w:r>
      <w:r>
        <w:rPr>
          <w:rFonts w:hint="eastAsia" w:ascii="宋体" w:hAnsi="宋体" w:eastAsia="宋体" w:cs="宋体"/>
          <w:kern w:val="0"/>
          <w:sz w:val="24"/>
          <w:highlight w:val="none"/>
        </w:rPr>
        <w:t>。</w:t>
      </w:r>
    </w:p>
    <w:p w14:paraId="568583EF">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eastAsia="宋体" w:cs="宋体"/>
          <w:spacing w:val="-2"/>
          <w:kern w:val="0"/>
          <w:sz w:val="24"/>
          <w:highlight w:val="none"/>
        </w:rPr>
        <w:t>乙</w:t>
      </w:r>
      <w:r>
        <w:rPr>
          <w:rFonts w:hint="eastAsia" w:ascii="宋体" w:hAnsi="宋体" w:eastAsia="宋体" w:cs="宋体"/>
          <w:kern w:val="0"/>
          <w:sz w:val="24"/>
          <w:highlight w:val="none"/>
        </w:rPr>
        <w:t>方</w:t>
      </w:r>
      <w:r>
        <w:rPr>
          <w:rFonts w:hint="eastAsia" w:ascii="宋体" w:hAnsi="宋体" w:eastAsia="宋体" w:cs="宋体"/>
          <w:spacing w:val="-2"/>
          <w:kern w:val="0"/>
          <w:sz w:val="24"/>
          <w:highlight w:val="none"/>
        </w:rPr>
        <w:t>承</w:t>
      </w:r>
      <w:r>
        <w:rPr>
          <w:rFonts w:hint="eastAsia" w:ascii="宋体" w:hAnsi="宋体" w:eastAsia="宋体" w:cs="宋体"/>
          <w:kern w:val="0"/>
          <w:sz w:val="24"/>
          <w:highlight w:val="none"/>
        </w:rPr>
        <w:t>诺</w:t>
      </w:r>
      <w:r>
        <w:rPr>
          <w:rFonts w:hint="eastAsia" w:ascii="宋体" w:hAnsi="宋体" w:eastAsia="宋体" w:cs="宋体"/>
          <w:spacing w:val="-2"/>
          <w:kern w:val="0"/>
          <w:sz w:val="24"/>
          <w:highlight w:val="none"/>
        </w:rPr>
        <w:t>保</w:t>
      </w:r>
      <w:r>
        <w:rPr>
          <w:rFonts w:hint="eastAsia" w:ascii="宋体" w:hAnsi="宋体" w:eastAsia="宋体" w:cs="宋体"/>
          <w:kern w:val="0"/>
          <w:sz w:val="24"/>
          <w:highlight w:val="none"/>
        </w:rPr>
        <w:t>证</w:t>
      </w:r>
      <w:r>
        <w:rPr>
          <w:rFonts w:hint="eastAsia" w:ascii="宋体" w:hAnsi="宋体" w:eastAsia="宋体" w:cs="宋体"/>
          <w:spacing w:val="-2"/>
          <w:kern w:val="0"/>
          <w:sz w:val="24"/>
          <w:highlight w:val="none"/>
        </w:rPr>
        <w:t>完</w:t>
      </w:r>
      <w:r>
        <w:rPr>
          <w:rFonts w:hint="eastAsia" w:ascii="宋体" w:hAnsi="宋体" w:eastAsia="宋体" w:cs="宋体"/>
          <w:kern w:val="0"/>
          <w:sz w:val="24"/>
          <w:highlight w:val="none"/>
        </w:rPr>
        <w:t>全</w:t>
      </w:r>
      <w:r>
        <w:rPr>
          <w:rFonts w:hint="eastAsia" w:ascii="宋体" w:hAnsi="宋体" w:eastAsia="宋体" w:cs="宋体"/>
          <w:spacing w:val="-2"/>
          <w:kern w:val="0"/>
          <w:sz w:val="24"/>
          <w:highlight w:val="none"/>
        </w:rPr>
        <w:t>按照</w:t>
      </w:r>
      <w:r>
        <w:rPr>
          <w:rFonts w:hint="eastAsia" w:ascii="宋体" w:hAnsi="宋体" w:eastAsia="宋体" w:cs="宋体"/>
          <w:kern w:val="0"/>
          <w:sz w:val="24"/>
          <w:highlight w:val="none"/>
        </w:rPr>
        <w:t>合同</w:t>
      </w:r>
      <w:r>
        <w:rPr>
          <w:rFonts w:hint="eastAsia" w:ascii="宋体" w:hAnsi="宋体" w:eastAsia="宋体" w:cs="宋体"/>
          <w:spacing w:val="-2"/>
          <w:kern w:val="0"/>
          <w:sz w:val="24"/>
          <w:highlight w:val="none"/>
        </w:rPr>
        <w:t>约</w:t>
      </w:r>
      <w:r>
        <w:rPr>
          <w:rFonts w:hint="eastAsia" w:ascii="宋体" w:hAnsi="宋体" w:eastAsia="宋体" w:cs="宋体"/>
          <w:kern w:val="0"/>
          <w:sz w:val="24"/>
          <w:highlight w:val="none"/>
        </w:rPr>
        <w:t>定</w:t>
      </w:r>
      <w:r>
        <w:rPr>
          <w:rFonts w:hint="eastAsia" w:ascii="宋体" w:hAnsi="宋体" w:eastAsia="宋体" w:cs="宋体"/>
          <w:spacing w:val="-2"/>
          <w:kern w:val="0"/>
          <w:sz w:val="24"/>
          <w:highlight w:val="none"/>
        </w:rPr>
        <w:t>提</w:t>
      </w:r>
      <w:r>
        <w:rPr>
          <w:rFonts w:hint="eastAsia" w:ascii="宋体" w:hAnsi="宋体" w:eastAsia="宋体" w:cs="宋体"/>
          <w:kern w:val="0"/>
          <w:sz w:val="24"/>
          <w:highlight w:val="none"/>
        </w:rPr>
        <w:t>供合同货物和相关服务</w:t>
      </w:r>
      <w:r>
        <w:rPr>
          <w:rFonts w:hint="eastAsia" w:ascii="宋体" w:hAnsi="宋体" w:eastAsia="宋体" w:cs="宋体"/>
          <w:spacing w:val="-2"/>
          <w:kern w:val="0"/>
          <w:sz w:val="24"/>
          <w:highlight w:val="none"/>
        </w:rPr>
        <w:t>并</w:t>
      </w:r>
      <w:r>
        <w:rPr>
          <w:rFonts w:hint="eastAsia" w:ascii="宋体" w:hAnsi="宋体" w:eastAsia="宋体" w:cs="宋体"/>
          <w:kern w:val="0"/>
          <w:sz w:val="24"/>
          <w:highlight w:val="none"/>
        </w:rPr>
        <w:t>修</w:t>
      </w:r>
      <w:r>
        <w:rPr>
          <w:rFonts w:hint="eastAsia" w:ascii="宋体" w:hAnsi="宋体" w:eastAsia="宋体" w:cs="宋体"/>
          <w:spacing w:val="-2"/>
          <w:kern w:val="0"/>
          <w:sz w:val="24"/>
          <w:highlight w:val="none"/>
        </w:rPr>
        <w:t>补</w:t>
      </w:r>
      <w:r>
        <w:rPr>
          <w:rFonts w:hint="eastAsia" w:ascii="宋体" w:hAnsi="宋体" w:eastAsia="宋体" w:cs="宋体"/>
          <w:kern w:val="0"/>
          <w:sz w:val="24"/>
          <w:highlight w:val="none"/>
        </w:rPr>
        <w:t>缺</w:t>
      </w:r>
      <w:r>
        <w:rPr>
          <w:rFonts w:hint="eastAsia" w:ascii="宋体" w:hAnsi="宋体" w:eastAsia="宋体" w:cs="宋体"/>
          <w:spacing w:val="-2"/>
          <w:kern w:val="0"/>
          <w:sz w:val="24"/>
          <w:highlight w:val="none"/>
        </w:rPr>
        <w:t>陷</w:t>
      </w:r>
      <w:r>
        <w:rPr>
          <w:rFonts w:hint="eastAsia" w:ascii="宋体" w:hAnsi="宋体" w:eastAsia="宋体" w:cs="宋体"/>
          <w:kern w:val="0"/>
          <w:sz w:val="24"/>
          <w:highlight w:val="none"/>
        </w:rPr>
        <w:t>。</w:t>
      </w:r>
    </w:p>
    <w:p w14:paraId="5B23408A">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5.</w:t>
      </w:r>
      <w:r>
        <w:rPr>
          <w:rFonts w:hint="eastAsia" w:ascii="宋体" w:hAnsi="宋体" w:eastAsia="宋体" w:cs="宋体"/>
          <w:spacing w:val="-2"/>
          <w:kern w:val="0"/>
          <w:sz w:val="24"/>
          <w:highlight w:val="none"/>
        </w:rPr>
        <w:t>甲</w:t>
      </w:r>
      <w:r>
        <w:rPr>
          <w:rFonts w:hint="eastAsia" w:ascii="宋体" w:hAnsi="宋体" w:eastAsia="宋体" w:cs="宋体"/>
          <w:kern w:val="0"/>
          <w:sz w:val="24"/>
          <w:highlight w:val="none"/>
        </w:rPr>
        <w:t>方</w:t>
      </w:r>
      <w:r>
        <w:rPr>
          <w:rFonts w:hint="eastAsia" w:ascii="宋体" w:hAnsi="宋体" w:eastAsia="宋体" w:cs="宋体"/>
          <w:spacing w:val="-2"/>
          <w:kern w:val="0"/>
          <w:sz w:val="24"/>
          <w:highlight w:val="none"/>
        </w:rPr>
        <w:t>承</w:t>
      </w:r>
      <w:r>
        <w:rPr>
          <w:rFonts w:hint="eastAsia" w:ascii="宋体" w:hAnsi="宋体" w:eastAsia="宋体" w:cs="宋体"/>
          <w:kern w:val="0"/>
          <w:sz w:val="24"/>
          <w:highlight w:val="none"/>
        </w:rPr>
        <w:t>诺</w:t>
      </w:r>
      <w:r>
        <w:rPr>
          <w:rFonts w:hint="eastAsia" w:ascii="宋体" w:hAnsi="宋体" w:eastAsia="宋体" w:cs="宋体"/>
          <w:spacing w:val="-2"/>
          <w:kern w:val="0"/>
          <w:sz w:val="24"/>
          <w:highlight w:val="none"/>
        </w:rPr>
        <w:t>保</w:t>
      </w:r>
      <w:r>
        <w:rPr>
          <w:rFonts w:hint="eastAsia" w:ascii="宋体" w:hAnsi="宋体" w:eastAsia="宋体" w:cs="宋体"/>
          <w:kern w:val="0"/>
          <w:sz w:val="24"/>
          <w:highlight w:val="none"/>
        </w:rPr>
        <w:t>证</w:t>
      </w:r>
      <w:r>
        <w:rPr>
          <w:rFonts w:hint="eastAsia" w:ascii="宋体" w:hAnsi="宋体" w:eastAsia="宋体" w:cs="宋体"/>
          <w:spacing w:val="-2"/>
          <w:kern w:val="0"/>
          <w:sz w:val="24"/>
          <w:highlight w:val="none"/>
        </w:rPr>
        <w:t>按</w:t>
      </w:r>
      <w:r>
        <w:rPr>
          <w:rFonts w:hint="eastAsia" w:ascii="宋体" w:hAnsi="宋体" w:eastAsia="宋体" w:cs="宋体"/>
          <w:kern w:val="0"/>
          <w:sz w:val="24"/>
          <w:highlight w:val="none"/>
        </w:rPr>
        <w:t>照</w:t>
      </w:r>
      <w:r>
        <w:rPr>
          <w:rFonts w:hint="eastAsia" w:ascii="宋体" w:hAnsi="宋体" w:eastAsia="宋体" w:cs="宋体"/>
          <w:spacing w:val="-2"/>
          <w:kern w:val="0"/>
          <w:sz w:val="24"/>
          <w:highlight w:val="none"/>
        </w:rPr>
        <w:t>合同</w:t>
      </w:r>
      <w:r>
        <w:rPr>
          <w:rFonts w:hint="eastAsia" w:ascii="宋体" w:hAnsi="宋体" w:eastAsia="宋体" w:cs="宋体"/>
          <w:kern w:val="0"/>
          <w:sz w:val="24"/>
          <w:highlight w:val="none"/>
        </w:rPr>
        <w:t>约定</w:t>
      </w:r>
      <w:r>
        <w:rPr>
          <w:rFonts w:hint="eastAsia" w:ascii="宋体" w:hAnsi="宋体" w:eastAsia="宋体" w:cs="宋体"/>
          <w:spacing w:val="-2"/>
          <w:kern w:val="0"/>
          <w:sz w:val="24"/>
          <w:highlight w:val="none"/>
        </w:rPr>
        <w:t>的</w:t>
      </w:r>
      <w:r>
        <w:rPr>
          <w:rFonts w:hint="eastAsia" w:ascii="宋体" w:hAnsi="宋体" w:eastAsia="宋体" w:cs="宋体"/>
          <w:kern w:val="0"/>
          <w:sz w:val="24"/>
          <w:highlight w:val="none"/>
        </w:rPr>
        <w:t>条</w:t>
      </w:r>
      <w:r>
        <w:rPr>
          <w:rFonts w:hint="eastAsia" w:ascii="宋体" w:hAnsi="宋体" w:eastAsia="宋体" w:cs="宋体"/>
          <w:spacing w:val="-2"/>
          <w:kern w:val="0"/>
          <w:sz w:val="24"/>
          <w:highlight w:val="none"/>
        </w:rPr>
        <w:t>件</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时</w:t>
      </w:r>
      <w:r>
        <w:rPr>
          <w:rFonts w:hint="eastAsia" w:ascii="宋体" w:hAnsi="宋体" w:eastAsia="宋体" w:cs="宋体"/>
          <w:kern w:val="0"/>
          <w:sz w:val="24"/>
          <w:highlight w:val="none"/>
        </w:rPr>
        <w:t>间</w:t>
      </w:r>
      <w:r>
        <w:rPr>
          <w:rFonts w:hint="eastAsia" w:ascii="宋体" w:hAnsi="宋体" w:eastAsia="宋体" w:cs="宋体"/>
          <w:spacing w:val="-2"/>
          <w:kern w:val="0"/>
          <w:sz w:val="24"/>
          <w:highlight w:val="none"/>
        </w:rPr>
        <w:t>和</w:t>
      </w:r>
      <w:r>
        <w:rPr>
          <w:rFonts w:hint="eastAsia" w:ascii="宋体" w:hAnsi="宋体" w:eastAsia="宋体" w:cs="宋体"/>
          <w:kern w:val="0"/>
          <w:sz w:val="24"/>
          <w:highlight w:val="none"/>
        </w:rPr>
        <w:t>方</w:t>
      </w:r>
      <w:r>
        <w:rPr>
          <w:rFonts w:hint="eastAsia" w:ascii="宋体" w:hAnsi="宋体" w:eastAsia="宋体" w:cs="宋体"/>
          <w:spacing w:val="-2"/>
          <w:kern w:val="0"/>
          <w:sz w:val="24"/>
          <w:highlight w:val="none"/>
        </w:rPr>
        <w:t>式</w:t>
      </w:r>
      <w:r>
        <w:rPr>
          <w:rFonts w:hint="eastAsia" w:ascii="宋体" w:hAnsi="宋体" w:eastAsia="宋体" w:cs="宋体"/>
          <w:kern w:val="0"/>
          <w:sz w:val="24"/>
          <w:highlight w:val="none"/>
        </w:rPr>
        <w:t>向乙</w:t>
      </w:r>
      <w:r>
        <w:rPr>
          <w:rFonts w:hint="eastAsia" w:ascii="宋体" w:hAnsi="宋体" w:eastAsia="宋体" w:cs="宋体"/>
          <w:spacing w:val="-2"/>
          <w:kern w:val="0"/>
          <w:sz w:val="24"/>
          <w:highlight w:val="none"/>
        </w:rPr>
        <w:t>方</w:t>
      </w:r>
      <w:r>
        <w:rPr>
          <w:rFonts w:hint="eastAsia" w:ascii="宋体" w:hAnsi="宋体" w:eastAsia="宋体" w:cs="宋体"/>
          <w:kern w:val="0"/>
          <w:sz w:val="24"/>
          <w:highlight w:val="none"/>
        </w:rPr>
        <w:t>支</w:t>
      </w:r>
      <w:r>
        <w:rPr>
          <w:rFonts w:hint="eastAsia" w:ascii="宋体" w:hAnsi="宋体" w:eastAsia="宋体" w:cs="宋体"/>
          <w:spacing w:val="-2"/>
          <w:kern w:val="0"/>
          <w:sz w:val="24"/>
          <w:highlight w:val="none"/>
        </w:rPr>
        <w:t>付</w:t>
      </w:r>
      <w:r>
        <w:rPr>
          <w:rFonts w:hint="eastAsia" w:ascii="宋体" w:hAnsi="宋体" w:eastAsia="宋体" w:cs="宋体"/>
          <w:kern w:val="0"/>
          <w:sz w:val="24"/>
          <w:highlight w:val="none"/>
        </w:rPr>
        <w:t>合</w:t>
      </w:r>
      <w:r>
        <w:rPr>
          <w:rFonts w:hint="eastAsia" w:ascii="宋体" w:hAnsi="宋体" w:eastAsia="宋体" w:cs="宋体"/>
          <w:spacing w:val="-2"/>
          <w:kern w:val="0"/>
          <w:sz w:val="24"/>
          <w:highlight w:val="none"/>
        </w:rPr>
        <w:t>同</w:t>
      </w:r>
      <w:r>
        <w:rPr>
          <w:rFonts w:hint="eastAsia" w:ascii="宋体" w:hAnsi="宋体" w:eastAsia="宋体" w:cs="宋体"/>
          <w:kern w:val="0"/>
          <w:sz w:val="24"/>
          <w:highlight w:val="none"/>
        </w:rPr>
        <w:t>价</w:t>
      </w:r>
      <w:r>
        <w:rPr>
          <w:rFonts w:hint="eastAsia" w:ascii="宋体" w:hAnsi="宋体" w:eastAsia="宋体" w:cs="宋体"/>
          <w:spacing w:val="-2"/>
          <w:kern w:val="0"/>
          <w:sz w:val="24"/>
          <w:highlight w:val="none"/>
        </w:rPr>
        <w:t>款</w:t>
      </w:r>
      <w:r>
        <w:rPr>
          <w:rFonts w:hint="eastAsia" w:ascii="宋体" w:hAnsi="宋体" w:eastAsia="宋体" w:cs="宋体"/>
          <w:kern w:val="0"/>
          <w:sz w:val="24"/>
          <w:highlight w:val="none"/>
        </w:rPr>
        <w:t>。</w:t>
      </w:r>
    </w:p>
    <w:p w14:paraId="726FCA5E">
      <w:pPr>
        <w:tabs>
          <w:tab w:val="left" w:pos="3180"/>
          <w:tab w:val="left" w:pos="5600"/>
        </w:tabs>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6.</w:t>
      </w:r>
      <w:r>
        <w:rPr>
          <w:rFonts w:hint="eastAsia" w:ascii="宋体" w:hAnsi="宋体" w:eastAsia="宋体" w:cs="宋体"/>
          <w:spacing w:val="-2"/>
          <w:kern w:val="0"/>
          <w:sz w:val="24"/>
          <w:highlight w:val="none"/>
        </w:rPr>
        <w:t>本</w:t>
      </w:r>
      <w:r>
        <w:rPr>
          <w:rFonts w:hint="eastAsia" w:ascii="宋体" w:hAnsi="宋体" w:eastAsia="宋体" w:cs="宋体"/>
          <w:kern w:val="0"/>
          <w:sz w:val="24"/>
          <w:highlight w:val="none"/>
        </w:rPr>
        <w:t>合</w:t>
      </w:r>
      <w:r>
        <w:rPr>
          <w:rFonts w:hint="eastAsia" w:ascii="宋体" w:hAnsi="宋体" w:eastAsia="宋体" w:cs="宋体"/>
          <w:spacing w:val="-2"/>
          <w:kern w:val="0"/>
          <w:sz w:val="24"/>
          <w:highlight w:val="none"/>
        </w:rPr>
        <w:t>同</w:t>
      </w:r>
      <w:r>
        <w:rPr>
          <w:rFonts w:hint="eastAsia" w:ascii="宋体" w:hAnsi="宋体" w:eastAsia="宋体" w:cs="宋体"/>
          <w:kern w:val="0"/>
          <w:sz w:val="24"/>
          <w:highlight w:val="none"/>
        </w:rPr>
        <w:t>协</w:t>
      </w:r>
      <w:r>
        <w:rPr>
          <w:rFonts w:hint="eastAsia" w:ascii="宋体" w:hAnsi="宋体" w:eastAsia="宋体" w:cs="宋体"/>
          <w:spacing w:val="-2"/>
          <w:kern w:val="0"/>
          <w:sz w:val="24"/>
          <w:highlight w:val="none"/>
        </w:rPr>
        <w:t>议</w:t>
      </w:r>
      <w:r>
        <w:rPr>
          <w:rFonts w:hint="eastAsia" w:ascii="宋体" w:hAnsi="宋体" w:eastAsia="宋体" w:cs="宋体"/>
          <w:kern w:val="0"/>
          <w:sz w:val="24"/>
          <w:highlight w:val="none"/>
        </w:rPr>
        <w:t>书</w:t>
      </w:r>
      <w:r>
        <w:rPr>
          <w:rFonts w:hint="eastAsia" w:ascii="宋体" w:hAnsi="宋体" w:eastAsia="宋体" w:cs="宋体"/>
          <w:spacing w:val="-2"/>
          <w:kern w:val="0"/>
          <w:sz w:val="24"/>
          <w:highlight w:val="none"/>
        </w:rPr>
        <w:t>一</w:t>
      </w:r>
      <w:r>
        <w:rPr>
          <w:rFonts w:hint="eastAsia" w:ascii="宋体" w:hAnsi="宋体" w:eastAsia="宋体" w:cs="宋体"/>
          <w:kern w:val="0"/>
          <w:sz w:val="24"/>
          <w:highlight w:val="none"/>
        </w:rPr>
        <w:t>式</w:t>
      </w:r>
      <w:r>
        <w:rPr>
          <w:rFonts w:hint="eastAsia" w:ascii="宋体" w:hAnsi="宋体" w:eastAsia="宋体" w:cs="宋体"/>
          <w:kern w:val="0"/>
          <w:sz w:val="24"/>
          <w:highlight w:val="none"/>
          <w:u w:val="single"/>
        </w:rPr>
        <w:t xml:space="preserve"> </w:t>
      </w:r>
      <w:r>
        <w:rPr>
          <w:rFonts w:hint="eastAsia" w:ascii="宋体" w:hAnsi="宋体" w:eastAsia="宋体" w:cs="宋体"/>
          <w:spacing w:val="1"/>
          <w:kern w:val="0"/>
          <w:sz w:val="24"/>
          <w:highlight w:val="none"/>
          <w:u w:val="single"/>
        </w:rPr>
        <w:t xml:space="preserve"> </w:t>
      </w:r>
      <w:r>
        <w:rPr>
          <w:rFonts w:hint="eastAsia" w:ascii="宋体" w:hAnsi="宋体" w:eastAsia="宋体" w:cs="宋体"/>
          <w:kern w:val="0"/>
          <w:sz w:val="24"/>
          <w:highlight w:val="none"/>
          <w:u w:val="single"/>
        </w:rPr>
        <w:tab/>
      </w:r>
      <w:r>
        <w:rPr>
          <w:rFonts w:hint="eastAsia" w:ascii="宋体" w:hAnsi="宋体" w:eastAsia="宋体" w:cs="宋体"/>
          <w:spacing w:val="-2"/>
          <w:kern w:val="0"/>
          <w:sz w:val="24"/>
          <w:highlight w:val="none"/>
        </w:rPr>
        <w:t>份</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合</w:t>
      </w:r>
      <w:r>
        <w:rPr>
          <w:rFonts w:hint="eastAsia" w:ascii="宋体" w:hAnsi="宋体" w:eastAsia="宋体" w:cs="宋体"/>
          <w:kern w:val="0"/>
          <w:sz w:val="24"/>
          <w:highlight w:val="none"/>
        </w:rPr>
        <w:t>同</w:t>
      </w:r>
      <w:r>
        <w:rPr>
          <w:rFonts w:hint="eastAsia" w:ascii="宋体" w:hAnsi="宋体" w:eastAsia="宋体" w:cs="宋体"/>
          <w:spacing w:val="-2"/>
          <w:kern w:val="0"/>
          <w:sz w:val="24"/>
          <w:highlight w:val="none"/>
        </w:rPr>
        <w:t>双</w:t>
      </w:r>
      <w:r>
        <w:rPr>
          <w:rFonts w:hint="eastAsia" w:ascii="宋体" w:hAnsi="宋体" w:eastAsia="宋体" w:cs="宋体"/>
          <w:kern w:val="0"/>
          <w:sz w:val="24"/>
          <w:highlight w:val="none"/>
        </w:rPr>
        <w:t>方</w:t>
      </w:r>
      <w:r>
        <w:rPr>
          <w:rFonts w:hint="eastAsia" w:ascii="宋体" w:hAnsi="宋体" w:eastAsia="宋体" w:cs="宋体"/>
          <w:spacing w:val="-2"/>
          <w:kern w:val="0"/>
          <w:sz w:val="24"/>
          <w:highlight w:val="none"/>
        </w:rPr>
        <w:t>各</w:t>
      </w:r>
      <w:r>
        <w:rPr>
          <w:rFonts w:hint="eastAsia" w:ascii="宋体" w:hAnsi="宋体" w:eastAsia="宋体" w:cs="宋体"/>
          <w:kern w:val="0"/>
          <w:sz w:val="24"/>
          <w:highlight w:val="none"/>
        </w:rPr>
        <w:t>执</w:t>
      </w:r>
      <w:r>
        <w:rPr>
          <w:rFonts w:hint="eastAsia" w:ascii="宋体" w:hAnsi="宋体" w:eastAsia="宋体" w:cs="宋体"/>
          <w:kern w:val="0"/>
          <w:sz w:val="24"/>
          <w:highlight w:val="none"/>
          <w:u w:val="single"/>
        </w:rPr>
        <w:t xml:space="preserve"> </w:t>
      </w:r>
      <w:r>
        <w:rPr>
          <w:rFonts w:hint="eastAsia" w:ascii="宋体" w:hAnsi="宋体" w:eastAsia="宋体" w:cs="宋体"/>
          <w:spacing w:val="1"/>
          <w:kern w:val="0"/>
          <w:sz w:val="24"/>
          <w:highlight w:val="none"/>
          <w:u w:val="single"/>
        </w:rPr>
        <w:t xml:space="preserve"> </w:t>
      </w:r>
      <w:r>
        <w:rPr>
          <w:rFonts w:hint="eastAsia" w:ascii="宋体" w:hAnsi="宋体" w:eastAsia="宋体" w:cs="宋体"/>
          <w:kern w:val="0"/>
          <w:sz w:val="24"/>
          <w:highlight w:val="none"/>
          <w:u w:val="single"/>
        </w:rPr>
        <w:tab/>
      </w:r>
      <w:r>
        <w:rPr>
          <w:rFonts w:hint="eastAsia" w:ascii="宋体" w:hAnsi="宋体" w:eastAsia="宋体" w:cs="宋体"/>
          <w:spacing w:val="-2"/>
          <w:kern w:val="0"/>
          <w:sz w:val="24"/>
          <w:highlight w:val="none"/>
        </w:rPr>
        <w:t>份。</w:t>
      </w:r>
    </w:p>
    <w:p w14:paraId="45B368FE">
      <w:pPr>
        <w:autoSpaceDE w:val="0"/>
        <w:autoSpaceDN w:val="0"/>
        <w:adjustRightInd w:val="0"/>
        <w:spacing w:line="440" w:lineRule="exact"/>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7.</w:t>
      </w:r>
      <w:r>
        <w:rPr>
          <w:rFonts w:hint="eastAsia" w:ascii="宋体" w:hAnsi="宋体" w:eastAsia="宋体" w:cs="宋体"/>
          <w:spacing w:val="-2"/>
          <w:kern w:val="0"/>
          <w:sz w:val="24"/>
          <w:highlight w:val="none"/>
        </w:rPr>
        <w:t>合</w:t>
      </w:r>
      <w:r>
        <w:rPr>
          <w:rFonts w:hint="eastAsia" w:ascii="宋体" w:hAnsi="宋体" w:eastAsia="宋体" w:cs="宋体"/>
          <w:kern w:val="0"/>
          <w:sz w:val="24"/>
          <w:highlight w:val="none"/>
        </w:rPr>
        <w:t>同</w:t>
      </w:r>
      <w:r>
        <w:rPr>
          <w:rFonts w:hint="eastAsia" w:ascii="宋体" w:hAnsi="宋体" w:eastAsia="宋体" w:cs="宋体"/>
          <w:spacing w:val="-2"/>
          <w:kern w:val="0"/>
          <w:sz w:val="24"/>
          <w:highlight w:val="none"/>
        </w:rPr>
        <w:t>未</w:t>
      </w:r>
      <w:r>
        <w:rPr>
          <w:rFonts w:hint="eastAsia" w:ascii="宋体" w:hAnsi="宋体" w:eastAsia="宋体" w:cs="宋体"/>
          <w:kern w:val="0"/>
          <w:sz w:val="24"/>
          <w:highlight w:val="none"/>
        </w:rPr>
        <w:t>尽</w:t>
      </w:r>
      <w:r>
        <w:rPr>
          <w:rFonts w:hint="eastAsia" w:ascii="宋体" w:hAnsi="宋体" w:eastAsia="宋体" w:cs="宋体"/>
          <w:spacing w:val="-2"/>
          <w:kern w:val="0"/>
          <w:sz w:val="24"/>
          <w:highlight w:val="none"/>
        </w:rPr>
        <w:t>事</w:t>
      </w:r>
      <w:r>
        <w:rPr>
          <w:rFonts w:hint="eastAsia" w:ascii="宋体" w:hAnsi="宋体" w:eastAsia="宋体" w:cs="宋体"/>
          <w:kern w:val="0"/>
          <w:sz w:val="24"/>
          <w:highlight w:val="none"/>
        </w:rPr>
        <w:t>宜</w:t>
      </w:r>
      <w:r>
        <w:rPr>
          <w:rFonts w:hint="eastAsia" w:ascii="宋体" w:hAnsi="宋体" w:eastAsia="宋体" w:cs="宋体"/>
          <w:spacing w:val="-2"/>
          <w:kern w:val="0"/>
          <w:sz w:val="24"/>
          <w:highlight w:val="none"/>
        </w:rPr>
        <w:t>，</w:t>
      </w:r>
      <w:r>
        <w:rPr>
          <w:rFonts w:hint="eastAsia" w:ascii="宋体" w:hAnsi="宋体" w:eastAsia="宋体" w:cs="宋体"/>
          <w:kern w:val="0"/>
          <w:sz w:val="24"/>
          <w:highlight w:val="none"/>
        </w:rPr>
        <w:t>双</w:t>
      </w:r>
      <w:r>
        <w:rPr>
          <w:rFonts w:hint="eastAsia" w:ascii="宋体" w:hAnsi="宋体" w:eastAsia="宋体" w:cs="宋体"/>
          <w:spacing w:val="-2"/>
          <w:kern w:val="0"/>
          <w:sz w:val="24"/>
          <w:highlight w:val="none"/>
        </w:rPr>
        <w:t>方另</w:t>
      </w:r>
      <w:r>
        <w:rPr>
          <w:rFonts w:hint="eastAsia" w:ascii="宋体" w:hAnsi="宋体" w:eastAsia="宋体" w:cs="宋体"/>
          <w:kern w:val="0"/>
          <w:sz w:val="24"/>
          <w:highlight w:val="none"/>
        </w:rPr>
        <w:t>行签</w:t>
      </w:r>
      <w:r>
        <w:rPr>
          <w:rFonts w:hint="eastAsia" w:ascii="宋体" w:hAnsi="宋体" w:eastAsia="宋体" w:cs="宋体"/>
          <w:spacing w:val="-2"/>
          <w:kern w:val="0"/>
          <w:sz w:val="24"/>
          <w:highlight w:val="none"/>
        </w:rPr>
        <w:t>订</w:t>
      </w:r>
      <w:r>
        <w:rPr>
          <w:rFonts w:hint="eastAsia" w:ascii="宋体" w:hAnsi="宋体" w:eastAsia="宋体" w:cs="宋体"/>
          <w:kern w:val="0"/>
          <w:sz w:val="24"/>
          <w:highlight w:val="none"/>
        </w:rPr>
        <w:t>补</w:t>
      </w:r>
      <w:r>
        <w:rPr>
          <w:rFonts w:hint="eastAsia" w:ascii="宋体" w:hAnsi="宋体" w:eastAsia="宋体" w:cs="宋体"/>
          <w:spacing w:val="-2"/>
          <w:kern w:val="0"/>
          <w:sz w:val="24"/>
          <w:highlight w:val="none"/>
        </w:rPr>
        <w:t>充</w:t>
      </w:r>
      <w:r>
        <w:rPr>
          <w:rFonts w:hint="eastAsia" w:ascii="宋体" w:hAnsi="宋体" w:eastAsia="宋体" w:cs="宋体"/>
          <w:kern w:val="0"/>
          <w:sz w:val="24"/>
          <w:highlight w:val="none"/>
        </w:rPr>
        <w:t>协</w:t>
      </w:r>
      <w:r>
        <w:rPr>
          <w:rFonts w:hint="eastAsia" w:ascii="宋体" w:hAnsi="宋体" w:eastAsia="宋体" w:cs="宋体"/>
          <w:spacing w:val="-2"/>
          <w:kern w:val="0"/>
          <w:sz w:val="24"/>
          <w:highlight w:val="none"/>
        </w:rPr>
        <w:t>议</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补</w:t>
      </w:r>
      <w:r>
        <w:rPr>
          <w:rFonts w:hint="eastAsia" w:ascii="宋体" w:hAnsi="宋体" w:eastAsia="宋体" w:cs="宋体"/>
          <w:kern w:val="0"/>
          <w:sz w:val="24"/>
          <w:highlight w:val="none"/>
        </w:rPr>
        <w:t>充</w:t>
      </w:r>
      <w:r>
        <w:rPr>
          <w:rFonts w:hint="eastAsia" w:ascii="宋体" w:hAnsi="宋体" w:eastAsia="宋体" w:cs="宋体"/>
          <w:spacing w:val="-2"/>
          <w:kern w:val="0"/>
          <w:sz w:val="24"/>
          <w:highlight w:val="none"/>
        </w:rPr>
        <w:t>协</w:t>
      </w:r>
      <w:r>
        <w:rPr>
          <w:rFonts w:hint="eastAsia" w:ascii="宋体" w:hAnsi="宋体" w:eastAsia="宋体" w:cs="宋体"/>
          <w:kern w:val="0"/>
          <w:sz w:val="24"/>
          <w:highlight w:val="none"/>
        </w:rPr>
        <w:t>议是</w:t>
      </w:r>
      <w:r>
        <w:rPr>
          <w:rFonts w:hint="eastAsia" w:ascii="宋体" w:hAnsi="宋体" w:eastAsia="宋体" w:cs="宋体"/>
          <w:spacing w:val="-2"/>
          <w:kern w:val="0"/>
          <w:sz w:val="24"/>
          <w:highlight w:val="none"/>
        </w:rPr>
        <w:t>合</w:t>
      </w:r>
      <w:r>
        <w:rPr>
          <w:rFonts w:hint="eastAsia" w:ascii="宋体" w:hAnsi="宋体" w:eastAsia="宋体" w:cs="宋体"/>
          <w:kern w:val="0"/>
          <w:sz w:val="24"/>
          <w:highlight w:val="none"/>
        </w:rPr>
        <w:t>同</w:t>
      </w:r>
      <w:r>
        <w:rPr>
          <w:rFonts w:hint="eastAsia" w:ascii="宋体" w:hAnsi="宋体" w:eastAsia="宋体" w:cs="宋体"/>
          <w:spacing w:val="-2"/>
          <w:kern w:val="0"/>
          <w:sz w:val="24"/>
          <w:highlight w:val="none"/>
        </w:rPr>
        <w:t>的</w:t>
      </w:r>
      <w:r>
        <w:rPr>
          <w:rFonts w:hint="eastAsia" w:ascii="宋体" w:hAnsi="宋体" w:eastAsia="宋体" w:cs="宋体"/>
          <w:kern w:val="0"/>
          <w:sz w:val="24"/>
          <w:highlight w:val="none"/>
        </w:rPr>
        <w:t>组</w:t>
      </w:r>
      <w:r>
        <w:rPr>
          <w:rFonts w:hint="eastAsia" w:ascii="宋体" w:hAnsi="宋体" w:eastAsia="宋体" w:cs="宋体"/>
          <w:spacing w:val="-2"/>
          <w:kern w:val="0"/>
          <w:sz w:val="24"/>
          <w:highlight w:val="none"/>
        </w:rPr>
        <w:t>成</w:t>
      </w:r>
      <w:r>
        <w:rPr>
          <w:rFonts w:hint="eastAsia" w:ascii="宋体" w:hAnsi="宋体" w:eastAsia="宋体" w:cs="宋体"/>
          <w:kern w:val="0"/>
          <w:sz w:val="24"/>
          <w:highlight w:val="none"/>
        </w:rPr>
        <w:t>部</w:t>
      </w:r>
      <w:r>
        <w:rPr>
          <w:rFonts w:hint="eastAsia" w:ascii="宋体" w:hAnsi="宋体" w:eastAsia="宋体" w:cs="宋体"/>
          <w:spacing w:val="-2"/>
          <w:kern w:val="0"/>
          <w:sz w:val="24"/>
          <w:highlight w:val="none"/>
        </w:rPr>
        <w:t>分</w:t>
      </w:r>
      <w:r>
        <w:rPr>
          <w:rFonts w:hint="eastAsia" w:ascii="宋体" w:hAnsi="宋体" w:eastAsia="宋体" w:cs="宋体"/>
          <w:kern w:val="0"/>
          <w:sz w:val="24"/>
          <w:highlight w:val="none"/>
        </w:rPr>
        <w:t>。</w:t>
      </w:r>
    </w:p>
    <w:p w14:paraId="0ECFA108">
      <w:pPr>
        <w:tabs>
          <w:tab w:val="left" w:pos="7140"/>
        </w:tabs>
        <w:wordWrap w:val="0"/>
        <w:autoSpaceDE w:val="0"/>
        <w:autoSpaceDN w:val="0"/>
        <w:adjustRightInd w:val="0"/>
        <w:spacing w:line="440" w:lineRule="exact"/>
        <w:ind w:left="2727" w:right="420"/>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甲方</w:t>
      </w:r>
      <w:r>
        <w:rPr>
          <w:rFonts w:hint="eastAsia" w:ascii="宋体" w:hAnsi="宋体" w:eastAsia="宋体" w:cs="宋体"/>
          <w:spacing w:val="2"/>
          <w:kern w:val="0"/>
          <w:sz w:val="24"/>
          <w:highlight w:val="none"/>
        </w:rPr>
        <w:t>：</w:t>
      </w:r>
      <w:r>
        <w:rPr>
          <w:rFonts w:hint="eastAsia" w:ascii="宋体" w:hAnsi="宋体" w:eastAsia="宋体" w:cs="宋体"/>
          <w:spacing w:val="2"/>
          <w:kern w:val="0"/>
          <w:sz w:val="24"/>
          <w:highlight w:val="none"/>
          <w:u w:val="single"/>
        </w:rPr>
        <w:t xml:space="preserve">                         </w:t>
      </w:r>
      <w:r>
        <w:rPr>
          <w:rFonts w:hint="eastAsia" w:ascii="宋体" w:hAnsi="宋体" w:eastAsia="宋体" w:cs="宋体"/>
          <w:spacing w:val="2"/>
          <w:kern w:val="0"/>
          <w:sz w:val="24"/>
          <w:highlight w:val="none"/>
        </w:rPr>
        <w:t>（盖单位</w:t>
      </w:r>
      <w:r>
        <w:rPr>
          <w:rFonts w:hint="eastAsia" w:ascii="宋体" w:hAnsi="宋体" w:eastAsia="宋体" w:cs="宋体"/>
          <w:kern w:val="0"/>
          <w:sz w:val="24"/>
          <w:highlight w:val="none"/>
        </w:rPr>
        <w:t>章）</w:t>
      </w:r>
    </w:p>
    <w:p w14:paraId="4E6171B1">
      <w:pPr>
        <w:tabs>
          <w:tab w:val="left" w:pos="7140"/>
        </w:tabs>
        <w:wordWrap w:val="0"/>
        <w:autoSpaceDE w:val="0"/>
        <w:autoSpaceDN w:val="0"/>
        <w:adjustRightInd w:val="0"/>
        <w:spacing w:line="440" w:lineRule="exact"/>
        <w:ind w:left="2727" w:right="420"/>
        <w:contextualSpacing/>
        <w:rPr>
          <w:rFonts w:hint="eastAsia" w:ascii="宋体" w:hAnsi="宋体" w:eastAsia="宋体" w:cs="宋体"/>
          <w:kern w:val="0"/>
          <w:sz w:val="24"/>
          <w:highlight w:val="none"/>
        </w:rPr>
      </w:pPr>
      <w:r>
        <w:rPr>
          <w:rFonts w:hint="eastAsia" w:ascii="宋体" w:hAnsi="宋体" w:eastAsia="宋体" w:cs="宋体"/>
          <w:kern w:val="0"/>
          <w:position w:val="-4"/>
          <w:sz w:val="24"/>
          <w:highlight w:val="none"/>
        </w:rPr>
        <w:t>法定</w:t>
      </w:r>
      <w:r>
        <w:rPr>
          <w:rFonts w:hint="eastAsia" w:ascii="宋体" w:hAnsi="宋体" w:eastAsia="宋体" w:cs="宋体"/>
          <w:spacing w:val="-2"/>
          <w:kern w:val="0"/>
          <w:position w:val="-4"/>
          <w:sz w:val="24"/>
          <w:highlight w:val="none"/>
        </w:rPr>
        <w:t>代</w:t>
      </w:r>
      <w:r>
        <w:rPr>
          <w:rFonts w:hint="eastAsia" w:ascii="宋体" w:hAnsi="宋体" w:eastAsia="宋体" w:cs="宋体"/>
          <w:kern w:val="0"/>
          <w:position w:val="-4"/>
          <w:sz w:val="24"/>
          <w:highlight w:val="none"/>
        </w:rPr>
        <w:t>表</w:t>
      </w:r>
      <w:r>
        <w:rPr>
          <w:rFonts w:hint="eastAsia" w:ascii="宋体" w:hAnsi="宋体" w:eastAsia="宋体" w:cs="宋体"/>
          <w:spacing w:val="-2"/>
          <w:kern w:val="0"/>
          <w:position w:val="-4"/>
          <w:sz w:val="24"/>
          <w:highlight w:val="none"/>
        </w:rPr>
        <w:t>人</w:t>
      </w:r>
      <w:r>
        <w:rPr>
          <w:rFonts w:hint="eastAsia" w:ascii="宋体" w:hAnsi="宋体" w:eastAsia="宋体" w:cs="宋体"/>
          <w:kern w:val="0"/>
          <w:position w:val="-4"/>
          <w:sz w:val="24"/>
          <w:highlight w:val="none"/>
        </w:rPr>
        <w:t>（</w:t>
      </w:r>
      <w:r>
        <w:rPr>
          <w:rFonts w:hint="eastAsia" w:ascii="宋体" w:hAnsi="宋体" w:eastAsia="宋体" w:cs="宋体"/>
          <w:spacing w:val="-2"/>
          <w:kern w:val="0"/>
          <w:position w:val="-4"/>
          <w:sz w:val="24"/>
          <w:highlight w:val="none"/>
        </w:rPr>
        <w:t>单</w:t>
      </w:r>
      <w:r>
        <w:rPr>
          <w:rFonts w:hint="eastAsia" w:ascii="宋体" w:hAnsi="宋体" w:eastAsia="宋体" w:cs="宋体"/>
          <w:kern w:val="0"/>
          <w:position w:val="-4"/>
          <w:sz w:val="24"/>
          <w:highlight w:val="none"/>
        </w:rPr>
        <w:t>位</w:t>
      </w:r>
      <w:r>
        <w:rPr>
          <w:rFonts w:hint="eastAsia" w:ascii="宋体" w:hAnsi="宋体" w:eastAsia="宋体" w:cs="宋体"/>
          <w:spacing w:val="-2"/>
          <w:kern w:val="0"/>
          <w:position w:val="-4"/>
          <w:sz w:val="24"/>
          <w:highlight w:val="none"/>
        </w:rPr>
        <w:t>负</w:t>
      </w:r>
      <w:r>
        <w:rPr>
          <w:rFonts w:hint="eastAsia" w:ascii="宋体" w:hAnsi="宋体" w:eastAsia="宋体" w:cs="宋体"/>
          <w:kern w:val="0"/>
          <w:position w:val="-4"/>
          <w:sz w:val="24"/>
          <w:highlight w:val="none"/>
        </w:rPr>
        <w:t>责</w:t>
      </w:r>
      <w:r>
        <w:rPr>
          <w:rFonts w:hint="eastAsia" w:ascii="宋体" w:hAnsi="宋体" w:eastAsia="宋体" w:cs="宋体"/>
          <w:spacing w:val="-2"/>
          <w:kern w:val="0"/>
          <w:position w:val="-4"/>
          <w:sz w:val="24"/>
          <w:highlight w:val="none"/>
        </w:rPr>
        <w:t>人</w:t>
      </w:r>
      <w:r>
        <w:rPr>
          <w:rFonts w:hint="eastAsia" w:ascii="宋体" w:hAnsi="宋体" w:eastAsia="宋体" w:cs="宋体"/>
          <w:kern w:val="0"/>
          <w:position w:val="-4"/>
          <w:sz w:val="24"/>
          <w:highlight w:val="none"/>
        </w:rPr>
        <w:t>）或</w:t>
      </w:r>
      <w:r>
        <w:rPr>
          <w:rFonts w:hint="eastAsia" w:ascii="宋体" w:hAnsi="宋体" w:eastAsia="宋体" w:cs="宋体"/>
          <w:spacing w:val="-2"/>
          <w:kern w:val="0"/>
          <w:position w:val="-4"/>
          <w:sz w:val="24"/>
          <w:highlight w:val="none"/>
        </w:rPr>
        <w:t>其</w:t>
      </w:r>
      <w:r>
        <w:rPr>
          <w:rFonts w:hint="eastAsia" w:ascii="宋体" w:hAnsi="宋体" w:eastAsia="宋体" w:cs="宋体"/>
          <w:kern w:val="0"/>
          <w:position w:val="-4"/>
          <w:sz w:val="24"/>
          <w:highlight w:val="none"/>
        </w:rPr>
        <w:t>委</w:t>
      </w:r>
      <w:r>
        <w:rPr>
          <w:rFonts w:hint="eastAsia" w:ascii="宋体" w:hAnsi="宋体" w:eastAsia="宋体" w:cs="宋体"/>
          <w:spacing w:val="-2"/>
          <w:kern w:val="0"/>
          <w:position w:val="-4"/>
          <w:sz w:val="24"/>
          <w:highlight w:val="none"/>
        </w:rPr>
        <w:t>托</w:t>
      </w:r>
      <w:r>
        <w:rPr>
          <w:rFonts w:hint="eastAsia" w:ascii="宋体" w:hAnsi="宋体" w:eastAsia="宋体" w:cs="宋体"/>
          <w:kern w:val="0"/>
          <w:position w:val="-4"/>
          <w:sz w:val="24"/>
          <w:highlight w:val="none"/>
        </w:rPr>
        <w:t>代</w:t>
      </w:r>
      <w:r>
        <w:rPr>
          <w:rFonts w:hint="eastAsia" w:ascii="宋体" w:hAnsi="宋体" w:eastAsia="宋体" w:cs="宋体"/>
          <w:spacing w:val="-2"/>
          <w:kern w:val="0"/>
          <w:position w:val="-4"/>
          <w:sz w:val="24"/>
          <w:highlight w:val="none"/>
        </w:rPr>
        <w:t>理</w:t>
      </w:r>
      <w:r>
        <w:rPr>
          <w:rFonts w:hint="eastAsia" w:ascii="宋体" w:hAnsi="宋体" w:eastAsia="宋体" w:cs="宋体"/>
          <w:kern w:val="0"/>
          <w:position w:val="-4"/>
          <w:sz w:val="24"/>
          <w:highlight w:val="none"/>
        </w:rPr>
        <w:t>人</w:t>
      </w:r>
      <w:r>
        <w:rPr>
          <w:rFonts w:hint="eastAsia" w:ascii="宋体" w:hAnsi="宋体" w:eastAsia="宋体" w:cs="宋体"/>
          <w:spacing w:val="-3"/>
          <w:kern w:val="0"/>
          <w:position w:val="-4"/>
          <w:sz w:val="24"/>
          <w:highlight w:val="none"/>
        </w:rPr>
        <w:t>：</w:t>
      </w:r>
      <w:r>
        <w:rPr>
          <w:rFonts w:hint="eastAsia" w:ascii="宋体" w:hAnsi="宋体" w:eastAsia="宋体" w:cs="宋体"/>
          <w:kern w:val="0"/>
          <w:position w:val="-4"/>
          <w:sz w:val="24"/>
          <w:highlight w:val="none"/>
          <w:u w:val="single"/>
        </w:rPr>
        <w:t xml:space="preserve"> </w:t>
      </w:r>
      <w:r>
        <w:rPr>
          <w:rFonts w:hint="eastAsia" w:ascii="宋体" w:hAnsi="宋体" w:eastAsia="宋体" w:cs="宋体"/>
          <w:spacing w:val="1"/>
          <w:kern w:val="0"/>
          <w:position w:val="-4"/>
          <w:sz w:val="24"/>
          <w:highlight w:val="none"/>
          <w:u w:val="single"/>
        </w:rPr>
        <w:t xml:space="preserve">   </w:t>
      </w:r>
      <w:r>
        <w:rPr>
          <w:rFonts w:hint="eastAsia" w:ascii="宋体" w:hAnsi="宋体" w:eastAsia="宋体" w:cs="宋体"/>
          <w:spacing w:val="-2"/>
          <w:kern w:val="0"/>
          <w:position w:val="-4"/>
          <w:sz w:val="24"/>
          <w:highlight w:val="none"/>
        </w:rPr>
        <w:t>（</w:t>
      </w:r>
      <w:r>
        <w:rPr>
          <w:rFonts w:hint="eastAsia" w:ascii="宋体" w:hAnsi="宋体" w:eastAsia="宋体" w:cs="宋体"/>
          <w:kern w:val="0"/>
          <w:position w:val="-4"/>
          <w:sz w:val="24"/>
          <w:highlight w:val="none"/>
        </w:rPr>
        <w:t>签</w:t>
      </w:r>
      <w:r>
        <w:rPr>
          <w:rFonts w:hint="eastAsia" w:ascii="宋体" w:hAnsi="宋体" w:eastAsia="宋体" w:cs="宋体"/>
          <w:spacing w:val="-2"/>
          <w:kern w:val="0"/>
          <w:position w:val="-4"/>
          <w:sz w:val="24"/>
          <w:highlight w:val="none"/>
        </w:rPr>
        <w:t>字或盖章</w:t>
      </w:r>
      <w:r>
        <w:rPr>
          <w:rFonts w:hint="eastAsia" w:ascii="宋体" w:hAnsi="宋体" w:eastAsia="宋体" w:cs="宋体"/>
          <w:kern w:val="0"/>
          <w:position w:val="-4"/>
          <w:sz w:val="24"/>
          <w:highlight w:val="none"/>
        </w:rPr>
        <w:t>）</w:t>
      </w:r>
    </w:p>
    <w:p w14:paraId="0B537F93">
      <w:pPr>
        <w:tabs>
          <w:tab w:val="left" w:pos="5420"/>
          <w:tab w:val="left" w:pos="6380"/>
          <w:tab w:val="left" w:pos="7320"/>
        </w:tabs>
        <w:autoSpaceDE w:val="0"/>
        <w:autoSpaceDN w:val="0"/>
        <w:adjustRightInd w:val="0"/>
        <w:spacing w:line="440" w:lineRule="exact"/>
        <w:ind w:left="4701"/>
        <w:contextualSpacing/>
        <w:jc w:val="left"/>
        <w:rPr>
          <w:rFonts w:hint="eastAsia" w:ascii="宋体" w:hAnsi="宋体" w:eastAsia="宋体" w:cs="宋体"/>
          <w:kern w:val="0"/>
          <w:position w:val="-2"/>
          <w:sz w:val="24"/>
          <w:highlight w:val="none"/>
        </w:rPr>
      </w:pPr>
      <w:r>
        <w:rPr>
          <w:rFonts w:hint="eastAsia" w:ascii="宋体" w:hAnsi="宋体" w:eastAsia="宋体" w:cs="宋体"/>
          <w:kern w:val="0"/>
          <w:position w:val="-2"/>
          <w:sz w:val="24"/>
          <w:highlight w:val="none"/>
          <w:u w:val="single"/>
        </w:rPr>
        <w:tab/>
      </w:r>
      <w:r>
        <w:rPr>
          <w:rFonts w:hint="eastAsia" w:ascii="宋体" w:hAnsi="宋体" w:eastAsia="宋体" w:cs="宋体"/>
          <w:kern w:val="0"/>
          <w:position w:val="-2"/>
          <w:sz w:val="24"/>
          <w:highlight w:val="none"/>
        </w:rPr>
        <w:t>年</w:t>
      </w:r>
      <w:r>
        <w:rPr>
          <w:rFonts w:hint="eastAsia" w:ascii="宋体" w:hAnsi="宋体" w:eastAsia="宋体" w:cs="宋体"/>
          <w:kern w:val="0"/>
          <w:position w:val="-2"/>
          <w:sz w:val="24"/>
          <w:highlight w:val="none"/>
          <w:u w:val="single"/>
        </w:rPr>
        <w:t xml:space="preserve"> </w:t>
      </w:r>
      <w:r>
        <w:rPr>
          <w:rFonts w:hint="eastAsia" w:ascii="宋体" w:hAnsi="宋体" w:eastAsia="宋体" w:cs="宋体"/>
          <w:spacing w:val="1"/>
          <w:kern w:val="0"/>
          <w:position w:val="-2"/>
          <w:sz w:val="24"/>
          <w:highlight w:val="none"/>
          <w:u w:val="single"/>
        </w:rPr>
        <w:t xml:space="preserve"> </w:t>
      </w:r>
      <w:r>
        <w:rPr>
          <w:rFonts w:hint="eastAsia" w:ascii="宋体" w:hAnsi="宋体" w:eastAsia="宋体" w:cs="宋体"/>
          <w:kern w:val="0"/>
          <w:position w:val="-2"/>
          <w:sz w:val="24"/>
          <w:highlight w:val="none"/>
          <w:u w:val="single"/>
        </w:rPr>
        <w:tab/>
      </w:r>
      <w:r>
        <w:rPr>
          <w:rFonts w:hint="eastAsia" w:ascii="宋体" w:hAnsi="宋体" w:eastAsia="宋体" w:cs="宋体"/>
          <w:spacing w:val="-2"/>
          <w:kern w:val="0"/>
          <w:position w:val="-2"/>
          <w:sz w:val="24"/>
          <w:highlight w:val="none"/>
        </w:rPr>
        <w:t>月</w:t>
      </w:r>
      <w:r>
        <w:rPr>
          <w:rFonts w:hint="eastAsia" w:ascii="宋体" w:hAnsi="宋体" w:eastAsia="宋体" w:cs="宋体"/>
          <w:kern w:val="0"/>
          <w:position w:val="-2"/>
          <w:sz w:val="24"/>
          <w:highlight w:val="none"/>
          <w:u w:val="single"/>
        </w:rPr>
        <w:t xml:space="preserve"> </w:t>
      </w:r>
      <w:r>
        <w:rPr>
          <w:rFonts w:hint="eastAsia" w:ascii="宋体" w:hAnsi="宋体" w:eastAsia="宋体" w:cs="宋体"/>
          <w:spacing w:val="1"/>
          <w:kern w:val="0"/>
          <w:position w:val="-2"/>
          <w:sz w:val="24"/>
          <w:highlight w:val="none"/>
          <w:u w:val="single"/>
        </w:rPr>
        <w:t xml:space="preserve"> </w:t>
      </w:r>
      <w:r>
        <w:rPr>
          <w:rFonts w:hint="eastAsia" w:ascii="宋体" w:hAnsi="宋体" w:eastAsia="宋体" w:cs="宋体"/>
          <w:kern w:val="0"/>
          <w:position w:val="-2"/>
          <w:sz w:val="24"/>
          <w:highlight w:val="none"/>
          <w:u w:val="single"/>
        </w:rPr>
        <w:tab/>
      </w:r>
      <w:r>
        <w:rPr>
          <w:rFonts w:hint="eastAsia" w:ascii="宋体" w:hAnsi="宋体" w:eastAsia="宋体" w:cs="宋体"/>
          <w:kern w:val="0"/>
          <w:position w:val="-2"/>
          <w:sz w:val="24"/>
          <w:highlight w:val="none"/>
        </w:rPr>
        <w:t>日</w:t>
      </w:r>
    </w:p>
    <w:p w14:paraId="1D51EFF0">
      <w:pPr>
        <w:tabs>
          <w:tab w:val="left" w:pos="7140"/>
        </w:tabs>
        <w:wordWrap w:val="0"/>
        <w:autoSpaceDE w:val="0"/>
        <w:autoSpaceDN w:val="0"/>
        <w:adjustRightInd w:val="0"/>
        <w:spacing w:line="440" w:lineRule="exact"/>
        <w:ind w:left="2727" w:right="420"/>
        <w:contextualSpacing/>
        <w:rPr>
          <w:rFonts w:hint="eastAsia" w:ascii="宋体" w:hAnsi="宋体" w:eastAsia="宋体" w:cs="宋体"/>
          <w:kern w:val="0"/>
          <w:sz w:val="24"/>
          <w:highlight w:val="none"/>
        </w:rPr>
      </w:pPr>
      <w:r>
        <w:rPr>
          <w:rFonts w:hint="eastAsia" w:ascii="宋体" w:hAnsi="宋体" w:eastAsia="宋体" w:cs="宋体"/>
          <w:kern w:val="0"/>
          <w:position w:val="-4"/>
          <w:sz w:val="24"/>
          <w:highlight w:val="none"/>
        </w:rPr>
        <w:t>乙方</w:t>
      </w:r>
      <w:r>
        <w:rPr>
          <w:rFonts w:hint="eastAsia" w:ascii="宋体" w:hAnsi="宋体" w:eastAsia="宋体" w:cs="宋体"/>
          <w:spacing w:val="-2"/>
          <w:kern w:val="0"/>
          <w:position w:val="-2"/>
          <w:sz w:val="24"/>
          <w:highlight w:val="none"/>
        </w:rPr>
        <w:t>：</w:t>
      </w:r>
      <w:r>
        <w:rPr>
          <w:rFonts w:hint="eastAsia" w:ascii="宋体" w:hAnsi="宋体" w:eastAsia="宋体" w:cs="宋体"/>
          <w:kern w:val="0"/>
          <w:position w:val="-2"/>
          <w:sz w:val="24"/>
          <w:highlight w:val="none"/>
          <w:u w:val="single"/>
        </w:rPr>
        <w:t xml:space="preserve"> </w:t>
      </w:r>
      <w:r>
        <w:rPr>
          <w:rFonts w:hint="eastAsia" w:ascii="宋体" w:hAnsi="宋体" w:eastAsia="宋体" w:cs="宋体"/>
          <w:spacing w:val="1"/>
          <w:kern w:val="0"/>
          <w:position w:val="-2"/>
          <w:sz w:val="24"/>
          <w:highlight w:val="none"/>
          <w:u w:val="single"/>
        </w:rPr>
        <w:t xml:space="preserve">                          </w:t>
      </w:r>
      <w:r>
        <w:rPr>
          <w:rFonts w:hint="eastAsia" w:ascii="宋体" w:hAnsi="宋体" w:eastAsia="宋体" w:cs="宋体"/>
          <w:kern w:val="0"/>
          <w:position w:val="-2"/>
          <w:sz w:val="24"/>
          <w:highlight w:val="none"/>
        </w:rPr>
        <w:t>（盖</w:t>
      </w:r>
      <w:r>
        <w:rPr>
          <w:rFonts w:hint="eastAsia" w:ascii="宋体" w:hAnsi="宋体" w:eastAsia="宋体" w:cs="宋体"/>
          <w:spacing w:val="-2"/>
          <w:kern w:val="0"/>
          <w:position w:val="-2"/>
          <w:sz w:val="24"/>
          <w:highlight w:val="none"/>
        </w:rPr>
        <w:t>单</w:t>
      </w:r>
      <w:r>
        <w:rPr>
          <w:rFonts w:hint="eastAsia" w:ascii="宋体" w:hAnsi="宋体" w:eastAsia="宋体" w:cs="宋体"/>
          <w:kern w:val="0"/>
          <w:position w:val="-2"/>
          <w:sz w:val="24"/>
          <w:highlight w:val="none"/>
        </w:rPr>
        <w:t>位</w:t>
      </w:r>
      <w:r>
        <w:rPr>
          <w:rFonts w:hint="eastAsia" w:ascii="宋体" w:hAnsi="宋体" w:eastAsia="宋体" w:cs="宋体"/>
          <w:spacing w:val="-2"/>
          <w:kern w:val="0"/>
          <w:position w:val="-2"/>
          <w:sz w:val="24"/>
          <w:highlight w:val="none"/>
        </w:rPr>
        <w:t>章</w:t>
      </w:r>
      <w:r>
        <w:rPr>
          <w:rFonts w:hint="eastAsia" w:ascii="宋体" w:hAnsi="宋体" w:eastAsia="宋体" w:cs="宋体"/>
          <w:kern w:val="0"/>
          <w:position w:val="-2"/>
          <w:sz w:val="24"/>
          <w:highlight w:val="none"/>
        </w:rPr>
        <w:t>）</w:t>
      </w:r>
    </w:p>
    <w:p w14:paraId="6B6E933E">
      <w:pPr>
        <w:tabs>
          <w:tab w:val="left" w:pos="7140"/>
        </w:tabs>
        <w:wordWrap w:val="0"/>
        <w:autoSpaceDE w:val="0"/>
        <w:autoSpaceDN w:val="0"/>
        <w:adjustRightInd w:val="0"/>
        <w:spacing w:line="440" w:lineRule="exact"/>
        <w:ind w:left="2727" w:right="420"/>
        <w:contextualSpacing/>
        <w:rPr>
          <w:rFonts w:hint="eastAsia" w:ascii="宋体" w:hAnsi="宋体" w:eastAsia="宋体" w:cs="宋体"/>
          <w:kern w:val="0"/>
          <w:sz w:val="24"/>
          <w:highlight w:val="none"/>
        </w:rPr>
      </w:pPr>
      <w:r>
        <w:rPr>
          <w:rFonts w:hint="eastAsia" w:ascii="宋体" w:hAnsi="宋体" w:eastAsia="宋体" w:cs="宋体"/>
          <w:kern w:val="0"/>
          <w:position w:val="-2"/>
          <w:sz w:val="24"/>
          <w:highlight w:val="none"/>
        </w:rPr>
        <w:t>法定</w:t>
      </w:r>
      <w:r>
        <w:rPr>
          <w:rFonts w:hint="eastAsia" w:ascii="宋体" w:hAnsi="宋体" w:eastAsia="宋体" w:cs="宋体"/>
          <w:spacing w:val="-2"/>
          <w:kern w:val="0"/>
          <w:position w:val="-2"/>
          <w:sz w:val="24"/>
          <w:highlight w:val="none"/>
        </w:rPr>
        <w:t>代</w:t>
      </w:r>
      <w:r>
        <w:rPr>
          <w:rFonts w:hint="eastAsia" w:ascii="宋体" w:hAnsi="宋体" w:eastAsia="宋体" w:cs="宋体"/>
          <w:kern w:val="0"/>
          <w:position w:val="-2"/>
          <w:sz w:val="24"/>
          <w:highlight w:val="none"/>
        </w:rPr>
        <w:t>表</w:t>
      </w:r>
      <w:r>
        <w:rPr>
          <w:rFonts w:hint="eastAsia" w:ascii="宋体" w:hAnsi="宋体" w:eastAsia="宋体" w:cs="宋体"/>
          <w:spacing w:val="-2"/>
          <w:kern w:val="0"/>
          <w:position w:val="-2"/>
          <w:sz w:val="24"/>
          <w:highlight w:val="none"/>
        </w:rPr>
        <w:t>人</w:t>
      </w:r>
      <w:r>
        <w:rPr>
          <w:rFonts w:hint="eastAsia" w:ascii="宋体" w:hAnsi="宋体" w:eastAsia="宋体" w:cs="宋体"/>
          <w:kern w:val="0"/>
          <w:position w:val="-2"/>
          <w:sz w:val="24"/>
          <w:highlight w:val="none"/>
        </w:rPr>
        <w:t>（</w:t>
      </w:r>
      <w:r>
        <w:rPr>
          <w:rFonts w:hint="eastAsia" w:ascii="宋体" w:hAnsi="宋体" w:eastAsia="宋体" w:cs="宋体"/>
          <w:spacing w:val="-2"/>
          <w:kern w:val="0"/>
          <w:position w:val="-2"/>
          <w:sz w:val="24"/>
          <w:highlight w:val="none"/>
        </w:rPr>
        <w:t>单</w:t>
      </w:r>
      <w:r>
        <w:rPr>
          <w:rFonts w:hint="eastAsia" w:ascii="宋体" w:hAnsi="宋体" w:eastAsia="宋体" w:cs="宋体"/>
          <w:kern w:val="0"/>
          <w:position w:val="-2"/>
          <w:sz w:val="24"/>
          <w:highlight w:val="none"/>
        </w:rPr>
        <w:t>位</w:t>
      </w:r>
      <w:r>
        <w:rPr>
          <w:rFonts w:hint="eastAsia" w:ascii="宋体" w:hAnsi="宋体" w:eastAsia="宋体" w:cs="宋体"/>
          <w:spacing w:val="-2"/>
          <w:kern w:val="0"/>
          <w:position w:val="-2"/>
          <w:sz w:val="24"/>
          <w:highlight w:val="none"/>
        </w:rPr>
        <w:t>负</w:t>
      </w:r>
      <w:r>
        <w:rPr>
          <w:rFonts w:hint="eastAsia" w:ascii="宋体" w:hAnsi="宋体" w:eastAsia="宋体" w:cs="宋体"/>
          <w:kern w:val="0"/>
          <w:position w:val="-2"/>
          <w:sz w:val="24"/>
          <w:highlight w:val="none"/>
        </w:rPr>
        <w:t>责</w:t>
      </w:r>
      <w:r>
        <w:rPr>
          <w:rFonts w:hint="eastAsia" w:ascii="宋体" w:hAnsi="宋体" w:eastAsia="宋体" w:cs="宋体"/>
          <w:spacing w:val="-2"/>
          <w:kern w:val="0"/>
          <w:position w:val="-2"/>
          <w:sz w:val="24"/>
          <w:highlight w:val="none"/>
        </w:rPr>
        <w:t>人</w:t>
      </w:r>
      <w:r>
        <w:rPr>
          <w:rFonts w:hint="eastAsia" w:ascii="宋体" w:hAnsi="宋体" w:eastAsia="宋体" w:cs="宋体"/>
          <w:kern w:val="0"/>
          <w:position w:val="-2"/>
          <w:sz w:val="24"/>
          <w:highlight w:val="none"/>
        </w:rPr>
        <w:t>）或</w:t>
      </w:r>
      <w:r>
        <w:rPr>
          <w:rFonts w:hint="eastAsia" w:ascii="宋体" w:hAnsi="宋体" w:eastAsia="宋体" w:cs="宋体"/>
          <w:spacing w:val="-2"/>
          <w:kern w:val="0"/>
          <w:position w:val="-2"/>
          <w:sz w:val="24"/>
          <w:highlight w:val="none"/>
        </w:rPr>
        <w:t>其</w:t>
      </w:r>
      <w:r>
        <w:rPr>
          <w:rFonts w:hint="eastAsia" w:ascii="宋体" w:hAnsi="宋体" w:eastAsia="宋体" w:cs="宋体"/>
          <w:kern w:val="0"/>
          <w:position w:val="-2"/>
          <w:sz w:val="24"/>
          <w:highlight w:val="none"/>
        </w:rPr>
        <w:t>委</w:t>
      </w:r>
      <w:r>
        <w:rPr>
          <w:rFonts w:hint="eastAsia" w:ascii="宋体" w:hAnsi="宋体" w:eastAsia="宋体" w:cs="宋体"/>
          <w:spacing w:val="-2"/>
          <w:kern w:val="0"/>
          <w:position w:val="-2"/>
          <w:sz w:val="24"/>
          <w:highlight w:val="none"/>
        </w:rPr>
        <w:t>托</w:t>
      </w:r>
      <w:r>
        <w:rPr>
          <w:rFonts w:hint="eastAsia" w:ascii="宋体" w:hAnsi="宋体" w:eastAsia="宋体" w:cs="宋体"/>
          <w:kern w:val="0"/>
          <w:position w:val="-2"/>
          <w:sz w:val="24"/>
          <w:highlight w:val="none"/>
        </w:rPr>
        <w:t>代</w:t>
      </w:r>
      <w:r>
        <w:rPr>
          <w:rFonts w:hint="eastAsia" w:ascii="宋体" w:hAnsi="宋体" w:eastAsia="宋体" w:cs="宋体"/>
          <w:spacing w:val="-2"/>
          <w:kern w:val="0"/>
          <w:position w:val="-2"/>
          <w:sz w:val="24"/>
          <w:highlight w:val="none"/>
        </w:rPr>
        <w:t>理</w:t>
      </w:r>
      <w:r>
        <w:rPr>
          <w:rFonts w:hint="eastAsia" w:ascii="宋体" w:hAnsi="宋体" w:eastAsia="宋体" w:cs="宋体"/>
          <w:kern w:val="0"/>
          <w:position w:val="-2"/>
          <w:sz w:val="24"/>
          <w:highlight w:val="none"/>
        </w:rPr>
        <w:t>人</w:t>
      </w:r>
      <w:r>
        <w:rPr>
          <w:rFonts w:hint="eastAsia" w:ascii="宋体" w:hAnsi="宋体" w:eastAsia="宋体" w:cs="宋体"/>
          <w:spacing w:val="-3"/>
          <w:kern w:val="0"/>
          <w:position w:val="-2"/>
          <w:sz w:val="24"/>
          <w:highlight w:val="none"/>
        </w:rPr>
        <w:t>：</w:t>
      </w:r>
      <w:r>
        <w:rPr>
          <w:rFonts w:hint="eastAsia" w:ascii="宋体" w:hAnsi="宋体" w:eastAsia="宋体" w:cs="宋体"/>
          <w:kern w:val="0"/>
          <w:position w:val="-2"/>
          <w:sz w:val="24"/>
          <w:highlight w:val="none"/>
          <w:u w:val="single"/>
        </w:rPr>
        <w:t xml:space="preserve"> </w:t>
      </w:r>
      <w:r>
        <w:rPr>
          <w:rFonts w:hint="eastAsia" w:ascii="宋体" w:hAnsi="宋体" w:eastAsia="宋体" w:cs="宋体"/>
          <w:spacing w:val="1"/>
          <w:kern w:val="0"/>
          <w:position w:val="-2"/>
          <w:sz w:val="24"/>
          <w:highlight w:val="none"/>
          <w:u w:val="single"/>
        </w:rPr>
        <w:t xml:space="preserve"> </w:t>
      </w:r>
      <w:r>
        <w:rPr>
          <w:rFonts w:hint="eastAsia" w:ascii="宋体" w:hAnsi="宋体" w:eastAsia="宋体" w:cs="宋体"/>
          <w:kern w:val="0"/>
          <w:position w:val="-2"/>
          <w:sz w:val="24"/>
          <w:highlight w:val="none"/>
        </w:rPr>
        <w:t>（</w:t>
      </w:r>
      <w:r>
        <w:rPr>
          <w:rFonts w:hint="eastAsia" w:ascii="宋体" w:hAnsi="宋体" w:eastAsia="宋体" w:cs="宋体"/>
          <w:spacing w:val="-2"/>
          <w:kern w:val="0"/>
          <w:position w:val="-2"/>
          <w:sz w:val="24"/>
          <w:highlight w:val="none"/>
        </w:rPr>
        <w:t>签</w:t>
      </w:r>
      <w:r>
        <w:rPr>
          <w:rFonts w:hint="eastAsia" w:ascii="宋体" w:hAnsi="宋体" w:eastAsia="宋体" w:cs="宋体"/>
          <w:kern w:val="0"/>
          <w:position w:val="-2"/>
          <w:sz w:val="24"/>
          <w:highlight w:val="none"/>
        </w:rPr>
        <w:t>字或盖章）</w:t>
      </w:r>
    </w:p>
    <w:p w14:paraId="0C138F30">
      <w:pPr>
        <w:tabs>
          <w:tab w:val="left" w:pos="5370"/>
          <w:tab w:val="left" w:pos="6330"/>
          <w:tab w:val="left" w:pos="7275"/>
        </w:tabs>
        <w:autoSpaceDE w:val="0"/>
        <w:autoSpaceDN w:val="0"/>
        <w:adjustRightInd w:val="0"/>
        <w:spacing w:line="440" w:lineRule="exact"/>
        <w:ind w:left="4341" w:firstLine="240" w:firstLineChars="100"/>
        <w:contextualSpacing/>
        <w:jc w:val="left"/>
        <w:rPr>
          <w:rFonts w:hint="eastAsia" w:ascii="宋体" w:hAnsi="宋体" w:eastAsia="宋体" w:cs="宋体"/>
          <w:kern w:val="0"/>
          <w:position w:val="-1"/>
          <w:sz w:val="24"/>
          <w:highlight w:val="none"/>
        </w:rPr>
      </w:pPr>
      <w:r>
        <w:rPr>
          <w:rFonts w:hint="eastAsia" w:ascii="宋体" w:hAnsi="宋体" w:eastAsia="宋体" w:cs="宋体"/>
          <w:kern w:val="0"/>
          <w:position w:val="-1"/>
          <w:sz w:val="24"/>
          <w:highlight w:val="none"/>
          <w:u w:val="single"/>
        </w:rPr>
        <w:tab/>
      </w:r>
      <w:r>
        <w:rPr>
          <w:rFonts w:hint="eastAsia" w:ascii="宋体" w:hAnsi="宋体" w:eastAsia="宋体" w:cs="宋体"/>
          <w:kern w:val="0"/>
          <w:position w:val="-1"/>
          <w:sz w:val="24"/>
          <w:highlight w:val="none"/>
        </w:rPr>
        <w:t>年</w:t>
      </w:r>
      <w:r>
        <w:rPr>
          <w:rFonts w:hint="eastAsia" w:ascii="宋体" w:hAnsi="宋体" w:eastAsia="宋体" w:cs="宋体"/>
          <w:kern w:val="0"/>
          <w:position w:val="-1"/>
          <w:sz w:val="24"/>
          <w:highlight w:val="none"/>
          <w:u w:val="single"/>
        </w:rPr>
        <w:t xml:space="preserve"> </w:t>
      </w:r>
      <w:r>
        <w:rPr>
          <w:rFonts w:hint="eastAsia" w:ascii="宋体" w:hAnsi="宋体" w:eastAsia="宋体" w:cs="宋体"/>
          <w:spacing w:val="1"/>
          <w:kern w:val="0"/>
          <w:position w:val="-1"/>
          <w:sz w:val="24"/>
          <w:highlight w:val="none"/>
          <w:u w:val="single"/>
        </w:rPr>
        <w:t xml:space="preserve"> </w:t>
      </w:r>
      <w:r>
        <w:rPr>
          <w:rFonts w:hint="eastAsia" w:ascii="宋体" w:hAnsi="宋体" w:eastAsia="宋体" w:cs="宋体"/>
          <w:kern w:val="0"/>
          <w:position w:val="-1"/>
          <w:sz w:val="24"/>
          <w:highlight w:val="none"/>
          <w:u w:val="single"/>
        </w:rPr>
        <w:tab/>
      </w:r>
      <w:r>
        <w:rPr>
          <w:rFonts w:hint="eastAsia" w:ascii="宋体" w:hAnsi="宋体" w:eastAsia="宋体" w:cs="宋体"/>
          <w:spacing w:val="-2"/>
          <w:kern w:val="0"/>
          <w:position w:val="-1"/>
          <w:sz w:val="24"/>
          <w:highlight w:val="none"/>
        </w:rPr>
        <w:t>月</w:t>
      </w:r>
      <w:r>
        <w:rPr>
          <w:rFonts w:hint="eastAsia" w:ascii="宋体" w:hAnsi="宋体" w:eastAsia="宋体" w:cs="宋体"/>
          <w:kern w:val="0"/>
          <w:position w:val="-1"/>
          <w:sz w:val="24"/>
          <w:highlight w:val="none"/>
          <w:u w:val="single"/>
        </w:rPr>
        <w:t xml:space="preserve"> </w:t>
      </w:r>
      <w:r>
        <w:rPr>
          <w:rFonts w:hint="eastAsia" w:ascii="宋体" w:hAnsi="宋体" w:eastAsia="宋体" w:cs="宋体"/>
          <w:spacing w:val="1"/>
          <w:kern w:val="0"/>
          <w:position w:val="-1"/>
          <w:sz w:val="24"/>
          <w:highlight w:val="none"/>
          <w:u w:val="single"/>
        </w:rPr>
        <w:t xml:space="preserve"> </w:t>
      </w:r>
      <w:r>
        <w:rPr>
          <w:rFonts w:hint="eastAsia" w:ascii="宋体" w:hAnsi="宋体" w:eastAsia="宋体" w:cs="宋体"/>
          <w:kern w:val="0"/>
          <w:position w:val="-1"/>
          <w:sz w:val="24"/>
          <w:highlight w:val="none"/>
          <w:u w:val="single"/>
        </w:rPr>
        <w:tab/>
      </w:r>
      <w:r>
        <w:rPr>
          <w:rFonts w:hint="eastAsia" w:ascii="宋体" w:hAnsi="宋体" w:eastAsia="宋体" w:cs="宋体"/>
          <w:kern w:val="0"/>
          <w:position w:val="-1"/>
          <w:sz w:val="24"/>
          <w:highlight w:val="none"/>
        </w:rPr>
        <w:t>日</w:t>
      </w:r>
    </w:p>
    <w:p w14:paraId="6568DA02">
      <w:pPr>
        <w:tabs>
          <w:tab w:val="left" w:pos="5370"/>
          <w:tab w:val="left" w:pos="6330"/>
          <w:tab w:val="left" w:pos="7275"/>
        </w:tabs>
        <w:autoSpaceDE w:val="0"/>
        <w:autoSpaceDN w:val="0"/>
        <w:adjustRightInd w:val="0"/>
        <w:spacing w:line="440" w:lineRule="exact"/>
        <w:ind w:left="4341" w:firstLine="241" w:firstLineChars="100"/>
        <w:contextualSpacing/>
        <w:jc w:val="left"/>
        <w:rPr>
          <w:rFonts w:hint="eastAsia" w:ascii="宋体" w:hAnsi="宋体" w:eastAsia="宋体" w:cs="宋体"/>
          <w:b/>
          <w:bCs/>
          <w:kern w:val="0"/>
          <w:position w:val="-3"/>
          <w:sz w:val="24"/>
          <w:highlight w:val="none"/>
        </w:rPr>
      </w:pPr>
    </w:p>
    <w:p w14:paraId="02807A10">
      <w:pPr>
        <w:pStyle w:val="6"/>
        <w:rPr>
          <w:rFonts w:hint="eastAsia" w:ascii="宋体" w:hAnsi="宋体" w:eastAsia="宋体" w:cs="宋体"/>
          <w:sz w:val="24"/>
          <w:szCs w:val="24"/>
          <w:highlight w:val="none"/>
        </w:rPr>
      </w:pPr>
      <w:bookmarkStart w:id="49" w:name="_Toc497923303"/>
      <w:bookmarkStart w:id="50" w:name="_Toc526265702"/>
      <w:bookmarkStart w:id="51" w:name="_Toc500235608"/>
      <w:bookmarkStart w:id="52" w:name="_Toc500009176"/>
      <w:r>
        <w:rPr>
          <w:rFonts w:hint="eastAsia" w:ascii="宋体" w:hAnsi="宋体" w:eastAsia="宋体" w:cs="宋体"/>
          <w:sz w:val="24"/>
          <w:szCs w:val="24"/>
          <w:highlight w:val="none"/>
        </w:rPr>
        <w:t>附件二：履约保证金格式</w:t>
      </w:r>
      <w:bookmarkEnd w:id="49"/>
      <w:bookmarkEnd w:id="50"/>
      <w:bookmarkEnd w:id="51"/>
      <w:bookmarkEnd w:id="52"/>
    </w:p>
    <w:p w14:paraId="15D76A8B">
      <w:pPr>
        <w:autoSpaceDE w:val="0"/>
        <w:autoSpaceDN w:val="0"/>
        <w:adjustRightInd w:val="0"/>
        <w:spacing w:line="360" w:lineRule="auto"/>
        <w:contextualSpacing/>
        <w:jc w:val="center"/>
        <w:rPr>
          <w:rFonts w:hint="eastAsia" w:ascii="宋体" w:hAnsi="宋体" w:eastAsia="宋体" w:cs="宋体"/>
          <w:kern w:val="0"/>
          <w:position w:val="-5"/>
          <w:sz w:val="24"/>
          <w:highlight w:val="none"/>
        </w:rPr>
      </w:pPr>
      <w:r>
        <w:rPr>
          <w:rFonts w:hint="eastAsia" w:ascii="宋体" w:hAnsi="宋体" w:eastAsia="宋体" w:cs="宋体"/>
          <w:kern w:val="0"/>
          <w:position w:val="-5"/>
          <w:sz w:val="24"/>
          <w:highlight w:val="none"/>
        </w:rPr>
        <w:t>履约保函</w:t>
      </w:r>
    </w:p>
    <w:p w14:paraId="041F08DB">
      <w:pPr>
        <w:spacing w:line="360" w:lineRule="auto"/>
        <w:ind w:right="2974" w:rightChars="1416"/>
        <w:jc w:val="right"/>
        <w:rPr>
          <w:rFonts w:hint="eastAsia" w:ascii="宋体" w:hAnsi="宋体" w:eastAsia="宋体" w:cs="宋体"/>
          <w:sz w:val="24"/>
          <w:highlight w:val="none"/>
        </w:rPr>
      </w:pPr>
      <w:r>
        <w:rPr>
          <w:rFonts w:hint="eastAsia" w:ascii="宋体" w:hAnsi="宋体" w:eastAsia="宋体" w:cs="宋体"/>
          <w:sz w:val="24"/>
          <w:highlight w:val="none"/>
        </w:rPr>
        <w:t xml:space="preserve">编号：             </w:t>
      </w:r>
    </w:p>
    <w:p w14:paraId="35A3601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致受益人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7A97A50">
      <w:pPr>
        <w:snapToGrid w:val="0"/>
        <w:spacing w:line="360" w:lineRule="auto"/>
        <w:ind w:firstLine="480" w:firstLineChars="200"/>
        <w:jc w:val="left"/>
        <w:rPr>
          <w:rFonts w:hint="eastAsia" w:ascii="宋体" w:hAnsi="宋体" w:eastAsia="宋体" w:cs="宋体"/>
          <w:b/>
          <w:bCs/>
          <w:sz w:val="24"/>
          <w:highlight w:val="none"/>
        </w:rPr>
      </w:pPr>
      <w:r>
        <w:rPr>
          <w:rFonts w:hint="eastAsia" w:ascii="宋体" w:hAnsi="宋体" w:eastAsia="宋体" w:cs="宋体"/>
          <w:sz w:val="24"/>
          <w:highlight w:val="none"/>
        </w:rPr>
        <w:t>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（下称“被保证人”，地址：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）与你方签订了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项目合同（项目编号：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），我方愿就被保证人履行上述合同的义务向你方提供如下保证：</w:t>
      </w:r>
    </w:p>
    <w:p w14:paraId="1BC63EDC">
      <w:pPr>
        <w:numPr>
          <w:ilvl w:val="0"/>
          <w:numId w:val="10"/>
        </w:num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本保函项下我方承担的保证责任最高限额（下称“担保金额”）为(币种金额、大写)</w:t>
      </w:r>
      <w:r>
        <w:rPr>
          <w:rFonts w:hint="eastAsia" w:ascii="宋体" w:hAnsi="宋体" w:eastAsia="宋体" w:cs="宋体"/>
          <w:sz w:val="24"/>
          <w:highlight w:val="none"/>
          <w:u w:val="single"/>
        </w:rPr>
        <w:t xml:space="preserve">人民币                      </w:t>
      </w:r>
      <w:r>
        <w:rPr>
          <w:rFonts w:hint="eastAsia" w:ascii="宋体" w:hAnsi="宋体" w:eastAsia="宋体" w:cs="宋体"/>
          <w:sz w:val="24"/>
          <w:highlight w:val="none"/>
        </w:rPr>
        <w:t>。</w:t>
      </w:r>
    </w:p>
    <w:p w14:paraId="1F6631B3">
      <w:pPr>
        <w:snapToGrid w:val="0"/>
        <w:spacing w:line="360" w:lineRule="auto"/>
        <w:ind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二、我方在本保函项下提供的保证为</w:t>
      </w:r>
      <w:r>
        <w:rPr>
          <w:rFonts w:hint="eastAsia" w:ascii="宋体" w:hAnsi="宋体" w:eastAsia="宋体" w:cs="宋体"/>
          <w:snapToGrid w:val="0"/>
          <w:kern w:val="0"/>
          <w:sz w:val="24"/>
          <w:highlight w:val="none"/>
          <w:u w:val="single"/>
        </w:rPr>
        <w:t xml:space="preserve">  连带  </w:t>
      </w:r>
      <w:r>
        <w:rPr>
          <w:rFonts w:hint="eastAsia" w:ascii="宋体" w:hAnsi="宋体" w:eastAsia="宋体" w:cs="宋体"/>
          <w:snapToGrid w:val="0"/>
          <w:kern w:val="0"/>
          <w:sz w:val="24"/>
          <w:highlight w:val="none"/>
        </w:rPr>
        <w:t>责任保证。</w:t>
      </w:r>
    </w:p>
    <w:p w14:paraId="2E8D6736">
      <w:pPr>
        <w:snapToGrid w:val="0"/>
        <w:spacing w:line="360" w:lineRule="auto"/>
        <w:ind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三、本保函的有效期为以下第</w:t>
      </w:r>
      <w:r>
        <w:rPr>
          <w:rFonts w:hint="eastAsia" w:ascii="宋体" w:hAnsi="宋体" w:eastAsia="宋体" w:cs="宋体"/>
          <w:snapToGrid w:val="0"/>
          <w:kern w:val="0"/>
          <w:sz w:val="24"/>
          <w:highlight w:val="none"/>
          <w:u w:val="single"/>
        </w:rPr>
        <w:t xml:space="preserve">   1    </w:t>
      </w:r>
      <w:r>
        <w:rPr>
          <w:rFonts w:hint="eastAsia" w:ascii="宋体" w:hAnsi="宋体" w:eastAsia="宋体" w:cs="宋体"/>
          <w:snapToGrid w:val="0"/>
          <w:kern w:val="0"/>
          <w:sz w:val="24"/>
          <w:highlight w:val="none"/>
        </w:rPr>
        <w:t>种：</w:t>
      </w:r>
    </w:p>
    <w:p w14:paraId="01BD4B87">
      <w:pPr>
        <w:snapToGrid w:val="0"/>
        <w:spacing w:line="360" w:lineRule="auto"/>
        <w:ind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1.本保函有效期自生效之日起至</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年</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月</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日止。</w:t>
      </w:r>
    </w:p>
    <w:p w14:paraId="56072367">
      <w:pPr>
        <w:adjustRightInd w:val="0"/>
        <w:snapToGrid w:val="0"/>
        <w:spacing w:line="360" w:lineRule="auto"/>
        <w:ind w:firstLine="480" w:firstLineChars="2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2.</w:t>
      </w:r>
      <w:r>
        <w:rPr>
          <w:rFonts w:hint="eastAsia" w:ascii="宋体" w:hAnsi="宋体" w:eastAsia="宋体" w:cs="宋体"/>
          <w:snapToGrid w:val="0"/>
          <w:kern w:val="0"/>
          <w:sz w:val="24"/>
          <w:highlight w:val="none"/>
          <w:u w:val="single"/>
        </w:rPr>
        <w:t xml:space="preserve">                                /                    </w:t>
      </w:r>
      <w:r>
        <w:rPr>
          <w:rFonts w:hint="eastAsia" w:ascii="宋体" w:hAnsi="宋体" w:eastAsia="宋体" w:cs="宋体"/>
          <w:snapToGrid w:val="0"/>
          <w:kern w:val="0"/>
          <w:sz w:val="24"/>
          <w:highlight w:val="none"/>
        </w:rPr>
        <w:t>。</w:t>
      </w:r>
    </w:p>
    <w:p w14:paraId="6AE60A73">
      <w:pPr>
        <w:snapToGrid w:val="0"/>
        <w:spacing w:line="360" w:lineRule="auto"/>
        <w:ind w:firstLine="480" w:firstLineChars="200"/>
        <w:jc w:val="left"/>
        <w:rPr>
          <w:rFonts w:hint="eastAsia" w:ascii="宋体" w:hAnsi="宋体" w:eastAsia="宋体" w:cs="宋体"/>
          <w:snapToGrid w:val="0"/>
          <w:kern w:val="0"/>
          <w:sz w:val="24"/>
          <w:highlight w:val="none"/>
        </w:rPr>
      </w:pPr>
      <w:r>
        <w:rPr>
          <w:rFonts w:hint="eastAsia" w:ascii="宋体" w:hAnsi="宋体" w:eastAsia="宋体" w:cs="宋体"/>
          <w:sz w:val="24"/>
          <w:highlight w:val="none"/>
        </w:rPr>
        <w:t>四、在本保函的有效期内，如被保证人</w:t>
      </w:r>
      <w:r>
        <w:rPr>
          <w:rFonts w:hint="eastAsia" w:ascii="宋体" w:hAnsi="宋体" w:eastAsia="宋体" w:cs="宋体"/>
          <w:snapToGrid w:val="0"/>
          <w:kern w:val="0"/>
          <w:sz w:val="24"/>
          <w:highlight w:val="none"/>
        </w:rPr>
        <w:t>违反上述合同的约定给你方造成经济损失的，我方将在收到你方提交的本保函原件及符合下列全部条件的索赔通知后</w:t>
      </w:r>
      <w:r>
        <w:rPr>
          <w:rFonts w:hint="eastAsia" w:ascii="宋体" w:hAnsi="宋体" w:eastAsia="宋体" w:cs="宋体"/>
          <w:snapToGrid w:val="0"/>
          <w:kern w:val="0"/>
          <w:sz w:val="24"/>
          <w:highlight w:val="none"/>
          <w:u w:val="single"/>
        </w:rPr>
        <w:t>10</w:t>
      </w:r>
      <w:r>
        <w:rPr>
          <w:rFonts w:hint="eastAsia" w:ascii="宋体" w:hAnsi="宋体" w:eastAsia="宋体" w:cs="宋体"/>
          <w:snapToGrid w:val="0"/>
          <w:kern w:val="0"/>
          <w:sz w:val="24"/>
          <w:highlight w:val="none"/>
        </w:rPr>
        <w:t>个工作日内，以上述担保金额为限支付你方索赔金额：</w:t>
      </w:r>
    </w:p>
    <w:p w14:paraId="162BBB11">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0"/>
          <w:sz w:val="24"/>
          <w:highlight w:val="none"/>
        </w:rPr>
        <w:t>（一）索赔通知必须以书面形式提出，列明索赔金额，并由你方法定代表人（负责人）或授权代理人签字并加盖公章；代理人签署索赔通知的，应当同时提交法定代表人（负责人）签发的授权文件。</w:t>
      </w:r>
    </w:p>
    <w:p w14:paraId="26B43433">
      <w:pPr>
        <w:adjustRightInd w:val="0"/>
        <w:snapToGrid w:val="0"/>
        <w:spacing w:line="360" w:lineRule="auto"/>
        <w:ind w:firstLine="480" w:firstLineChars="2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（二）索赔通知必须同时附有：</w:t>
      </w:r>
    </w:p>
    <w:p w14:paraId="6A4344C4">
      <w:pPr>
        <w:adjustRightInd w:val="0"/>
        <w:snapToGrid w:val="0"/>
        <w:spacing w:line="360" w:lineRule="auto"/>
        <w:ind w:firstLine="480" w:firstLineChars="2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1.一项书面声明，声明索赔款项并未由</w:t>
      </w:r>
      <w:r>
        <w:rPr>
          <w:rFonts w:hint="eastAsia" w:ascii="宋体" w:hAnsi="宋体" w:eastAsia="宋体" w:cs="宋体"/>
          <w:sz w:val="24"/>
          <w:highlight w:val="none"/>
        </w:rPr>
        <w:t>被保证人</w:t>
      </w:r>
      <w:r>
        <w:rPr>
          <w:rFonts w:hint="eastAsia" w:ascii="宋体" w:hAnsi="宋体" w:eastAsia="宋体" w:cs="宋体"/>
          <w:snapToGrid w:val="0"/>
          <w:kern w:val="0"/>
          <w:sz w:val="24"/>
          <w:highlight w:val="none"/>
        </w:rPr>
        <w:t>或其代理人直接或间接地支付给你方；</w:t>
      </w:r>
    </w:p>
    <w:p w14:paraId="31B214E8">
      <w:pPr>
        <w:adjustRightInd w:val="0"/>
        <w:snapToGrid w:val="0"/>
        <w:spacing w:line="360" w:lineRule="auto"/>
        <w:ind w:firstLine="480" w:firstLineChars="2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2. 证明</w:t>
      </w:r>
      <w:r>
        <w:rPr>
          <w:rFonts w:hint="eastAsia" w:ascii="宋体" w:hAnsi="宋体" w:eastAsia="宋体" w:cs="宋体"/>
          <w:sz w:val="24"/>
          <w:highlight w:val="none"/>
        </w:rPr>
        <w:t>被保证人</w:t>
      </w:r>
      <w:r>
        <w:rPr>
          <w:rFonts w:hint="eastAsia" w:ascii="宋体" w:hAnsi="宋体" w:eastAsia="宋体" w:cs="宋体"/>
          <w:snapToGrid w:val="0"/>
          <w:kern w:val="0"/>
          <w:sz w:val="24"/>
          <w:highlight w:val="none"/>
        </w:rPr>
        <w:t>违反上述合同的约定以及有责任支付你方索赔金额的证据，包括但不限于已发生法律效力的法院判决书或仲裁裁决书等。</w:t>
      </w:r>
    </w:p>
    <w:p w14:paraId="17D8CBDF">
      <w:pPr>
        <w:adjustRightInd w:val="0"/>
        <w:snapToGrid w:val="0"/>
        <w:spacing w:line="360" w:lineRule="auto"/>
        <w:ind w:firstLine="480" w:firstLineChars="2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3.索赔资料应在有效期内送达我方，否则我方不承担责任。</w:t>
      </w:r>
    </w:p>
    <w:p w14:paraId="7311D757">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（三）索赔通知必须在本保函有效期内到达以下地址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E7F20B1">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0"/>
          <w:sz w:val="24"/>
          <w:highlight w:val="none"/>
        </w:rPr>
        <w:t>五、</w:t>
      </w:r>
      <w:r>
        <w:rPr>
          <w:rFonts w:hint="eastAsia" w:ascii="宋体" w:hAnsi="宋体" w:eastAsia="宋体" w:cs="宋体"/>
          <w:sz w:val="24"/>
          <w:highlight w:val="none"/>
        </w:rPr>
        <w:t>本保函担保金额将随被保证人逐步履行保函项下合同约定或法定的义务以及我方</w:t>
      </w:r>
      <w:r>
        <w:rPr>
          <w:rFonts w:hint="eastAsia" w:ascii="宋体" w:hAnsi="宋体" w:eastAsia="宋体" w:cs="宋体"/>
          <w:snapToGrid w:val="0"/>
          <w:kern w:val="0"/>
          <w:sz w:val="24"/>
          <w:highlight w:val="none"/>
        </w:rPr>
        <w:t>按你方索赔通知要求分次支付</w:t>
      </w:r>
      <w:r>
        <w:rPr>
          <w:rFonts w:hint="eastAsia" w:ascii="宋体" w:hAnsi="宋体" w:eastAsia="宋体" w:cs="宋体"/>
          <w:sz w:val="24"/>
          <w:highlight w:val="none"/>
        </w:rPr>
        <w:t>而相应递减。</w:t>
      </w:r>
    </w:p>
    <w:p w14:paraId="3E15D1FC">
      <w:pPr>
        <w:pStyle w:val="12"/>
        <w:snapToGrid w:val="0"/>
        <w:spacing w:after="0" w:line="360" w:lineRule="auto"/>
        <w:ind w:left="0" w:leftChars="0" w:firstLine="480" w:firstLineChars="200"/>
        <w:rPr>
          <w:rFonts w:hint="eastAsia" w:ascii="宋体" w:hAnsi="宋体" w:eastAsia="宋体" w:cs="宋体"/>
          <w:iCs/>
          <w:sz w:val="24"/>
          <w:highlight w:val="none"/>
        </w:rPr>
      </w:pPr>
      <w:r>
        <w:rPr>
          <w:rFonts w:hint="eastAsia" w:ascii="宋体" w:hAnsi="宋体" w:eastAsia="宋体" w:cs="宋体"/>
          <w:iCs/>
          <w:sz w:val="24"/>
          <w:highlight w:val="none"/>
        </w:rPr>
        <w:t>六、本保函项下的权利不得转让，不得设定担保。</w:t>
      </w:r>
    </w:p>
    <w:p w14:paraId="6625866A">
      <w:pPr>
        <w:pStyle w:val="12"/>
        <w:snapToGrid w:val="0"/>
        <w:spacing w:after="0" w:line="360" w:lineRule="auto"/>
        <w:ind w:left="0" w:leftChars="0" w:firstLine="480" w:firstLineChars="200"/>
        <w:rPr>
          <w:rFonts w:hint="eastAsia" w:ascii="宋体" w:hAnsi="宋体" w:eastAsia="宋体" w:cs="宋体"/>
          <w:iCs/>
          <w:sz w:val="24"/>
          <w:highlight w:val="none"/>
          <w:u w:val="single"/>
        </w:rPr>
      </w:pPr>
      <w:r>
        <w:rPr>
          <w:rFonts w:hint="eastAsia" w:ascii="宋体" w:hAnsi="宋体" w:eastAsia="宋体" w:cs="宋体"/>
          <w:iCs/>
          <w:sz w:val="24"/>
          <w:highlight w:val="none"/>
        </w:rPr>
        <w:t>七、本保函项下的合同或基础交易不成立、不生效、无效、被撤销、被解除，本保函无效；被保证人基于保函项下的合同或基础交易或其他原因的抗辩，我方均有权主张。</w:t>
      </w:r>
    </w:p>
    <w:p w14:paraId="48A2707E">
      <w:pPr>
        <w:pStyle w:val="12"/>
        <w:snapToGrid w:val="0"/>
        <w:spacing w:after="0" w:line="360" w:lineRule="auto"/>
        <w:ind w:left="0" w:leftChars="0" w:firstLine="480" w:firstLineChars="200"/>
        <w:rPr>
          <w:rFonts w:hint="eastAsia" w:ascii="宋体" w:hAnsi="宋体" w:eastAsia="宋体" w:cs="宋体"/>
          <w:iCs/>
          <w:sz w:val="24"/>
          <w:highlight w:val="none"/>
        </w:rPr>
      </w:pPr>
      <w:r>
        <w:rPr>
          <w:rFonts w:hint="eastAsia" w:ascii="宋体" w:hAnsi="宋体" w:eastAsia="宋体" w:cs="宋体"/>
          <w:iCs/>
          <w:snapToGrid w:val="0"/>
          <w:kern w:val="0"/>
          <w:sz w:val="24"/>
          <w:highlight w:val="none"/>
        </w:rPr>
        <w:t>八、</w:t>
      </w:r>
      <w:r>
        <w:rPr>
          <w:rFonts w:hint="eastAsia" w:ascii="宋体" w:hAnsi="宋体" w:eastAsia="宋体" w:cs="宋体"/>
          <w:iCs/>
          <w:sz w:val="24"/>
          <w:highlight w:val="none"/>
        </w:rPr>
        <w:t>因本保函发生争议协商解决不成，按以下第</w:t>
      </w:r>
      <w:r>
        <w:rPr>
          <w:rFonts w:hint="eastAsia" w:ascii="宋体" w:hAnsi="宋体" w:eastAsia="宋体" w:cs="宋体"/>
          <w:iCs/>
          <w:sz w:val="24"/>
          <w:highlight w:val="none"/>
          <w:u w:val="single"/>
        </w:rPr>
        <w:t>（一）</w:t>
      </w:r>
      <w:r>
        <w:rPr>
          <w:rFonts w:hint="eastAsia" w:ascii="宋体" w:hAnsi="宋体" w:eastAsia="宋体" w:cs="宋体"/>
          <w:iCs/>
          <w:sz w:val="24"/>
          <w:highlight w:val="none"/>
        </w:rPr>
        <w:t>种方式解决：</w:t>
      </w:r>
    </w:p>
    <w:p w14:paraId="1AC25F67">
      <w:pPr>
        <w:pStyle w:val="12"/>
        <w:snapToGrid w:val="0"/>
        <w:spacing w:after="0" w:line="360" w:lineRule="auto"/>
        <w:ind w:left="0" w:leftChars="0" w:firstLine="480" w:firstLineChars="200"/>
        <w:rPr>
          <w:rFonts w:hint="eastAsia" w:ascii="宋体" w:hAnsi="宋体" w:eastAsia="宋体" w:cs="宋体"/>
          <w:iCs/>
          <w:sz w:val="24"/>
          <w:highlight w:val="none"/>
        </w:rPr>
      </w:pPr>
      <w:r>
        <w:rPr>
          <w:rFonts w:hint="eastAsia" w:ascii="宋体" w:hAnsi="宋体" w:eastAsia="宋体" w:cs="宋体"/>
          <w:iCs/>
          <w:sz w:val="24"/>
          <w:highlight w:val="none"/>
        </w:rPr>
        <w:t>（一）向</w:t>
      </w:r>
      <w:r>
        <w:rPr>
          <w:rFonts w:hint="eastAsia" w:ascii="宋体" w:hAnsi="宋体" w:eastAsia="宋体" w:cs="宋体"/>
          <w:iCs/>
          <w:sz w:val="24"/>
          <w:highlight w:val="none"/>
          <w:u w:val="single"/>
        </w:rPr>
        <w:t xml:space="preserve">      </w:t>
      </w:r>
      <w:r>
        <w:rPr>
          <w:rFonts w:hint="eastAsia" w:ascii="宋体" w:hAnsi="宋体" w:eastAsia="宋体" w:cs="宋体"/>
          <w:iCs/>
          <w:sz w:val="24"/>
          <w:highlight w:val="none"/>
        </w:rPr>
        <w:t>所在地的人民法院起诉。</w:t>
      </w:r>
    </w:p>
    <w:p w14:paraId="2DD2ACCA">
      <w:pPr>
        <w:pStyle w:val="12"/>
        <w:snapToGrid w:val="0"/>
        <w:spacing w:after="0" w:line="360" w:lineRule="auto"/>
        <w:ind w:left="0" w:leftChars="0" w:firstLine="480" w:firstLineChars="200"/>
        <w:rPr>
          <w:rFonts w:hint="eastAsia" w:ascii="宋体" w:hAnsi="宋体" w:eastAsia="宋体" w:cs="宋体"/>
          <w:iCs/>
          <w:sz w:val="24"/>
          <w:highlight w:val="none"/>
        </w:rPr>
      </w:pPr>
      <w:r>
        <w:rPr>
          <w:rFonts w:hint="eastAsia" w:ascii="宋体" w:hAnsi="宋体" w:eastAsia="宋体" w:cs="宋体"/>
          <w:iCs/>
          <w:sz w:val="24"/>
          <w:highlight w:val="none"/>
        </w:rPr>
        <w:t>（二）提交</w:t>
      </w:r>
      <w:r>
        <w:rPr>
          <w:rFonts w:hint="eastAsia" w:ascii="宋体" w:hAnsi="宋体" w:eastAsia="宋体" w:cs="宋体"/>
          <w:iCs/>
          <w:sz w:val="24"/>
          <w:highlight w:val="none"/>
          <w:u w:val="single"/>
        </w:rPr>
        <w:t xml:space="preserve">  /   </w:t>
      </w:r>
      <w:r>
        <w:rPr>
          <w:rFonts w:hint="eastAsia" w:ascii="宋体" w:hAnsi="宋体" w:eastAsia="宋体" w:cs="宋体"/>
          <w:iCs/>
          <w:sz w:val="24"/>
          <w:highlight w:val="none"/>
        </w:rPr>
        <w:t>仲裁委员会（仲裁地点为</w:t>
      </w:r>
      <w:r>
        <w:rPr>
          <w:rFonts w:hint="eastAsia" w:ascii="宋体" w:hAnsi="宋体" w:eastAsia="宋体" w:cs="宋体"/>
          <w:iCs/>
          <w:sz w:val="24"/>
          <w:highlight w:val="none"/>
          <w:u w:val="single"/>
        </w:rPr>
        <w:t xml:space="preserve">   /  </w:t>
      </w:r>
      <w:r>
        <w:rPr>
          <w:rFonts w:hint="eastAsia" w:ascii="宋体" w:hAnsi="宋体" w:eastAsia="宋体" w:cs="宋体"/>
          <w:iCs/>
          <w:sz w:val="24"/>
          <w:highlight w:val="none"/>
        </w:rPr>
        <w:t>）,按照申请仲裁时该会现行有效的仲裁规则进行仲裁。仲裁裁决是终局的，对双方均有约束力。</w:t>
      </w:r>
    </w:p>
    <w:p w14:paraId="063B87F8">
      <w:pPr>
        <w:pStyle w:val="12"/>
        <w:snapToGrid w:val="0"/>
        <w:spacing w:after="0" w:line="360" w:lineRule="auto"/>
        <w:ind w:left="0" w:leftChars="0" w:firstLine="480" w:firstLineChars="200"/>
        <w:rPr>
          <w:rFonts w:hint="eastAsia" w:ascii="宋体" w:hAnsi="宋体" w:eastAsia="宋体" w:cs="宋体"/>
          <w:iCs/>
          <w:sz w:val="24"/>
          <w:highlight w:val="none"/>
        </w:rPr>
      </w:pPr>
      <w:r>
        <w:rPr>
          <w:rFonts w:hint="eastAsia" w:ascii="宋体" w:hAnsi="宋体" w:eastAsia="宋体" w:cs="宋体"/>
          <w:iCs/>
          <w:snapToGrid w:val="0"/>
          <w:kern w:val="0"/>
          <w:sz w:val="24"/>
          <w:highlight w:val="none"/>
        </w:rPr>
        <w:t>九、</w:t>
      </w:r>
      <w:r>
        <w:rPr>
          <w:rFonts w:hint="eastAsia" w:ascii="宋体" w:hAnsi="宋体" w:eastAsia="宋体" w:cs="宋体"/>
          <w:iCs/>
          <w:sz w:val="24"/>
          <w:highlight w:val="none"/>
        </w:rPr>
        <w:t>本保函有效期届满或提前终止，本保函失效，我方在本保函项下的责任消灭，受益人应立即将本保函原件退还我方；受益人未履行上述义务，本保函仍在有效期届至或提前终止之日失效。</w:t>
      </w:r>
    </w:p>
    <w:p w14:paraId="34DBEC9E">
      <w:pPr>
        <w:pStyle w:val="12"/>
        <w:snapToGrid w:val="0"/>
        <w:spacing w:after="0" w:line="360" w:lineRule="auto"/>
        <w:ind w:left="0" w:leftChars="0" w:firstLine="480" w:firstLineChars="200"/>
        <w:rPr>
          <w:rFonts w:hint="eastAsia" w:ascii="宋体" w:hAnsi="宋体" w:eastAsia="宋体" w:cs="宋体"/>
          <w:iCs/>
          <w:sz w:val="24"/>
          <w:highlight w:val="none"/>
        </w:rPr>
      </w:pPr>
      <w:r>
        <w:rPr>
          <w:rFonts w:hint="eastAsia" w:ascii="宋体" w:hAnsi="宋体" w:eastAsia="宋体" w:cs="宋体"/>
          <w:iCs/>
          <w:sz w:val="24"/>
          <w:highlight w:val="none"/>
        </w:rPr>
        <w:t>十、本保函适用中华人民共和国法律。</w:t>
      </w:r>
    </w:p>
    <w:p w14:paraId="741133B9">
      <w:pPr>
        <w:pStyle w:val="12"/>
        <w:snapToGrid w:val="0"/>
        <w:spacing w:after="0" w:line="360" w:lineRule="auto"/>
        <w:ind w:left="0" w:leftChars="0" w:firstLine="480" w:firstLineChars="200"/>
        <w:rPr>
          <w:rFonts w:hint="eastAsia" w:ascii="宋体" w:hAnsi="宋体" w:eastAsia="宋体" w:cs="宋体"/>
          <w:iCs/>
          <w:sz w:val="24"/>
          <w:highlight w:val="none"/>
        </w:rPr>
      </w:pPr>
      <w:r>
        <w:rPr>
          <w:rFonts w:hint="eastAsia" w:ascii="宋体" w:hAnsi="宋体" w:eastAsia="宋体" w:cs="宋体"/>
          <w:iCs/>
          <w:sz w:val="24"/>
          <w:highlight w:val="none"/>
        </w:rPr>
        <w:t>十一、其他条款：</w:t>
      </w:r>
    </w:p>
    <w:p w14:paraId="52FA479A">
      <w:pPr>
        <w:pStyle w:val="12"/>
        <w:snapToGrid w:val="0"/>
        <w:spacing w:after="0" w:line="360" w:lineRule="auto"/>
        <w:ind w:left="0" w:leftChars="0" w:firstLine="480" w:firstLineChars="200"/>
        <w:rPr>
          <w:rFonts w:hint="eastAsia" w:ascii="宋体" w:hAnsi="宋体" w:eastAsia="宋体" w:cs="宋体"/>
          <w:iCs/>
          <w:sz w:val="24"/>
          <w:highlight w:val="none"/>
        </w:rPr>
      </w:pPr>
      <w:r>
        <w:rPr>
          <w:rFonts w:hint="eastAsia" w:ascii="宋体" w:hAnsi="宋体" w:eastAsia="宋体" w:cs="宋体"/>
          <w:iCs/>
          <w:sz w:val="24"/>
          <w:highlight w:val="none"/>
          <w:u w:val="single"/>
        </w:rPr>
        <w:t xml:space="preserve">                 /              </w:t>
      </w:r>
      <w:r>
        <w:rPr>
          <w:rFonts w:hint="eastAsia" w:ascii="宋体" w:hAnsi="宋体" w:eastAsia="宋体" w:cs="宋体"/>
          <w:iCs/>
          <w:sz w:val="24"/>
          <w:highlight w:val="none"/>
        </w:rPr>
        <w:t>。</w:t>
      </w:r>
    </w:p>
    <w:p w14:paraId="6699C179">
      <w:pPr>
        <w:pStyle w:val="12"/>
        <w:snapToGrid w:val="0"/>
        <w:spacing w:after="0" w:line="360" w:lineRule="auto"/>
        <w:ind w:left="0" w:leftChars="0" w:firstLine="480" w:firstLineChars="200"/>
        <w:rPr>
          <w:rFonts w:hint="eastAsia" w:ascii="宋体" w:hAnsi="宋体" w:eastAsia="宋体" w:cs="宋体"/>
          <w:iCs/>
          <w:sz w:val="24"/>
          <w:highlight w:val="none"/>
        </w:rPr>
      </w:pPr>
      <w:r>
        <w:rPr>
          <w:rFonts w:hint="eastAsia" w:ascii="宋体" w:hAnsi="宋体" w:eastAsia="宋体" w:cs="宋体"/>
          <w:iCs/>
          <w:sz w:val="24"/>
          <w:highlight w:val="none"/>
        </w:rPr>
        <w:t>十二、本保函自我方负责人或授权代理人签字并加盖公章之日起生效。</w:t>
      </w:r>
    </w:p>
    <w:p w14:paraId="33A039B1">
      <w:pPr>
        <w:pStyle w:val="12"/>
        <w:snapToGrid w:val="0"/>
        <w:spacing w:after="0" w:line="360" w:lineRule="auto"/>
        <w:ind w:left="0" w:leftChars="0" w:firstLine="200"/>
        <w:rPr>
          <w:rFonts w:hint="eastAsia" w:ascii="宋体" w:hAnsi="宋体" w:eastAsia="宋体" w:cs="宋体"/>
          <w:iCs/>
          <w:sz w:val="24"/>
          <w:highlight w:val="none"/>
        </w:rPr>
      </w:pPr>
    </w:p>
    <w:p w14:paraId="24D20302">
      <w:pPr>
        <w:snapToGrid w:val="0"/>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 xml:space="preserve">          保证人（公章）： </w:t>
      </w:r>
      <w:r>
        <w:rPr>
          <w:rFonts w:hint="eastAsia" w:ascii="宋体" w:hAnsi="宋体" w:eastAsia="宋体" w:cs="宋体"/>
          <w:iCs/>
          <w:sz w:val="24"/>
          <w:highlight w:val="none"/>
          <w:u w:val="single"/>
        </w:rPr>
        <w:t xml:space="preserve">                        </w:t>
      </w:r>
    </w:p>
    <w:p w14:paraId="27CA370C">
      <w:pPr>
        <w:snapToGrid w:val="0"/>
        <w:spacing w:line="360" w:lineRule="auto"/>
        <w:ind w:firstLine="2640" w:firstLineChars="1100"/>
        <w:rPr>
          <w:rFonts w:hint="eastAsia" w:ascii="宋体" w:hAnsi="宋体" w:eastAsia="宋体" w:cs="宋体"/>
          <w:sz w:val="24"/>
          <w:highlight w:val="none"/>
        </w:rPr>
      </w:pPr>
      <w:r>
        <w:rPr>
          <w:rFonts w:hint="eastAsia" w:ascii="宋体" w:hAnsi="宋体" w:eastAsia="宋体" w:cs="宋体"/>
          <w:sz w:val="24"/>
          <w:highlight w:val="none"/>
        </w:rPr>
        <w:t>负责人或授权代理人（签字）：</w:t>
      </w:r>
      <w:r>
        <w:rPr>
          <w:rFonts w:hint="eastAsia" w:ascii="宋体" w:hAnsi="宋体" w:eastAsia="宋体" w:cs="宋体"/>
          <w:iCs/>
          <w:sz w:val="24"/>
          <w:highlight w:val="none"/>
          <w:u w:val="single"/>
        </w:rPr>
        <w:t xml:space="preserve">              </w:t>
      </w:r>
    </w:p>
    <w:p w14:paraId="13AEA09A">
      <w:pPr>
        <w:snapToGrid w:val="0"/>
        <w:spacing w:line="360" w:lineRule="auto"/>
        <w:ind w:firstLine="2640" w:firstLineChars="1100"/>
        <w:rPr>
          <w:rFonts w:hint="eastAsia" w:ascii="宋体" w:hAnsi="宋体" w:eastAsia="宋体" w:cs="宋体"/>
          <w:sz w:val="24"/>
          <w:highlight w:val="none"/>
        </w:rPr>
      </w:pPr>
      <w:r>
        <w:rPr>
          <w:rFonts w:hint="eastAsia" w:ascii="宋体" w:hAnsi="宋体" w:eastAsia="宋体" w:cs="宋体"/>
          <w:sz w:val="24"/>
          <w:highlight w:val="none"/>
        </w:rPr>
        <w:t xml:space="preserve">邮编： </w:t>
      </w:r>
    </w:p>
    <w:p w14:paraId="2D53F43C">
      <w:pPr>
        <w:snapToGrid w:val="0"/>
        <w:spacing w:line="360" w:lineRule="auto"/>
        <w:ind w:firstLine="2640" w:firstLineChars="1100"/>
        <w:rPr>
          <w:rFonts w:hint="eastAsia" w:ascii="宋体" w:hAnsi="宋体" w:eastAsia="宋体" w:cs="宋体"/>
          <w:sz w:val="24"/>
          <w:highlight w:val="none"/>
        </w:rPr>
      </w:pPr>
      <w:r>
        <w:rPr>
          <w:rFonts w:hint="eastAsia" w:ascii="宋体" w:hAnsi="宋体" w:eastAsia="宋体" w:cs="宋体"/>
          <w:sz w:val="24"/>
          <w:highlight w:val="none"/>
        </w:rPr>
        <w:t xml:space="preserve">电话： </w:t>
      </w:r>
    </w:p>
    <w:p w14:paraId="08CD75CC">
      <w:pPr>
        <w:snapToGrid w:val="0"/>
        <w:spacing w:line="360" w:lineRule="auto"/>
        <w:ind w:firstLine="2640" w:firstLineChars="1100"/>
        <w:rPr>
          <w:rFonts w:hint="eastAsia" w:ascii="宋体" w:hAnsi="宋体" w:eastAsia="宋体" w:cs="宋体"/>
          <w:sz w:val="24"/>
          <w:highlight w:val="none"/>
        </w:rPr>
      </w:pPr>
      <w:r>
        <w:rPr>
          <w:rFonts w:hint="eastAsia" w:ascii="宋体" w:hAnsi="宋体" w:eastAsia="宋体" w:cs="宋体"/>
          <w:sz w:val="24"/>
          <w:highlight w:val="none"/>
        </w:rPr>
        <w:t xml:space="preserve">传真： </w:t>
      </w:r>
    </w:p>
    <w:p w14:paraId="4D2CB7F9">
      <w:pPr>
        <w:snapToGrid w:val="0"/>
        <w:spacing w:line="360" w:lineRule="auto"/>
        <w:ind w:firstLine="2640" w:firstLineChars="1100"/>
        <w:rPr>
          <w:rFonts w:hint="eastAsia" w:ascii="宋体" w:hAnsi="宋体" w:eastAsia="宋体" w:cs="宋体"/>
          <w:b/>
          <w:sz w:val="28"/>
          <w:szCs w:val="28"/>
          <w:highlight w:val="none"/>
          <w:lang w:val="zh-CN" w:bidi="he-IL"/>
        </w:rPr>
      </w:pPr>
      <w:r>
        <w:rPr>
          <w:rFonts w:hint="eastAsia" w:ascii="宋体" w:hAnsi="宋体" w:eastAsia="宋体" w:cs="宋体"/>
          <w:sz w:val="24"/>
          <w:highlight w:val="none"/>
        </w:rPr>
        <w:t xml:space="preserve">签发日期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79AB362">
      <w:pPr>
        <w:spacing w:line="360" w:lineRule="auto"/>
        <w:rPr>
          <w:rFonts w:hint="eastAsia" w:asciiTheme="minorEastAsia" w:hAnsiTheme="minorEastAsia" w:eastAsiaTheme="minorEastAsia"/>
          <w:sz w:val="24"/>
          <w:highlight w:val="none"/>
        </w:rPr>
      </w:pPr>
    </w:p>
    <w:bookmarkEnd w:id="44"/>
    <w:p w14:paraId="14E08DF9">
      <w:pPr>
        <w:widowControl/>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bookmarkEnd w:id="43"/>
    <w:p w14:paraId="05B334FF">
      <w:pPr>
        <w:spacing w:line="360" w:lineRule="auto"/>
        <w:jc w:val="center"/>
        <w:outlineLvl w:val="0"/>
        <w:rPr>
          <w:rFonts w:hint="eastAsia" w:asciiTheme="minorEastAsia" w:hAnsiTheme="minorEastAsia" w:eastAsiaTheme="minorEastAsia"/>
          <w:b/>
          <w:sz w:val="28"/>
          <w:highlight w:val="none"/>
        </w:rPr>
      </w:pPr>
      <w:bookmarkStart w:id="53" w:name="_Toc13555"/>
      <w:r>
        <w:rPr>
          <w:rFonts w:hint="eastAsia" w:asciiTheme="minorEastAsia" w:hAnsiTheme="minorEastAsia" w:eastAsiaTheme="minorEastAsia"/>
          <w:b/>
          <w:sz w:val="28"/>
          <w:highlight w:val="none"/>
        </w:rPr>
        <w:t>第六章  投标文件格式</w:t>
      </w:r>
      <w:bookmarkEnd w:id="53"/>
    </w:p>
    <w:p w14:paraId="4704BC34">
      <w:pPr>
        <w:spacing w:line="900" w:lineRule="exact"/>
        <w:jc w:val="center"/>
        <w:rPr>
          <w:rFonts w:hint="eastAsia" w:asciiTheme="minorEastAsia" w:hAnsiTheme="minorEastAsia" w:eastAsiaTheme="minorEastAsia"/>
          <w:b/>
          <w:sz w:val="72"/>
          <w:highlight w:val="none"/>
        </w:rPr>
      </w:pPr>
    </w:p>
    <w:p w14:paraId="1BB4FF1E">
      <w:pPr>
        <w:spacing w:line="900" w:lineRule="exact"/>
        <w:jc w:val="center"/>
        <w:outlineLvl w:val="1"/>
        <w:rPr>
          <w:rFonts w:hint="eastAsia" w:asciiTheme="minorEastAsia" w:hAnsiTheme="minorEastAsia" w:eastAsiaTheme="minorEastAsia"/>
          <w:b/>
          <w:sz w:val="72"/>
          <w:highlight w:val="none"/>
        </w:rPr>
      </w:pPr>
      <w:bookmarkStart w:id="54" w:name="_Toc5119"/>
      <w:r>
        <w:rPr>
          <w:rFonts w:hint="eastAsia" w:asciiTheme="minorEastAsia" w:hAnsiTheme="minorEastAsia" w:eastAsiaTheme="minorEastAsia"/>
          <w:b/>
          <w:sz w:val="72"/>
          <w:highlight w:val="none"/>
        </w:rPr>
        <w:t>投</w:t>
      </w:r>
      <w:bookmarkEnd w:id="54"/>
    </w:p>
    <w:p w14:paraId="09ABEEC7">
      <w:pPr>
        <w:spacing w:line="900" w:lineRule="exact"/>
        <w:jc w:val="center"/>
        <w:rPr>
          <w:rFonts w:hint="eastAsia" w:asciiTheme="minorEastAsia" w:hAnsiTheme="minorEastAsia" w:eastAsiaTheme="minorEastAsia"/>
          <w:b/>
          <w:sz w:val="72"/>
          <w:highlight w:val="none"/>
        </w:rPr>
      </w:pPr>
    </w:p>
    <w:p w14:paraId="23F409B5">
      <w:pPr>
        <w:spacing w:line="900" w:lineRule="exact"/>
        <w:jc w:val="center"/>
        <w:outlineLvl w:val="1"/>
        <w:rPr>
          <w:rFonts w:hint="eastAsia" w:asciiTheme="minorEastAsia" w:hAnsiTheme="minorEastAsia" w:eastAsiaTheme="minorEastAsia"/>
          <w:b/>
          <w:sz w:val="72"/>
          <w:highlight w:val="none"/>
        </w:rPr>
      </w:pPr>
      <w:bookmarkStart w:id="55" w:name="_Toc4782"/>
      <w:r>
        <w:rPr>
          <w:rFonts w:hint="eastAsia" w:asciiTheme="minorEastAsia" w:hAnsiTheme="minorEastAsia" w:eastAsiaTheme="minorEastAsia"/>
          <w:b/>
          <w:sz w:val="72"/>
          <w:highlight w:val="none"/>
        </w:rPr>
        <w:t>标</w:t>
      </w:r>
      <w:bookmarkEnd w:id="55"/>
    </w:p>
    <w:p w14:paraId="64252E2F">
      <w:pPr>
        <w:spacing w:line="900" w:lineRule="exact"/>
        <w:jc w:val="center"/>
        <w:rPr>
          <w:rFonts w:hint="eastAsia" w:asciiTheme="minorEastAsia" w:hAnsiTheme="minorEastAsia" w:eastAsiaTheme="minorEastAsia"/>
          <w:b/>
          <w:sz w:val="72"/>
          <w:highlight w:val="none"/>
        </w:rPr>
      </w:pPr>
    </w:p>
    <w:p w14:paraId="01699B38">
      <w:pPr>
        <w:spacing w:line="900" w:lineRule="exact"/>
        <w:jc w:val="center"/>
        <w:outlineLvl w:val="1"/>
        <w:rPr>
          <w:rFonts w:hint="eastAsia" w:asciiTheme="minorEastAsia" w:hAnsiTheme="minorEastAsia" w:eastAsiaTheme="minorEastAsia"/>
          <w:b/>
          <w:sz w:val="72"/>
          <w:highlight w:val="none"/>
        </w:rPr>
      </w:pPr>
      <w:bookmarkStart w:id="56" w:name="_Toc19607"/>
      <w:r>
        <w:rPr>
          <w:rFonts w:hint="eastAsia" w:asciiTheme="minorEastAsia" w:hAnsiTheme="minorEastAsia" w:eastAsiaTheme="minorEastAsia"/>
          <w:b/>
          <w:sz w:val="72"/>
          <w:highlight w:val="none"/>
        </w:rPr>
        <w:t>文</w:t>
      </w:r>
      <w:bookmarkEnd w:id="56"/>
    </w:p>
    <w:p w14:paraId="4B745429">
      <w:pPr>
        <w:spacing w:line="900" w:lineRule="exact"/>
        <w:jc w:val="center"/>
        <w:rPr>
          <w:rFonts w:hint="eastAsia" w:asciiTheme="minorEastAsia" w:hAnsiTheme="minorEastAsia" w:eastAsiaTheme="minorEastAsia"/>
          <w:b/>
          <w:sz w:val="72"/>
          <w:highlight w:val="none"/>
        </w:rPr>
      </w:pPr>
    </w:p>
    <w:p w14:paraId="48CD982A">
      <w:pPr>
        <w:jc w:val="center"/>
        <w:outlineLvl w:val="1"/>
        <w:rPr>
          <w:rFonts w:hint="eastAsia" w:asciiTheme="minorEastAsia" w:hAnsiTheme="minorEastAsia" w:eastAsiaTheme="minorEastAsia"/>
          <w:b/>
          <w:sz w:val="72"/>
          <w:highlight w:val="none"/>
        </w:rPr>
      </w:pPr>
      <w:bookmarkStart w:id="57" w:name="_Toc8365"/>
      <w:r>
        <w:rPr>
          <w:rFonts w:hint="eastAsia" w:asciiTheme="minorEastAsia" w:hAnsiTheme="minorEastAsia" w:eastAsiaTheme="minorEastAsia"/>
          <w:b/>
          <w:sz w:val="72"/>
          <w:highlight w:val="none"/>
        </w:rPr>
        <w:t>件</w:t>
      </w:r>
      <w:bookmarkEnd w:id="57"/>
    </w:p>
    <w:p w14:paraId="12535E73">
      <w:pPr>
        <w:spacing w:after="120" w:afterLines="50"/>
        <w:jc w:val="center"/>
        <w:rPr>
          <w:rFonts w:hint="eastAsia" w:asciiTheme="minorEastAsia" w:hAnsiTheme="minorEastAsia" w:eastAsiaTheme="minorEastAsia"/>
          <w:b/>
          <w:sz w:val="72"/>
          <w:highlight w:val="none"/>
        </w:rPr>
      </w:pPr>
    </w:p>
    <w:p w14:paraId="235B176E">
      <w:pPr>
        <w:spacing w:after="120" w:afterLines="50" w:line="500" w:lineRule="exact"/>
        <w:jc w:val="center"/>
        <w:rPr>
          <w:rFonts w:hint="eastAsia" w:asciiTheme="minorEastAsia" w:hAnsiTheme="minorEastAsia" w:eastAsiaTheme="minorEastAsia"/>
          <w:b/>
          <w:sz w:val="28"/>
          <w:szCs w:val="28"/>
          <w:highlight w:val="none"/>
        </w:rPr>
      </w:pPr>
    </w:p>
    <w:p w14:paraId="789E8C88">
      <w:pPr>
        <w:tabs>
          <w:tab w:val="left" w:pos="2410"/>
        </w:tabs>
        <w:autoSpaceDE w:val="0"/>
        <w:autoSpaceDN w:val="0"/>
        <w:adjustRightInd w:val="0"/>
        <w:snapToGrid w:val="0"/>
        <w:spacing w:line="360" w:lineRule="auto"/>
        <w:ind w:firstLine="1928" w:firstLineChars="600"/>
        <w:rPr>
          <w:rFonts w:hint="eastAsia" w:ascii="宋体" w:hAnsi="宋体" w:eastAsia="宋体"/>
          <w:b/>
          <w:spacing w:val="20"/>
          <w:kern w:val="0"/>
          <w:sz w:val="32"/>
          <w:szCs w:val="32"/>
          <w:highlight w:val="none"/>
        </w:rPr>
      </w:pPr>
      <w:r>
        <w:rPr>
          <w:rFonts w:hint="eastAsia" w:asciiTheme="minorEastAsia" w:hAnsiTheme="minorEastAsia" w:eastAsiaTheme="minorEastAsia"/>
          <w:b/>
          <w:sz w:val="32"/>
          <w:highlight w:val="none"/>
        </w:rPr>
        <w:t>项目名称：</w:t>
      </w:r>
      <w:r>
        <w:rPr>
          <w:rFonts w:hint="eastAsia" w:asciiTheme="minorEastAsia" w:hAnsiTheme="minorEastAsia" w:eastAsiaTheme="minorEastAsia"/>
          <w:b/>
          <w:sz w:val="32"/>
          <w:highlight w:val="none"/>
          <w:u w:val="single"/>
        </w:rPr>
        <w:t xml:space="preserve">                  </w:t>
      </w:r>
    </w:p>
    <w:p w14:paraId="758238BC">
      <w:pPr>
        <w:tabs>
          <w:tab w:val="left" w:pos="2410"/>
        </w:tabs>
        <w:autoSpaceDE w:val="0"/>
        <w:autoSpaceDN w:val="0"/>
        <w:adjustRightInd w:val="0"/>
        <w:snapToGrid w:val="0"/>
        <w:spacing w:line="360" w:lineRule="auto"/>
        <w:ind w:firstLine="1928" w:firstLineChars="600"/>
        <w:rPr>
          <w:rFonts w:hint="eastAsia"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项目编号：</w:t>
      </w:r>
      <w:r>
        <w:rPr>
          <w:rFonts w:hint="eastAsia" w:asciiTheme="minorEastAsia" w:hAnsiTheme="minorEastAsia" w:eastAsiaTheme="minorEastAsia"/>
          <w:b/>
          <w:sz w:val="32"/>
          <w:highlight w:val="none"/>
          <w:u w:val="single"/>
        </w:rPr>
        <w:t xml:space="preserve">                  </w:t>
      </w:r>
    </w:p>
    <w:p w14:paraId="1FC783E7">
      <w:pPr>
        <w:tabs>
          <w:tab w:val="left" w:pos="2410"/>
        </w:tabs>
        <w:autoSpaceDE w:val="0"/>
        <w:autoSpaceDN w:val="0"/>
        <w:adjustRightInd w:val="0"/>
        <w:snapToGrid w:val="0"/>
        <w:spacing w:line="360" w:lineRule="auto"/>
        <w:ind w:firstLine="1928" w:firstLineChars="600"/>
        <w:rPr>
          <w:rFonts w:hint="eastAsia"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投 标 人：</w:t>
      </w:r>
      <w:r>
        <w:rPr>
          <w:rFonts w:hint="eastAsia" w:asciiTheme="minorEastAsia" w:hAnsiTheme="minorEastAsia" w:eastAsiaTheme="minorEastAsia"/>
          <w:b/>
          <w:sz w:val="32"/>
          <w:highlight w:val="none"/>
          <w:u w:val="single"/>
        </w:rPr>
        <w:t xml:space="preserve">                  </w:t>
      </w:r>
    </w:p>
    <w:p w14:paraId="441BF548">
      <w:pPr>
        <w:spacing w:after="120" w:afterLines="50" w:line="500" w:lineRule="exact"/>
        <w:jc w:val="center"/>
        <w:outlineLvl w:val="1"/>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u w:val="single"/>
        </w:rPr>
        <w:t xml:space="preserve">  </w:t>
      </w:r>
      <w:bookmarkStart w:id="58" w:name="_Toc8037"/>
      <w:bookmarkStart w:id="59" w:name="_Toc19687"/>
      <w:r>
        <w:rPr>
          <w:rFonts w:hint="eastAsia" w:asciiTheme="minorEastAsia" w:hAnsiTheme="minorEastAsia" w:eastAsiaTheme="minorEastAsia"/>
          <w:b/>
          <w:sz w:val="32"/>
          <w:highlight w:val="none"/>
        </w:rPr>
        <w:t>年</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月</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日</w:t>
      </w:r>
      <w:bookmarkEnd w:id="58"/>
      <w:bookmarkEnd w:id="59"/>
    </w:p>
    <w:p w14:paraId="7F9DA61E">
      <w:pPr>
        <w:widowControl/>
        <w:jc w:val="left"/>
        <w:rPr>
          <w:rFonts w:hint="eastAsia"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14:paraId="5DFABA5E">
      <w:pPr>
        <w:spacing w:line="360" w:lineRule="auto"/>
        <w:jc w:val="center"/>
        <w:outlineLvl w:val="1"/>
        <w:rPr>
          <w:rFonts w:hint="eastAsia" w:asciiTheme="minorEastAsia" w:hAnsiTheme="minorEastAsia" w:eastAsiaTheme="minorEastAsia"/>
          <w:b/>
          <w:sz w:val="24"/>
          <w:highlight w:val="none"/>
        </w:rPr>
      </w:pPr>
      <w:bookmarkStart w:id="60" w:name="_Toc17986"/>
      <w:bookmarkStart w:id="61" w:name="_Toc28960"/>
      <w:r>
        <w:rPr>
          <w:rFonts w:hint="eastAsia" w:asciiTheme="minorEastAsia" w:hAnsiTheme="minorEastAsia" w:eastAsiaTheme="minorEastAsia"/>
          <w:b/>
          <w:sz w:val="24"/>
          <w:highlight w:val="none"/>
        </w:rPr>
        <w:t>一、开标一览表</w:t>
      </w:r>
      <w:bookmarkEnd w:id="60"/>
      <w:bookmarkEnd w:id="61"/>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6818"/>
      </w:tblGrid>
      <w:tr w14:paraId="167D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76CC9085">
            <w:pPr>
              <w:widowControl/>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项目名称</w:t>
            </w:r>
          </w:p>
        </w:tc>
        <w:tc>
          <w:tcPr>
            <w:tcW w:w="3648" w:type="pct"/>
            <w:tcBorders>
              <w:top w:val="single" w:color="auto" w:sz="4" w:space="0"/>
              <w:bottom w:val="single" w:color="auto" w:sz="4" w:space="0"/>
              <w:right w:val="single" w:color="auto" w:sz="4" w:space="0"/>
            </w:tcBorders>
            <w:vAlign w:val="center"/>
          </w:tcPr>
          <w:p w14:paraId="20D13F7F">
            <w:pPr>
              <w:spacing w:line="360" w:lineRule="exact"/>
              <w:jc w:val="center"/>
              <w:rPr>
                <w:rFonts w:hint="eastAsia" w:asciiTheme="minorEastAsia" w:hAnsiTheme="minorEastAsia" w:eastAsiaTheme="minorEastAsia"/>
                <w:bCs/>
                <w:sz w:val="24"/>
                <w:highlight w:val="none"/>
                <w:u w:val="single"/>
              </w:rPr>
            </w:pPr>
          </w:p>
        </w:tc>
      </w:tr>
      <w:tr w14:paraId="7C9A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D1534E0">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投标人全称</w:t>
            </w:r>
          </w:p>
        </w:tc>
        <w:tc>
          <w:tcPr>
            <w:tcW w:w="3648" w:type="pct"/>
            <w:tcBorders>
              <w:top w:val="nil"/>
            </w:tcBorders>
            <w:vAlign w:val="center"/>
          </w:tcPr>
          <w:p w14:paraId="619A6ED5">
            <w:pPr>
              <w:spacing w:line="360" w:lineRule="auto"/>
              <w:rPr>
                <w:rFonts w:hint="eastAsia" w:asciiTheme="minorEastAsia" w:hAnsiTheme="minorEastAsia" w:eastAsiaTheme="minorEastAsia"/>
                <w:sz w:val="24"/>
                <w:highlight w:val="none"/>
              </w:rPr>
            </w:pPr>
          </w:p>
        </w:tc>
      </w:tr>
      <w:tr w14:paraId="7FFD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996C7C9">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投标范围</w:t>
            </w:r>
          </w:p>
        </w:tc>
        <w:tc>
          <w:tcPr>
            <w:tcW w:w="3648" w:type="pct"/>
            <w:tcBorders>
              <w:top w:val="nil"/>
            </w:tcBorders>
            <w:vAlign w:val="center"/>
          </w:tcPr>
          <w:p w14:paraId="087B5F23">
            <w:pPr>
              <w:widowControl/>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szCs w:val="28"/>
                <w:highlight w:val="none"/>
              </w:rPr>
              <w:t>全部</w:t>
            </w:r>
          </w:p>
        </w:tc>
      </w:tr>
      <w:tr w14:paraId="1884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8F8D0CF">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投标报价</w:t>
            </w:r>
          </w:p>
        </w:tc>
        <w:tc>
          <w:tcPr>
            <w:tcW w:w="3648" w:type="pct"/>
            <w:tcBorders>
              <w:top w:val="nil"/>
            </w:tcBorders>
            <w:vAlign w:val="center"/>
          </w:tcPr>
          <w:p w14:paraId="3C6F78C8">
            <w:pPr>
              <w:snapToGrid w:val="0"/>
              <w:spacing w:line="360" w:lineRule="auto"/>
              <w:jc w:val="lef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1B79537F">
            <w:pPr>
              <w:spacing w:line="360" w:lineRule="auto"/>
              <w:ind w:right="-670"/>
              <w:rPr>
                <w:rFonts w:hint="eastAsia" w:asciiTheme="minorEastAsia" w:hAnsiTheme="minorEastAsia" w:eastAsiaTheme="minorEastAsia"/>
                <w:sz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6CCB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3D18F128">
            <w:pPr>
              <w:spacing w:line="360" w:lineRule="auto"/>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其他</w:t>
            </w:r>
          </w:p>
        </w:tc>
        <w:tc>
          <w:tcPr>
            <w:tcW w:w="3648" w:type="pct"/>
            <w:tcBorders>
              <w:top w:val="nil"/>
            </w:tcBorders>
            <w:vAlign w:val="center"/>
          </w:tcPr>
          <w:p w14:paraId="00E859D6">
            <w:pPr>
              <w:spacing w:line="360" w:lineRule="auto"/>
              <w:jc w:val="left"/>
              <w:rPr>
                <w:rFonts w:hint="eastAsia" w:asciiTheme="minorEastAsia" w:hAnsiTheme="minorEastAsia" w:eastAsiaTheme="minorEastAsia"/>
                <w:sz w:val="24"/>
                <w:szCs w:val="28"/>
                <w:highlight w:val="none"/>
              </w:rPr>
            </w:pPr>
          </w:p>
        </w:tc>
      </w:tr>
    </w:tbl>
    <w:p w14:paraId="45A8944D">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6F4E3AD7">
      <w:pPr>
        <w:tabs>
          <w:tab w:val="left" w:pos="630"/>
        </w:tabs>
        <w:spacing w:line="360" w:lineRule="auto"/>
        <w:ind w:firstLine="4800" w:firstLineChars="2000"/>
        <w:rPr>
          <w:rFonts w:hint="eastAsia" w:asciiTheme="minorEastAsia" w:hAnsiTheme="minorEastAsia" w:eastAsiaTheme="minorEastAsia"/>
          <w:sz w:val="24"/>
          <w:highlight w:val="non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27344763">
      <w:pPr>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注：</w:t>
      </w:r>
    </w:p>
    <w:p w14:paraId="1BA36F6B">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此表用于开标唱标之用。</w:t>
      </w:r>
    </w:p>
    <w:p w14:paraId="67F6162A">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表中投标报价即为优惠后报价，并作为评审及定标依据。任何有选择或有条件的投标报价，或者表中某一包别填写多个报价，均为无效报价。</w:t>
      </w:r>
    </w:p>
    <w:p w14:paraId="66BD2F3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3.表中大写金额与小写金额不一致的，以大写金额为准。</w:t>
      </w:r>
      <w:r>
        <w:rPr>
          <w:rFonts w:asciiTheme="minorEastAsia" w:hAnsiTheme="minorEastAsia" w:eastAsiaTheme="minorEastAsia"/>
          <w:sz w:val="24"/>
          <w:highlight w:val="none"/>
        </w:rPr>
        <w:br w:type="page"/>
      </w:r>
    </w:p>
    <w:p w14:paraId="02C9F2CF">
      <w:pPr>
        <w:spacing w:line="360" w:lineRule="auto"/>
        <w:jc w:val="center"/>
        <w:outlineLvl w:val="1"/>
        <w:rPr>
          <w:rFonts w:hint="eastAsia" w:asciiTheme="minorEastAsia" w:hAnsiTheme="minorEastAsia" w:eastAsiaTheme="minorEastAsia"/>
          <w:b/>
          <w:sz w:val="24"/>
          <w:highlight w:val="none"/>
        </w:rPr>
      </w:pPr>
      <w:bookmarkStart w:id="62" w:name="_Toc6441"/>
      <w:bookmarkStart w:id="63" w:name="_Toc6120"/>
      <w:r>
        <w:rPr>
          <w:rFonts w:hint="eastAsia" w:asciiTheme="minorEastAsia" w:hAnsiTheme="minorEastAsia" w:eastAsiaTheme="minorEastAsia"/>
          <w:b/>
          <w:sz w:val="24"/>
          <w:highlight w:val="none"/>
        </w:rPr>
        <w:t>二、投标函</w:t>
      </w:r>
      <w:bookmarkEnd w:id="62"/>
      <w:bookmarkEnd w:id="63"/>
    </w:p>
    <w:p w14:paraId="187492CB">
      <w:pPr>
        <w:pStyle w:val="15"/>
        <w:spacing w:line="360" w:lineRule="auto"/>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采购人</w:t>
      </w:r>
    </w:p>
    <w:p w14:paraId="4B3033F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根据贵方的招标公告和投标邀请，我方兹宣布同意如下：</w:t>
      </w:r>
    </w:p>
    <w:p w14:paraId="134565E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宋体" w:hAnsi="宋体" w:eastAsia="宋体" w:cs="宋体"/>
          <w:sz w:val="24"/>
          <w:szCs w:val="24"/>
          <w:highlight w:val="none"/>
        </w:rPr>
        <w:t>我方根据招标文件的规定，严格履行合同的责任和义务,并保证于买方要求的日期内完成，并通过买方验收。</w:t>
      </w:r>
    </w:p>
    <w:p w14:paraId="68629E4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2.我方已详细审核全部招标文件，包括招标文件附件及更正公告（如有），我方正式认可并遵守本次招标文件，并对招标文件各项条款、规定及要求均无异议。</w:t>
      </w:r>
    </w:p>
    <w:p w14:paraId="2A5F5B2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3.我方同意从招标文件规定的开标日期起遵循本招标文件，并在招标文件规定的投标有效期之前均具有约束力。</w:t>
      </w:r>
    </w:p>
    <w:p w14:paraId="2738614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38F7A0AD">
      <w:pPr>
        <w:spacing w:line="360" w:lineRule="auto"/>
        <w:ind w:firstLine="4800" w:firstLineChars="2000"/>
        <w:rPr>
          <w:rFonts w:hint="eastAsia" w:ascii="宋体" w:hAnsi="宋体" w:eastAsia="宋体"/>
          <w:sz w:val="24"/>
          <w:highlight w:val="none"/>
        </w:rPr>
      </w:pPr>
    </w:p>
    <w:p w14:paraId="0EDBF12E">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p>
    <w:p w14:paraId="26C02D81">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359E85C1">
      <w:pPr>
        <w:widowControl/>
        <w:jc w:val="left"/>
        <w:rPr>
          <w:rFonts w:hint="eastAsia" w:ascii="宋体" w:hAnsi="宋体" w:eastAsia="宋体"/>
          <w:sz w:val="24"/>
          <w:highlight w:val="none"/>
          <w:u w:val="single"/>
        </w:rPr>
      </w:pPr>
      <w:r>
        <w:rPr>
          <w:rFonts w:ascii="宋体" w:hAnsi="宋体" w:eastAsia="宋体"/>
          <w:sz w:val="24"/>
          <w:highlight w:val="none"/>
          <w:u w:val="single"/>
        </w:rPr>
        <w:br w:type="page"/>
      </w:r>
    </w:p>
    <w:p w14:paraId="1D7E196D">
      <w:pPr>
        <w:spacing w:line="360" w:lineRule="auto"/>
        <w:jc w:val="center"/>
        <w:outlineLvl w:val="1"/>
        <w:rPr>
          <w:rFonts w:hint="eastAsia" w:asciiTheme="minorEastAsia" w:hAnsiTheme="minorEastAsia" w:eastAsiaTheme="minorEastAsia"/>
          <w:b/>
          <w:sz w:val="24"/>
          <w:highlight w:val="none"/>
        </w:rPr>
      </w:pPr>
      <w:bookmarkStart w:id="64" w:name="_Toc18881"/>
      <w:r>
        <w:rPr>
          <w:rFonts w:hint="eastAsia" w:asciiTheme="minorEastAsia" w:hAnsiTheme="minorEastAsia" w:eastAsiaTheme="minorEastAsia"/>
          <w:b/>
          <w:sz w:val="24"/>
          <w:highlight w:val="none"/>
        </w:rPr>
        <w:t>三．投标人资格声明书</w:t>
      </w:r>
      <w:bookmarkEnd w:id="64"/>
      <w:r>
        <w:rPr>
          <w:rFonts w:hint="eastAsia" w:asciiTheme="minorEastAsia" w:hAnsiTheme="minorEastAsia" w:eastAsiaTheme="minorEastAsia"/>
          <w:b/>
          <w:sz w:val="24"/>
          <w:highlight w:val="none"/>
        </w:rPr>
        <w:t xml:space="preserve"> </w:t>
      </w:r>
    </w:p>
    <w:p w14:paraId="09A23C0C">
      <w:pPr>
        <w:pStyle w:val="15"/>
        <w:spacing w:line="360" w:lineRule="auto"/>
        <w:rPr>
          <w:rFonts w:hint="eastAsia" w:asciiTheme="minorEastAsia" w:hAnsiTheme="minorEastAsia" w:cstheme="minorEastAsia"/>
          <w:sz w:val="24"/>
          <w:szCs w:val="24"/>
          <w:highlight w:val="none"/>
        </w:rPr>
      </w:pPr>
      <w:r>
        <w:rPr>
          <w:rFonts w:hint="eastAsia" w:ascii="宋体" w:hAnsi="宋体"/>
          <w:sz w:val="24"/>
          <w:highlight w:val="none"/>
        </w:rPr>
        <w:t>致：</w:t>
      </w:r>
      <w:r>
        <w:rPr>
          <w:rFonts w:hint="eastAsia" w:ascii="宋体" w:hAnsi="宋体"/>
          <w:sz w:val="24"/>
          <w:highlight w:val="none"/>
          <w:u w:val="single"/>
        </w:rPr>
        <w:t>采购人</w:t>
      </w:r>
    </w:p>
    <w:p w14:paraId="2FE65CD8">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在参与本次项目投标中，我单位承诺：</w:t>
      </w:r>
    </w:p>
    <w:p w14:paraId="3384A50F">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（一）具有良好的商业信誉和健全的财务会计制度；</w:t>
      </w:r>
    </w:p>
    <w:p w14:paraId="02BCFB15">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（二）具有履行合同所必需的设备和专业技术能力；</w:t>
      </w:r>
    </w:p>
    <w:p w14:paraId="26F904CF">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（三）有依法缴纳税收和社会保障资金的良好记录；</w:t>
      </w:r>
    </w:p>
    <w:p w14:paraId="3A3A4B2C">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962BCE2">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 xml:space="preserve">（五）我单位不属于政府采购法律、行政法规规定的公益一类事业单位、或使用事业编制且由财政拨款保障的群团组织（仅适用于政府购买服务项目）； </w:t>
      </w:r>
    </w:p>
    <w:p w14:paraId="0BF52B82">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（六）我单位不存在为采购项目提供整体设计、规范编制或者项目管理、监理、检测等服务后，再参加该采购项目的其他采购活动的情形（单一来源采购项目除外）；</w:t>
      </w:r>
    </w:p>
    <w:p w14:paraId="5792C1F0">
      <w:pPr>
        <w:widowControl/>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（七）与我单位存在单位负责人为同一人或者存在直接控股、管理关系的其他法人单位信息如下（如有，不论其是否参加同一合同项下的政府采购活动均须填写）：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FCD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426F85E">
            <w:pPr>
              <w:widowControl/>
              <w:spacing w:before="120" w:beforeLines="50" w:after="10"/>
              <w:jc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序号</w:t>
            </w:r>
          </w:p>
        </w:tc>
        <w:tc>
          <w:tcPr>
            <w:tcW w:w="2841" w:type="dxa"/>
          </w:tcPr>
          <w:p w14:paraId="5613025E">
            <w:pPr>
              <w:pStyle w:val="11"/>
              <w:spacing w:before="120"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单位名称</w:t>
            </w:r>
          </w:p>
        </w:tc>
        <w:tc>
          <w:tcPr>
            <w:tcW w:w="2841" w:type="dxa"/>
          </w:tcPr>
          <w:p w14:paraId="324EB048">
            <w:pPr>
              <w:pStyle w:val="11"/>
              <w:spacing w:before="120"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相互关系</w:t>
            </w:r>
          </w:p>
        </w:tc>
      </w:tr>
      <w:tr w14:paraId="3D89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F58C55">
            <w:pPr>
              <w:pStyle w:val="11"/>
              <w:spacing w:before="120"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1</w:t>
            </w:r>
          </w:p>
        </w:tc>
        <w:tc>
          <w:tcPr>
            <w:tcW w:w="2841" w:type="dxa"/>
          </w:tcPr>
          <w:p w14:paraId="53158693">
            <w:pPr>
              <w:pStyle w:val="11"/>
              <w:spacing w:before="120" w:beforeLines="50" w:after="10"/>
              <w:jc w:val="center"/>
              <w:rPr>
                <w:rFonts w:hint="eastAsia" w:asciiTheme="minorEastAsia" w:hAnsiTheme="minorEastAsia" w:eastAsiaTheme="minorEastAsia" w:cstheme="minorEastAsia"/>
                <w:color w:val="000000"/>
                <w:kern w:val="0"/>
                <w:sz w:val="24"/>
                <w:highlight w:val="none"/>
                <w:lang w:val="en-US" w:bidi="ar"/>
              </w:rPr>
            </w:pPr>
          </w:p>
        </w:tc>
        <w:tc>
          <w:tcPr>
            <w:tcW w:w="2841" w:type="dxa"/>
          </w:tcPr>
          <w:p w14:paraId="7BD88C3E">
            <w:pPr>
              <w:pStyle w:val="11"/>
              <w:spacing w:before="120" w:beforeLines="50" w:after="10"/>
              <w:jc w:val="center"/>
              <w:rPr>
                <w:rFonts w:hint="eastAsia" w:asciiTheme="minorEastAsia" w:hAnsiTheme="minorEastAsia" w:eastAsiaTheme="minorEastAsia" w:cstheme="minorEastAsia"/>
                <w:color w:val="000000"/>
                <w:kern w:val="0"/>
                <w:sz w:val="24"/>
                <w:highlight w:val="none"/>
                <w:lang w:val="en-US" w:bidi="ar"/>
              </w:rPr>
            </w:pPr>
          </w:p>
        </w:tc>
      </w:tr>
      <w:tr w14:paraId="5ECC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DF3F14">
            <w:pPr>
              <w:pStyle w:val="11"/>
              <w:spacing w:before="120"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2</w:t>
            </w:r>
          </w:p>
        </w:tc>
        <w:tc>
          <w:tcPr>
            <w:tcW w:w="2841" w:type="dxa"/>
          </w:tcPr>
          <w:p w14:paraId="6583AF71">
            <w:pPr>
              <w:pStyle w:val="11"/>
              <w:spacing w:before="120" w:beforeLines="50" w:after="10"/>
              <w:jc w:val="center"/>
              <w:rPr>
                <w:rFonts w:hint="eastAsia" w:asciiTheme="minorEastAsia" w:hAnsiTheme="minorEastAsia" w:eastAsiaTheme="minorEastAsia" w:cstheme="minorEastAsia"/>
                <w:color w:val="000000"/>
                <w:kern w:val="0"/>
                <w:sz w:val="24"/>
                <w:highlight w:val="none"/>
                <w:lang w:val="en-US" w:bidi="ar"/>
              </w:rPr>
            </w:pPr>
          </w:p>
        </w:tc>
        <w:tc>
          <w:tcPr>
            <w:tcW w:w="2841" w:type="dxa"/>
          </w:tcPr>
          <w:p w14:paraId="07EE5F57">
            <w:pPr>
              <w:pStyle w:val="11"/>
              <w:spacing w:before="120" w:beforeLines="50" w:after="10"/>
              <w:jc w:val="center"/>
              <w:rPr>
                <w:rFonts w:hint="eastAsia" w:asciiTheme="minorEastAsia" w:hAnsiTheme="minorEastAsia" w:eastAsiaTheme="minorEastAsia" w:cstheme="minorEastAsia"/>
                <w:color w:val="000000"/>
                <w:kern w:val="0"/>
                <w:sz w:val="24"/>
                <w:highlight w:val="none"/>
                <w:lang w:val="en-US" w:bidi="ar"/>
              </w:rPr>
            </w:pPr>
          </w:p>
        </w:tc>
      </w:tr>
    </w:tbl>
    <w:p w14:paraId="5D950DDC">
      <w:pPr>
        <w:spacing w:line="360" w:lineRule="auto"/>
        <w:ind w:firstLine="435"/>
        <w:rPr>
          <w:rFonts w:hint="eastAsia" w:ascii="宋体" w:hAnsi="宋体" w:eastAsia="宋体"/>
          <w:sz w:val="24"/>
          <w:highlight w:val="none"/>
        </w:rPr>
      </w:pPr>
      <w:r>
        <w:rPr>
          <w:rFonts w:hint="eastAsia" w:ascii="宋体" w:hAnsi="宋体" w:eastAsia="宋体"/>
          <w:sz w:val="24"/>
          <w:highlight w:val="none"/>
        </w:rPr>
        <w:t>本单位对</w:t>
      </w:r>
      <w:r>
        <w:rPr>
          <w:rFonts w:hint="eastAsia" w:asciiTheme="minorEastAsia" w:hAnsiTheme="minorEastAsia" w:eastAsiaTheme="minorEastAsia"/>
          <w:sz w:val="24"/>
          <w:highlight w:val="none"/>
        </w:rPr>
        <w:t>上述</w:t>
      </w:r>
      <w:r>
        <w:rPr>
          <w:rFonts w:hint="eastAsia" w:ascii="宋体" w:hAnsi="宋体" w:eastAsia="宋体"/>
          <w:sz w:val="24"/>
          <w:highlight w:val="none"/>
        </w:rPr>
        <w:t>声明的真实性负责。如有虚假，将依法承担相应责任。</w:t>
      </w:r>
    </w:p>
    <w:p w14:paraId="3A419062">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004CC2D1">
      <w:pPr>
        <w:tabs>
          <w:tab w:val="left" w:pos="630"/>
        </w:tabs>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1BDA7CC8">
      <w:pPr>
        <w:rPr>
          <w:rFonts w:hint="eastAsia" w:asciiTheme="minorEastAsia" w:hAnsiTheme="minorEastAsia" w:eastAsiaTheme="minorEastAsia"/>
          <w:b/>
          <w:sz w:val="24"/>
          <w:highlight w:val="none"/>
        </w:rPr>
      </w:pPr>
      <w:bookmarkStart w:id="65" w:name="_Toc11607"/>
      <w:r>
        <w:rPr>
          <w:rFonts w:hint="eastAsia" w:asciiTheme="minorEastAsia" w:hAnsiTheme="minorEastAsia" w:eastAsiaTheme="minorEastAsia"/>
          <w:b/>
          <w:sz w:val="24"/>
          <w:highlight w:val="none"/>
        </w:rPr>
        <w:br w:type="page"/>
      </w:r>
    </w:p>
    <w:p w14:paraId="27F1C89F">
      <w:pPr>
        <w:spacing w:line="360" w:lineRule="auto"/>
        <w:jc w:val="center"/>
        <w:outlineLvl w:val="1"/>
        <w:rPr>
          <w:rFonts w:hint="eastAsia" w:asciiTheme="minorEastAsia" w:hAnsiTheme="minorEastAsia" w:eastAsiaTheme="minorEastAsia"/>
          <w:b/>
          <w:sz w:val="24"/>
          <w:highlight w:val="none"/>
        </w:rPr>
      </w:pPr>
      <w:bookmarkStart w:id="66" w:name="_Toc24583"/>
      <w:r>
        <w:rPr>
          <w:rFonts w:hint="eastAsia" w:asciiTheme="minorEastAsia" w:hAnsiTheme="minorEastAsia" w:eastAsiaTheme="minorEastAsia"/>
          <w:b/>
          <w:sz w:val="24"/>
          <w:highlight w:val="none"/>
        </w:rPr>
        <w:t>四、授权书</w:t>
      </w:r>
      <w:bookmarkEnd w:id="65"/>
      <w:bookmarkEnd w:id="66"/>
    </w:p>
    <w:p w14:paraId="01AA33F6">
      <w:pPr>
        <w:pStyle w:val="14"/>
        <w:snapToGrid w:val="0"/>
        <w:spacing w:line="360" w:lineRule="auto"/>
        <w:ind w:firstLine="480" w:firstLineChars="200"/>
        <w:jc w:val="left"/>
        <w:rPr>
          <w:rFonts w:hint="eastAsia" w:hAnsi="宋体" w:eastAsia="宋体"/>
          <w:sz w:val="24"/>
          <w:szCs w:val="28"/>
          <w:highlight w:val="none"/>
        </w:rPr>
      </w:pPr>
    </w:p>
    <w:p w14:paraId="799820AE">
      <w:pPr>
        <w:spacing w:line="360" w:lineRule="auto"/>
        <w:ind w:firstLine="435"/>
        <w:rPr>
          <w:rFonts w:hint="eastAsia" w:hAnsi="宋体" w:eastAsia="宋体"/>
          <w:sz w:val="24"/>
          <w:szCs w:val="28"/>
          <w:highlight w:val="none"/>
        </w:rPr>
      </w:pPr>
      <w:r>
        <w:rPr>
          <w:rFonts w:hint="eastAsia" w:hAnsi="宋体" w:eastAsia="宋体"/>
          <w:sz w:val="24"/>
          <w:szCs w:val="28"/>
          <w:highlight w:val="none"/>
        </w:rPr>
        <w:t>本</w:t>
      </w:r>
      <w:r>
        <w:rPr>
          <w:rFonts w:hint="eastAsia" w:asciiTheme="minorEastAsia" w:hAnsiTheme="minorEastAsia" w:eastAsiaTheme="minorEastAsia"/>
          <w:sz w:val="24"/>
          <w:highlight w:val="none"/>
        </w:rPr>
        <w:t>授权</w:t>
      </w:r>
      <w:r>
        <w:rPr>
          <w:rFonts w:hint="eastAsia" w:hAnsi="宋体" w:eastAsia="宋体"/>
          <w:sz w:val="24"/>
          <w:szCs w:val="28"/>
          <w:highlight w:val="none"/>
        </w:rPr>
        <w:t>书声明：</w:t>
      </w:r>
      <w:r>
        <w:rPr>
          <w:rFonts w:hint="eastAsia" w:hAnsi="宋体" w:eastAsia="宋体"/>
          <w:sz w:val="24"/>
          <w:szCs w:val="28"/>
          <w:highlight w:val="none"/>
          <w:u w:val="single"/>
        </w:rPr>
        <w:t xml:space="preserve">           </w:t>
      </w:r>
      <w:r>
        <w:rPr>
          <w:rFonts w:hint="eastAsia" w:hAnsi="宋体" w:eastAsia="宋体"/>
          <w:sz w:val="24"/>
          <w:szCs w:val="28"/>
          <w:highlight w:val="none"/>
        </w:rPr>
        <w:t>（投标人名称）授权</w:t>
      </w:r>
      <w:r>
        <w:rPr>
          <w:rFonts w:hint="eastAsia" w:hAnsi="宋体" w:eastAsia="宋体"/>
          <w:sz w:val="24"/>
          <w:szCs w:val="28"/>
          <w:highlight w:val="none"/>
          <w:u w:val="single"/>
        </w:rPr>
        <w:t xml:space="preserve">       </w:t>
      </w:r>
      <w:r>
        <w:rPr>
          <w:rFonts w:hint="eastAsia" w:hAnsi="宋体" w:eastAsia="宋体"/>
          <w:sz w:val="24"/>
          <w:szCs w:val="28"/>
          <w:highlight w:val="none"/>
        </w:rPr>
        <w:t>（投标人授权代表姓名）代表我方参加本项目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C2ABBE1">
      <w:pPr>
        <w:spacing w:line="360" w:lineRule="auto"/>
        <w:ind w:firstLine="435"/>
        <w:rPr>
          <w:rFonts w:hint="eastAsia" w:hAnsi="宋体" w:eastAsia="宋体"/>
          <w:sz w:val="24"/>
          <w:szCs w:val="28"/>
          <w:highlight w:val="none"/>
        </w:rPr>
      </w:pPr>
      <w:r>
        <w:rPr>
          <w:rFonts w:hint="eastAsia" w:hAnsi="宋体" w:eastAsia="宋体"/>
          <w:sz w:val="24"/>
          <w:szCs w:val="28"/>
          <w:highlight w:val="none"/>
        </w:rPr>
        <w:t>本授权书自出具之日起生效。</w:t>
      </w:r>
    </w:p>
    <w:p w14:paraId="6E76981A">
      <w:pPr>
        <w:spacing w:line="360" w:lineRule="auto"/>
        <w:ind w:firstLine="435"/>
        <w:rPr>
          <w:rFonts w:hint="eastAsia" w:hAnsi="宋体" w:eastAsia="宋体"/>
          <w:sz w:val="24"/>
          <w:highlight w:val="none"/>
        </w:rPr>
      </w:pPr>
      <w:r>
        <w:rPr>
          <w:rFonts w:hint="eastAsia" w:hAnsi="宋体" w:eastAsia="宋体"/>
          <w:sz w:val="24"/>
          <w:szCs w:val="28"/>
          <w:highlight w:val="none"/>
        </w:rPr>
        <w:t>授权</w:t>
      </w:r>
      <w:r>
        <w:rPr>
          <w:rFonts w:hint="eastAsia" w:asciiTheme="minorEastAsia" w:hAnsiTheme="minorEastAsia" w:eastAsiaTheme="minorEastAsia"/>
          <w:sz w:val="24"/>
          <w:highlight w:val="none"/>
        </w:rPr>
        <w:t>代表</w:t>
      </w:r>
      <w:r>
        <w:rPr>
          <w:rFonts w:hint="eastAsia" w:hAnsi="宋体" w:eastAsia="宋体"/>
          <w:sz w:val="24"/>
          <w:highlight w:val="none"/>
        </w:rPr>
        <w:t>身份证明扫描件：</w:t>
      </w:r>
    </w:p>
    <w:p w14:paraId="56B616D4">
      <w:pPr>
        <w:spacing w:line="360" w:lineRule="auto"/>
        <w:ind w:firstLine="435"/>
        <w:rPr>
          <w:rFonts w:hint="eastAsia" w:asciiTheme="minorEastAsia" w:hAnsiTheme="minorEastAsia" w:eastAsiaTheme="minorEastAsia"/>
          <w:sz w:val="24"/>
          <w:highlight w:val="none"/>
        </w:rPr>
      </w:pPr>
    </w:p>
    <w:p w14:paraId="2296A6BF">
      <w:pPr>
        <w:spacing w:line="360" w:lineRule="auto"/>
        <w:ind w:firstLine="435"/>
        <w:rPr>
          <w:rFonts w:hint="eastAsia" w:asciiTheme="minorEastAsia" w:hAnsiTheme="minorEastAsia" w:eastAsiaTheme="minorEastAsia"/>
          <w:sz w:val="24"/>
          <w:highlight w:val="none"/>
        </w:rPr>
      </w:pPr>
    </w:p>
    <w:p w14:paraId="0887BE2A">
      <w:pPr>
        <w:spacing w:line="360" w:lineRule="auto"/>
        <w:ind w:firstLine="435"/>
        <w:rPr>
          <w:rFonts w:hint="eastAsia" w:asciiTheme="minorEastAsia" w:hAnsiTheme="minorEastAsia" w:eastAsiaTheme="minorEastAsia"/>
          <w:sz w:val="24"/>
          <w:highlight w:val="none"/>
        </w:rPr>
      </w:pPr>
    </w:p>
    <w:p w14:paraId="5A96FD64">
      <w:pPr>
        <w:spacing w:line="360" w:lineRule="auto"/>
        <w:ind w:firstLine="435"/>
        <w:rPr>
          <w:rFonts w:hint="eastAsia" w:hAnsi="宋体" w:eastAsia="宋体"/>
          <w:sz w:val="24"/>
          <w:szCs w:val="28"/>
          <w:highlight w:val="none"/>
          <w:u w:val="single"/>
          <w:lang w:val="zh-CN"/>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14:paraId="6D83BEA4">
      <w:pPr>
        <w:spacing w:line="360" w:lineRule="auto"/>
        <w:ind w:firstLine="435"/>
        <w:rPr>
          <w:rFonts w:hint="eastAsia" w:hAnsi="宋体" w:eastAsia="宋体"/>
          <w:sz w:val="24"/>
          <w:szCs w:val="28"/>
          <w:highlight w:val="none"/>
          <w:lang w:val="zh-CN"/>
        </w:rPr>
      </w:pPr>
    </w:p>
    <w:p w14:paraId="72358732">
      <w:pPr>
        <w:spacing w:line="360" w:lineRule="auto"/>
        <w:ind w:firstLine="435"/>
        <w:rPr>
          <w:rFonts w:hint="eastAsia" w:ascii="宋体" w:hAnsi="宋体" w:eastAsia="宋体"/>
          <w:sz w:val="24"/>
          <w:szCs w:val="28"/>
          <w:highlight w:val="none"/>
        </w:rPr>
      </w:pPr>
      <w:r>
        <w:rPr>
          <w:rFonts w:hint="eastAsia" w:asciiTheme="minorEastAsia" w:hAnsiTheme="minorEastAsia" w:eastAsiaTheme="minorEastAsia"/>
          <w:sz w:val="24"/>
          <w:highlight w:val="none"/>
        </w:rPr>
        <w:t>特此</w:t>
      </w:r>
      <w:r>
        <w:rPr>
          <w:rFonts w:hint="eastAsia" w:ascii="宋体" w:hAnsi="宋体" w:eastAsia="宋体"/>
          <w:sz w:val="24"/>
          <w:szCs w:val="28"/>
          <w:highlight w:val="none"/>
        </w:rPr>
        <w:t>声明。</w:t>
      </w:r>
    </w:p>
    <w:p w14:paraId="0A907F7B">
      <w:pPr>
        <w:spacing w:line="360" w:lineRule="auto"/>
        <w:rPr>
          <w:rFonts w:hint="eastAsia" w:ascii="宋体" w:hAnsi="宋体" w:eastAsia="宋体"/>
          <w:sz w:val="24"/>
          <w:szCs w:val="28"/>
          <w:highlight w:val="none"/>
        </w:rPr>
      </w:pPr>
    </w:p>
    <w:p w14:paraId="64773DF7">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4D9113FB">
      <w:pPr>
        <w:tabs>
          <w:tab w:val="left" w:pos="630"/>
        </w:tabs>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51B86990">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注：</w:t>
      </w:r>
    </w:p>
    <w:p w14:paraId="2AB689F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1.本项目只允许有唯一的投标人授权代表，提供身份证明扫描件；</w:t>
      </w:r>
    </w:p>
    <w:p w14:paraId="37D680B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2.法定代表人参加投标的无需提供授权书，提供身份证明扫描件。</w:t>
      </w:r>
    </w:p>
    <w:p w14:paraId="3B1600F2">
      <w:pPr>
        <w:widowControl/>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562F0A6C">
      <w:pPr>
        <w:spacing w:line="360" w:lineRule="auto"/>
        <w:jc w:val="center"/>
        <w:outlineLvl w:val="1"/>
        <w:rPr>
          <w:rFonts w:hint="eastAsia" w:asciiTheme="minorEastAsia" w:hAnsiTheme="minorEastAsia" w:eastAsiaTheme="minorEastAsia"/>
          <w:b/>
          <w:sz w:val="24"/>
          <w:highlight w:val="none"/>
        </w:rPr>
      </w:pPr>
      <w:bookmarkStart w:id="67" w:name="_Toc31027"/>
      <w:bookmarkStart w:id="68" w:name="_Toc32226"/>
      <w:r>
        <w:rPr>
          <w:rFonts w:hint="eastAsia" w:asciiTheme="minorEastAsia" w:hAnsiTheme="minorEastAsia" w:eastAsiaTheme="minorEastAsia"/>
          <w:b/>
          <w:sz w:val="24"/>
          <w:highlight w:val="none"/>
        </w:rPr>
        <w:t>五、投标分项报价表</w:t>
      </w:r>
      <w:bookmarkEnd w:id="67"/>
      <w:bookmarkEnd w:id="68"/>
    </w:p>
    <w:p w14:paraId="65AFA826">
      <w:pPr>
        <w:spacing w:line="360" w:lineRule="auto"/>
        <w:ind w:firstLine="435"/>
        <w:jc w:val="center"/>
        <w:rPr>
          <w:rFonts w:hint="eastAsia" w:asciiTheme="minorEastAsia" w:hAnsiTheme="minorEastAsia" w:eastAsiaTheme="minorEastAsia"/>
          <w:b/>
          <w:sz w:val="24"/>
          <w:highlight w:val="none"/>
        </w:rPr>
      </w:pPr>
      <w:r>
        <w:rPr>
          <w:rFonts w:hint="eastAsia" w:asciiTheme="minorEastAsia" w:hAnsiTheme="minorEastAsia" w:eastAsiaTheme="minorEastAsia"/>
          <w:i/>
          <w:sz w:val="24"/>
          <w:highlight w:val="none"/>
        </w:rPr>
        <w:t>（仅供参考，投标人可自行制作格式）</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409"/>
        <w:gridCol w:w="1488"/>
        <w:gridCol w:w="1862"/>
        <w:gridCol w:w="1719"/>
      </w:tblGrid>
      <w:tr w14:paraId="19AF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1ED2AE9F">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序号</w:t>
            </w:r>
          </w:p>
        </w:tc>
        <w:tc>
          <w:tcPr>
            <w:tcW w:w="1824" w:type="pct"/>
            <w:vAlign w:val="center"/>
          </w:tcPr>
          <w:p w14:paraId="1381C40F">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服务内容</w:t>
            </w:r>
          </w:p>
        </w:tc>
        <w:tc>
          <w:tcPr>
            <w:tcW w:w="796" w:type="pct"/>
            <w:vAlign w:val="center"/>
          </w:tcPr>
          <w:p w14:paraId="744B330F">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项</w:t>
            </w:r>
          </w:p>
        </w:tc>
        <w:tc>
          <w:tcPr>
            <w:tcW w:w="995" w:type="pct"/>
            <w:vAlign w:val="center"/>
          </w:tcPr>
          <w:p w14:paraId="03F2CED3">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单价</w:t>
            </w:r>
          </w:p>
        </w:tc>
        <w:tc>
          <w:tcPr>
            <w:tcW w:w="920" w:type="pct"/>
            <w:vAlign w:val="center"/>
          </w:tcPr>
          <w:p w14:paraId="14F5183F">
            <w:pP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小计金额（元）</w:t>
            </w:r>
          </w:p>
        </w:tc>
      </w:tr>
      <w:tr w14:paraId="69F3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0C40BAF8">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824" w:type="pct"/>
            <w:vAlign w:val="center"/>
          </w:tcPr>
          <w:p w14:paraId="2A516143">
            <w:pPr>
              <w:jc w:val="center"/>
              <w:rPr>
                <w:rFonts w:hint="eastAsia" w:asciiTheme="minorEastAsia" w:hAnsiTheme="minorEastAsia" w:eastAsiaTheme="minorEastAsia"/>
                <w:sz w:val="24"/>
                <w:highlight w:val="none"/>
              </w:rPr>
            </w:pPr>
          </w:p>
        </w:tc>
        <w:tc>
          <w:tcPr>
            <w:tcW w:w="796" w:type="pct"/>
            <w:vAlign w:val="center"/>
          </w:tcPr>
          <w:p w14:paraId="0F0CFE6A">
            <w:pPr>
              <w:jc w:val="center"/>
              <w:rPr>
                <w:rFonts w:hint="eastAsia" w:asciiTheme="minorEastAsia" w:hAnsiTheme="minorEastAsia" w:eastAsiaTheme="minorEastAsia"/>
                <w:sz w:val="24"/>
                <w:highlight w:val="none"/>
              </w:rPr>
            </w:pPr>
          </w:p>
        </w:tc>
        <w:tc>
          <w:tcPr>
            <w:tcW w:w="995" w:type="pct"/>
            <w:vAlign w:val="center"/>
          </w:tcPr>
          <w:p w14:paraId="0088EF65">
            <w:pPr>
              <w:jc w:val="center"/>
              <w:rPr>
                <w:rFonts w:hint="eastAsia" w:asciiTheme="minorEastAsia" w:hAnsiTheme="minorEastAsia" w:eastAsiaTheme="minorEastAsia"/>
                <w:sz w:val="24"/>
                <w:highlight w:val="none"/>
              </w:rPr>
            </w:pPr>
          </w:p>
        </w:tc>
        <w:tc>
          <w:tcPr>
            <w:tcW w:w="920" w:type="pct"/>
            <w:vAlign w:val="center"/>
          </w:tcPr>
          <w:p w14:paraId="2054A2BA">
            <w:pPr>
              <w:jc w:val="center"/>
              <w:rPr>
                <w:rFonts w:hint="eastAsia" w:asciiTheme="minorEastAsia" w:hAnsiTheme="minorEastAsia" w:eastAsiaTheme="minorEastAsia"/>
                <w:sz w:val="24"/>
                <w:highlight w:val="none"/>
              </w:rPr>
            </w:pPr>
          </w:p>
        </w:tc>
      </w:tr>
      <w:tr w14:paraId="3D3A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464" w:type="pct"/>
            <w:vAlign w:val="center"/>
          </w:tcPr>
          <w:p w14:paraId="3B9F978A">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824" w:type="pct"/>
            <w:vAlign w:val="center"/>
          </w:tcPr>
          <w:p w14:paraId="74856C2F">
            <w:pPr>
              <w:jc w:val="center"/>
              <w:rPr>
                <w:rFonts w:hint="eastAsia" w:asciiTheme="minorEastAsia" w:hAnsiTheme="minorEastAsia" w:eastAsiaTheme="minorEastAsia"/>
                <w:sz w:val="24"/>
                <w:highlight w:val="none"/>
              </w:rPr>
            </w:pPr>
          </w:p>
        </w:tc>
        <w:tc>
          <w:tcPr>
            <w:tcW w:w="796" w:type="pct"/>
            <w:vAlign w:val="center"/>
          </w:tcPr>
          <w:p w14:paraId="3D944C39">
            <w:pPr>
              <w:jc w:val="center"/>
              <w:rPr>
                <w:rFonts w:hint="eastAsia" w:asciiTheme="minorEastAsia" w:hAnsiTheme="minorEastAsia" w:eastAsiaTheme="minorEastAsia"/>
                <w:sz w:val="24"/>
                <w:highlight w:val="none"/>
              </w:rPr>
            </w:pPr>
          </w:p>
        </w:tc>
        <w:tc>
          <w:tcPr>
            <w:tcW w:w="995" w:type="pct"/>
            <w:vAlign w:val="center"/>
          </w:tcPr>
          <w:p w14:paraId="7D3CF800">
            <w:pPr>
              <w:jc w:val="center"/>
              <w:rPr>
                <w:rFonts w:hint="eastAsia" w:asciiTheme="minorEastAsia" w:hAnsiTheme="minorEastAsia" w:eastAsiaTheme="minorEastAsia"/>
                <w:sz w:val="24"/>
                <w:highlight w:val="none"/>
              </w:rPr>
            </w:pPr>
          </w:p>
        </w:tc>
        <w:tc>
          <w:tcPr>
            <w:tcW w:w="920" w:type="pct"/>
            <w:vAlign w:val="center"/>
          </w:tcPr>
          <w:p w14:paraId="27031B47">
            <w:pPr>
              <w:jc w:val="center"/>
              <w:rPr>
                <w:rFonts w:hint="eastAsia" w:asciiTheme="minorEastAsia" w:hAnsiTheme="minorEastAsia" w:eastAsiaTheme="minorEastAsia"/>
                <w:sz w:val="24"/>
                <w:highlight w:val="none"/>
              </w:rPr>
            </w:pPr>
          </w:p>
        </w:tc>
      </w:tr>
      <w:tr w14:paraId="66BE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C33E737">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824" w:type="pct"/>
            <w:vAlign w:val="center"/>
          </w:tcPr>
          <w:p w14:paraId="6E3A2CED">
            <w:pPr>
              <w:jc w:val="center"/>
              <w:rPr>
                <w:rFonts w:hint="eastAsia" w:asciiTheme="minorEastAsia" w:hAnsiTheme="minorEastAsia" w:eastAsiaTheme="minorEastAsia"/>
                <w:sz w:val="24"/>
                <w:highlight w:val="none"/>
              </w:rPr>
            </w:pPr>
          </w:p>
        </w:tc>
        <w:tc>
          <w:tcPr>
            <w:tcW w:w="796" w:type="pct"/>
            <w:vAlign w:val="center"/>
          </w:tcPr>
          <w:p w14:paraId="48DA7B5B">
            <w:pPr>
              <w:jc w:val="center"/>
              <w:rPr>
                <w:rFonts w:hint="eastAsia" w:asciiTheme="minorEastAsia" w:hAnsiTheme="minorEastAsia" w:eastAsiaTheme="minorEastAsia"/>
                <w:sz w:val="24"/>
                <w:highlight w:val="none"/>
              </w:rPr>
            </w:pPr>
          </w:p>
        </w:tc>
        <w:tc>
          <w:tcPr>
            <w:tcW w:w="995" w:type="pct"/>
            <w:vAlign w:val="center"/>
          </w:tcPr>
          <w:p w14:paraId="00BB2442">
            <w:pPr>
              <w:jc w:val="center"/>
              <w:rPr>
                <w:rFonts w:hint="eastAsia" w:asciiTheme="minorEastAsia" w:hAnsiTheme="minorEastAsia" w:eastAsiaTheme="minorEastAsia"/>
                <w:sz w:val="24"/>
                <w:highlight w:val="none"/>
              </w:rPr>
            </w:pPr>
          </w:p>
        </w:tc>
        <w:tc>
          <w:tcPr>
            <w:tcW w:w="920" w:type="pct"/>
            <w:vAlign w:val="center"/>
          </w:tcPr>
          <w:p w14:paraId="266AB56B">
            <w:pPr>
              <w:jc w:val="center"/>
              <w:rPr>
                <w:rFonts w:hint="eastAsia" w:asciiTheme="minorEastAsia" w:hAnsiTheme="minorEastAsia" w:eastAsiaTheme="minorEastAsia"/>
                <w:sz w:val="24"/>
                <w:highlight w:val="none"/>
              </w:rPr>
            </w:pPr>
          </w:p>
        </w:tc>
      </w:tr>
      <w:tr w14:paraId="1EBE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A4ADDEA">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w:t>
            </w:r>
          </w:p>
        </w:tc>
        <w:tc>
          <w:tcPr>
            <w:tcW w:w="1824" w:type="pct"/>
            <w:vAlign w:val="center"/>
          </w:tcPr>
          <w:p w14:paraId="65301BF1">
            <w:pPr>
              <w:jc w:val="center"/>
              <w:rPr>
                <w:rFonts w:hint="eastAsia" w:asciiTheme="minorEastAsia" w:hAnsiTheme="minorEastAsia" w:eastAsiaTheme="minorEastAsia"/>
                <w:sz w:val="24"/>
                <w:highlight w:val="none"/>
              </w:rPr>
            </w:pPr>
          </w:p>
        </w:tc>
        <w:tc>
          <w:tcPr>
            <w:tcW w:w="796" w:type="pct"/>
            <w:vAlign w:val="center"/>
          </w:tcPr>
          <w:p w14:paraId="01ACE6C3">
            <w:pPr>
              <w:jc w:val="center"/>
              <w:rPr>
                <w:rFonts w:hint="eastAsia" w:asciiTheme="minorEastAsia" w:hAnsiTheme="minorEastAsia" w:eastAsiaTheme="minorEastAsia"/>
                <w:sz w:val="24"/>
                <w:highlight w:val="none"/>
              </w:rPr>
            </w:pPr>
          </w:p>
        </w:tc>
        <w:tc>
          <w:tcPr>
            <w:tcW w:w="995" w:type="pct"/>
            <w:vAlign w:val="center"/>
          </w:tcPr>
          <w:p w14:paraId="611D8421">
            <w:pPr>
              <w:jc w:val="center"/>
              <w:rPr>
                <w:rFonts w:hint="eastAsia" w:asciiTheme="minorEastAsia" w:hAnsiTheme="minorEastAsia" w:eastAsiaTheme="minorEastAsia"/>
                <w:sz w:val="24"/>
                <w:highlight w:val="none"/>
              </w:rPr>
            </w:pPr>
          </w:p>
        </w:tc>
        <w:tc>
          <w:tcPr>
            <w:tcW w:w="920" w:type="pct"/>
            <w:vAlign w:val="center"/>
          </w:tcPr>
          <w:p w14:paraId="4462D629">
            <w:pPr>
              <w:jc w:val="center"/>
              <w:rPr>
                <w:rFonts w:hint="eastAsia" w:asciiTheme="minorEastAsia" w:hAnsiTheme="minorEastAsia" w:eastAsiaTheme="minorEastAsia"/>
                <w:sz w:val="24"/>
                <w:highlight w:val="none"/>
              </w:rPr>
            </w:pPr>
          </w:p>
        </w:tc>
      </w:tr>
      <w:tr w14:paraId="475E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3926A0B">
            <w:pPr>
              <w:jc w:val="center"/>
              <w:rPr>
                <w:rFonts w:hint="eastAsia" w:asciiTheme="minorEastAsia" w:hAnsiTheme="minorEastAsia" w:eastAsiaTheme="minorEastAsia"/>
                <w:sz w:val="24"/>
                <w:highlight w:val="none"/>
              </w:rPr>
            </w:pPr>
          </w:p>
        </w:tc>
        <w:tc>
          <w:tcPr>
            <w:tcW w:w="1824" w:type="pct"/>
            <w:vAlign w:val="center"/>
          </w:tcPr>
          <w:p w14:paraId="72FAF399">
            <w:pPr>
              <w:pStyle w:val="41"/>
              <w:ind w:left="-108"/>
              <w:jc w:val="center"/>
              <w:rPr>
                <w:rFonts w:hint="eastAsia" w:asciiTheme="minorEastAsia" w:hAnsiTheme="minorEastAsia" w:eastAsiaTheme="minorEastAsia"/>
                <w:highlight w:val="none"/>
              </w:rPr>
            </w:pPr>
            <w:r>
              <w:rPr>
                <w:rFonts w:hint="eastAsia" w:asciiTheme="minorEastAsia" w:hAnsiTheme="minorEastAsia" w:eastAsiaTheme="minorEastAsia"/>
                <w:highlight w:val="none"/>
              </w:rPr>
              <w:t>其他费用</w:t>
            </w:r>
          </w:p>
        </w:tc>
        <w:tc>
          <w:tcPr>
            <w:tcW w:w="796" w:type="pct"/>
            <w:vAlign w:val="center"/>
          </w:tcPr>
          <w:p w14:paraId="206018FD">
            <w:pPr>
              <w:jc w:val="center"/>
              <w:rPr>
                <w:rFonts w:hint="eastAsia" w:asciiTheme="minorEastAsia" w:hAnsiTheme="minorEastAsia" w:eastAsiaTheme="minorEastAsia"/>
                <w:sz w:val="24"/>
                <w:highlight w:val="none"/>
              </w:rPr>
            </w:pPr>
          </w:p>
        </w:tc>
        <w:tc>
          <w:tcPr>
            <w:tcW w:w="995" w:type="pct"/>
            <w:vAlign w:val="center"/>
          </w:tcPr>
          <w:p w14:paraId="21AB64AC">
            <w:pPr>
              <w:jc w:val="center"/>
              <w:rPr>
                <w:rFonts w:hint="eastAsia" w:asciiTheme="minorEastAsia" w:hAnsiTheme="minorEastAsia" w:eastAsiaTheme="minorEastAsia"/>
                <w:sz w:val="24"/>
                <w:highlight w:val="none"/>
              </w:rPr>
            </w:pPr>
          </w:p>
        </w:tc>
        <w:tc>
          <w:tcPr>
            <w:tcW w:w="920" w:type="pct"/>
            <w:vAlign w:val="center"/>
          </w:tcPr>
          <w:p w14:paraId="4741EE41">
            <w:pPr>
              <w:jc w:val="center"/>
              <w:rPr>
                <w:rFonts w:hint="eastAsia" w:asciiTheme="minorEastAsia" w:hAnsiTheme="minorEastAsia" w:eastAsiaTheme="minorEastAsia"/>
                <w:sz w:val="24"/>
                <w:highlight w:val="none"/>
              </w:rPr>
            </w:pPr>
          </w:p>
        </w:tc>
      </w:tr>
      <w:tr w14:paraId="32DB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464" w:type="pct"/>
            <w:vAlign w:val="center"/>
          </w:tcPr>
          <w:p w14:paraId="7EA427E5">
            <w:pPr>
              <w:jc w:val="center"/>
              <w:rPr>
                <w:rFonts w:hint="eastAsia" w:asciiTheme="minorEastAsia" w:hAnsiTheme="minorEastAsia" w:eastAsiaTheme="minorEastAsia"/>
                <w:sz w:val="24"/>
                <w:highlight w:val="none"/>
              </w:rPr>
            </w:pPr>
          </w:p>
        </w:tc>
        <w:tc>
          <w:tcPr>
            <w:tcW w:w="1824" w:type="pct"/>
            <w:vAlign w:val="center"/>
          </w:tcPr>
          <w:p w14:paraId="7A9B78CB">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w:t>
            </w:r>
          </w:p>
        </w:tc>
        <w:tc>
          <w:tcPr>
            <w:tcW w:w="796" w:type="pct"/>
            <w:vAlign w:val="center"/>
          </w:tcPr>
          <w:p w14:paraId="397606A6">
            <w:pPr>
              <w:jc w:val="center"/>
              <w:rPr>
                <w:rFonts w:hint="eastAsia" w:asciiTheme="minorEastAsia" w:hAnsiTheme="minorEastAsia" w:eastAsiaTheme="minorEastAsia"/>
                <w:sz w:val="24"/>
                <w:highlight w:val="none"/>
              </w:rPr>
            </w:pPr>
          </w:p>
        </w:tc>
        <w:tc>
          <w:tcPr>
            <w:tcW w:w="995" w:type="pct"/>
            <w:vAlign w:val="center"/>
          </w:tcPr>
          <w:p w14:paraId="7FE9CE5D">
            <w:pPr>
              <w:jc w:val="center"/>
              <w:rPr>
                <w:rFonts w:hint="eastAsia" w:asciiTheme="minorEastAsia" w:hAnsiTheme="minorEastAsia" w:eastAsiaTheme="minorEastAsia"/>
                <w:sz w:val="24"/>
                <w:highlight w:val="none"/>
              </w:rPr>
            </w:pPr>
          </w:p>
        </w:tc>
        <w:tc>
          <w:tcPr>
            <w:tcW w:w="920" w:type="pct"/>
            <w:vAlign w:val="center"/>
          </w:tcPr>
          <w:p w14:paraId="479ED19A">
            <w:pPr>
              <w:jc w:val="center"/>
              <w:rPr>
                <w:rFonts w:hint="eastAsia" w:asciiTheme="minorEastAsia" w:hAnsiTheme="minorEastAsia" w:eastAsiaTheme="minorEastAsia"/>
                <w:sz w:val="24"/>
                <w:highlight w:val="none"/>
              </w:rPr>
            </w:pPr>
          </w:p>
        </w:tc>
      </w:tr>
      <w:tr w14:paraId="7AB7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3714A650">
            <w:pPr>
              <w:jc w:val="center"/>
              <w:rPr>
                <w:rFonts w:hint="eastAsia" w:asciiTheme="minorEastAsia" w:hAnsiTheme="minorEastAsia" w:eastAsiaTheme="minorEastAsia"/>
                <w:sz w:val="24"/>
                <w:highlight w:val="none"/>
              </w:rPr>
            </w:pPr>
            <w:r>
              <w:rPr>
                <w:rFonts w:hint="eastAsia" w:asciiTheme="minorEastAsia" w:hAnsiTheme="minorEastAsia" w:eastAsiaTheme="minorEastAsia"/>
                <w:b/>
                <w:sz w:val="24"/>
                <w:highlight w:val="none"/>
              </w:rPr>
              <w:t>合计金额（元）</w:t>
            </w:r>
          </w:p>
        </w:tc>
        <w:tc>
          <w:tcPr>
            <w:tcW w:w="920" w:type="pct"/>
            <w:vAlign w:val="center"/>
          </w:tcPr>
          <w:p w14:paraId="2E3D24C1">
            <w:pPr>
              <w:jc w:val="center"/>
              <w:rPr>
                <w:rFonts w:hint="eastAsia" w:asciiTheme="minorEastAsia" w:hAnsiTheme="minorEastAsia" w:eastAsiaTheme="minorEastAsia"/>
                <w:sz w:val="24"/>
                <w:highlight w:val="none"/>
              </w:rPr>
            </w:pPr>
          </w:p>
        </w:tc>
      </w:tr>
    </w:tbl>
    <w:p w14:paraId="76E13D76">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39FFCBC8">
      <w:pPr>
        <w:tabs>
          <w:tab w:val="left" w:pos="630"/>
        </w:tabs>
        <w:spacing w:line="360" w:lineRule="auto"/>
        <w:ind w:firstLine="4800" w:firstLineChars="2000"/>
        <w:rPr>
          <w:rFonts w:hint="eastAsia" w:asciiTheme="minorEastAsia" w:hAnsiTheme="minorEastAsia" w:eastAsiaTheme="minorEastAsia"/>
          <w:b/>
          <w:bCs/>
          <w:sz w:val="24"/>
          <w:szCs w:val="28"/>
          <w:highlight w:val="non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2539917F">
      <w:pPr>
        <w:adjustRightInd w:val="0"/>
        <w:snapToGrid w:val="0"/>
        <w:spacing w:line="360" w:lineRule="auto"/>
        <w:rPr>
          <w:rFonts w:hint="eastAsia"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注：</w:t>
      </w:r>
    </w:p>
    <w:p w14:paraId="2C8F86C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所列服务为对应本项目需求的全部服务内容。如有漏项或缺项，投标人承担全部责任。</w:t>
      </w:r>
    </w:p>
    <w:p w14:paraId="19338C97">
      <w:pPr>
        <w:pStyle w:val="11"/>
        <w:rPr>
          <w:rFonts w:hint="eastAsia" w:asciiTheme="minorEastAsia" w:hAnsiTheme="minorEastAsia" w:eastAsiaTheme="minorEastAsia"/>
          <w:sz w:val="24"/>
          <w:highlight w:val="none"/>
        </w:rPr>
      </w:pPr>
    </w:p>
    <w:p w14:paraId="69A54B14">
      <w:pPr>
        <w:rPr>
          <w:rFonts w:hint="eastAsia" w:asciiTheme="minorEastAsia" w:hAnsiTheme="minorEastAsia" w:eastAsiaTheme="minorEastAsia"/>
          <w:b/>
          <w:sz w:val="24"/>
          <w:highlight w:val="none"/>
        </w:rPr>
      </w:pPr>
      <w:bookmarkStart w:id="69" w:name="_Toc20329"/>
      <w:r>
        <w:rPr>
          <w:rFonts w:hint="eastAsia" w:asciiTheme="minorEastAsia" w:hAnsiTheme="minorEastAsia" w:eastAsiaTheme="minorEastAsia"/>
          <w:b/>
          <w:sz w:val="24"/>
          <w:highlight w:val="none"/>
        </w:rPr>
        <w:br w:type="page"/>
      </w:r>
    </w:p>
    <w:p w14:paraId="053E3063">
      <w:pPr>
        <w:spacing w:line="360" w:lineRule="auto"/>
        <w:jc w:val="center"/>
        <w:outlineLvl w:val="1"/>
        <w:rPr>
          <w:rFonts w:hint="eastAsia" w:asciiTheme="minorEastAsia" w:hAnsiTheme="minorEastAsia" w:eastAsiaTheme="minorEastAsia"/>
          <w:b/>
          <w:sz w:val="24"/>
          <w:highlight w:val="none"/>
        </w:rPr>
      </w:pPr>
      <w:bookmarkStart w:id="70" w:name="_Toc15209"/>
      <w:r>
        <w:rPr>
          <w:rFonts w:hint="eastAsia" w:asciiTheme="minorEastAsia" w:hAnsiTheme="minorEastAsia" w:eastAsiaTheme="minorEastAsia"/>
          <w:b/>
          <w:sz w:val="24"/>
          <w:highlight w:val="none"/>
        </w:rPr>
        <w:t>六、投标响应表</w:t>
      </w:r>
      <w:bookmarkEnd w:id="69"/>
      <w:bookmarkEnd w:id="70"/>
    </w:p>
    <w:p w14:paraId="3DD2EB94">
      <w:pPr>
        <w:spacing w:line="360" w:lineRule="auto"/>
        <w:ind w:firstLine="435"/>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02"/>
        <w:gridCol w:w="2739"/>
        <w:gridCol w:w="2823"/>
        <w:gridCol w:w="888"/>
      </w:tblGrid>
      <w:tr w14:paraId="51CF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5FA46DA5">
            <w:pPr>
              <w:pStyle w:val="14"/>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序号</w:t>
            </w:r>
          </w:p>
        </w:tc>
        <w:tc>
          <w:tcPr>
            <w:tcW w:w="1124" w:type="pct"/>
            <w:vAlign w:val="center"/>
          </w:tcPr>
          <w:p w14:paraId="420F4DD3">
            <w:pPr>
              <w:pStyle w:val="14"/>
              <w:jc w:val="center"/>
              <w:rPr>
                <w:rFonts w:hint="eastAsia"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1465" w:type="pct"/>
            <w:vAlign w:val="center"/>
          </w:tcPr>
          <w:p w14:paraId="60296D4B">
            <w:pPr>
              <w:pStyle w:val="14"/>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招标文件要求</w:t>
            </w:r>
          </w:p>
        </w:tc>
        <w:tc>
          <w:tcPr>
            <w:tcW w:w="1510" w:type="pct"/>
            <w:vAlign w:val="center"/>
          </w:tcPr>
          <w:p w14:paraId="3052C7B0">
            <w:pPr>
              <w:pStyle w:val="14"/>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投标人承诺</w:t>
            </w:r>
          </w:p>
        </w:tc>
        <w:tc>
          <w:tcPr>
            <w:tcW w:w="475" w:type="pct"/>
            <w:vAlign w:val="center"/>
          </w:tcPr>
          <w:p w14:paraId="72C384EC">
            <w:pPr>
              <w:pStyle w:val="14"/>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7292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A648BE7">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124" w:type="pct"/>
            <w:vAlign w:val="center"/>
          </w:tcPr>
          <w:p w14:paraId="1E57EBE5">
            <w:pPr>
              <w:jc w:val="center"/>
              <w:rPr>
                <w:rFonts w:hint="eastAsia" w:ascii="宋体" w:hAnsi="宋体" w:eastAsia="宋体"/>
                <w:sz w:val="24"/>
                <w:highlight w:val="none"/>
              </w:rPr>
            </w:pPr>
            <w:r>
              <w:rPr>
                <w:rFonts w:asciiTheme="minorEastAsia" w:hAnsiTheme="minorEastAsia" w:eastAsiaTheme="minorEastAsia"/>
                <w:sz w:val="24"/>
                <w:highlight w:val="none"/>
              </w:rPr>
              <w:t>付款方式</w:t>
            </w:r>
          </w:p>
        </w:tc>
        <w:tc>
          <w:tcPr>
            <w:tcW w:w="1465" w:type="pct"/>
            <w:vAlign w:val="center"/>
          </w:tcPr>
          <w:p w14:paraId="2E0174E7">
            <w:pPr>
              <w:jc w:val="center"/>
              <w:rPr>
                <w:rFonts w:hint="eastAsia" w:asciiTheme="minorEastAsia" w:hAnsiTheme="minorEastAsia" w:eastAsiaTheme="minorEastAsia"/>
                <w:sz w:val="24"/>
                <w:highlight w:val="none"/>
              </w:rPr>
            </w:pPr>
          </w:p>
        </w:tc>
        <w:tc>
          <w:tcPr>
            <w:tcW w:w="1510" w:type="pct"/>
            <w:vAlign w:val="center"/>
          </w:tcPr>
          <w:p w14:paraId="08EE8B0D">
            <w:pPr>
              <w:jc w:val="center"/>
              <w:rPr>
                <w:rFonts w:hint="eastAsia" w:asciiTheme="minorEastAsia" w:hAnsiTheme="minorEastAsia" w:eastAsiaTheme="minorEastAsia"/>
                <w:sz w:val="24"/>
                <w:highlight w:val="none"/>
              </w:rPr>
            </w:pPr>
          </w:p>
        </w:tc>
        <w:tc>
          <w:tcPr>
            <w:tcW w:w="475" w:type="pct"/>
            <w:vAlign w:val="center"/>
          </w:tcPr>
          <w:p w14:paraId="42592FFD">
            <w:pPr>
              <w:jc w:val="center"/>
              <w:rPr>
                <w:rFonts w:hint="eastAsia" w:asciiTheme="minorEastAsia" w:hAnsiTheme="minorEastAsia" w:eastAsiaTheme="minorEastAsia"/>
                <w:sz w:val="24"/>
                <w:highlight w:val="none"/>
              </w:rPr>
            </w:pPr>
          </w:p>
        </w:tc>
      </w:tr>
      <w:tr w14:paraId="51AF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5F1F92D">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124" w:type="pct"/>
            <w:vAlign w:val="center"/>
          </w:tcPr>
          <w:p w14:paraId="2EF0EADF">
            <w:pPr>
              <w:jc w:val="center"/>
              <w:rPr>
                <w:rFonts w:hint="eastAsia" w:ascii="宋体" w:hAnsi="宋体" w:eastAsia="宋体"/>
                <w:sz w:val="24"/>
                <w:highlight w:val="none"/>
              </w:rPr>
            </w:pPr>
            <w:r>
              <w:rPr>
                <w:rFonts w:hint="eastAsia" w:ascii="宋体" w:hAnsi="宋体" w:eastAsia="宋体"/>
                <w:sz w:val="24"/>
                <w:highlight w:val="none"/>
              </w:rPr>
              <w:t>服务地点</w:t>
            </w:r>
          </w:p>
        </w:tc>
        <w:tc>
          <w:tcPr>
            <w:tcW w:w="1465" w:type="pct"/>
            <w:vAlign w:val="center"/>
          </w:tcPr>
          <w:p w14:paraId="6B6F3757">
            <w:pPr>
              <w:jc w:val="center"/>
              <w:rPr>
                <w:rFonts w:hint="eastAsia" w:asciiTheme="minorEastAsia" w:hAnsiTheme="minorEastAsia" w:eastAsiaTheme="minorEastAsia"/>
                <w:sz w:val="24"/>
                <w:highlight w:val="none"/>
              </w:rPr>
            </w:pPr>
          </w:p>
        </w:tc>
        <w:tc>
          <w:tcPr>
            <w:tcW w:w="1510" w:type="pct"/>
            <w:vAlign w:val="center"/>
          </w:tcPr>
          <w:p w14:paraId="24AAE5A4">
            <w:pPr>
              <w:jc w:val="center"/>
              <w:rPr>
                <w:rFonts w:hint="eastAsia" w:asciiTheme="minorEastAsia" w:hAnsiTheme="minorEastAsia" w:eastAsiaTheme="minorEastAsia"/>
                <w:sz w:val="24"/>
                <w:highlight w:val="none"/>
              </w:rPr>
            </w:pPr>
          </w:p>
        </w:tc>
        <w:tc>
          <w:tcPr>
            <w:tcW w:w="475" w:type="pct"/>
            <w:vAlign w:val="center"/>
          </w:tcPr>
          <w:p w14:paraId="4B3880BF">
            <w:pPr>
              <w:jc w:val="center"/>
              <w:rPr>
                <w:rFonts w:hint="eastAsia" w:asciiTheme="minorEastAsia" w:hAnsiTheme="minorEastAsia" w:eastAsiaTheme="minorEastAsia"/>
                <w:sz w:val="24"/>
                <w:highlight w:val="none"/>
              </w:rPr>
            </w:pPr>
          </w:p>
        </w:tc>
      </w:tr>
      <w:tr w14:paraId="3AB8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627212E">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124" w:type="pct"/>
            <w:vAlign w:val="center"/>
          </w:tcPr>
          <w:p w14:paraId="0630DB66">
            <w:pPr>
              <w:jc w:val="center"/>
              <w:rPr>
                <w:rFonts w:hint="eastAsia" w:ascii="宋体" w:hAnsi="宋体" w:eastAsia="宋体"/>
                <w:sz w:val="24"/>
                <w:highlight w:val="none"/>
              </w:rPr>
            </w:pPr>
            <w:r>
              <w:rPr>
                <w:rFonts w:hint="eastAsia" w:ascii="宋体" w:hAnsi="宋体" w:eastAsia="宋体"/>
                <w:sz w:val="24"/>
                <w:highlight w:val="none"/>
              </w:rPr>
              <w:t>服务期限</w:t>
            </w:r>
          </w:p>
        </w:tc>
        <w:tc>
          <w:tcPr>
            <w:tcW w:w="1465" w:type="pct"/>
            <w:vAlign w:val="center"/>
          </w:tcPr>
          <w:p w14:paraId="1B5D8AEF">
            <w:pPr>
              <w:jc w:val="center"/>
              <w:rPr>
                <w:rFonts w:hint="eastAsia" w:asciiTheme="minorEastAsia" w:hAnsiTheme="minorEastAsia" w:eastAsiaTheme="minorEastAsia"/>
                <w:sz w:val="24"/>
                <w:highlight w:val="none"/>
              </w:rPr>
            </w:pPr>
          </w:p>
        </w:tc>
        <w:tc>
          <w:tcPr>
            <w:tcW w:w="1510" w:type="pct"/>
            <w:vAlign w:val="center"/>
          </w:tcPr>
          <w:p w14:paraId="6EA7B31C">
            <w:pPr>
              <w:pStyle w:val="41"/>
              <w:jc w:val="center"/>
              <w:rPr>
                <w:rFonts w:hint="eastAsia" w:asciiTheme="minorEastAsia" w:hAnsiTheme="minorEastAsia" w:eastAsiaTheme="minorEastAsia"/>
                <w:highlight w:val="none"/>
              </w:rPr>
            </w:pPr>
          </w:p>
        </w:tc>
        <w:tc>
          <w:tcPr>
            <w:tcW w:w="475" w:type="pct"/>
            <w:vAlign w:val="center"/>
          </w:tcPr>
          <w:p w14:paraId="328F3388">
            <w:pPr>
              <w:jc w:val="center"/>
              <w:rPr>
                <w:rFonts w:hint="eastAsia" w:asciiTheme="minorEastAsia" w:hAnsiTheme="minorEastAsia" w:eastAsiaTheme="minorEastAsia"/>
                <w:sz w:val="24"/>
                <w:highlight w:val="none"/>
              </w:rPr>
            </w:pPr>
          </w:p>
        </w:tc>
      </w:tr>
      <w:tr w14:paraId="3B3F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AD315A5">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124" w:type="pct"/>
            <w:vAlign w:val="center"/>
          </w:tcPr>
          <w:p w14:paraId="6EF2548C">
            <w:pPr>
              <w:jc w:val="center"/>
              <w:rPr>
                <w:rFonts w:hint="eastAsia" w:ascii="宋体" w:hAnsi="宋体" w:eastAsia="宋体"/>
                <w:sz w:val="24"/>
                <w:highlight w:val="none"/>
              </w:rPr>
            </w:pPr>
          </w:p>
        </w:tc>
        <w:tc>
          <w:tcPr>
            <w:tcW w:w="1465" w:type="pct"/>
            <w:vAlign w:val="center"/>
          </w:tcPr>
          <w:p w14:paraId="61A2777E">
            <w:pPr>
              <w:jc w:val="center"/>
              <w:rPr>
                <w:rFonts w:hint="eastAsia" w:asciiTheme="minorEastAsia" w:hAnsiTheme="minorEastAsia" w:eastAsiaTheme="minorEastAsia"/>
                <w:sz w:val="24"/>
                <w:highlight w:val="none"/>
              </w:rPr>
            </w:pPr>
          </w:p>
        </w:tc>
        <w:tc>
          <w:tcPr>
            <w:tcW w:w="1510" w:type="pct"/>
            <w:vAlign w:val="center"/>
          </w:tcPr>
          <w:p w14:paraId="30CF07B3">
            <w:pPr>
              <w:jc w:val="center"/>
              <w:rPr>
                <w:rFonts w:hint="eastAsia" w:asciiTheme="minorEastAsia" w:hAnsiTheme="minorEastAsia" w:eastAsiaTheme="minorEastAsia"/>
                <w:sz w:val="24"/>
                <w:highlight w:val="none"/>
              </w:rPr>
            </w:pPr>
          </w:p>
        </w:tc>
        <w:tc>
          <w:tcPr>
            <w:tcW w:w="475" w:type="pct"/>
            <w:vAlign w:val="center"/>
          </w:tcPr>
          <w:p w14:paraId="11671939">
            <w:pPr>
              <w:jc w:val="center"/>
              <w:rPr>
                <w:rFonts w:hint="eastAsia" w:asciiTheme="minorEastAsia" w:hAnsiTheme="minorEastAsia" w:eastAsiaTheme="minorEastAsia"/>
                <w:sz w:val="24"/>
                <w:highlight w:val="none"/>
              </w:rPr>
            </w:pPr>
          </w:p>
        </w:tc>
      </w:tr>
    </w:tbl>
    <w:p w14:paraId="0A4122E7">
      <w:pPr>
        <w:spacing w:line="360" w:lineRule="auto"/>
        <w:ind w:firstLine="435"/>
        <w:outlineLvl w:val="2"/>
        <w:rPr>
          <w:rFonts w:hint="eastAsia" w:asciiTheme="minorEastAsia" w:hAnsiTheme="minorEastAsia" w:eastAsiaTheme="minorEastAsia"/>
          <w:bCs/>
          <w:i/>
          <w:iCs/>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技术响应表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711"/>
        <w:gridCol w:w="3141"/>
        <w:gridCol w:w="2722"/>
        <w:gridCol w:w="938"/>
      </w:tblGrid>
      <w:tr w14:paraId="612E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7FE4A000">
            <w:pPr>
              <w:pStyle w:val="14"/>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序号</w:t>
            </w:r>
          </w:p>
        </w:tc>
        <w:tc>
          <w:tcPr>
            <w:tcW w:w="915" w:type="pct"/>
            <w:vAlign w:val="center"/>
          </w:tcPr>
          <w:p w14:paraId="00DB2706">
            <w:pPr>
              <w:pStyle w:val="14"/>
              <w:jc w:val="center"/>
              <w:rPr>
                <w:rFonts w:hint="eastAsia" w:cs="Wingdings" w:asciiTheme="minorEastAsia" w:hAnsiTheme="minorEastAsia"/>
                <w:b/>
                <w:sz w:val="24"/>
                <w:highlight w:val="none"/>
              </w:rPr>
            </w:pPr>
            <w:r>
              <w:rPr>
                <w:rFonts w:hint="eastAsia" w:asciiTheme="minorEastAsia" w:hAnsiTheme="minorEastAsia"/>
                <w:b/>
                <w:bCs/>
                <w:sz w:val="24"/>
                <w:szCs w:val="24"/>
                <w:highlight w:val="none"/>
              </w:rPr>
              <w:t>货物名称</w:t>
            </w:r>
          </w:p>
        </w:tc>
        <w:tc>
          <w:tcPr>
            <w:tcW w:w="1680" w:type="pct"/>
            <w:vAlign w:val="center"/>
          </w:tcPr>
          <w:p w14:paraId="7274D0F1">
            <w:pPr>
              <w:pStyle w:val="14"/>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招标文件规定的技术参数要求</w:t>
            </w:r>
          </w:p>
        </w:tc>
        <w:tc>
          <w:tcPr>
            <w:tcW w:w="1456" w:type="pct"/>
            <w:vAlign w:val="center"/>
          </w:tcPr>
          <w:p w14:paraId="06809D80">
            <w:pPr>
              <w:pStyle w:val="14"/>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所投产品的品牌、型号及技术参数</w:t>
            </w:r>
          </w:p>
        </w:tc>
        <w:tc>
          <w:tcPr>
            <w:tcW w:w="502" w:type="pct"/>
            <w:vAlign w:val="center"/>
          </w:tcPr>
          <w:p w14:paraId="0F26DE64">
            <w:pPr>
              <w:pStyle w:val="14"/>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5F5B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B2E1F88">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915" w:type="pct"/>
            <w:vAlign w:val="center"/>
          </w:tcPr>
          <w:p w14:paraId="437C806B">
            <w:pPr>
              <w:jc w:val="center"/>
              <w:rPr>
                <w:rFonts w:hint="eastAsia" w:asciiTheme="minorEastAsia" w:hAnsiTheme="minorEastAsia" w:eastAsiaTheme="minorEastAsia"/>
                <w:sz w:val="24"/>
                <w:highlight w:val="none"/>
              </w:rPr>
            </w:pPr>
          </w:p>
        </w:tc>
        <w:tc>
          <w:tcPr>
            <w:tcW w:w="1680" w:type="pct"/>
            <w:vAlign w:val="center"/>
          </w:tcPr>
          <w:p w14:paraId="1A5764D0">
            <w:pPr>
              <w:jc w:val="center"/>
              <w:rPr>
                <w:rFonts w:hint="eastAsia" w:asciiTheme="minorEastAsia" w:hAnsiTheme="minorEastAsia" w:eastAsiaTheme="minorEastAsia"/>
                <w:sz w:val="24"/>
                <w:highlight w:val="none"/>
              </w:rPr>
            </w:pPr>
          </w:p>
        </w:tc>
        <w:tc>
          <w:tcPr>
            <w:tcW w:w="1456" w:type="pct"/>
            <w:vAlign w:val="center"/>
          </w:tcPr>
          <w:p w14:paraId="25C32E2B">
            <w:pPr>
              <w:jc w:val="center"/>
              <w:rPr>
                <w:rFonts w:hint="eastAsia" w:asciiTheme="minorEastAsia" w:hAnsiTheme="minorEastAsia" w:eastAsiaTheme="minorEastAsia"/>
                <w:sz w:val="24"/>
                <w:highlight w:val="none"/>
              </w:rPr>
            </w:pPr>
          </w:p>
        </w:tc>
        <w:tc>
          <w:tcPr>
            <w:tcW w:w="502" w:type="pct"/>
            <w:vAlign w:val="center"/>
          </w:tcPr>
          <w:p w14:paraId="4BCF00B6">
            <w:pPr>
              <w:jc w:val="center"/>
              <w:rPr>
                <w:rFonts w:hint="eastAsia" w:asciiTheme="minorEastAsia" w:hAnsiTheme="minorEastAsia" w:eastAsiaTheme="minorEastAsia"/>
                <w:sz w:val="24"/>
                <w:highlight w:val="none"/>
              </w:rPr>
            </w:pPr>
          </w:p>
        </w:tc>
      </w:tr>
      <w:tr w14:paraId="25C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5BAAD9E">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915" w:type="pct"/>
            <w:vAlign w:val="center"/>
          </w:tcPr>
          <w:p w14:paraId="25A350E1">
            <w:pPr>
              <w:jc w:val="center"/>
              <w:rPr>
                <w:rFonts w:hint="eastAsia" w:asciiTheme="minorEastAsia" w:hAnsiTheme="minorEastAsia" w:eastAsiaTheme="minorEastAsia"/>
                <w:sz w:val="24"/>
                <w:highlight w:val="none"/>
              </w:rPr>
            </w:pPr>
          </w:p>
        </w:tc>
        <w:tc>
          <w:tcPr>
            <w:tcW w:w="1680" w:type="pct"/>
            <w:vAlign w:val="center"/>
          </w:tcPr>
          <w:p w14:paraId="05629059">
            <w:pPr>
              <w:jc w:val="center"/>
              <w:rPr>
                <w:rFonts w:hint="eastAsia" w:asciiTheme="minorEastAsia" w:hAnsiTheme="minorEastAsia" w:eastAsiaTheme="minorEastAsia"/>
                <w:sz w:val="24"/>
                <w:highlight w:val="none"/>
              </w:rPr>
            </w:pPr>
          </w:p>
        </w:tc>
        <w:tc>
          <w:tcPr>
            <w:tcW w:w="1456" w:type="pct"/>
            <w:vAlign w:val="center"/>
          </w:tcPr>
          <w:p w14:paraId="31485A2F">
            <w:pPr>
              <w:jc w:val="center"/>
              <w:rPr>
                <w:rFonts w:hint="eastAsia" w:asciiTheme="minorEastAsia" w:hAnsiTheme="minorEastAsia" w:eastAsiaTheme="minorEastAsia"/>
                <w:sz w:val="24"/>
                <w:highlight w:val="none"/>
              </w:rPr>
            </w:pPr>
          </w:p>
        </w:tc>
        <w:tc>
          <w:tcPr>
            <w:tcW w:w="502" w:type="pct"/>
            <w:vAlign w:val="center"/>
          </w:tcPr>
          <w:p w14:paraId="3FB88B3A">
            <w:pPr>
              <w:jc w:val="center"/>
              <w:rPr>
                <w:rFonts w:hint="eastAsia" w:asciiTheme="minorEastAsia" w:hAnsiTheme="minorEastAsia" w:eastAsiaTheme="minorEastAsia"/>
                <w:sz w:val="24"/>
                <w:highlight w:val="none"/>
              </w:rPr>
            </w:pPr>
          </w:p>
        </w:tc>
      </w:tr>
      <w:tr w14:paraId="3C19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CDB45A9">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915" w:type="pct"/>
            <w:vAlign w:val="center"/>
          </w:tcPr>
          <w:p w14:paraId="230C1E8A">
            <w:pPr>
              <w:jc w:val="center"/>
              <w:rPr>
                <w:rFonts w:hint="eastAsia" w:asciiTheme="minorEastAsia" w:hAnsiTheme="minorEastAsia" w:eastAsiaTheme="minorEastAsia"/>
                <w:sz w:val="24"/>
                <w:highlight w:val="none"/>
              </w:rPr>
            </w:pPr>
          </w:p>
        </w:tc>
        <w:tc>
          <w:tcPr>
            <w:tcW w:w="1680" w:type="pct"/>
            <w:vAlign w:val="center"/>
          </w:tcPr>
          <w:p w14:paraId="22FC6C2D">
            <w:pPr>
              <w:jc w:val="center"/>
              <w:rPr>
                <w:rFonts w:hint="eastAsia" w:asciiTheme="minorEastAsia" w:hAnsiTheme="minorEastAsia" w:eastAsiaTheme="minorEastAsia"/>
                <w:sz w:val="24"/>
                <w:highlight w:val="none"/>
              </w:rPr>
            </w:pPr>
          </w:p>
        </w:tc>
        <w:tc>
          <w:tcPr>
            <w:tcW w:w="1456" w:type="pct"/>
            <w:vAlign w:val="center"/>
          </w:tcPr>
          <w:p w14:paraId="48CEBE3C">
            <w:pPr>
              <w:pStyle w:val="41"/>
              <w:jc w:val="center"/>
              <w:rPr>
                <w:rFonts w:hint="eastAsia" w:asciiTheme="minorEastAsia" w:hAnsiTheme="minorEastAsia" w:eastAsiaTheme="minorEastAsia"/>
                <w:highlight w:val="none"/>
              </w:rPr>
            </w:pPr>
          </w:p>
        </w:tc>
        <w:tc>
          <w:tcPr>
            <w:tcW w:w="502" w:type="pct"/>
            <w:vAlign w:val="center"/>
          </w:tcPr>
          <w:p w14:paraId="3E64CD01">
            <w:pPr>
              <w:jc w:val="center"/>
              <w:rPr>
                <w:rFonts w:hint="eastAsia" w:asciiTheme="minorEastAsia" w:hAnsiTheme="minorEastAsia" w:eastAsiaTheme="minorEastAsia"/>
                <w:sz w:val="24"/>
                <w:highlight w:val="none"/>
              </w:rPr>
            </w:pPr>
          </w:p>
        </w:tc>
      </w:tr>
      <w:tr w14:paraId="6D83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5351521">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915" w:type="pct"/>
            <w:vAlign w:val="center"/>
          </w:tcPr>
          <w:p w14:paraId="50785AC5">
            <w:pPr>
              <w:jc w:val="center"/>
              <w:rPr>
                <w:rFonts w:hint="eastAsia" w:asciiTheme="minorEastAsia" w:hAnsiTheme="minorEastAsia" w:eastAsiaTheme="minorEastAsia"/>
                <w:sz w:val="24"/>
                <w:highlight w:val="none"/>
              </w:rPr>
            </w:pPr>
          </w:p>
        </w:tc>
        <w:tc>
          <w:tcPr>
            <w:tcW w:w="1680" w:type="pct"/>
            <w:vAlign w:val="center"/>
          </w:tcPr>
          <w:p w14:paraId="343F11DB">
            <w:pPr>
              <w:jc w:val="center"/>
              <w:rPr>
                <w:rFonts w:hint="eastAsia" w:asciiTheme="minorEastAsia" w:hAnsiTheme="minorEastAsia" w:eastAsiaTheme="minorEastAsia"/>
                <w:sz w:val="24"/>
                <w:highlight w:val="none"/>
              </w:rPr>
            </w:pPr>
          </w:p>
        </w:tc>
        <w:tc>
          <w:tcPr>
            <w:tcW w:w="1456" w:type="pct"/>
            <w:vAlign w:val="center"/>
          </w:tcPr>
          <w:p w14:paraId="729CD3AD">
            <w:pPr>
              <w:pStyle w:val="41"/>
              <w:jc w:val="center"/>
              <w:rPr>
                <w:rFonts w:hint="eastAsia" w:asciiTheme="minorEastAsia" w:hAnsiTheme="minorEastAsia" w:eastAsiaTheme="minorEastAsia"/>
                <w:highlight w:val="none"/>
              </w:rPr>
            </w:pPr>
          </w:p>
        </w:tc>
        <w:tc>
          <w:tcPr>
            <w:tcW w:w="502" w:type="pct"/>
            <w:vAlign w:val="center"/>
          </w:tcPr>
          <w:p w14:paraId="05717AE1">
            <w:pPr>
              <w:jc w:val="center"/>
              <w:rPr>
                <w:rFonts w:hint="eastAsia" w:asciiTheme="minorEastAsia" w:hAnsiTheme="minorEastAsia" w:eastAsiaTheme="minorEastAsia"/>
                <w:sz w:val="24"/>
                <w:highlight w:val="none"/>
              </w:rPr>
            </w:pPr>
          </w:p>
        </w:tc>
      </w:tr>
      <w:tr w14:paraId="7B81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09A48B0">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915" w:type="pct"/>
            <w:vAlign w:val="center"/>
          </w:tcPr>
          <w:p w14:paraId="69E36DC3">
            <w:pPr>
              <w:jc w:val="center"/>
              <w:rPr>
                <w:rFonts w:hint="eastAsia" w:asciiTheme="minorEastAsia" w:hAnsiTheme="minorEastAsia" w:eastAsiaTheme="minorEastAsia"/>
                <w:sz w:val="24"/>
                <w:highlight w:val="none"/>
              </w:rPr>
            </w:pPr>
          </w:p>
        </w:tc>
        <w:tc>
          <w:tcPr>
            <w:tcW w:w="1680" w:type="pct"/>
            <w:vAlign w:val="center"/>
          </w:tcPr>
          <w:p w14:paraId="54F6CC59">
            <w:pPr>
              <w:jc w:val="center"/>
              <w:rPr>
                <w:rFonts w:hint="eastAsia" w:asciiTheme="minorEastAsia" w:hAnsiTheme="minorEastAsia" w:eastAsiaTheme="minorEastAsia"/>
                <w:sz w:val="24"/>
                <w:highlight w:val="none"/>
              </w:rPr>
            </w:pPr>
          </w:p>
        </w:tc>
        <w:tc>
          <w:tcPr>
            <w:tcW w:w="1456" w:type="pct"/>
            <w:vAlign w:val="center"/>
          </w:tcPr>
          <w:p w14:paraId="1B0A4B80">
            <w:pPr>
              <w:jc w:val="center"/>
              <w:rPr>
                <w:rFonts w:hint="eastAsia" w:asciiTheme="minorEastAsia" w:hAnsiTheme="minorEastAsia" w:eastAsiaTheme="minorEastAsia"/>
                <w:sz w:val="24"/>
                <w:highlight w:val="none"/>
              </w:rPr>
            </w:pPr>
          </w:p>
        </w:tc>
        <w:tc>
          <w:tcPr>
            <w:tcW w:w="502" w:type="pct"/>
            <w:vAlign w:val="center"/>
          </w:tcPr>
          <w:p w14:paraId="74FF26D1">
            <w:pPr>
              <w:jc w:val="center"/>
              <w:rPr>
                <w:rFonts w:hint="eastAsia" w:asciiTheme="minorEastAsia" w:hAnsiTheme="minorEastAsia" w:eastAsiaTheme="minorEastAsia"/>
                <w:sz w:val="24"/>
                <w:highlight w:val="none"/>
              </w:rPr>
            </w:pPr>
          </w:p>
        </w:tc>
      </w:tr>
    </w:tbl>
    <w:p w14:paraId="237846A3">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583AA05F">
      <w:pPr>
        <w:tabs>
          <w:tab w:val="left" w:pos="630"/>
        </w:tabs>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5C274F73">
      <w:pPr>
        <w:pStyle w:val="15"/>
        <w:spacing w:line="360" w:lineRule="auto"/>
        <w:rPr>
          <w:rFonts w:hint="eastAsia" w:asciiTheme="minorEastAsia" w:hAnsiTheme="minorEastAsia" w:eastAsiaTheme="minorEastAsia"/>
          <w:b w:val="0"/>
          <w:sz w:val="24"/>
          <w:highlight w:val="none"/>
        </w:rPr>
      </w:pPr>
      <w:r>
        <w:rPr>
          <w:rFonts w:asciiTheme="minorEastAsia" w:hAnsiTheme="minorEastAsia" w:eastAsiaTheme="minorEastAsia"/>
          <w:b w:val="0"/>
          <w:sz w:val="24"/>
          <w:highlight w:val="none"/>
        </w:rPr>
        <w:br w:type="page"/>
      </w:r>
    </w:p>
    <w:p w14:paraId="6B1FE10A">
      <w:pPr>
        <w:spacing w:line="360" w:lineRule="auto"/>
        <w:jc w:val="center"/>
        <w:outlineLvl w:val="1"/>
        <w:rPr>
          <w:rFonts w:hint="eastAsia" w:asciiTheme="minorEastAsia" w:hAnsiTheme="minorEastAsia" w:eastAsiaTheme="minorEastAsia"/>
          <w:b/>
          <w:sz w:val="24"/>
          <w:highlight w:val="none"/>
          <w:lang w:eastAsia="zh-CN"/>
        </w:rPr>
      </w:pPr>
      <w:bookmarkStart w:id="71" w:name="_Toc32534"/>
      <w:r>
        <w:rPr>
          <w:rFonts w:hint="eastAsia" w:asciiTheme="minorEastAsia" w:hAnsiTheme="minorEastAsia" w:eastAsiaTheme="minorEastAsia"/>
          <w:b/>
          <w:sz w:val="24"/>
          <w:highlight w:val="none"/>
        </w:rPr>
        <w:t>七．拟分包情况说明及分包意向协议</w:t>
      </w:r>
      <w:bookmarkEnd w:id="71"/>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lang w:val="en-US" w:eastAsia="zh-CN"/>
        </w:rPr>
        <w:t>如有</w:t>
      </w:r>
      <w:r>
        <w:rPr>
          <w:rFonts w:hint="eastAsia" w:asciiTheme="minorEastAsia" w:hAnsiTheme="minorEastAsia" w:eastAsiaTheme="minorEastAsia"/>
          <w:b/>
          <w:sz w:val="24"/>
          <w:highlight w:val="none"/>
          <w:lang w:eastAsia="zh-CN"/>
        </w:rPr>
        <w:t>）</w:t>
      </w:r>
    </w:p>
    <w:p w14:paraId="41093CE9">
      <w:pPr>
        <w:pStyle w:val="11"/>
        <w:jc w:val="center"/>
        <w:rPr>
          <w:rFonts w:hint="eastAsia" w:ascii="宋体" w:hAnsi="宋体" w:eastAsia="宋体" w:cs="@仿宋_GB2312"/>
          <w:i/>
          <w:iCs/>
          <w:color w:val="FF0000"/>
          <w:sz w:val="24"/>
          <w:szCs w:val="18"/>
          <w:highlight w:val="none"/>
          <w:lang w:val="en-US"/>
        </w:rPr>
      </w:pPr>
      <w:r>
        <w:rPr>
          <w:rFonts w:hint="eastAsia" w:ascii="宋体" w:hAnsi="宋体" w:eastAsia="宋体" w:cs="@仿宋_GB2312"/>
          <w:i/>
          <w:iCs/>
          <w:color w:val="FF0000"/>
          <w:sz w:val="24"/>
          <w:szCs w:val="18"/>
          <w:highlight w:val="none"/>
          <w:lang w:val="en-US"/>
        </w:rPr>
        <w:t>（</w:t>
      </w:r>
      <w:r>
        <w:rPr>
          <w:rFonts w:hint="eastAsia" w:ascii="宋体" w:hAnsi="宋体" w:eastAsia="宋体"/>
          <w:i/>
          <w:color w:val="FF0000"/>
          <w:sz w:val="24"/>
          <w:highlight w:val="none"/>
        </w:rPr>
        <w:t>不允许</w:t>
      </w:r>
      <w:r>
        <w:rPr>
          <w:rFonts w:hint="eastAsia" w:ascii="宋体" w:hAnsi="宋体" w:eastAsia="宋体"/>
          <w:i/>
          <w:color w:val="FF0000"/>
          <w:sz w:val="24"/>
          <w:highlight w:val="none"/>
          <w:lang w:val="en-US"/>
        </w:rPr>
        <w:t>合同分包</w:t>
      </w:r>
      <w:r>
        <w:rPr>
          <w:rFonts w:hint="eastAsia" w:ascii="宋体" w:hAnsi="宋体" w:eastAsia="宋体"/>
          <w:i/>
          <w:color w:val="FF0000"/>
          <w:sz w:val="24"/>
          <w:highlight w:val="none"/>
        </w:rPr>
        <w:t>或未</w:t>
      </w:r>
      <w:r>
        <w:rPr>
          <w:rFonts w:hint="eastAsia" w:ascii="宋体" w:hAnsi="宋体" w:eastAsia="宋体"/>
          <w:i/>
          <w:color w:val="FF0000"/>
          <w:sz w:val="24"/>
          <w:highlight w:val="none"/>
          <w:lang w:val="en-US"/>
        </w:rPr>
        <w:t>采用合同分包的</w:t>
      </w:r>
      <w:r>
        <w:rPr>
          <w:rFonts w:hint="eastAsia" w:ascii="宋体" w:hAnsi="宋体" w:eastAsia="宋体"/>
          <w:i/>
          <w:color w:val="FF0000"/>
          <w:sz w:val="24"/>
          <w:highlight w:val="none"/>
        </w:rPr>
        <w:t>，</w:t>
      </w:r>
      <w:r>
        <w:rPr>
          <w:rFonts w:hint="eastAsia" w:ascii="宋体" w:hAnsi="宋体" w:eastAsia="宋体" w:cs="@仿宋_GB2312"/>
          <w:i/>
          <w:iCs/>
          <w:color w:val="FF0000"/>
          <w:sz w:val="24"/>
          <w:szCs w:val="18"/>
          <w:highlight w:val="none"/>
          <w:lang w:val="en-US"/>
        </w:rPr>
        <w:t>不需</w:t>
      </w:r>
      <w:r>
        <w:rPr>
          <w:rFonts w:hint="eastAsia" w:ascii="宋体" w:hAnsi="宋体" w:eastAsia="宋体"/>
          <w:i/>
          <w:color w:val="FF0000"/>
          <w:sz w:val="24"/>
          <w:highlight w:val="none"/>
          <w:lang w:val="en-US"/>
        </w:rPr>
        <w:t>此件，请删去“拟分包情况说明及分包意向协议”</w:t>
      </w:r>
      <w:r>
        <w:rPr>
          <w:rFonts w:hint="eastAsia" w:ascii="宋体" w:hAnsi="宋体" w:eastAsia="宋体"/>
          <w:i/>
          <w:color w:val="FF0000"/>
          <w:sz w:val="24"/>
          <w:highlight w:val="none"/>
        </w:rPr>
        <w:t>；</w:t>
      </w:r>
      <w:r>
        <w:rPr>
          <w:rFonts w:hint="eastAsia" w:ascii="宋体" w:hAnsi="宋体" w:eastAsia="宋体"/>
          <w:i/>
          <w:color w:val="FF0000"/>
          <w:sz w:val="24"/>
          <w:highlight w:val="none"/>
          <w:lang w:val="en-US"/>
        </w:rPr>
        <w:t>允许合同分包且投标人采用合同分包的，请将此件制成扫描件上传，同时删去本提示内容）</w:t>
      </w:r>
    </w:p>
    <w:p w14:paraId="1A728F4A">
      <w:pPr>
        <w:spacing w:line="360" w:lineRule="auto"/>
        <w:jc w:val="center"/>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（一）拟分包情况说明</w:t>
      </w:r>
    </w:p>
    <w:p w14:paraId="37EFB8CA">
      <w:pPr>
        <w:pStyle w:val="15"/>
        <w:spacing w:line="360" w:lineRule="auto"/>
        <w:rPr>
          <w:rFonts w:hint="eastAsia" w:ascii="宋体" w:hAnsi="宋体"/>
          <w:sz w:val="24"/>
          <w:highlight w:val="none"/>
          <w:u w:val="single"/>
        </w:rPr>
      </w:pPr>
      <w:r>
        <w:rPr>
          <w:rFonts w:hint="eastAsia" w:ascii="宋体" w:hAnsi="宋体"/>
          <w:sz w:val="24"/>
          <w:highlight w:val="none"/>
        </w:rPr>
        <w:t>致：采购人</w:t>
      </w:r>
    </w:p>
    <w:p w14:paraId="0290EBFD">
      <w:pPr>
        <w:pStyle w:val="11"/>
        <w:spacing w:before="181" w:line="359" w:lineRule="auto"/>
        <w:ind w:left="9" w:right="54" w:firstLine="481"/>
        <w:rPr>
          <w:rFonts w:hint="eastAsia" w:ascii="宋体" w:hAnsi="宋体" w:eastAsia="宋体" w:cs="宋体"/>
          <w:sz w:val="24"/>
          <w:highlight w:val="none"/>
        </w:rPr>
      </w:pPr>
      <w:r>
        <w:rPr>
          <w:rFonts w:hint="eastAsia" w:ascii="宋体" w:hAnsi="宋体" w:eastAsia="宋体" w:cs="宋体"/>
          <w:spacing w:val="-3"/>
          <w:sz w:val="24"/>
          <w:highlight w:val="none"/>
        </w:rPr>
        <w:t>我单位参加</w:t>
      </w:r>
      <w:r>
        <w:rPr>
          <w:rFonts w:hint="eastAsia" w:ascii="宋体" w:hAnsi="宋体" w:eastAsia="宋体" w:cs="宋体"/>
          <w:spacing w:val="-3"/>
          <w:sz w:val="24"/>
          <w:highlight w:val="none"/>
          <w:lang w:val="en-US"/>
        </w:rPr>
        <w:t>本项目</w:t>
      </w:r>
      <w:r>
        <w:rPr>
          <w:rFonts w:hint="eastAsia" w:cs="@仿宋_GB2312" w:asciiTheme="minorEastAsia" w:hAnsiTheme="minorEastAsia" w:eastAsiaTheme="minorEastAsia"/>
          <w:sz w:val="24"/>
          <w:szCs w:val="20"/>
          <w:highlight w:val="none"/>
          <w:lang w:val="en-US"/>
        </w:rPr>
        <w:t>投标，拟签订分包合同的单位情况如下表所示，我单位承诺一旦在该项目中获得采购合同将按下表所列情况进行分包，同时承诺分包承担主体不再次分包。</w:t>
      </w:r>
    </w:p>
    <w:tbl>
      <w:tblPr>
        <w:tblStyle w:val="59"/>
        <w:tblW w:w="9111"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286"/>
        <w:gridCol w:w="1684"/>
        <w:gridCol w:w="1122"/>
        <w:gridCol w:w="1390"/>
        <w:gridCol w:w="1497"/>
        <w:gridCol w:w="1569"/>
      </w:tblGrid>
      <w:tr w14:paraId="764F9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3" w:type="dxa"/>
            <w:textDirection w:val="tbRlV"/>
            <w:vAlign w:val="center"/>
          </w:tcPr>
          <w:p w14:paraId="0CB9EAC8">
            <w:pPr>
              <w:ind w:left="170" w:right="164"/>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序号</w:t>
            </w:r>
          </w:p>
        </w:tc>
        <w:tc>
          <w:tcPr>
            <w:tcW w:w="1286" w:type="dxa"/>
            <w:vAlign w:val="center"/>
          </w:tcPr>
          <w:p w14:paraId="5370B208">
            <w:pPr>
              <w:ind w:left="170" w:right="164"/>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分包承担主体名称</w:t>
            </w:r>
          </w:p>
        </w:tc>
        <w:tc>
          <w:tcPr>
            <w:tcW w:w="1684" w:type="dxa"/>
            <w:vAlign w:val="center"/>
          </w:tcPr>
          <w:p w14:paraId="256AB04B">
            <w:pPr>
              <w:ind w:left="170" w:right="164"/>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分包承担主体类型（选择）</w:t>
            </w:r>
          </w:p>
        </w:tc>
        <w:tc>
          <w:tcPr>
            <w:tcW w:w="1122" w:type="dxa"/>
            <w:vAlign w:val="center"/>
          </w:tcPr>
          <w:p w14:paraId="08F9FE2C">
            <w:pPr>
              <w:ind w:left="170" w:right="164"/>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资质等级</w:t>
            </w:r>
          </w:p>
        </w:tc>
        <w:tc>
          <w:tcPr>
            <w:tcW w:w="1390" w:type="dxa"/>
            <w:vAlign w:val="center"/>
          </w:tcPr>
          <w:p w14:paraId="7998980D">
            <w:pPr>
              <w:ind w:left="170" w:right="164"/>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拟分包合同内容</w:t>
            </w:r>
          </w:p>
        </w:tc>
        <w:tc>
          <w:tcPr>
            <w:tcW w:w="1497" w:type="dxa"/>
            <w:vAlign w:val="center"/>
          </w:tcPr>
          <w:p w14:paraId="6E0E2228">
            <w:pPr>
              <w:ind w:left="170" w:right="164"/>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拟分包合同金额（人民币元）</w:t>
            </w:r>
          </w:p>
        </w:tc>
        <w:tc>
          <w:tcPr>
            <w:tcW w:w="1569" w:type="dxa"/>
            <w:vAlign w:val="center"/>
          </w:tcPr>
          <w:p w14:paraId="2F41470D">
            <w:pPr>
              <w:ind w:left="170" w:right="164"/>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占合同金额的比例（%）</w:t>
            </w:r>
          </w:p>
        </w:tc>
      </w:tr>
      <w:tr w14:paraId="36C04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3" w:type="dxa"/>
            <w:vAlign w:val="center"/>
          </w:tcPr>
          <w:p w14:paraId="66034628">
            <w:pPr>
              <w:pStyle w:val="60"/>
              <w:spacing w:before="69" w:line="199"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86" w:type="dxa"/>
            <w:vAlign w:val="center"/>
          </w:tcPr>
          <w:p w14:paraId="26A75176">
            <w:pPr>
              <w:pStyle w:val="60"/>
              <w:rPr>
                <w:rFonts w:hint="eastAsia" w:ascii="宋体" w:hAnsi="宋体" w:eastAsia="宋体" w:cs="宋体"/>
                <w:highlight w:val="none"/>
              </w:rPr>
            </w:pPr>
          </w:p>
        </w:tc>
        <w:tc>
          <w:tcPr>
            <w:tcW w:w="1684" w:type="dxa"/>
            <w:vAlign w:val="center"/>
          </w:tcPr>
          <w:p w14:paraId="7BECE90A">
            <w:pPr>
              <w:pStyle w:val="60"/>
              <w:spacing w:before="37" w:line="221" w:lineRule="auto"/>
              <w:ind w:left="134"/>
              <w:rPr>
                <w:rFonts w:hint="eastAsia"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□中型企业</w:t>
            </w:r>
          </w:p>
          <w:p w14:paraId="4AB52848">
            <w:pPr>
              <w:pStyle w:val="60"/>
              <w:spacing w:before="22" w:line="223" w:lineRule="auto"/>
              <w:ind w:left="373" w:right="208" w:hanging="239"/>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□小微企业</w:t>
            </w:r>
          </w:p>
          <w:p w14:paraId="22D7318B">
            <w:pPr>
              <w:pStyle w:val="60"/>
              <w:spacing w:before="22" w:line="223" w:lineRule="auto"/>
              <w:ind w:left="373" w:right="208" w:hanging="239"/>
              <w:rPr>
                <w:rFonts w:hint="eastAsia" w:ascii="宋体" w:hAnsi="宋体" w:eastAsia="宋体" w:cs="宋体"/>
                <w:sz w:val="24"/>
                <w:szCs w:val="24"/>
                <w:highlight w:val="none"/>
                <w:lang w:eastAsia="zh-CN"/>
              </w:rPr>
            </w:pPr>
            <w:r>
              <w:rPr>
                <w:rFonts w:hint="eastAsia" w:ascii="宋体" w:hAnsi="宋体" w:eastAsia="宋体" w:cs="宋体"/>
                <w:spacing w:val="19"/>
                <w:sz w:val="24"/>
                <w:szCs w:val="24"/>
                <w:highlight w:val="none"/>
                <w:lang w:eastAsia="zh-CN"/>
              </w:rPr>
              <w:t>□其他</w:t>
            </w:r>
          </w:p>
        </w:tc>
        <w:tc>
          <w:tcPr>
            <w:tcW w:w="1122" w:type="dxa"/>
            <w:vAlign w:val="center"/>
          </w:tcPr>
          <w:p w14:paraId="34945DBD">
            <w:pPr>
              <w:pStyle w:val="60"/>
              <w:rPr>
                <w:rFonts w:hint="eastAsia" w:ascii="宋体" w:hAnsi="宋体" w:eastAsia="宋体" w:cs="宋体"/>
                <w:highlight w:val="none"/>
                <w:lang w:eastAsia="zh-CN"/>
              </w:rPr>
            </w:pPr>
          </w:p>
        </w:tc>
        <w:tc>
          <w:tcPr>
            <w:tcW w:w="1390" w:type="dxa"/>
            <w:vAlign w:val="center"/>
          </w:tcPr>
          <w:p w14:paraId="3ADCF700">
            <w:pPr>
              <w:pStyle w:val="60"/>
              <w:rPr>
                <w:rFonts w:hint="eastAsia" w:ascii="宋体" w:hAnsi="宋体" w:eastAsia="宋体" w:cs="宋体"/>
                <w:highlight w:val="none"/>
                <w:lang w:eastAsia="zh-CN"/>
              </w:rPr>
            </w:pPr>
          </w:p>
        </w:tc>
        <w:tc>
          <w:tcPr>
            <w:tcW w:w="1497" w:type="dxa"/>
            <w:vAlign w:val="center"/>
          </w:tcPr>
          <w:p w14:paraId="49FC7E96">
            <w:pPr>
              <w:pStyle w:val="60"/>
              <w:rPr>
                <w:rFonts w:hint="eastAsia" w:ascii="宋体" w:hAnsi="宋体" w:eastAsia="宋体" w:cs="宋体"/>
                <w:highlight w:val="none"/>
                <w:lang w:eastAsia="zh-CN"/>
              </w:rPr>
            </w:pPr>
          </w:p>
        </w:tc>
        <w:tc>
          <w:tcPr>
            <w:tcW w:w="1569" w:type="dxa"/>
            <w:vAlign w:val="center"/>
          </w:tcPr>
          <w:p w14:paraId="7691142F">
            <w:pPr>
              <w:pStyle w:val="60"/>
              <w:rPr>
                <w:rFonts w:hint="eastAsia" w:ascii="宋体" w:hAnsi="宋体" w:eastAsia="宋体" w:cs="宋体"/>
                <w:highlight w:val="none"/>
                <w:lang w:eastAsia="zh-CN"/>
              </w:rPr>
            </w:pPr>
          </w:p>
        </w:tc>
      </w:tr>
      <w:tr w14:paraId="4A84E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563" w:type="dxa"/>
            <w:vAlign w:val="center"/>
          </w:tcPr>
          <w:p w14:paraId="0A100F95">
            <w:pPr>
              <w:pStyle w:val="60"/>
              <w:spacing w:before="69" w:line="201" w:lineRule="auto"/>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p>
        </w:tc>
        <w:tc>
          <w:tcPr>
            <w:tcW w:w="1286" w:type="dxa"/>
            <w:vAlign w:val="center"/>
          </w:tcPr>
          <w:p w14:paraId="253276A3">
            <w:pPr>
              <w:pStyle w:val="60"/>
              <w:rPr>
                <w:rFonts w:hint="eastAsia" w:ascii="宋体" w:hAnsi="宋体" w:eastAsia="宋体" w:cs="宋体"/>
                <w:highlight w:val="none"/>
              </w:rPr>
            </w:pPr>
          </w:p>
        </w:tc>
        <w:tc>
          <w:tcPr>
            <w:tcW w:w="1684" w:type="dxa"/>
            <w:vAlign w:val="center"/>
          </w:tcPr>
          <w:p w14:paraId="1BFE04D6">
            <w:pPr>
              <w:pStyle w:val="60"/>
              <w:spacing w:before="38" w:line="221" w:lineRule="auto"/>
              <w:ind w:left="134"/>
              <w:rPr>
                <w:rFonts w:hint="eastAsia"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□中型企业</w:t>
            </w:r>
          </w:p>
          <w:p w14:paraId="7B0C535D">
            <w:pPr>
              <w:pStyle w:val="60"/>
              <w:spacing w:before="25" w:line="222" w:lineRule="auto"/>
              <w:ind w:left="373" w:right="208" w:hanging="239"/>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□小微企业</w:t>
            </w:r>
          </w:p>
          <w:p w14:paraId="22E71DE2">
            <w:pPr>
              <w:pStyle w:val="60"/>
              <w:spacing w:before="25" w:line="222" w:lineRule="auto"/>
              <w:ind w:left="373" w:right="208" w:hanging="239"/>
              <w:rPr>
                <w:rFonts w:hint="eastAsia" w:ascii="宋体" w:hAnsi="宋体" w:eastAsia="宋体" w:cs="宋体"/>
                <w:sz w:val="24"/>
                <w:szCs w:val="24"/>
                <w:highlight w:val="none"/>
                <w:lang w:eastAsia="zh-CN"/>
              </w:rPr>
            </w:pPr>
            <w:r>
              <w:rPr>
                <w:rFonts w:hint="eastAsia" w:ascii="宋体" w:hAnsi="宋体" w:eastAsia="宋体" w:cs="宋体"/>
                <w:spacing w:val="19"/>
                <w:sz w:val="24"/>
                <w:szCs w:val="24"/>
                <w:highlight w:val="none"/>
                <w:lang w:eastAsia="zh-CN"/>
              </w:rPr>
              <w:t>□其他</w:t>
            </w:r>
          </w:p>
        </w:tc>
        <w:tc>
          <w:tcPr>
            <w:tcW w:w="1122" w:type="dxa"/>
            <w:vAlign w:val="center"/>
          </w:tcPr>
          <w:p w14:paraId="17722DC3">
            <w:pPr>
              <w:pStyle w:val="60"/>
              <w:rPr>
                <w:rFonts w:hint="eastAsia" w:ascii="宋体" w:hAnsi="宋体" w:eastAsia="宋体" w:cs="宋体"/>
                <w:highlight w:val="none"/>
                <w:lang w:eastAsia="zh-CN"/>
              </w:rPr>
            </w:pPr>
          </w:p>
        </w:tc>
        <w:tc>
          <w:tcPr>
            <w:tcW w:w="1390" w:type="dxa"/>
            <w:vAlign w:val="center"/>
          </w:tcPr>
          <w:p w14:paraId="12525055">
            <w:pPr>
              <w:pStyle w:val="60"/>
              <w:rPr>
                <w:rFonts w:hint="eastAsia" w:ascii="宋体" w:hAnsi="宋体" w:eastAsia="宋体" w:cs="宋体"/>
                <w:highlight w:val="none"/>
                <w:lang w:eastAsia="zh-CN"/>
              </w:rPr>
            </w:pPr>
          </w:p>
        </w:tc>
        <w:tc>
          <w:tcPr>
            <w:tcW w:w="1497" w:type="dxa"/>
            <w:vAlign w:val="center"/>
          </w:tcPr>
          <w:p w14:paraId="7AE09315">
            <w:pPr>
              <w:pStyle w:val="60"/>
              <w:rPr>
                <w:rFonts w:hint="eastAsia" w:ascii="宋体" w:hAnsi="宋体" w:eastAsia="宋体" w:cs="宋体"/>
                <w:highlight w:val="none"/>
                <w:lang w:eastAsia="zh-CN"/>
              </w:rPr>
            </w:pPr>
          </w:p>
        </w:tc>
        <w:tc>
          <w:tcPr>
            <w:tcW w:w="1569" w:type="dxa"/>
            <w:vAlign w:val="center"/>
          </w:tcPr>
          <w:p w14:paraId="14779467">
            <w:pPr>
              <w:pStyle w:val="60"/>
              <w:rPr>
                <w:rFonts w:hint="eastAsia" w:ascii="宋体" w:hAnsi="宋体" w:eastAsia="宋体" w:cs="宋体"/>
                <w:highlight w:val="none"/>
                <w:lang w:eastAsia="zh-CN"/>
              </w:rPr>
            </w:pPr>
          </w:p>
        </w:tc>
      </w:tr>
      <w:tr w14:paraId="44481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center"/>
          </w:tcPr>
          <w:p w14:paraId="685E2811">
            <w:pPr>
              <w:pStyle w:val="60"/>
              <w:spacing w:before="69" w:line="81" w:lineRule="exact"/>
              <w:jc w:val="center"/>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w:t>
            </w:r>
          </w:p>
        </w:tc>
        <w:tc>
          <w:tcPr>
            <w:tcW w:w="1286" w:type="dxa"/>
            <w:vAlign w:val="center"/>
          </w:tcPr>
          <w:p w14:paraId="7F34083C">
            <w:pPr>
              <w:pStyle w:val="60"/>
              <w:rPr>
                <w:rFonts w:hint="eastAsia" w:ascii="宋体" w:hAnsi="宋体" w:eastAsia="宋体" w:cs="宋体"/>
                <w:highlight w:val="none"/>
              </w:rPr>
            </w:pPr>
          </w:p>
        </w:tc>
        <w:tc>
          <w:tcPr>
            <w:tcW w:w="1684" w:type="dxa"/>
            <w:vAlign w:val="center"/>
          </w:tcPr>
          <w:p w14:paraId="0A2CF3DD">
            <w:pPr>
              <w:pStyle w:val="60"/>
              <w:rPr>
                <w:rFonts w:hint="eastAsia" w:ascii="宋体" w:hAnsi="宋体" w:eastAsia="宋体" w:cs="宋体"/>
                <w:highlight w:val="none"/>
              </w:rPr>
            </w:pPr>
          </w:p>
        </w:tc>
        <w:tc>
          <w:tcPr>
            <w:tcW w:w="1122" w:type="dxa"/>
            <w:vAlign w:val="center"/>
          </w:tcPr>
          <w:p w14:paraId="799427BE">
            <w:pPr>
              <w:pStyle w:val="60"/>
              <w:rPr>
                <w:rFonts w:hint="eastAsia" w:ascii="宋体" w:hAnsi="宋体" w:eastAsia="宋体" w:cs="宋体"/>
                <w:highlight w:val="none"/>
              </w:rPr>
            </w:pPr>
          </w:p>
        </w:tc>
        <w:tc>
          <w:tcPr>
            <w:tcW w:w="1390" w:type="dxa"/>
            <w:vAlign w:val="center"/>
          </w:tcPr>
          <w:p w14:paraId="43C5A8A6">
            <w:pPr>
              <w:pStyle w:val="60"/>
              <w:rPr>
                <w:rFonts w:hint="eastAsia" w:ascii="宋体" w:hAnsi="宋体" w:eastAsia="宋体" w:cs="宋体"/>
                <w:highlight w:val="none"/>
              </w:rPr>
            </w:pPr>
          </w:p>
        </w:tc>
        <w:tc>
          <w:tcPr>
            <w:tcW w:w="1497" w:type="dxa"/>
            <w:vAlign w:val="center"/>
          </w:tcPr>
          <w:p w14:paraId="10E3AF44">
            <w:pPr>
              <w:pStyle w:val="60"/>
              <w:rPr>
                <w:rFonts w:hint="eastAsia" w:ascii="宋体" w:hAnsi="宋体" w:eastAsia="宋体" w:cs="宋体"/>
                <w:highlight w:val="none"/>
              </w:rPr>
            </w:pPr>
          </w:p>
        </w:tc>
        <w:tc>
          <w:tcPr>
            <w:tcW w:w="1569" w:type="dxa"/>
            <w:vAlign w:val="center"/>
          </w:tcPr>
          <w:p w14:paraId="09C777B5">
            <w:pPr>
              <w:pStyle w:val="60"/>
              <w:rPr>
                <w:rFonts w:hint="eastAsia" w:ascii="宋体" w:hAnsi="宋体" w:eastAsia="宋体" w:cs="宋体"/>
                <w:highlight w:val="none"/>
              </w:rPr>
            </w:pPr>
          </w:p>
        </w:tc>
      </w:tr>
      <w:tr w14:paraId="109AE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45" w:type="dxa"/>
            <w:gridSpan w:val="5"/>
            <w:vAlign w:val="center"/>
          </w:tcPr>
          <w:p w14:paraId="1BACFB3A">
            <w:pPr>
              <w:spacing w:before="193" w:line="222" w:lineRule="auto"/>
              <w:ind w:left="5170"/>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合计：</w:t>
            </w:r>
          </w:p>
        </w:tc>
        <w:tc>
          <w:tcPr>
            <w:tcW w:w="1497" w:type="dxa"/>
            <w:vAlign w:val="center"/>
          </w:tcPr>
          <w:p w14:paraId="562EB0EB">
            <w:pPr>
              <w:pStyle w:val="60"/>
              <w:rPr>
                <w:rFonts w:hint="eastAsia" w:ascii="宋体" w:hAnsi="宋体" w:eastAsia="宋体" w:cs="宋体"/>
                <w:highlight w:val="none"/>
              </w:rPr>
            </w:pPr>
          </w:p>
        </w:tc>
        <w:tc>
          <w:tcPr>
            <w:tcW w:w="1569" w:type="dxa"/>
            <w:vAlign w:val="center"/>
          </w:tcPr>
          <w:p w14:paraId="584600D6">
            <w:pPr>
              <w:pStyle w:val="60"/>
              <w:rPr>
                <w:rFonts w:hint="eastAsia" w:ascii="宋体" w:hAnsi="宋体" w:eastAsia="宋体" w:cs="宋体"/>
                <w:highlight w:val="none"/>
              </w:rPr>
            </w:pPr>
          </w:p>
        </w:tc>
      </w:tr>
    </w:tbl>
    <w:p w14:paraId="219A4CD2">
      <w:pPr>
        <w:spacing w:line="272" w:lineRule="auto"/>
        <w:rPr>
          <w:rFonts w:hint="eastAsia" w:ascii="宋体" w:hAnsi="宋体" w:eastAsia="宋体" w:cs="宋体"/>
          <w:highlight w:val="none"/>
        </w:rPr>
      </w:pPr>
    </w:p>
    <w:p w14:paraId="3781E0A4">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p>
    <w:p w14:paraId="0C93D0F1">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1DC36D78">
      <w:pPr>
        <w:pStyle w:val="11"/>
        <w:spacing w:before="1" w:line="224" w:lineRule="auto"/>
        <w:ind w:left="9"/>
        <w:rPr>
          <w:rFonts w:hint="eastAsia" w:ascii="宋体" w:hAnsi="宋体" w:eastAsia="宋体" w:cs="宋体"/>
          <w:sz w:val="24"/>
          <w:highlight w:val="none"/>
        </w:rPr>
      </w:pPr>
      <w:r>
        <w:rPr>
          <w:rFonts w:hint="eastAsia" w:ascii="宋体" w:hAnsi="宋体" w:eastAsia="宋体" w:cs="宋体"/>
          <w:spacing w:val="-17"/>
          <w:sz w:val="24"/>
          <w:highlight w:val="none"/>
        </w:rPr>
        <w:t>注：</w:t>
      </w:r>
    </w:p>
    <w:p w14:paraId="6D4B45B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1.拟分包情况说明仅需加盖投标人电子签章。</w:t>
      </w:r>
    </w:p>
    <w:p w14:paraId="7BBF903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2.如招标文件载明本项目分包承担主体应具备的相应资质条件，则投标人须在本表中列明分包承担主体的资质等级，并后附材料扫描件或电子证照，否则</w:t>
      </w:r>
      <w:r>
        <w:rPr>
          <w:rFonts w:hint="eastAsia" w:asciiTheme="minorEastAsia" w:hAnsiTheme="minorEastAsia" w:eastAsiaTheme="minorEastAsia"/>
          <w:b/>
          <w:bCs/>
          <w:sz w:val="24"/>
          <w:highlight w:val="none"/>
        </w:rPr>
        <w:t>投标无效</w:t>
      </w:r>
      <w:r>
        <w:rPr>
          <w:rFonts w:hint="eastAsia" w:asciiTheme="minorEastAsia" w:hAnsiTheme="minorEastAsia" w:eastAsiaTheme="minorEastAsia"/>
          <w:sz w:val="24"/>
          <w:highlight w:val="none"/>
        </w:rPr>
        <w:t>。</w:t>
      </w:r>
    </w:p>
    <w:p w14:paraId="7F0C9A78">
      <w:pPr>
        <w:spacing w:line="220" w:lineRule="auto"/>
        <w:rPr>
          <w:rFonts w:hint="eastAsia" w:ascii="宋体" w:hAnsi="宋体" w:eastAsia="宋体" w:cs="宋体"/>
          <w:sz w:val="24"/>
          <w:szCs w:val="24"/>
          <w:highlight w:val="none"/>
        </w:rPr>
        <w:sectPr>
          <w:headerReference r:id="rId5" w:type="default"/>
          <w:footerReference r:id="rId6" w:type="default"/>
          <w:pgSz w:w="11907" w:h="16840"/>
          <w:pgMar w:top="1117" w:right="1078" w:bottom="1060" w:left="1700" w:header="510" w:footer="886" w:gutter="0"/>
          <w:pgNumType w:start="1"/>
          <w:cols w:space="720" w:num="1"/>
        </w:sectPr>
      </w:pPr>
    </w:p>
    <w:p w14:paraId="218EDD9D">
      <w:pPr>
        <w:spacing w:line="360" w:lineRule="auto"/>
        <w:jc w:val="center"/>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（二）分包意向协议</w:t>
      </w:r>
    </w:p>
    <w:p w14:paraId="00D898CB">
      <w:pPr>
        <w:spacing w:line="360" w:lineRule="auto"/>
        <w:ind w:firstLine="435"/>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投标人名称：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106A658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接受分包企业一名称：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5CC5FEA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接受分包企业二名称：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32C82A3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p w14:paraId="44098A8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依据《政府采购促进中小企业发展管理办法》（财库〔2020〕46号）第八条规定，</w:t>
      </w:r>
      <w:r>
        <w:rPr>
          <w:rFonts w:asciiTheme="minorEastAsia" w:hAnsiTheme="minorEastAsia" w:eastAsiaTheme="minorEastAsia"/>
          <w:sz w:val="24"/>
          <w:highlight w:val="none"/>
        </w:rPr>
        <w:t>现就</w:t>
      </w:r>
      <w:r>
        <w:rPr>
          <w:rFonts w:hint="eastAsia" w:asciiTheme="minorEastAsia" w:hAnsiTheme="minorEastAsia" w:eastAsiaTheme="minorEastAsia"/>
          <w:sz w:val="24"/>
          <w:highlight w:val="none"/>
        </w:rPr>
        <w:t>分包意向</w:t>
      </w:r>
      <w:r>
        <w:rPr>
          <w:rFonts w:asciiTheme="minorEastAsia" w:hAnsiTheme="minorEastAsia" w:eastAsiaTheme="minorEastAsia"/>
          <w:sz w:val="24"/>
          <w:highlight w:val="none"/>
        </w:rPr>
        <w:t>事宜订立如下协议：</w:t>
      </w:r>
    </w:p>
    <w:p w14:paraId="3D1530F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1.本项目投标人为本项目总承包单位。</w:t>
      </w:r>
    </w:p>
    <w:p w14:paraId="71055E1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在本项目投标阶段，总承包单位负责投标项目的一切组织、协调工作，并授权代理人参加项目的投标，代理人在投标、开标、评标、合同签订过程中所签署的一切文件和处理与本次招标有关的一切事务，总承包单位与采购人签订本项目采购合同，分别与各分包企业签订分包合同，就本项目对采购人承担连带责任。</w:t>
      </w:r>
    </w:p>
    <w:p w14:paraId="75F7355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各</w:t>
      </w:r>
      <w:r>
        <w:rPr>
          <w:rFonts w:asciiTheme="minorEastAsia" w:hAnsiTheme="minorEastAsia" w:eastAsiaTheme="minorEastAsia"/>
          <w:sz w:val="24"/>
          <w:highlight w:val="none"/>
        </w:rPr>
        <w:t>单位内部的职责分工</w:t>
      </w:r>
      <w:r>
        <w:rPr>
          <w:rFonts w:hint="eastAsia" w:asciiTheme="minorEastAsia" w:hAnsiTheme="minorEastAsia" w:eastAsiaTheme="minorEastAsia"/>
          <w:sz w:val="24"/>
          <w:highlight w:val="none"/>
        </w:rPr>
        <w:t>及各方负责内容的合同金额占总合同金额的百分比</w:t>
      </w:r>
      <w:r>
        <w:rPr>
          <w:rFonts w:asciiTheme="minorEastAsia" w:hAnsiTheme="minorEastAsia" w:eastAsiaTheme="minorEastAsia"/>
          <w:sz w:val="24"/>
          <w:highlight w:val="none"/>
        </w:rPr>
        <w:t>如下：</w:t>
      </w:r>
    </w:p>
    <w:p w14:paraId="27C6A2E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A6520DD">
      <w:pPr>
        <w:spacing w:line="360" w:lineRule="auto"/>
        <w:ind w:firstLine="435"/>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接受分包企业一名称：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64AA6BB1">
      <w:pPr>
        <w:spacing w:line="360" w:lineRule="auto"/>
        <w:ind w:firstLine="435"/>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接受分包企业二名称：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78F241FC">
      <w:pPr>
        <w:spacing w:line="360" w:lineRule="auto"/>
        <w:ind w:firstLine="435"/>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14:paraId="00DA54D7">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中标后，本</w:t>
      </w:r>
      <w:r>
        <w:rPr>
          <w:rFonts w:hint="eastAsia" w:asciiTheme="minorEastAsia" w:hAnsiTheme="minorEastAsia" w:eastAsiaTheme="minorEastAsia"/>
          <w:sz w:val="24"/>
          <w:highlight w:val="none"/>
        </w:rPr>
        <w:t>分包意向</w:t>
      </w:r>
      <w:r>
        <w:rPr>
          <w:rFonts w:asciiTheme="minorEastAsia" w:hAnsiTheme="minorEastAsia" w:eastAsiaTheme="minorEastAsia"/>
          <w:sz w:val="24"/>
          <w:highlight w:val="none"/>
        </w:rPr>
        <w:t>协议是合同的附件，对</w:t>
      </w:r>
      <w:r>
        <w:rPr>
          <w:rFonts w:hint="eastAsia" w:asciiTheme="minorEastAsia" w:hAnsiTheme="minorEastAsia" w:eastAsiaTheme="minorEastAsia"/>
          <w:sz w:val="24"/>
          <w:highlight w:val="none"/>
        </w:rPr>
        <w:t>分包</w:t>
      </w:r>
      <w:r>
        <w:rPr>
          <w:rFonts w:asciiTheme="minorEastAsia" w:hAnsiTheme="minorEastAsia" w:eastAsiaTheme="minorEastAsia"/>
          <w:sz w:val="24"/>
          <w:highlight w:val="none"/>
        </w:rPr>
        <w:t>各成员单位有合同约束力。</w:t>
      </w:r>
    </w:p>
    <w:p w14:paraId="52F56BFC">
      <w:pPr>
        <w:spacing w:line="360" w:lineRule="auto"/>
        <w:ind w:firstLine="435"/>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本协议书自签署之日起生效，未中标或者合同履行完毕后自动失效。</w:t>
      </w:r>
    </w:p>
    <w:p w14:paraId="2C3C7F0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6.接受分包的中小企业与总承包单位不存在直接控股、管理关系。</w:t>
      </w:r>
    </w:p>
    <w:p w14:paraId="27E15A93">
      <w:pPr>
        <w:pStyle w:val="11"/>
        <w:rPr>
          <w:rFonts w:hint="eastAsia"/>
          <w:highlight w:val="none"/>
          <w:lang w:val="en-US"/>
        </w:rPr>
      </w:pPr>
    </w:p>
    <w:p w14:paraId="0B5C93F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79A641E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7A3B1175">
      <w:pPr>
        <w:spacing w:line="360" w:lineRule="auto"/>
        <w:ind w:firstLine="435"/>
        <w:rPr>
          <w:rFonts w:hint="eastAsia" w:asciiTheme="minorEastAsia" w:hAnsiTheme="minorEastAsia" w:eastAsiaTheme="minorEastAsia"/>
          <w:sz w:val="24"/>
          <w:highlight w:val="none"/>
        </w:rPr>
      </w:pPr>
    </w:p>
    <w:p w14:paraId="4719ADE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接受分包企业一：</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3F31BFF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729DB43A">
      <w:pPr>
        <w:spacing w:line="360" w:lineRule="auto"/>
        <w:ind w:firstLine="435"/>
        <w:rPr>
          <w:rFonts w:hint="eastAsia" w:asciiTheme="minorEastAsia" w:hAnsiTheme="minorEastAsia" w:eastAsiaTheme="minorEastAsia"/>
          <w:sz w:val="24"/>
          <w:highlight w:val="none"/>
        </w:rPr>
      </w:pPr>
    </w:p>
    <w:p w14:paraId="271804F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接受分包企业二：</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5F824C5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24B8A28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p w14:paraId="5A4073A7">
      <w:pPr>
        <w:pStyle w:val="22"/>
        <w:spacing w:line="360" w:lineRule="auto"/>
        <w:rPr>
          <w:rFonts w:hint="eastAsia" w:asciiTheme="minorEastAsia" w:hAnsiTheme="minorEastAsia" w:eastAsiaTheme="minorEastAsia"/>
          <w:sz w:val="24"/>
          <w:highlight w:val="none"/>
        </w:rPr>
      </w:pPr>
    </w:p>
    <w:p w14:paraId="75A1C09B">
      <w:pPr>
        <w:spacing w:line="360" w:lineRule="auto"/>
        <w:ind w:right="480" w:firstLine="4680" w:firstLineChars="19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14:paraId="5966EC93">
      <w:pPr>
        <w:spacing w:line="360" w:lineRule="auto"/>
        <w:ind w:right="480" w:firstLine="4680" w:firstLineChars="1950"/>
        <w:rPr>
          <w:rFonts w:hint="eastAsia" w:asciiTheme="minorEastAsia" w:hAnsiTheme="minorEastAsia" w:eastAsiaTheme="minorEastAsia"/>
          <w:sz w:val="24"/>
          <w:highlight w:val="none"/>
        </w:rPr>
      </w:pPr>
    </w:p>
    <w:p w14:paraId="5C8E9D64">
      <w:pPr>
        <w:spacing w:line="360" w:lineRule="auto"/>
        <w:ind w:right="480" w:firstLine="5460" w:firstLineChars="1950"/>
        <w:rPr>
          <w:rFonts w:hint="eastAsia" w:asciiTheme="minorEastAsia" w:hAnsiTheme="minorEastAsia" w:eastAsiaTheme="minorEastAsia"/>
          <w:sz w:val="28"/>
          <w:highlight w:val="none"/>
        </w:rPr>
      </w:pPr>
    </w:p>
    <w:p w14:paraId="6638E4EF">
      <w:pPr>
        <w:adjustRightInd w:val="0"/>
        <w:snapToGrid w:val="0"/>
        <w:spacing w:line="360" w:lineRule="auto"/>
        <w:rPr>
          <w:rFonts w:hint="eastAsia"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注：</w:t>
      </w:r>
    </w:p>
    <w:p w14:paraId="2FB39C56">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分包意向协议中须约定向中小企业分包的项目内容及分包内容占合同金额比例。</w:t>
      </w:r>
    </w:p>
    <w:p w14:paraId="18815E38">
      <w:pPr>
        <w:widowControl/>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36084F0E">
      <w:pPr>
        <w:spacing w:line="360" w:lineRule="auto"/>
        <w:jc w:val="center"/>
        <w:outlineLvl w:val="1"/>
        <w:rPr>
          <w:rFonts w:hint="eastAsia" w:asciiTheme="minorEastAsia" w:hAnsiTheme="minorEastAsia" w:eastAsiaTheme="minorEastAsia"/>
          <w:b/>
          <w:sz w:val="24"/>
          <w:highlight w:val="none"/>
        </w:rPr>
      </w:pPr>
      <w:bookmarkStart w:id="72" w:name="_Toc23068"/>
      <w:r>
        <w:rPr>
          <w:rFonts w:hint="eastAsia" w:asciiTheme="minorEastAsia" w:hAnsiTheme="minorEastAsia" w:eastAsiaTheme="minorEastAsia"/>
          <w:b/>
          <w:sz w:val="24"/>
          <w:highlight w:val="none"/>
        </w:rPr>
        <w:t>八、中小企业声明函</w:t>
      </w:r>
      <w:bookmarkEnd w:id="72"/>
    </w:p>
    <w:p w14:paraId="77CD9536">
      <w:pPr>
        <w:pStyle w:val="11"/>
        <w:jc w:val="center"/>
        <w:rPr>
          <w:rFonts w:hint="eastAsia" w:ascii="宋体" w:hAnsi="宋体" w:eastAsia="宋体"/>
          <w:i/>
          <w:sz w:val="24"/>
          <w:highlight w:val="none"/>
          <w:lang w:val="en-US"/>
        </w:rPr>
      </w:pPr>
      <w:r>
        <w:rPr>
          <w:rFonts w:hint="eastAsia" w:ascii="宋体" w:hAnsi="宋体" w:eastAsia="宋体"/>
          <w:i/>
          <w:sz w:val="24"/>
          <w:highlight w:val="none"/>
          <w:lang w:val="en-US"/>
        </w:rPr>
        <w:t>（</w:t>
      </w:r>
      <w:r>
        <w:rPr>
          <w:rFonts w:hint="eastAsia" w:ascii="宋体" w:hAnsi="宋体" w:eastAsia="宋体"/>
          <w:i/>
          <w:sz w:val="24"/>
          <w:highlight w:val="none"/>
        </w:rPr>
        <w:t>非中小企业投标</w:t>
      </w:r>
      <w:r>
        <w:rPr>
          <w:rFonts w:hint="eastAsia" w:ascii="宋体" w:hAnsi="宋体" w:eastAsia="宋体"/>
          <w:i/>
          <w:sz w:val="24"/>
          <w:highlight w:val="none"/>
          <w:lang w:val="en-US"/>
        </w:rPr>
        <w:t>，不需此件，请删去“中小企业声明函”）</w:t>
      </w:r>
    </w:p>
    <w:p w14:paraId="24E2439C">
      <w:pPr>
        <w:rPr>
          <w:rFonts w:hint="eastAsia" w:asciiTheme="minorEastAsia" w:hAnsiTheme="minorEastAsia" w:eastAsiaTheme="minorEastAsia"/>
          <w:sz w:val="24"/>
          <w:szCs w:val="24"/>
          <w:highlight w:val="none"/>
        </w:rPr>
      </w:pPr>
    </w:p>
    <w:p w14:paraId="17488F6A">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本公司（联合体）郑重声明，根据《政府采购促进中小企业发展管理办法》（财库﹝2020﹞46号）的规定，本公司（联合体）参加（</w:t>
      </w:r>
      <w:r>
        <w:rPr>
          <w:rFonts w:hint="eastAsia" w:ascii="宋体" w:hAnsi="宋体" w:eastAsia="宋体"/>
          <w:sz w:val="24"/>
          <w:szCs w:val="24"/>
          <w:highlight w:val="none"/>
          <w:u w:val="single"/>
          <w:lang w:val="zh-CN"/>
        </w:rPr>
        <w:t>单位</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）的（</w:t>
      </w:r>
      <w:r>
        <w:rPr>
          <w:rFonts w:hint="eastAsia" w:ascii="宋体" w:hAnsi="宋体" w:eastAsia="宋体"/>
          <w:sz w:val="24"/>
          <w:szCs w:val="24"/>
          <w:highlight w:val="none"/>
          <w:u w:val="single"/>
          <w:lang w:val="zh-CN"/>
        </w:rPr>
        <w:t>项目</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 xml:space="preserve">）采购活动，服务全部由符合政策要求的中小企业承接。相关企业（含联合体中的中小企业、签订分包意向协议的中小企业）的具体情况如下： </w:t>
      </w:r>
    </w:p>
    <w:p w14:paraId="55B2A3E2">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1.</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行业；承接企业为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4145EECA">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2.</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行业；承接企业为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32E6A57B">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w:t>
      </w:r>
    </w:p>
    <w:p w14:paraId="55674150">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以上企业，不属于大企业的分支机构，不存在控股股东为大企业的情形，也不存在与大企业的负责人为同一人的情形。</w:t>
      </w:r>
    </w:p>
    <w:p w14:paraId="75418DE6">
      <w:pP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 xml:space="preserve">本企业对上述声明内容的真实性负责。如有虚假，将依法承担相应责任。 </w:t>
      </w:r>
    </w:p>
    <w:p w14:paraId="6EEDA9B6">
      <w:pPr>
        <w:spacing w:line="360" w:lineRule="auto"/>
        <w:ind w:firstLine="435"/>
        <w:rPr>
          <w:rFonts w:hint="eastAsia" w:asciiTheme="minorEastAsia" w:hAnsiTheme="minorEastAsia" w:eastAsiaTheme="minorEastAsia"/>
          <w:sz w:val="24"/>
          <w:szCs w:val="24"/>
          <w:highlight w:val="none"/>
        </w:rPr>
      </w:pPr>
    </w:p>
    <w:p w14:paraId="2E94A062">
      <w:pPr>
        <w:spacing w:line="360" w:lineRule="auto"/>
        <w:ind w:firstLine="435"/>
        <w:rPr>
          <w:rFonts w:hint="eastAsia" w:asciiTheme="minorEastAsia" w:hAnsiTheme="minorEastAsia" w:eastAsiaTheme="minorEastAsia"/>
          <w:sz w:val="24"/>
          <w:szCs w:val="24"/>
          <w:highlight w:val="none"/>
        </w:rPr>
      </w:pPr>
    </w:p>
    <w:p w14:paraId="16D98D6C">
      <w:pPr>
        <w:spacing w:line="360" w:lineRule="auto"/>
        <w:ind w:firstLine="4228" w:firstLineChars="176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33131617">
      <w:pPr>
        <w:tabs>
          <w:tab w:val="left" w:pos="4620"/>
        </w:tabs>
        <w:spacing w:line="360" w:lineRule="auto"/>
        <w:ind w:firstLine="4252" w:firstLineChars="177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p w14:paraId="7E43507C">
      <w:pPr>
        <w:tabs>
          <w:tab w:val="left" w:pos="4620"/>
        </w:tabs>
        <w:spacing w:line="360" w:lineRule="auto"/>
        <w:jc w:val="left"/>
        <w:rPr>
          <w:rFonts w:hint="eastAsia" w:asciiTheme="minorEastAsia" w:hAnsiTheme="minorEastAsia" w:eastAsiaTheme="minorEastAsia"/>
          <w:sz w:val="24"/>
          <w:szCs w:val="24"/>
          <w:highlight w:val="none"/>
        </w:rPr>
      </w:pPr>
    </w:p>
    <w:p w14:paraId="7773A6F8">
      <w:pPr>
        <w:tabs>
          <w:tab w:val="left" w:pos="4620"/>
        </w:tabs>
        <w:spacing w:line="360" w:lineRule="auto"/>
        <w:jc w:val="left"/>
        <w:rPr>
          <w:rFonts w:hint="eastAsia" w:asciiTheme="minorEastAsia" w:hAnsiTheme="minorEastAsia" w:eastAsiaTheme="minorEastAsia"/>
          <w:sz w:val="24"/>
          <w:szCs w:val="24"/>
          <w:highlight w:val="none"/>
        </w:rPr>
      </w:pPr>
    </w:p>
    <w:p w14:paraId="2AD97719">
      <w:pPr>
        <w:tabs>
          <w:tab w:val="left" w:pos="4620"/>
        </w:tabs>
        <w:spacing w:line="360" w:lineRule="auto"/>
        <w:jc w:val="left"/>
        <w:rPr>
          <w:rFonts w:hint="eastAsia" w:asciiTheme="minorEastAsia" w:hAnsiTheme="minorEastAsia" w:eastAsiaTheme="minorEastAsia"/>
          <w:sz w:val="24"/>
          <w:szCs w:val="24"/>
          <w:highlight w:val="none"/>
        </w:rPr>
      </w:pPr>
    </w:p>
    <w:p w14:paraId="73BACF6C">
      <w:pPr>
        <w:tabs>
          <w:tab w:val="left" w:pos="4620"/>
        </w:tabs>
        <w:spacing w:line="360" w:lineRule="auto"/>
        <w:jc w:val="left"/>
        <w:rPr>
          <w:rFonts w:hint="eastAsia" w:asciiTheme="minorEastAsia" w:hAnsiTheme="minorEastAsia" w:eastAsiaTheme="minorEastAsia"/>
          <w:sz w:val="24"/>
          <w:szCs w:val="24"/>
          <w:highlight w:val="none"/>
        </w:rPr>
      </w:pPr>
    </w:p>
    <w:p w14:paraId="60B45E2A">
      <w:pPr>
        <w:tabs>
          <w:tab w:val="left" w:pos="4620"/>
        </w:tabs>
        <w:spacing w:line="360" w:lineRule="auto"/>
        <w:jc w:val="left"/>
        <w:rPr>
          <w:rFonts w:hint="eastAsia" w:asciiTheme="minorEastAsia" w:hAnsiTheme="minorEastAsia" w:eastAsiaTheme="minorEastAsia"/>
          <w:b/>
          <w:szCs w:val="24"/>
          <w:highlight w:val="none"/>
        </w:rPr>
      </w:pPr>
      <w:r>
        <w:rPr>
          <w:rFonts w:hint="eastAsia" w:asciiTheme="minorEastAsia" w:hAnsiTheme="minorEastAsia" w:eastAsiaTheme="minorEastAsia"/>
          <w:b/>
          <w:szCs w:val="24"/>
          <w:highlight w:val="none"/>
        </w:rPr>
        <w:t>注：</w:t>
      </w:r>
    </w:p>
    <w:p w14:paraId="028D5BE3">
      <w:pPr>
        <w:tabs>
          <w:tab w:val="left" w:pos="4620"/>
        </w:tabs>
        <w:spacing w:line="360" w:lineRule="auto"/>
        <w:rPr>
          <w:rFonts w:hint="eastAsia" w:asciiTheme="minorEastAsia" w:hAnsiTheme="minorEastAsia" w:eastAsiaTheme="minorEastAsia"/>
          <w:szCs w:val="24"/>
          <w:highlight w:val="none"/>
        </w:rPr>
      </w:pPr>
      <w:r>
        <w:rPr>
          <w:rFonts w:asciiTheme="minorEastAsia" w:hAnsiTheme="minorEastAsia" w:eastAsiaTheme="minorEastAsia"/>
          <w:szCs w:val="24"/>
          <w:highlight w:val="none"/>
        </w:rPr>
        <w:t>1.从业人员、营业收入、资产总额填报上一年数据，无上一年数据的新成立企业可不填报。</w:t>
      </w:r>
    </w:p>
    <w:p w14:paraId="040AB2CA">
      <w:pP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highlight w:val="none"/>
          <w:lang w:val="zh-CN"/>
        </w:rPr>
        <w:t>如有虚假，将依法承担相应责任。</w:t>
      </w:r>
      <w:r>
        <w:rPr>
          <w:rFonts w:hint="eastAsia" w:ascii="宋体" w:hAnsi="宋体" w:eastAsia="宋体" w:cs="宋体"/>
          <w:b/>
          <w:bCs/>
          <w:szCs w:val="21"/>
          <w:highlight w:val="none"/>
        </w:rPr>
        <w:t>投标人自行登录工业和信息化部官网进行中小企业规模类型自测（查询网址https://www.miit.gov.cn/）。</w:t>
      </w:r>
    </w:p>
    <w:p w14:paraId="2979A004">
      <w:pP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3.上述“</w:t>
      </w:r>
      <w:r>
        <w:rPr>
          <w:rFonts w:hint="eastAsia" w:ascii="宋体" w:hAnsi="宋体" w:eastAsia="宋体" w:cs="宋体"/>
          <w:b/>
          <w:bCs/>
          <w:szCs w:val="21"/>
          <w:highlight w:val="none"/>
          <w:u w:val="single"/>
          <w:lang w:val="zh-CN"/>
        </w:rPr>
        <w:t>标的名称</w:t>
      </w:r>
      <w:r>
        <w:rPr>
          <w:rFonts w:hint="eastAsia" w:ascii="宋体" w:hAnsi="宋体" w:eastAsia="宋体" w:cs="宋体"/>
          <w:b/>
          <w:bCs/>
          <w:szCs w:val="21"/>
          <w:highlight w:val="none"/>
        </w:rPr>
        <w:t>”，详见第三章采购需求前附表中明确的“标的名称”。</w:t>
      </w:r>
    </w:p>
    <w:p w14:paraId="39FC7F81">
      <w:pP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4.上述“</w:t>
      </w:r>
      <w:r>
        <w:rPr>
          <w:rFonts w:hint="eastAsia" w:ascii="宋体" w:hAnsi="宋体" w:eastAsia="宋体" w:cs="宋体"/>
          <w:b/>
          <w:bCs/>
          <w:szCs w:val="21"/>
          <w:highlight w:val="none"/>
          <w:u w:val="single"/>
        </w:rPr>
        <w:t>采购文件中明确的所属行业</w:t>
      </w:r>
      <w:r>
        <w:rPr>
          <w:rFonts w:hint="eastAsia" w:ascii="宋体" w:hAnsi="宋体" w:eastAsia="宋体" w:cs="宋体"/>
          <w:b/>
          <w:bCs/>
          <w:szCs w:val="21"/>
          <w:highlight w:val="none"/>
        </w:rPr>
        <w:t>”，详见第三章采购需求前附表中明确的“所属行业”。</w:t>
      </w:r>
    </w:p>
    <w:p w14:paraId="26B43C16">
      <w:pP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5．填写示例：</w:t>
      </w:r>
      <w:r>
        <w:rPr>
          <w:rFonts w:hint="eastAsia" w:ascii="宋体" w:hAnsi="宋体" w:eastAsia="宋体" w:cs="宋体"/>
          <w:b/>
          <w:bCs/>
          <w:szCs w:val="21"/>
          <w:highlight w:val="none"/>
          <w:u w:val="single"/>
        </w:rPr>
        <w:t>某标的名称</w:t>
      </w:r>
      <w:r>
        <w:rPr>
          <w:rFonts w:hint="eastAsia" w:ascii="宋体" w:hAnsi="宋体" w:eastAsia="宋体" w:cs="宋体"/>
          <w:b/>
          <w:bCs/>
          <w:szCs w:val="21"/>
          <w:highlight w:val="none"/>
        </w:rPr>
        <w:t>（</w:t>
      </w:r>
      <w:r>
        <w:rPr>
          <w:rFonts w:hint="eastAsia" w:ascii="宋体" w:hAnsi="宋体" w:eastAsia="宋体" w:cs="宋体"/>
          <w:b/>
          <w:bCs/>
          <w:szCs w:val="21"/>
          <w:highlight w:val="none"/>
          <w:u w:val="single"/>
        </w:rPr>
        <w:t>填写第三章采购需求前附表中明确的“标的名称”</w:t>
      </w:r>
      <w:r>
        <w:rPr>
          <w:rFonts w:hint="eastAsia" w:ascii="宋体" w:hAnsi="宋体" w:eastAsia="宋体" w:cs="宋体"/>
          <w:b/>
          <w:bCs/>
          <w:szCs w:val="21"/>
          <w:highlight w:val="none"/>
        </w:rPr>
        <w:t>），属于</w:t>
      </w:r>
      <w:r>
        <w:rPr>
          <w:rFonts w:hint="eastAsia" w:ascii="宋体" w:hAnsi="宋体" w:eastAsia="宋体" w:cs="宋体"/>
          <w:b/>
          <w:bCs/>
          <w:szCs w:val="21"/>
          <w:highlight w:val="none"/>
          <w:u w:val="single"/>
        </w:rPr>
        <w:t>（填写第三章采购需求前附表中明确的“所属行业”，如软件和信息技术服务业）</w:t>
      </w:r>
      <w:r>
        <w:rPr>
          <w:rFonts w:hint="eastAsia" w:ascii="宋体" w:hAnsi="宋体" w:eastAsia="宋体" w:cs="宋体"/>
          <w:b/>
          <w:bCs/>
          <w:szCs w:val="21"/>
          <w:highlight w:val="none"/>
        </w:rPr>
        <w:t>行业；承接企业为</w:t>
      </w:r>
      <w:r>
        <w:rPr>
          <w:rFonts w:hint="eastAsia" w:ascii="宋体" w:hAnsi="宋体" w:eastAsia="宋体" w:cs="宋体"/>
          <w:b/>
          <w:bCs/>
          <w:szCs w:val="21"/>
          <w:highlight w:val="none"/>
          <w:u w:val="single"/>
          <w:lang w:val="zh-CN"/>
        </w:rPr>
        <w:t>某</w:t>
      </w:r>
      <w:r>
        <w:rPr>
          <w:rFonts w:hint="eastAsia" w:ascii="宋体" w:hAnsi="宋体" w:eastAsia="宋体" w:cs="宋体"/>
          <w:b/>
          <w:bCs/>
          <w:szCs w:val="21"/>
          <w:highlight w:val="none"/>
          <w:u w:val="single"/>
        </w:rPr>
        <w:t>企业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从业人员</w:t>
      </w:r>
      <w:r>
        <w:rPr>
          <w:rFonts w:hint="eastAsia" w:ascii="宋体" w:hAnsi="宋体" w:eastAsia="宋体" w:cs="宋体"/>
          <w:b/>
          <w:bCs/>
          <w:szCs w:val="21"/>
          <w:highlight w:val="none"/>
          <w:u w:val="single"/>
        </w:rPr>
        <w:t>100</w:t>
      </w:r>
      <w:r>
        <w:rPr>
          <w:rFonts w:hint="eastAsia" w:ascii="宋体" w:hAnsi="宋体" w:eastAsia="宋体" w:cs="宋体"/>
          <w:b/>
          <w:bCs/>
          <w:szCs w:val="21"/>
          <w:highlight w:val="none"/>
          <w:lang w:val="zh-CN"/>
        </w:rPr>
        <w:t>人</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营业收入为</w:t>
      </w:r>
      <w:r>
        <w:rPr>
          <w:rFonts w:hint="eastAsia" w:ascii="宋体" w:hAnsi="宋体" w:eastAsia="宋体" w:cs="宋体"/>
          <w:b/>
          <w:bCs/>
          <w:szCs w:val="21"/>
          <w:highlight w:val="none"/>
          <w:u w:val="single"/>
        </w:rPr>
        <w:t>10000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资产总额为</w:t>
      </w:r>
      <w:r>
        <w:rPr>
          <w:rFonts w:hint="eastAsia" w:ascii="宋体" w:hAnsi="宋体" w:eastAsia="宋体" w:cs="宋体"/>
          <w:b/>
          <w:bCs/>
          <w:szCs w:val="21"/>
          <w:highlight w:val="none"/>
          <w:u w:val="single"/>
        </w:rPr>
        <w:t>5000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rPr>
        <w:t>中</w:t>
      </w:r>
      <w:r>
        <w:rPr>
          <w:rFonts w:hint="eastAsia" w:ascii="宋体" w:hAnsi="宋体" w:eastAsia="宋体" w:cs="宋体"/>
          <w:b/>
          <w:bCs/>
          <w:szCs w:val="21"/>
          <w:highlight w:val="none"/>
          <w:u w:val="single"/>
          <w:lang w:val="zh-CN"/>
        </w:rPr>
        <w:t>型</w:t>
      </w:r>
      <w:r>
        <w:rPr>
          <w:rFonts w:hint="eastAsia" w:ascii="宋体" w:hAnsi="宋体" w:eastAsia="宋体" w:cs="宋体"/>
          <w:b/>
          <w:bCs/>
          <w:szCs w:val="21"/>
          <w:highlight w:val="none"/>
          <w:lang w:val="zh-CN"/>
        </w:rPr>
        <w:t>企业</w:t>
      </w:r>
      <w:r>
        <w:rPr>
          <w:rFonts w:hint="eastAsia" w:ascii="宋体" w:hAnsi="宋体" w:eastAsia="宋体" w:cs="宋体"/>
          <w:b/>
          <w:bCs/>
          <w:szCs w:val="21"/>
          <w:highlight w:val="none"/>
        </w:rPr>
        <w:t>[投标人自行登录工业和信息化部官网进行中小企业规模类型自测（查询网址https://www.miit.gov.cn/）]</w:t>
      </w:r>
      <w:r>
        <w:rPr>
          <w:rFonts w:hint="eastAsia" w:ascii="宋体" w:hAnsi="宋体" w:eastAsia="宋体" w:cs="宋体"/>
          <w:b/>
          <w:bCs/>
          <w:szCs w:val="21"/>
          <w:highlight w:val="none"/>
          <w:lang w:val="zh-CN"/>
        </w:rPr>
        <w:t>。</w:t>
      </w:r>
    </w:p>
    <w:p w14:paraId="6B71ED68">
      <w:pPr>
        <w:pStyle w:val="11"/>
        <w:rPr>
          <w:rFonts w:hint="eastAsia" w:asciiTheme="minorEastAsia" w:hAnsiTheme="minorEastAsia" w:eastAsiaTheme="minorEastAsia"/>
          <w:b/>
          <w:bCs/>
          <w:highlight w:val="none"/>
          <w:lang w:val="en-US"/>
        </w:rPr>
      </w:pPr>
    </w:p>
    <w:p w14:paraId="0CADB1AF">
      <w:pPr>
        <w:rPr>
          <w:rFonts w:hint="eastAsia" w:asciiTheme="minorEastAsia" w:hAnsiTheme="minorEastAsia" w:eastAsiaTheme="minorEastAsia"/>
          <w:b/>
          <w:sz w:val="24"/>
          <w:highlight w:val="none"/>
        </w:rPr>
      </w:pPr>
      <w:bookmarkStart w:id="73" w:name="_Toc16713"/>
      <w:r>
        <w:rPr>
          <w:rFonts w:hint="eastAsia" w:asciiTheme="minorEastAsia" w:hAnsiTheme="minorEastAsia" w:eastAsiaTheme="minorEastAsia"/>
          <w:b/>
          <w:sz w:val="24"/>
          <w:highlight w:val="none"/>
        </w:rPr>
        <w:br w:type="page"/>
      </w:r>
    </w:p>
    <w:p w14:paraId="7E8646A2">
      <w:pPr>
        <w:spacing w:line="360" w:lineRule="auto"/>
        <w:jc w:val="center"/>
        <w:outlineLvl w:val="1"/>
        <w:rPr>
          <w:rFonts w:hint="eastAsia" w:asciiTheme="minorEastAsia" w:hAnsiTheme="minorEastAsia" w:eastAsiaTheme="minorEastAsia"/>
          <w:b/>
          <w:sz w:val="24"/>
          <w:highlight w:val="none"/>
        </w:rPr>
      </w:pPr>
      <w:bookmarkStart w:id="74" w:name="_Toc17315"/>
      <w:r>
        <w:rPr>
          <w:rFonts w:hint="eastAsia" w:asciiTheme="minorEastAsia" w:hAnsiTheme="minorEastAsia" w:eastAsiaTheme="minorEastAsia"/>
          <w:b/>
          <w:sz w:val="24"/>
          <w:highlight w:val="none"/>
        </w:rPr>
        <w:t>九、残疾人福利性单位声明函</w:t>
      </w:r>
      <w:bookmarkEnd w:id="73"/>
      <w:bookmarkEnd w:id="74"/>
    </w:p>
    <w:p w14:paraId="0050C0AC">
      <w:pPr>
        <w:pStyle w:val="11"/>
        <w:jc w:val="center"/>
        <w:rPr>
          <w:rFonts w:hint="eastAsia" w:ascii="宋体" w:hAnsi="宋体" w:eastAsia="宋体"/>
          <w:i/>
          <w:sz w:val="24"/>
          <w:highlight w:val="none"/>
          <w:lang w:val="en-US"/>
        </w:rPr>
      </w:pPr>
      <w:r>
        <w:rPr>
          <w:rFonts w:hint="eastAsia" w:ascii="宋体" w:hAnsi="宋体" w:eastAsia="宋体"/>
          <w:i/>
          <w:sz w:val="24"/>
          <w:highlight w:val="none"/>
          <w:lang w:val="en-US"/>
        </w:rPr>
        <w:t>（非残疾人福利性单位投标，请删去“残疾人福利性单位声明函”）</w:t>
      </w:r>
    </w:p>
    <w:p w14:paraId="34FC37DD">
      <w:pPr>
        <w:spacing w:line="360" w:lineRule="auto"/>
        <w:ind w:firstLine="435"/>
        <w:rPr>
          <w:rFonts w:hint="eastAsia"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w:t>
      </w:r>
      <w:r>
        <w:rPr>
          <w:rFonts w:hint="eastAsia" w:asciiTheme="minorEastAsia" w:hAnsiTheme="minorEastAsia" w:eastAsiaTheme="minorEastAsia"/>
          <w:sz w:val="24"/>
          <w:highlight w:val="none"/>
        </w:rPr>
        <w:t>郑重</w:t>
      </w:r>
      <w:r>
        <w:rPr>
          <w:rFonts w:hint="eastAsia" w:asciiTheme="minorEastAsia" w:hAnsiTheme="minorEastAsia" w:eastAsiaTheme="minorEastAsia"/>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sz w:val="24"/>
          <w:szCs w:val="24"/>
          <w:highlight w:val="none"/>
        </w:rPr>
        <w:t>〔2017〕141</w:t>
      </w:r>
      <w:r>
        <w:rPr>
          <w:rFonts w:hint="eastAsia" w:asciiTheme="minorEastAsia" w:hAnsiTheme="minorEastAsia" w:eastAsiaTheme="minorEastAsia"/>
          <w:spacing w:val="6"/>
          <w:sz w:val="24"/>
          <w:szCs w:val="24"/>
          <w:highlight w:val="none"/>
        </w:rPr>
        <w:t>号）的规定，本单位为</w:t>
      </w:r>
      <w:r>
        <w:rPr>
          <w:rFonts w:hint="eastAsia" w:asciiTheme="minorEastAsia" w:hAnsiTheme="minorEastAsia" w:eastAsiaTheme="minorEastAsia"/>
          <w:bCs/>
          <w:sz w:val="24"/>
          <w:szCs w:val="24"/>
          <w:highlight w:val="none"/>
        </w:rPr>
        <w:t>符合</w:t>
      </w:r>
      <w:r>
        <w:rPr>
          <w:rFonts w:hint="eastAsia" w:asciiTheme="minorEastAsia" w:hAnsiTheme="minorEastAsia" w:eastAsiaTheme="minorEastAsia"/>
          <w:spacing w:val="6"/>
          <w:sz w:val="24"/>
          <w:szCs w:val="24"/>
          <w:highlight w:val="none"/>
        </w:rPr>
        <w:t>条件的残疾人福利性单位，且本单位参加</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单位的</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4AF7E7A9">
      <w:pPr>
        <w:spacing w:line="360" w:lineRule="auto"/>
        <w:ind w:firstLine="435"/>
        <w:rPr>
          <w:rFonts w:hint="eastAsia"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本单位对上述声明的真实性负责。如有虚假，将依法承担相应责任。</w:t>
      </w:r>
    </w:p>
    <w:p w14:paraId="237F2679">
      <w:pPr>
        <w:spacing w:line="360" w:lineRule="auto"/>
        <w:ind w:firstLine="4228" w:firstLineChars="1762"/>
        <w:rPr>
          <w:rFonts w:hint="eastAsia" w:asciiTheme="minorEastAsia" w:hAnsiTheme="minorEastAsia" w:eastAsiaTheme="minorEastAsia"/>
          <w:sz w:val="24"/>
          <w:szCs w:val="24"/>
          <w:highlight w:val="none"/>
        </w:rPr>
      </w:pPr>
    </w:p>
    <w:p w14:paraId="5FF3AEE5">
      <w:pPr>
        <w:spacing w:line="360" w:lineRule="auto"/>
        <w:ind w:firstLine="4228" w:firstLineChars="1762"/>
        <w:rPr>
          <w:rFonts w:hint="eastAsia" w:asciiTheme="minorEastAsia" w:hAnsiTheme="minorEastAsia" w:eastAsiaTheme="minorEastAsia"/>
          <w:sz w:val="24"/>
          <w:szCs w:val="24"/>
          <w:highlight w:val="none"/>
        </w:rPr>
      </w:pPr>
    </w:p>
    <w:p w14:paraId="22897736">
      <w:pPr>
        <w:spacing w:line="360" w:lineRule="auto"/>
        <w:ind w:firstLine="4228" w:firstLineChars="176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0EAF1B4D">
      <w:pPr>
        <w:tabs>
          <w:tab w:val="left" w:pos="4620"/>
        </w:tabs>
        <w:spacing w:line="360" w:lineRule="auto"/>
        <w:ind w:firstLine="4252" w:firstLineChars="177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p w14:paraId="6EB713CA">
      <w:pPr>
        <w:widowControl/>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007F1CC8">
      <w:pPr>
        <w:spacing w:line="360" w:lineRule="auto"/>
        <w:jc w:val="center"/>
        <w:outlineLvl w:val="1"/>
        <w:rPr>
          <w:rFonts w:hint="eastAsia" w:asciiTheme="minorEastAsia" w:hAnsiTheme="minorEastAsia" w:eastAsiaTheme="minorEastAsia"/>
          <w:b/>
          <w:sz w:val="24"/>
          <w:highlight w:val="none"/>
        </w:rPr>
      </w:pPr>
      <w:bookmarkStart w:id="75" w:name="_Toc520299348"/>
      <w:bookmarkStart w:id="76" w:name="_Toc457768004"/>
      <w:bookmarkStart w:id="77" w:name="_Toc300210382"/>
      <w:bookmarkStart w:id="78" w:name="_Toc23860"/>
      <w:bookmarkStart w:id="79" w:name="_Toc26536"/>
      <w:bookmarkStart w:id="80" w:name="_Hlk11701496"/>
      <w:r>
        <w:rPr>
          <w:rFonts w:hint="eastAsia" w:asciiTheme="minorEastAsia" w:hAnsiTheme="minorEastAsia" w:eastAsiaTheme="minorEastAsia"/>
          <w:b/>
          <w:sz w:val="24"/>
          <w:highlight w:val="none"/>
        </w:rPr>
        <w:t>十、</w:t>
      </w:r>
      <w:bookmarkEnd w:id="75"/>
      <w:bookmarkEnd w:id="76"/>
      <w:bookmarkEnd w:id="77"/>
      <w:r>
        <w:rPr>
          <w:rFonts w:hint="eastAsia" w:asciiTheme="minorEastAsia" w:hAnsiTheme="minorEastAsia" w:eastAsiaTheme="minorEastAsia"/>
          <w:b/>
          <w:sz w:val="24"/>
          <w:highlight w:val="none"/>
        </w:rPr>
        <w:t>诚信履约承诺函</w:t>
      </w:r>
      <w:bookmarkEnd w:id="78"/>
      <w:bookmarkEnd w:id="79"/>
    </w:p>
    <w:p w14:paraId="277FC374">
      <w:pPr>
        <w:spacing w:line="360" w:lineRule="auto"/>
        <w:rPr>
          <w:rFonts w:hint="eastAsia" w:asciiTheme="minorEastAsia" w:hAnsiTheme="minorEastAsia" w:eastAsiaTheme="minorEastAsia"/>
          <w:b/>
          <w:bCs/>
          <w:sz w:val="24"/>
          <w:highlight w:val="none"/>
        </w:rPr>
      </w:pPr>
    </w:p>
    <w:p w14:paraId="6B7A05B7">
      <w:pPr>
        <w:spacing w:line="360" w:lineRule="auto"/>
        <w:rPr>
          <w:rFonts w:hint="eastAsia" w:asciiTheme="minorEastAsia" w:hAnsiTheme="minorEastAsia" w:eastAsiaTheme="minorEastAsia"/>
          <w:b/>
          <w:bCs/>
          <w:sz w:val="24"/>
          <w:highlight w:val="none"/>
          <w:u w:val="single"/>
        </w:rPr>
      </w:pPr>
      <w:r>
        <w:rPr>
          <w:rFonts w:hint="eastAsia" w:asciiTheme="minorEastAsia" w:hAnsiTheme="minorEastAsia" w:eastAsiaTheme="minorEastAsia"/>
          <w:b/>
          <w:bCs/>
          <w:sz w:val="24"/>
          <w:highlight w:val="none"/>
        </w:rPr>
        <w:t>致：采购人</w:t>
      </w:r>
    </w:p>
    <w:p w14:paraId="433A3B3F">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2BFFC890">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（1）中标或者成交后无正当理由拒不与采购人签订政府采购合同；</w:t>
      </w:r>
    </w:p>
    <w:p w14:paraId="0EBE0CA4">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（2）未按照采购文件确定的事项签订政府采购合同；</w:t>
      </w:r>
    </w:p>
    <w:p w14:paraId="2BF79844">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（3）将政府采购合同转包；</w:t>
      </w:r>
    </w:p>
    <w:p w14:paraId="54993461">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（4）提供假冒伪劣产品；</w:t>
      </w:r>
    </w:p>
    <w:p w14:paraId="147B589D">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（5）擅自变更、中止或者终止政府采购合同。</w:t>
      </w:r>
    </w:p>
    <w:p w14:paraId="5B033DAD">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661E9FE">
      <w:pPr>
        <w:spacing w:line="360" w:lineRule="auto"/>
        <w:rPr>
          <w:rFonts w:hint="eastAsia" w:asciiTheme="minorEastAsia" w:hAnsiTheme="minorEastAsia" w:eastAsiaTheme="minorEastAsia"/>
          <w:bCs/>
          <w:sz w:val="24"/>
          <w:highlight w:val="none"/>
        </w:rPr>
      </w:pPr>
    </w:p>
    <w:p w14:paraId="155A8E71">
      <w:pPr>
        <w:spacing w:line="360" w:lineRule="auto"/>
        <w:rPr>
          <w:rFonts w:hint="eastAsia" w:asciiTheme="minorEastAsia" w:hAnsiTheme="minorEastAsia" w:eastAsiaTheme="minorEastAsia"/>
          <w:bCs/>
          <w:sz w:val="24"/>
          <w:highlight w:val="none"/>
        </w:rPr>
      </w:pPr>
    </w:p>
    <w:p w14:paraId="4E173E5F">
      <w:pPr>
        <w:spacing w:line="360" w:lineRule="auto"/>
        <w:ind w:firstLine="4320" w:firstLineChars="1800"/>
        <w:rPr>
          <w:rFonts w:hint="eastAsia"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投标人电子签章：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6CC09AA0">
      <w:pPr>
        <w:spacing w:line="360" w:lineRule="auto"/>
        <w:ind w:firstLine="4320" w:firstLineChars="18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33F8DD58">
      <w:pPr>
        <w:widowControl/>
        <w:jc w:val="left"/>
        <w:rPr>
          <w:rFonts w:hint="eastAsia" w:ascii="宋体" w:hAnsi="宋体" w:eastAsia="宋体" w:cs="Arial"/>
          <w:sz w:val="24"/>
          <w:highlight w:val="none"/>
        </w:rPr>
      </w:pPr>
      <w:r>
        <w:rPr>
          <w:rFonts w:ascii="宋体" w:hAnsi="宋体" w:eastAsia="宋体" w:cs="Arial"/>
          <w:sz w:val="24"/>
          <w:highlight w:val="none"/>
        </w:rPr>
        <w:br w:type="page"/>
      </w:r>
    </w:p>
    <w:bookmarkEnd w:id="80"/>
    <w:p w14:paraId="6D503E20">
      <w:pPr>
        <w:spacing w:line="360" w:lineRule="auto"/>
        <w:jc w:val="center"/>
        <w:outlineLvl w:val="1"/>
        <w:rPr>
          <w:rFonts w:hint="eastAsia" w:asciiTheme="minorEastAsia" w:hAnsiTheme="minorEastAsia" w:eastAsiaTheme="minorEastAsia"/>
          <w:b/>
          <w:sz w:val="24"/>
          <w:highlight w:val="none"/>
        </w:rPr>
      </w:pPr>
      <w:bookmarkStart w:id="81" w:name="_Toc31807"/>
      <w:bookmarkStart w:id="82" w:name="_Toc32633"/>
      <w:r>
        <w:rPr>
          <w:rFonts w:hint="eastAsia" w:asciiTheme="minorEastAsia" w:hAnsiTheme="minorEastAsia" w:eastAsiaTheme="minorEastAsia"/>
          <w:b/>
          <w:sz w:val="24"/>
          <w:highlight w:val="none"/>
        </w:rPr>
        <w:t>十一、其他相关证明材料</w:t>
      </w:r>
      <w:bookmarkEnd w:id="81"/>
      <w:bookmarkEnd w:id="82"/>
    </w:p>
    <w:p w14:paraId="3A6C449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提供符合投标邀请、采购需求及评标方法和标准规定的相关证明文件。</w:t>
      </w:r>
    </w:p>
    <w:p w14:paraId="668F3ABA">
      <w:pPr>
        <w:spacing w:line="360" w:lineRule="auto"/>
        <w:ind w:firstLine="480" w:firstLineChars="200"/>
        <w:rPr>
          <w:rFonts w:hint="eastAsia" w:asciiTheme="minorEastAsia" w:hAnsiTheme="minorEastAsia" w:eastAsiaTheme="minorEastAsia"/>
          <w:sz w:val="24"/>
          <w:highlight w:val="none"/>
        </w:rPr>
      </w:pPr>
    </w:p>
    <w:p w14:paraId="1FCCD96C">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特别提示：</w:t>
      </w:r>
    </w:p>
    <w:p w14:paraId="10BDD4A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投标人在投标文件制作时可在此栏内上传</w:t>
      </w:r>
      <w:r>
        <w:rPr>
          <w:rFonts w:asciiTheme="minorEastAsia" w:hAnsiTheme="minorEastAsia" w:eastAsiaTheme="minorEastAsia"/>
          <w:sz w:val="24"/>
          <w:highlight w:val="none"/>
        </w:rPr>
        <w:t>招标文件要求上传的证明资料</w:t>
      </w:r>
      <w:r>
        <w:rPr>
          <w:rFonts w:hint="eastAsia" w:asciiTheme="minorEastAsia" w:hAnsiTheme="minorEastAsia" w:eastAsiaTheme="minorEastAsia"/>
          <w:sz w:val="24"/>
          <w:highlight w:val="none"/>
        </w:rPr>
        <w:t>，如营业执照、证书</w:t>
      </w:r>
      <w:r>
        <w:rPr>
          <w:rFonts w:asciiTheme="minorEastAsia" w:hAnsiTheme="minorEastAsia" w:eastAsiaTheme="minorEastAsia"/>
          <w:sz w:val="24"/>
          <w:highlight w:val="none"/>
        </w:rPr>
        <w:t>等，应将上述证明材料制作成扫描件上传。</w:t>
      </w:r>
    </w:p>
    <w:p w14:paraId="5D9320DE">
      <w:pPr>
        <w:widowControl/>
        <w:jc w:val="left"/>
        <w:rPr>
          <w:rFonts w:hint="eastAsia" w:ascii="宋体" w:hAnsi="宋体" w:eastAsia="宋体"/>
          <w:bCs/>
          <w:sz w:val="24"/>
          <w:highlight w:val="none"/>
        </w:rPr>
      </w:pPr>
      <w:r>
        <w:rPr>
          <w:rFonts w:ascii="宋体" w:hAnsi="宋体" w:eastAsia="宋体"/>
          <w:bCs/>
          <w:sz w:val="24"/>
          <w:highlight w:val="none"/>
        </w:rPr>
        <w:br w:type="page"/>
      </w:r>
    </w:p>
    <w:p w14:paraId="7060D291">
      <w:pPr>
        <w:spacing w:line="360" w:lineRule="auto"/>
        <w:jc w:val="center"/>
        <w:outlineLvl w:val="0"/>
        <w:rPr>
          <w:rFonts w:hint="eastAsia" w:ascii="宋体" w:hAnsi="宋体" w:eastAsia="宋体"/>
          <w:b/>
          <w:bCs/>
          <w:sz w:val="28"/>
          <w:highlight w:val="none"/>
        </w:rPr>
      </w:pPr>
      <w:bookmarkStart w:id="83" w:name="_Toc6435"/>
      <w:bookmarkStart w:id="84" w:name="_Toc20819"/>
      <w:r>
        <w:rPr>
          <w:rFonts w:hint="eastAsia" w:asciiTheme="minorEastAsia" w:hAnsiTheme="minorEastAsia" w:eastAsiaTheme="minorEastAsia"/>
          <w:b/>
          <w:sz w:val="28"/>
          <w:highlight w:val="none"/>
        </w:rPr>
        <w:t>第七章</w:t>
      </w:r>
      <w:r>
        <w:rPr>
          <w:rFonts w:hint="eastAsia" w:ascii="宋体" w:hAnsi="宋体" w:eastAsia="宋体"/>
          <w:b/>
          <w:bCs/>
          <w:sz w:val="28"/>
          <w:highlight w:val="none"/>
        </w:rPr>
        <w:t xml:space="preserve">  政府采购</w:t>
      </w:r>
      <w:r>
        <w:rPr>
          <w:rFonts w:hint="eastAsia" w:asciiTheme="minorEastAsia" w:hAnsiTheme="minorEastAsia" w:eastAsiaTheme="minorEastAsia"/>
          <w:b/>
          <w:sz w:val="28"/>
          <w:highlight w:val="none"/>
        </w:rPr>
        <w:t>供应</w:t>
      </w:r>
      <w:r>
        <w:rPr>
          <w:rFonts w:hint="eastAsia" w:ascii="宋体" w:hAnsi="宋体" w:eastAsia="宋体"/>
          <w:b/>
          <w:bCs/>
          <w:sz w:val="28"/>
          <w:highlight w:val="none"/>
        </w:rPr>
        <w:t>商询问函和质疑函范本</w:t>
      </w:r>
      <w:bookmarkEnd w:id="83"/>
      <w:bookmarkEnd w:id="84"/>
    </w:p>
    <w:p w14:paraId="4D7AF06C">
      <w:pPr>
        <w:spacing w:line="360" w:lineRule="auto"/>
        <w:jc w:val="center"/>
        <w:outlineLvl w:val="1"/>
        <w:rPr>
          <w:rFonts w:hint="eastAsia" w:ascii="仿宋" w:hAnsi="仿宋" w:eastAsia="仿宋" w:cs="仿宋"/>
          <w:b/>
          <w:bCs/>
          <w:sz w:val="32"/>
          <w:szCs w:val="44"/>
          <w:highlight w:val="none"/>
        </w:rPr>
      </w:pPr>
      <w:bookmarkStart w:id="85" w:name="_Toc6955"/>
      <w:bookmarkStart w:id="86" w:name="_Toc27159"/>
      <w:r>
        <w:rPr>
          <w:rFonts w:hint="eastAsia" w:ascii="仿宋" w:hAnsi="仿宋" w:eastAsia="仿宋" w:cs="仿宋"/>
          <w:b/>
          <w:bCs/>
          <w:sz w:val="32"/>
          <w:szCs w:val="44"/>
          <w:highlight w:val="none"/>
        </w:rPr>
        <w:t>询问函范本</w:t>
      </w:r>
      <w:bookmarkEnd w:id="85"/>
      <w:bookmarkEnd w:id="86"/>
    </w:p>
    <w:p w14:paraId="006640DF">
      <w:pPr>
        <w:adjustRightInd w:val="0"/>
        <w:snapToGrid w:val="0"/>
        <w:spacing w:line="360" w:lineRule="auto"/>
        <w:ind w:firstLine="480" w:firstLineChars="200"/>
        <w:jc w:val="center"/>
        <w:rPr>
          <w:rFonts w:hint="eastAsia" w:ascii="仿宋" w:hAnsi="仿宋" w:eastAsia="仿宋" w:cs="仿宋"/>
          <w:b/>
          <w:bCs/>
          <w:sz w:val="32"/>
          <w:szCs w:val="44"/>
          <w:highlight w:val="none"/>
        </w:rPr>
      </w:pPr>
      <w:r>
        <w:rPr>
          <w:rFonts w:hint="eastAsia" w:cs="仿宋" w:asciiTheme="minorEastAsia" w:hAnsiTheme="minorEastAsia" w:eastAsiaTheme="minorEastAsia"/>
          <w:i/>
          <w:iCs/>
          <w:sz w:val="24"/>
          <w:szCs w:val="24"/>
          <w:highlight w:val="none"/>
        </w:rPr>
        <w:t>（如为对采购文件或采购程序的询问或疑问，请按询问函范本或电子交易系统中网上询问格式附件进行提交）</w:t>
      </w:r>
    </w:p>
    <w:p w14:paraId="6DD3521F">
      <w:pPr>
        <w:adjustRightInd w:val="0"/>
        <w:snapToGrid w:val="0"/>
        <w:spacing w:line="360" w:lineRule="auto"/>
        <w:rPr>
          <w:rFonts w:hint="eastAsia" w:cs="仿宋" w:asciiTheme="minorEastAsia" w:hAnsiTheme="minorEastAsia" w:eastAsiaTheme="minorEastAsia"/>
          <w:b/>
          <w:bCs/>
          <w:sz w:val="24"/>
          <w:szCs w:val="24"/>
          <w:highlight w:val="none"/>
          <w:u w:val="single"/>
        </w:rPr>
      </w:pPr>
      <w:r>
        <w:rPr>
          <w:rFonts w:hint="eastAsia" w:cs="仿宋" w:asciiTheme="minorEastAsia" w:hAnsiTheme="minorEastAsia" w:eastAsiaTheme="minorEastAsia"/>
          <w:b/>
          <w:bCs/>
          <w:sz w:val="24"/>
          <w:szCs w:val="24"/>
          <w:highlight w:val="none"/>
        </w:rPr>
        <w:t>致：采购人</w:t>
      </w:r>
    </w:p>
    <w:p w14:paraId="5F02686C">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我单位拟参与</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i/>
          <w:iCs/>
          <w:sz w:val="24"/>
          <w:szCs w:val="24"/>
          <w:highlight w:val="none"/>
        </w:rPr>
        <w:t>项目名称、编号</w:t>
      </w:r>
      <w:r>
        <w:rPr>
          <w:rFonts w:hint="eastAsia" w:cs="仿宋" w:asciiTheme="minorEastAsia" w:hAnsiTheme="minorEastAsia" w:eastAsiaTheme="minorEastAsia"/>
          <w:sz w:val="24"/>
          <w:szCs w:val="24"/>
          <w:highlight w:val="none"/>
        </w:rPr>
        <w:t>）的采购活动，现有以下内容(或条款)存在疑问(或无法理解)，特提出询问。</w:t>
      </w:r>
    </w:p>
    <w:p w14:paraId="7A6CD484">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bookmarkStart w:id="87" w:name="_Toc13899"/>
      <w:r>
        <w:rPr>
          <w:rFonts w:hint="eastAsia" w:cs="仿宋" w:asciiTheme="minorEastAsia" w:hAnsiTheme="minorEastAsia" w:eastAsiaTheme="minorEastAsia"/>
          <w:sz w:val="24"/>
          <w:szCs w:val="24"/>
          <w:highlight w:val="none"/>
        </w:rPr>
        <w:t>一、(事项一)</w:t>
      </w:r>
      <w:bookmarkEnd w:id="87"/>
    </w:p>
    <w:p w14:paraId="3C21D1A0">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1、(内容或条款)</w:t>
      </w:r>
    </w:p>
    <w:p w14:paraId="7873C2C2">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2、(说明疑问或无法理解原因)</w:t>
      </w:r>
    </w:p>
    <w:p w14:paraId="0C03924D">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3、(建议)</w:t>
      </w:r>
    </w:p>
    <w:p w14:paraId="00105756">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bookmarkStart w:id="88" w:name="_Toc3352"/>
      <w:r>
        <w:rPr>
          <w:rFonts w:hint="eastAsia" w:cs="仿宋" w:asciiTheme="minorEastAsia" w:hAnsiTheme="minorEastAsia" w:eastAsiaTheme="minorEastAsia"/>
          <w:sz w:val="24"/>
          <w:szCs w:val="24"/>
          <w:highlight w:val="none"/>
        </w:rPr>
        <w:t>二、(事项二)</w:t>
      </w:r>
      <w:bookmarkEnd w:id="88"/>
    </w:p>
    <w:p w14:paraId="0DF33D09">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47793DFD">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随附相关证明材料如下： </w:t>
      </w:r>
    </w:p>
    <w:p w14:paraId="114BF17E">
      <w:pP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 系 人：</w:t>
      </w:r>
      <w:r>
        <w:rPr>
          <w:rFonts w:hint="eastAsia" w:asciiTheme="minorEastAsia" w:hAnsiTheme="minorEastAsia" w:eastAsiaTheme="minorEastAsia"/>
          <w:sz w:val="24"/>
          <w:highlight w:val="none"/>
          <w:u w:val="single"/>
        </w:rPr>
        <w:t xml:space="preserve">              </w:t>
      </w:r>
    </w:p>
    <w:p w14:paraId="297C233A">
      <w:pP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u w:val="single"/>
        </w:rPr>
        <w:t xml:space="preserve">              </w:t>
      </w:r>
    </w:p>
    <w:p w14:paraId="1A60213E">
      <w:pPr>
        <w:tabs>
          <w:tab w:val="left" w:pos="630"/>
        </w:tabs>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日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74E811B3">
      <w:pPr>
        <w:rPr>
          <w:rFonts w:hint="eastAsia" w:ascii="仿宋" w:hAnsi="仿宋" w:eastAsia="仿宋" w:cs="仿宋"/>
          <w:b/>
          <w:bCs/>
          <w:sz w:val="32"/>
          <w:szCs w:val="44"/>
          <w:highlight w:val="none"/>
        </w:rPr>
      </w:pPr>
      <w:r>
        <w:rPr>
          <w:rFonts w:hint="eastAsia" w:ascii="仿宋" w:hAnsi="仿宋" w:eastAsia="仿宋" w:cs="仿宋"/>
          <w:b/>
          <w:bCs/>
          <w:sz w:val="32"/>
          <w:szCs w:val="44"/>
          <w:highlight w:val="none"/>
        </w:rPr>
        <w:br w:type="page"/>
      </w:r>
    </w:p>
    <w:p w14:paraId="05FBF97D">
      <w:pPr>
        <w:jc w:val="center"/>
        <w:outlineLvl w:val="1"/>
        <w:rPr>
          <w:rFonts w:hint="eastAsia" w:ascii="仿宋" w:hAnsi="仿宋" w:eastAsia="仿宋" w:cs="仿宋"/>
          <w:b/>
          <w:bCs/>
          <w:sz w:val="32"/>
          <w:szCs w:val="44"/>
          <w:highlight w:val="none"/>
        </w:rPr>
      </w:pPr>
      <w:bookmarkStart w:id="89" w:name="_Toc1575"/>
      <w:bookmarkStart w:id="90" w:name="_Toc857"/>
      <w:r>
        <w:rPr>
          <w:rFonts w:hint="eastAsia" w:ascii="仿宋" w:hAnsi="仿宋" w:eastAsia="仿宋" w:cs="仿宋"/>
          <w:b/>
          <w:bCs/>
          <w:sz w:val="32"/>
          <w:szCs w:val="44"/>
          <w:highlight w:val="none"/>
        </w:rPr>
        <w:t>质疑函范本</w:t>
      </w:r>
      <w:bookmarkEnd w:id="89"/>
      <w:bookmarkEnd w:id="90"/>
    </w:p>
    <w:p w14:paraId="2E9EF4D2">
      <w:pPr>
        <w:adjustRightInd w:val="0"/>
        <w:snapToGrid w:val="0"/>
        <w:spacing w:before="312" w:beforeLines="100" w:line="360" w:lineRule="auto"/>
        <w:rPr>
          <w:rFonts w:hint="eastAsia" w:cs="仿宋" w:asciiTheme="minorEastAsia" w:hAnsiTheme="minorEastAsia" w:eastAsiaTheme="minorEastAsia"/>
          <w:b/>
          <w:bCs/>
          <w:sz w:val="24"/>
          <w:szCs w:val="24"/>
          <w:highlight w:val="none"/>
        </w:rPr>
      </w:pPr>
      <w:bookmarkStart w:id="91" w:name="_Toc21381"/>
      <w:r>
        <w:rPr>
          <w:rFonts w:hint="eastAsia" w:cs="仿宋" w:asciiTheme="minorEastAsia" w:hAnsiTheme="minorEastAsia" w:eastAsiaTheme="minorEastAsia"/>
          <w:b/>
          <w:bCs/>
          <w:sz w:val="24"/>
          <w:szCs w:val="24"/>
          <w:highlight w:val="none"/>
        </w:rPr>
        <w:t>一、质疑供应商基本信息</w:t>
      </w:r>
      <w:bookmarkEnd w:id="91"/>
    </w:p>
    <w:p w14:paraId="2322EFE9">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质疑供应商：</w:t>
      </w:r>
      <w:r>
        <w:rPr>
          <w:rFonts w:hint="eastAsia" w:cs="仿宋" w:asciiTheme="minorEastAsia" w:hAnsiTheme="minorEastAsia" w:eastAsiaTheme="minorEastAsia"/>
          <w:sz w:val="24"/>
          <w:szCs w:val="24"/>
          <w:highlight w:val="none"/>
          <w:u w:val="dotted"/>
        </w:rPr>
        <w:t xml:space="preserve">                                        </w:t>
      </w:r>
    </w:p>
    <w:p w14:paraId="0E5A8C66">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42C8D4DC">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p>
    <w:p w14:paraId="2D9AD16B">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授权代表：</w:t>
      </w:r>
      <w:r>
        <w:rPr>
          <w:rFonts w:hint="eastAsia" w:cs="仿宋" w:asciiTheme="minorEastAsia" w:hAnsiTheme="minorEastAsia" w:eastAsiaTheme="minorEastAsia"/>
          <w:sz w:val="24"/>
          <w:szCs w:val="24"/>
          <w:highlight w:val="none"/>
          <w:u w:val="dotted"/>
        </w:rPr>
        <w:t xml:space="preserve">                                          </w:t>
      </w:r>
    </w:p>
    <w:p w14:paraId="2760B304">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r>
        <w:rPr>
          <w:rFonts w:cs="仿宋" w:asciiTheme="minorEastAsia" w:hAnsiTheme="minorEastAsia" w:eastAsiaTheme="minorEastAsia"/>
          <w:sz w:val="24"/>
          <w:szCs w:val="24"/>
          <w:highlight w:val="none"/>
        </w:rPr>
        <w:t xml:space="preserve"> </w:t>
      </w:r>
    </w:p>
    <w:p w14:paraId="43C05C52">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cs="仿宋" w:asciiTheme="minorEastAsia" w:hAnsiTheme="minorEastAsia" w:eastAsiaTheme="minorEastAsia"/>
          <w:sz w:val="24"/>
          <w:szCs w:val="24"/>
          <w:highlight w:val="none"/>
        </w:rPr>
        <w:t xml:space="preserve"> </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45A294A6">
      <w:pPr>
        <w:adjustRightInd w:val="0"/>
        <w:snapToGrid w:val="0"/>
        <w:spacing w:line="360" w:lineRule="auto"/>
        <w:rPr>
          <w:rFonts w:hint="eastAsia" w:cs="仿宋" w:asciiTheme="minorEastAsia" w:hAnsiTheme="minorEastAsia" w:eastAsiaTheme="minorEastAsia"/>
          <w:b/>
          <w:bCs/>
          <w:sz w:val="24"/>
          <w:szCs w:val="24"/>
          <w:highlight w:val="none"/>
        </w:rPr>
      </w:pPr>
      <w:bookmarkStart w:id="92" w:name="_Toc28415"/>
      <w:r>
        <w:rPr>
          <w:rFonts w:hint="eastAsia" w:cs="仿宋" w:asciiTheme="minorEastAsia" w:hAnsiTheme="minorEastAsia" w:eastAsiaTheme="minorEastAsia"/>
          <w:b/>
          <w:bCs/>
          <w:sz w:val="24"/>
          <w:szCs w:val="24"/>
          <w:highlight w:val="none"/>
        </w:rPr>
        <w:t>二、质疑项目基本情况</w:t>
      </w:r>
      <w:bookmarkEnd w:id="92"/>
    </w:p>
    <w:p w14:paraId="092D7C80">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质疑项目的名称：</w:t>
      </w:r>
      <w:r>
        <w:rPr>
          <w:rFonts w:hint="eastAsia" w:cs="仿宋" w:asciiTheme="minorEastAsia" w:hAnsiTheme="minorEastAsia" w:eastAsiaTheme="minorEastAsia"/>
          <w:sz w:val="24"/>
          <w:szCs w:val="24"/>
          <w:highlight w:val="none"/>
          <w:u w:val="dotted"/>
        </w:rPr>
        <w:t xml:space="preserve">                                      </w:t>
      </w:r>
    </w:p>
    <w:p w14:paraId="310DE5F6">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质疑项目的编号：</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包号：</w:t>
      </w:r>
      <w:r>
        <w:rPr>
          <w:rFonts w:hint="eastAsia" w:cs="仿宋" w:asciiTheme="minorEastAsia" w:hAnsiTheme="minorEastAsia" w:eastAsiaTheme="minorEastAsia"/>
          <w:sz w:val="24"/>
          <w:szCs w:val="24"/>
          <w:highlight w:val="none"/>
          <w:u w:val="dotted"/>
        </w:rPr>
        <w:t xml:space="preserve">                 </w:t>
      </w:r>
    </w:p>
    <w:p w14:paraId="7D3BCF54">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采购人名称：</w:t>
      </w:r>
      <w:r>
        <w:rPr>
          <w:rFonts w:hint="eastAsia" w:cs="仿宋" w:asciiTheme="minorEastAsia" w:hAnsiTheme="minorEastAsia" w:eastAsiaTheme="minorEastAsia"/>
          <w:sz w:val="24"/>
          <w:szCs w:val="24"/>
          <w:highlight w:val="none"/>
          <w:u w:val="dotted"/>
        </w:rPr>
        <w:t xml:space="preserve">                                         </w:t>
      </w:r>
    </w:p>
    <w:p w14:paraId="7A8DB5DC">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采购文件获取日期：</w:t>
      </w:r>
      <w:r>
        <w:rPr>
          <w:rFonts w:hint="eastAsia" w:cs="仿宋" w:asciiTheme="minorEastAsia" w:hAnsiTheme="minorEastAsia" w:eastAsiaTheme="minorEastAsia"/>
          <w:sz w:val="24"/>
          <w:szCs w:val="24"/>
          <w:highlight w:val="none"/>
          <w:u w:val="dotted"/>
        </w:rPr>
        <w:t xml:space="preserve">                                           </w:t>
      </w:r>
    </w:p>
    <w:p w14:paraId="2986ABF0">
      <w:pPr>
        <w:adjustRightInd w:val="0"/>
        <w:snapToGrid w:val="0"/>
        <w:spacing w:line="360" w:lineRule="auto"/>
        <w:rPr>
          <w:rFonts w:hint="eastAsia" w:cs="仿宋" w:asciiTheme="minorEastAsia" w:hAnsiTheme="minorEastAsia" w:eastAsiaTheme="minorEastAsia"/>
          <w:b/>
          <w:bCs/>
          <w:sz w:val="24"/>
          <w:szCs w:val="24"/>
          <w:highlight w:val="none"/>
        </w:rPr>
      </w:pPr>
      <w:bookmarkStart w:id="93" w:name="_Toc19014"/>
      <w:r>
        <w:rPr>
          <w:rFonts w:hint="eastAsia" w:cs="仿宋" w:asciiTheme="minorEastAsia" w:hAnsiTheme="minorEastAsia" w:eastAsiaTheme="minorEastAsia"/>
          <w:b/>
          <w:bCs/>
          <w:sz w:val="24"/>
          <w:szCs w:val="24"/>
          <w:highlight w:val="none"/>
        </w:rPr>
        <w:t>三、质疑事项具体内容</w:t>
      </w:r>
      <w:bookmarkEnd w:id="93"/>
    </w:p>
    <w:p w14:paraId="2E7EE922">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质疑事项1：</w:t>
      </w:r>
      <w:r>
        <w:rPr>
          <w:rFonts w:hint="eastAsia" w:cs="仿宋" w:asciiTheme="minorEastAsia" w:hAnsiTheme="minorEastAsia" w:eastAsiaTheme="minorEastAsia"/>
          <w:sz w:val="24"/>
          <w:szCs w:val="24"/>
          <w:highlight w:val="none"/>
          <w:u w:val="dotted"/>
        </w:rPr>
        <w:t xml:space="preserve">                                         </w:t>
      </w:r>
    </w:p>
    <w:p w14:paraId="55C29A1D">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事实依据：</w:t>
      </w:r>
      <w:r>
        <w:rPr>
          <w:rFonts w:hint="eastAsia" w:cs="仿宋" w:asciiTheme="minorEastAsia" w:hAnsiTheme="minorEastAsia" w:eastAsiaTheme="minorEastAsia"/>
          <w:sz w:val="24"/>
          <w:szCs w:val="24"/>
          <w:highlight w:val="none"/>
          <w:u w:val="dotted"/>
        </w:rPr>
        <w:t xml:space="preserve">                                          </w:t>
      </w:r>
    </w:p>
    <w:p w14:paraId="259F1F6E">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u w:val="dotted"/>
        </w:rPr>
        <w:t xml:space="preserve">                                                       </w:t>
      </w:r>
    </w:p>
    <w:p w14:paraId="64859115">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法律依据：</w:t>
      </w:r>
      <w:r>
        <w:rPr>
          <w:rFonts w:hint="eastAsia" w:cs="仿宋" w:asciiTheme="minorEastAsia" w:hAnsiTheme="minorEastAsia" w:eastAsiaTheme="minorEastAsia"/>
          <w:sz w:val="24"/>
          <w:szCs w:val="24"/>
          <w:highlight w:val="none"/>
          <w:u w:val="dotted"/>
        </w:rPr>
        <w:t xml:space="preserve">                                          </w:t>
      </w:r>
    </w:p>
    <w:p w14:paraId="731BAF76">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u w:val="dotted"/>
        </w:rPr>
        <w:t xml:space="preserve">                                                     </w:t>
      </w:r>
    </w:p>
    <w:p w14:paraId="08274419">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质疑事项2</w:t>
      </w:r>
    </w:p>
    <w:p w14:paraId="656C1ADE">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7F4FA1CB">
      <w:pPr>
        <w:adjustRightInd w:val="0"/>
        <w:snapToGrid w:val="0"/>
        <w:spacing w:line="360" w:lineRule="auto"/>
        <w:rPr>
          <w:rFonts w:hint="eastAsia" w:cs="仿宋" w:asciiTheme="minorEastAsia" w:hAnsiTheme="minorEastAsia" w:eastAsiaTheme="minorEastAsia"/>
          <w:b/>
          <w:bCs/>
          <w:sz w:val="24"/>
          <w:szCs w:val="24"/>
          <w:highlight w:val="none"/>
        </w:rPr>
      </w:pPr>
      <w:bookmarkStart w:id="94" w:name="_Toc17919"/>
      <w:r>
        <w:rPr>
          <w:rFonts w:hint="eastAsia" w:cs="仿宋" w:asciiTheme="minorEastAsia" w:hAnsiTheme="minorEastAsia" w:eastAsiaTheme="minorEastAsia"/>
          <w:b/>
          <w:bCs/>
          <w:sz w:val="24"/>
          <w:szCs w:val="24"/>
          <w:highlight w:val="none"/>
        </w:rPr>
        <w:t>四、与质疑事项相关的质疑请求</w:t>
      </w:r>
      <w:bookmarkEnd w:id="94"/>
    </w:p>
    <w:p w14:paraId="2CFEDF36">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请求：</w:t>
      </w:r>
      <w:r>
        <w:rPr>
          <w:rFonts w:hint="eastAsia" w:cs="仿宋" w:asciiTheme="minorEastAsia" w:hAnsiTheme="minorEastAsia" w:eastAsiaTheme="minorEastAsia"/>
          <w:sz w:val="24"/>
          <w:szCs w:val="24"/>
          <w:highlight w:val="none"/>
          <w:u w:val="dotted"/>
        </w:rPr>
        <w:t xml:space="preserve">                                               </w:t>
      </w:r>
    </w:p>
    <w:p w14:paraId="48C5D4D6">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签字(签章)：                   公章：                      </w:t>
      </w:r>
    </w:p>
    <w:p w14:paraId="6882F4C0">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日期：    </w:t>
      </w:r>
    </w:p>
    <w:p w14:paraId="02F44FE2">
      <w:pPr>
        <w:widowControl/>
        <w:jc w:val="left"/>
        <w:rPr>
          <w:rFonts w:hint="eastAsia" w:ascii="仿宋" w:hAnsi="仿宋" w:eastAsia="仿宋" w:cs="仿宋"/>
          <w:sz w:val="32"/>
          <w:szCs w:val="32"/>
          <w:highlight w:val="none"/>
        </w:rPr>
      </w:pPr>
      <w:r>
        <w:rPr>
          <w:rFonts w:ascii="仿宋" w:hAnsi="仿宋" w:eastAsia="仿宋" w:cs="仿宋"/>
          <w:sz w:val="32"/>
          <w:szCs w:val="32"/>
          <w:highlight w:val="none"/>
        </w:rPr>
        <w:br w:type="page"/>
      </w:r>
    </w:p>
    <w:p w14:paraId="71A93451">
      <w:pPr>
        <w:outlineLvl w:val="0"/>
        <w:rPr>
          <w:rFonts w:hint="eastAsia" w:asciiTheme="minorEastAsia" w:hAnsiTheme="minorEastAsia" w:eastAsiaTheme="minorEastAsia"/>
          <w:b/>
          <w:sz w:val="28"/>
          <w:szCs w:val="32"/>
          <w:highlight w:val="none"/>
        </w:rPr>
      </w:pPr>
      <w:bookmarkStart w:id="95" w:name="_Toc22239"/>
      <w:bookmarkStart w:id="96" w:name="_Toc9754"/>
      <w:r>
        <w:rPr>
          <w:rFonts w:hint="eastAsia" w:asciiTheme="minorEastAsia" w:hAnsiTheme="minorEastAsia" w:eastAsiaTheme="minorEastAsia"/>
          <w:b/>
          <w:sz w:val="28"/>
          <w:szCs w:val="32"/>
          <w:highlight w:val="none"/>
        </w:rPr>
        <w:t>质疑函制作说明：</w:t>
      </w:r>
      <w:bookmarkEnd w:id="95"/>
      <w:bookmarkEnd w:id="96"/>
    </w:p>
    <w:p w14:paraId="0348EF8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2018FDC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9CDAEC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62B75BE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2F4D11D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3AB35BE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20D9">
    <w:pPr>
      <w:pStyle w:val="17"/>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5826">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A7ABA">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21A7ABA">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27CA">
    <w:pPr>
      <w:pStyle w:val="17"/>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09C55">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BE09C55">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60435">
    <w:pPr>
      <w:pStyle w:val="18"/>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79ABD">
    <w:pPr>
      <w:pStyle w:val="18"/>
      <w:jc w:val="left"/>
      <w:rPr>
        <w:rFonts w:hint="eastAsia"/>
      </w:rPr>
    </w:pPr>
    <w:r>
      <w:rPr>
        <w:rFonts w:hint="eastAsia" w:asciiTheme="minorEastAsia" w:hAnsiTheme="minorEastAsia" w:eastAsiaTheme="minorEastAsia"/>
      </w:rPr>
      <w:t>安徽省政府采购项目公开招标文件示范文本（服务类）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CA6A8"/>
    <w:multiLevelType w:val="singleLevel"/>
    <w:tmpl w:val="CD7CA6A8"/>
    <w:lvl w:ilvl="0" w:tentative="0">
      <w:start w:val="1"/>
      <w:numFmt w:val="chineseCounting"/>
      <w:suff w:val="nothing"/>
      <w:lvlText w:val="%1、"/>
      <w:lvlJc w:val="left"/>
      <w:rPr>
        <w:rFonts w:hint="eastAsia"/>
        <w:color w:val="000000"/>
      </w:rPr>
    </w:lvl>
  </w:abstractNum>
  <w:abstractNum w:abstractNumId="1">
    <w:nsid w:val="DC4D49BD"/>
    <w:multiLevelType w:val="multilevel"/>
    <w:tmpl w:val="DC4D49BD"/>
    <w:lvl w:ilvl="0" w:tentative="0">
      <w:start w:val="1"/>
      <w:numFmt w:val="decimal"/>
      <w:lvlText w:val="第%1章 "/>
      <w:lvlJc w:val="left"/>
      <w:pPr>
        <w:tabs>
          <w:tab w:val="left" w:pos="0"/>
        </w:tabs>
        <w:ind w:left="0" w:leftChars="0" w:firstLine="0" w:firstLineChars="0"/>
      </w:pPr>
      <w:rPr>
        <w:rFonts w:hint="default" w:ascii="黑体" w:hAnsi="黑体" w:eastAsia="黑体" w:cs="Times New Roman"/>
      </w:rPr>
    </w:lvl>
    <w:lvl w:ilvl="1" w:tentative="0">
      <w:start w:val="1"/>
      <w:numFmt w:val="decimal"/>
      <w:lvlText w:val="%1.%2 "/>
      <w:lvlJc w:val="left"/>
      <w:pPr>
        <w:tabs>
          <w:tab w:val="left" w:pos="0"/>
        </w:tabs>
        <w:ind w:left="0" w:leftChars="0" w:firstLine="0" w:firstLineChars="0"/>
      </w:pPr>
      <w:rPr>
        <w:rFonts w:hint="default" w:ascii="Times New Roman" w:hAnsi="Times New Roman" w:eastAsia="宋体" w:cs="Times New Roman"/>
      </w:rPr>
    </w:lvl>
    <w:lvl w:ilvl="2" w:tentative="0">
      <w:start w:val="1"/>
      <w:numFmt w:val="decimal"/>
      <w:lvlText w:val="%1.%2.%3 "/>
      <w:lvlJc w:val="left"/>
      <w:pPr>
        <w:tabs>
          <w:tab w:val="left" w:pos="0"/>
        </w:tabs>
        <w:ind w:left="0" w:leftChars="0" w:firstLine="0" w:firstLineChars="0"/>
      </w:pPr>
      <w:rPr>
        <w:rFonts w:hint="default" w:ascii="Times New Roman" w:hAnsi="Times New Roman" w:eastAsia="宋体" w:cs="Times New Roman"/>
        <w:b/>
        <w:bCs/>
      </w:rPr>
    </w:lvl>
    <w:lvl w:ilvl="3" w:tentative="0">
      <w:start w:val="1"/>
      <w:numFmt w:val="decimal"/>
      <w:lvlText w:val="%1.%2.%3.%4 "/>
      <w:lvlJc w:val="left"/>
      <w:pPr>
        <w:tabs>
          <w:tab w:val="left" w:pos="0"/>
        </w:tabs>
        <w:ind w:left="0" w:leftChars="0" w:firstLine="0" w:firstLineChars="0"/>
      </w:pPr>
      <w:rPr>
        <w:rFonts w:hint="default" w:ascii="Times New Roman" w:hAnsi="Times New Roman" w:eastAsia="宋体" w:cs="Times New Roman"/>
        <w:b/>
        <w:bCs/>
      </w:rPr>
    </w:lvl>
    <w:lvl w:ilvl="4" w:tentative="0">
      <w:start w:val="1"/>
      <w:numFmt w:val="decimal"/>
      <w:lvlText w:val="%1.%2.%3.%4.%5 "/>
      <w:lvlJc w:val="left"/>
      <w:pPr>
        <w:tabs>
          <w:tab w:val="left" w:pos="0"/>
        </w:tabs>
        <w:ind w:left="0" w:leftChars="0" w:firstLine="0" w:firstLineChars="0"/>
      </w:pPr>
      <w:rPr>
        <w:rFonts w:hint="default" w:ascii="Times New Roman" w:hAnsi="Times New Roman" w:eastAsia="宋体" w:cs="Times New Roman"/>
        <w:b/>
        <w:bCs/>
      </w:rPr>
    </w:lvl>
    <w:lvl w:ilvl="5" w:tentative="0">
      <w:start w:val="1"/>
      <w:numFmt w:val="decimal"/>
      <w:lvlText w:val="%1.%2.%3.%4.%5.%6 "/>
      <w:lvlJc w:val="left"/>
      <w:pPr>
        <w:tabs>
          <w:tab w:val="left" w:pos="0"/>
        </w:tabs>
        <w:ind w:left="0" w:leftChars="0" w:firstLine="0" w:firstLineChars="0"/>
      </w:pPr>
      <w:rPr>
        <w:rFonts w:hint="default" w:ascii="Times New Roman" w:hAnsi="Times New Roman" w:eastAsia="宋体" w:cs="Times New Roman"/>
        <w:b/>
        <w:bCs/>
      </w:rPr>
    </w:lvl>
    <w:lvl w:ilvl="6" w:tentative="0">
      <w:start w:val="1"/>
      <w:numFmt w:val="decimal"/>
      <w:suff w:val="nothing"/>
      <w:lvlText w:val="%1.%2.%3.%4.%5.%6.%7 "/>
      <w:lvlJc w:val="left"/>
      <w:pPr>
        <w:tabs>
          <w:tab w:val="left" w:pos="0"/>
        </w:tabs>
        <w:ind w:left="0" w:leftChars="0" w:firstLine="0" w:firstLineChars="0"/>
      </w:pPr>
      <w:rPr>
        <w:rFonts w:hint="default" w:ascii="Times New Roman" w:hAnsi="Times New Roman" w:eastAsia="宋体" w:cs="Times New Roman"/>
        <w:b/>
        <w:bCs/>
      </w:rPr>
    </w:lvl>
    <w:lvl w:ilvl="7" w:tentative="0">
      <w:start w:val="1"/>
      <w:numFmt w:val="decimal"/>
      <w:lvlText w:val="%1.%2.%3.%4.%5.%6.%7.%8 "/>
      <w:lvlJc w:val="left"/>
      <w:pPr>
        <w:tabs>
          <w:tab w:val="left" w:pos="420"/>
        </w:tabs>
        <w:ind w:left="0" w:leftChars="0" w:firstLine="0" w:firstLineChars="0"/>
      </w:pPr>
      <w:rPr>
        <w:rFonts w:hint="default" w:ascii="Times New Roman" w:hAnsi="Times New Roman" w:eastAsia="宋体" w:cs="Times New Roman"/>
      </w:rPr>
    </w:lvl>
    <w:lvl w:ilvl="8" w:tentative="0">
      <w:start w:val="1"/>
      <w:numFmt w:val="decimal"/>
      <w:lvlText w:val="%1.%2.%3.%4.%5.%6.%7.%8.%9 "/>
      <w:lvlJc w:val="left"/>
      <w:pPr>
        <w:tabs>
          <w:tab w:val="left" w:pos="0"/>
        </w:tabs>
        <w:ind w:left="0" w:leftChars="0" w:firstLine="0" w:firstLineChars="0"/>
      </w:pPr>
      <w:rPr>
        <w:rFonts w:hint="default" w:ascii="Times New Roman" w:hAnsi="Times New Roman" w:eastAsia="宋体" w:cs="Times New Roman"/>
      </w:rPr>
    </w:lvl>
  </w:abstractNum>
  <w:abstractNum w:abstractNumId="2">
    <w:nsid w:val="2A064A37"/>
    <w:multiLevelType w:val="singleLevel"/>
    <w:tmpl w:val="2A064A37"/>
    <w:lvl w:ilvl="0" w:tentative="0">
      <w:start w:val="3"/>
      <w:numFmt w:val="chineseCounting"/>
      <w:suff w:val="space"/>
      <w:lvlText w:val="第%1章"/>
      <w:lvlJc w:val="left"/>
      <w:rPr>
        <w:rFonts w:hint="eastAsia"/>
      </w:rPr>
    </w:lvl>
  </w:abstractNum>
  <w:abstractNum w:abstractNumId="3">
    <w:nsid w:val="2F8A0307"/>
    <w:multiLevelType w:val="multilevel"/>
    <w:tmpl w:val="2F8A0307"/>
    <w:lvl w:ilvl="0" w:tentative="0">
      <w:start w:val="1"/>
      <w:numFmt w:val="decimal"/>
      <w:lvlText w:val="%1、"/>
      <w:lvlJc w:val="left"/>
      <w:pPr>
        <w:ind w:left="440" w:hanging="440"/>
      </w:pPr>
      <w:rPr>
        <w:rFonts w:hint="eastAsia"/>
      </w:rPr>
    </w:lvl>
    <w:lvl w:ilvl="1" w:tentative="0">
      <w:start w:val="1"/>
      <w:numFmt w:val="decimal"/>
      <w:lvlText w:val="%2)"/>
      <w:lvlJc w:val="left"/>
      <w:pPr>
        <w:ind w:left="92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436349F"/>
    <w:multiLevelType w:val="multilevel"/>
    <w:tmpl w:val="3436349F"/>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35EF43C8"/>
    <w:multiLevelType w:val="multilevel"/>
    <w:tmpl w:val="35EF43C8"/>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B3E7BAB"/>
    <w:multiLevelType w:val="multilevel"/>
    <w:tmpl w:val="3B3E7BA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8E41B42"/>
    <w:multiLevelType w:val="multilevel"/>
    <w:tmpl w:val="48E41B42"/>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53C97F65"/>
    <w:multiLevelType w:val="multilevel"/>
    <w:tmpl w:val="53C97F65"/>
    <w:lvl w:ilvl="0" w:tentative="0">
      <w:start w:val="1"/>
      <w:numFmt w:val="decimal"/>
      <w:pStyle w:val="62"/>
      <w:suff w:val="space"/>
      <w:lvlText w:val="%1"/>
      <w:lvlJc w:val="left"/>
      <w:pPr>
        <w:ind w:left="227" w:hanging="227"/>
      </w:pPr>
      <w:rPr>
        <w:rFonts w:hint="eastAsia"/>
      </w:rPr>
    </w:lvl>
    <w:lvl w:ilvl="1" w:tentative="0">
      <w:start w:val="1"/>
      <w:numFmt w:val="decimal"/>
      <w:pStyle w:val="61"/>
      <w:suff w:val="space"/>
      <w:lvlText w:val="%1.%2"/>
      <w:lvlJc w:val="left"/>
      <w:pPr>
        <w:ind w:left="227" w:hanging="227"/>
      </w:pPr>
      <w:rPr>
        <w:rFonts w:hint="eastAsia"/>
      </w:rPr>
    </w:lvl>
    <w:lvl w:ilvl="2" w:tentative="0">
      <w:start w:val="1"/>
      <w:numFmt w:val="decimal"/>
      <w:pStyle w:val="63"/>
      <w:suff w:val="space"/>
      <w:lvlText w:val="%1.%2.%3"/>
      <w:lvlJc w:val="left"/>
      <w:pPr>
        <w:ind w:left="227" w:hanging="227"/>
      </w:pPr>
      <w:rPr>
        <w:rFonts w:hint="eastAsia"/>
      </w:rPr>
    </w:lvl>
    <w:lvl w:ilvl="3" w:tentative="0">
      <w:start w:val="1"/>
      <w:numFmt w:val="decimal"/>
      <w:suff w:val="space"/>
      <w:lvlText w:val="%1.%2.%3.%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9">
    <w:nsid w:val="7B274CFE"/>
    <w:multiLevelType w:val="multilevel"/>
    <w:tmpl w:val="7B274CFE"/>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8"/>
  </w:num>
  <w:num w:numId="2">
    <w:abstractNumId w:val="2"/>
  </w:num>
  <w:num w:numId="3">
    <w:abstractNumId w:val="1"/>
  </w:num>
  <w:num w:numId="4">
    <w:abstractNumId w:val="6"/>
  </w:num>
  <w:num w:numId="5">
    <w:abstractNumId w:val="5"/>
  </w:num>
  <w:num w:numId="6">
    <w:abstractNumId w:val="7"/>
  </w:num>
  <w:num w:numId="7">
    <w:abstractNumId w:val="4"/>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07D04"/>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1118"/>
    <w:rsid w:val="00076DB7"/>
    <w:rsid w:val="00080B7B"/>
    <w:rsid w:val="00080FEB"/>
    <w:rsid w:val="00081B81"/>
    <w:rsid w:val="0008398F"/>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2DBB"/>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2767"/>
    <w:rsid w:val="001944B8"/>
    <w:rsid w:val="00195399"/>
    <w:rsid w:val="00196DA3"/>
    <w:rsid w:val="00197AC4"/>
    <w:rsid w:val="001A0DCD"/>
    <w:rsid w:val="001A5D34"/>
    <w:rsid w:val="001A68E5"/>
    <w:rsid w:val="001B21DF"/>
    <w:rsid w:val="001B2A54"/>
    <w:rsid w:val="001B5014"/>
    <w:rsid w:val="001B695F"/>
    <w:rsid w:val="001B7327"/>
    <w:rsid w:val="001C1409"/>
    <w:rsid w:val="001C67F2"/>
    <w:rsid w:val="001D53B4"/>
    <w:rsid w:val="001E744D"/>
    <w:rsid w:val="001F28D2"/>
    <w:rsid w:val="001F2F45"/>
    <w:rsid w:val="001F3023"/>
    <w:rsid w:val="001F35F6"/>
    <w:rsid w:val="001F7135"/>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2AD9"/>
    <w:rsid w:val="002D3D02"/>
    <w:rsid w:val="002D4CB5"/>
    <w:rsid w:val="002D4D62"/>
    <w:rsid w:val="002D684B"/>
    <w:rsid w:val="002E2AF4"/>
    <w:rsid w:val="002E3B26"/>
    <w:rsid w:val="002E4AB8"/>
    <w:rsid w:val="002F092B"/>
    <w:rsid w:val="002F5981"/>
    <w:rsid w:val="002F62A3"/>
    <w:rsid w:val="002F72EE"/>
    <w:rsid w:val="00301FF1"/>
    <w:rsid w:val="00310070"/>
    <w:rsid w:val="003110EC"/>
    <w:rsid w:val="00313029"/>
    <w:rsid w:val="00313DDC"/>
    <w:rsid w:val="00324244"/>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54FD"/>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435C"/>
    <w:rsid w:val="00455467"/>
    <w:rsid w:val="0045656D"/>
    <w:rsid w:val="00462D98"/>
    <w:rsid w:val="00472A44"/>
    <w:rsid w:val="00473A89"/>
    <w:rsid w:val="004740B9"/>
    <w:rsid w:val="00474D3B"/>
    <w:rsid w:val="00475899"/>
    <w:rsid w:val="004802A8"/>
    <w:rsid w:val="00482C78"/>
    <w:rsid w:val="004874AE"/>
    <w:rsid w:val="00492E2B"/>
    <w:rsid w:val="00494D24"/>
    <w:rsid w:val="004951D1"/>
    <w:rsid w:val="00496938"/>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34B95"/>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A5E90"/>
    <w:rsid w:val="005B5C95"/>
    <w:rsid w:val="005B6740"/>
    <w:rsid w:val="005D0200"/>
    <w:rsid w:val="005D44EF"/>
    <w:rsid w:val="005D4814"/>
    <w:rsid w:val="005D5112"/>
    <w:rsid w:val="005D7315"/>
    <w:rsid w:val="005E32BE"/>
    <w:rsid w:val="005E3EAB"/>
    <w:rsid w:val="005F03E3"/>
    <w:rsid w:val="005F1D0A"/>
    <w:rsid w:val="005F306B"/>
    <w:rsid w:val="005F3914"/>
    <w:rsid w:val="005F3B5A"/>
    <w:rsid w:val="005F6AB4"/>
    <w:rsid w:val="006029B1"/>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176B"/>
    <w:rsid w:val="00662EE8"/>
    <w:rsid w:val="00663813"/>
    <w:rsid w:val="00663C3B"/>
    <w:rsid w:val="00664AFD"/>
    <w:rsid w:val="00667157"/>
    <w:rsid w:val="00667567"/>
    <w:rsid w:val="0067391A"/>
    <w:rsid w:val="00674173"/>
    <w:rsid w:val="00674602"/>
    <w:rsid w:val="00674D72"/>
    <w:rsid w:val="0067535A"/>
    <w:rsid w:val="00683CA0"/>
    <w:rsid w:val="00690DB1"/>
    <w:rsid w:val="00692D8A"/>
    <w:rsid w:val="00693404"/>
    <w:rsid w:val="0069462C"/>
    <w:rsid w:val="00694BC8"/>
    <w:rsid w:val="006953D9"/>
    <w:rsid w:val="00697FE9"/>
    <w:rsid w:val="006A5FEE"/>
    <w:rsid w:val="006A65B5"/>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1D7"/>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B4CEA"/>
    <w:rsid w:val="007C3CD5"/>
    <w:rsid w:val="007C61EF"/>
    <w:rsid w:val="007D1C0D"/>
    <w:rsid w:val="007D2D23"/>
    <w:rsid w:val="007D4EA5"/>
    <w:rsid w:val="007D7644"/>
    <w:rsid w:val="007E27D6"/>
    <w:rsid w:val="007E3921"/>
    <w:rsid w:val="007E5DDE"/>
    <w:rsid w:val="00801028"/>
    <w:rsid w:val="00802CE2"/>
    <w:rsid w:val="00803793"/>
    <w:rsid w:val="0080643F"/>
    <w:rsid w:val="00814052"/>
    <w:rsid w:val="008149FD"/>
    <w:rsid w:val="00817A01"/>
    <w:rsid w:val="00824F21"/>
    <w:rsid w:val="0082500C"/>
    <w:rsid w:val="00825924"/>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01E"/>
    <w:rsid w:val="008922A8"/>
    <w:rsid w:val="00895728"/>
    <w:rsid w:val="00895BD5"/>
    <w:rsid w:val="0089742B"/>
    <w:rsid w:val="00897FAF"/>
    <w:rsid w:val="008A16C4"/>
    <w:rsid w:val="008A6FED"/>
    <w:rsid w:val="008B39C5"/>
    <w:rsid w:val="008B51AA"/>
    <w:rsid w:val="008B7932"/>
    <w:rsid w:val="008C4704"/>
    <w:rsid w:val="008C67F2"/>
    <w:rsid w:val="008D064A"/>
    <w:rsid w:val="008D0FDB"/>
    <w:rsid w:val="008D2B0F"/>
    <w:rsid w:val="008D30BC"/>
    <w:rsid w:val="008D4BC4"/>
    <w:rsid w:val="008E20BA"/>
    <w:rsid w:val="008E449E"/>
    <w:rsid w:val="008E7062"/>
    <w:rsid w:val="008F187F"/>
    <w:rsid w:val="008F402F"/>
    <w:rsid w:val="008F55FA"/>
    <w:rsid w:val="008F76E8"/>
    <w:rsid w:val="008F7CD0"/>
    <w:rsid w:val="00902902"/>
    <w:rsid w:val="00902A4B"/>
    <w:rsid w:val="009078A1"/>
    <w:rsid w:val="00911E9C"/>
    <w:rsid w:val="009133D3"/>
    <w:rsid w:val="00915083"/>
    <w:rsid w:val="00917405"/>
    <w:rsid w:val="00920035"/>
    <w:rsid w:val="00920F7C"/>
    <w:rsid w:val="00934CAE"/>
    <w:rsid w:val="00941126"/>
    <w:rsid w:val="0094257D"/>
    <w:rsid w:val="00942F60"/>
    <w:rsid w:val="0095211B"/>
    <w:rsid w:val="0095467C"/>
    <w:rsid w:val="00954A61"/>
    <w:rsid w:val="00955C6F"/>
    <w:rsid w:val="00963BEB"/>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C05FF"/>
    <w:rsid w:val="009D31F7"/>
    <w:rsid w:val="009D32C2"/>
    <w:rsid w:val="009D50DB"/>
    <w:rsid w:val="009E06CA"/>
    <w:rsid w:val="009E3A0A"/>
    <w:rsid w:val="009F16E1"/>
    <w:rsid w:val="009F26D4"/>
    <w:rsid w:val="009F3E91"/>
    <w:rsid w:val="009F6CE7"/>
    <w:rsid w:val="009F7D7D"/>
    <w:rsid w:val="00A0123D"/>
    <w:rsid w:val="00A01670"/>
    <w:rsid w:val="00A056D4"/>
    <w:rsid w:val="00A1499B"/>
    <w:rsid w:val="00A20879"/>
    <w:rsid w:val="00A20AFC"/>
    <w:rsid w:val="00A21B5C"/>
    <w:rsid w:val="00A23E47"/>
    <w:rsid w:val="00A2739B"/>
    <w:rsid w:val="00A314C2"/>
    <w:rsid w:val="00A43B9C"/>
    <w:rsid w:val="00A45A0C"/>
    <w:rsid w:val="00A53155"/>
    <w:rsid w:val="00A56FFA"/>
    <w:rsid w:val="00A63CF3"/>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48F2"/>
    <w:rsid w:val="00AE76E6"/>
    <w:rsid w:val="00B00ACC"/>
    <w:rsid w:val="00B039E3"/>
    <w:rsid w:val="00B043C1"/>
    <w:rsid w:val="00B22838"/>
    <w:rsid w:val="00B27D52"/>
    <w:rsid w:val="00B32BC1"/>
    <w:rsid w:val="00B33E95"/>
    <w:rsid w:val="00B34EE1"/>
    <w:rsid w:val="00B35B5E"/>
    <w:rsid w:val="00B3720B"/>
    <w:rsid w:val="00B40EE3"/>
    <w:rsid w:val="00B4535A"/>
    <w:rsid w:val="00B50EE2"/>
    <w:rsid w:val="00B5229A"/>
    <w:rsid w:val="00B55271"/>
    <w:rsid w:val="00B5558A"/>
    <w:rsid w:val="00B56513"/>
    <w:rsid w:val="00B56B2E"/>
    <w:rsid w:val="00B64376"/>
    <w:rsid w:val="00B65FB9"/>
    <w:rsid w:val="00B71533"/>
    <w:rsid w:val="00B7199B"/>
    <w:rsid w:val="00B7401F"/>
    <w:rsid w:val="00B806C3"/>
    <w:rsid w:val="00B838F5"/>
    <w:rsid w:val="00B84FCA"/>
    <w:rsid w:val="00B87124"/>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E79C6"/>
    <w:rsid w:val="00BF376F"/>
    <w:rsid w:val="00BF46A6"/>
    <w:rsid w:val="00BF62CF"/>
    <w:rsid w:val="00BF6B98"/>
    <w:rsid w:val="00BF73D6"/>
    <w:rsid w:val="00C06545"/>
    <w:rsid w:val="00C07B66"/>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871BE"/>
    <w:rsid w:val="00C91B28"/>
    <w:rsid w:val="00C91F3A"/>
    <w:rsid w:val="00C94A6F"/>
    <w:rsid w:val="00CA06E3"/>
    <w:rsid w:val="00CB328B"/>
    <w:rsid w:val="00CB5797"/>
    <w:rsid w:val="00CB6050"/>
    <w:rsid w:val="00CC1202"/>
    <w:rsid w:val="00CC4099"/>
    <w:rsid w:val="00CC45C1"/>
    <w:rsid w:val="00CC5E08"/>
    <w:rsid w:val="00CD035C"/>
    <w:rsid w:val="00CD09E1"/>
    <w:rsid w:val="00CD5078"/>
    <w:rsid w:val="00CD6202"/>
    <w:rsid w:val="00CE2486"/>
    <w:rsid w:val="00CE4913"/>
    <w:rsid w:val="00CE66BD"/>
    <w:rsid w:val="00CF0671"/>
    <w:rsid w:val="00CF1CF1"/>
    <w:rsid w:val="00CF44AD"/>
    <w:rsid w:val="00CF4FC0"/>
    <w:rsid w:val="00CF7642"/>
    <w:rsid w:val="00CF783F"/>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994"/>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1100"/>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2AB1"/>
    <w:rsid w:val="00EB5027"/>
    <w:rsid w:val="00EC1836"/>
    <w:rsid w:val="00EC3990"/>
    <w:rsid w:val="00EC484B"/>
    <w:rsid w:val="00ED15FA"/>
    <w:rsid w:val="00ED1E00"/>
    <w:rsid w:val="00ED7412"/>
    <w:rsid w:val="00EE228F"/>
    <w:rsid w:val="00EE238D"/>
    <w:rsid w:val="00EE6E9A"/>
    <w:rsid w:val="00EF0BF1"/>
    <w:rsid w:val="00EF27DA"/>
    <w:rsid w:val="00EF2AC4"/>
    <w:rsid w:val="00EF397E"/>
    <w:rsid w:val="00F06F1A"/>
    <w:rsid w:val="00F06F68"/>
    <w:rsid w:val="00F1332D"/>
    <w:rsid w:val="00F13B06"/>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A7E82"/>
    <w:rsid w:val="00FB0453"/>
    <w:rsid w:val="00FB0C07"/>
    <w:rsid w:val="00FB1E94"/>
    <w:rsid w:val="00FB298D"/>
    <w:rsid w:val="00FC1439"/>
    <w:rsid w:val="00FC58BE"/>
    <w:rsid w:val="00FC7225"/>
    <w:rsid w:val="00FC724B"/>
    <w:rsid w:val="00FC767C"/>
    <w:rsid w:val="00FC7910"/>
    <w:rsid w:val="00FD0834"/>
    <w:rsid w:val="00FD6EA4"/>
    <w:rsid w:val="00FE0370"/>
    <w:rsid w:val="00FE13AD"/>
    <w:rsid w:val="00FE348D"/>
    <w:rsid w:val="00FE51C8"/>
    <w:rsid w:val="00FE53B6"/>
    <w:rsid w:val="00FE72A6"/>
    <w:rsid w:val="00FF0ABF"/>
    <w:rsid w:val="00FF0DA7"/>
    <w:rsid w:val="00FF44E0"/>
    <w:rsid w:val="00FF4CB6"/>
    <w:rsid w:val="00FF5834"/>
    <w:rsid w:val="00FF6C72"/>
    <w:rsid w:val="014F6641"/>
    <w:rsid w:val="0214602E"/>
    <w:rsid w:val="03486B27"/>
    <w:rsid w:val="03E92685"/>
    <w:rsid w:val="040A094E"/>
    <w:rsid w:val="04E36C96"/>
    <w:rsid w:val="056800F4"/>
    <w:rsid w:val="056F201D"/>
    <w:rsid w:val="05B664D4"/>
    <w:rsid w:val="07076C01"/>
    <w:rsid w:val="071C12AC"/>
    <w:rsid w:val="074E231E"/>
    <w:rsid w:val="07A934B3"/>
    <w:rsid w:val="08B15E54"/>
    <w:rsid w:val="08BF22FE"/>
    <w:rsid w:val="0980799C"/>
    <w:rsid w:val="0A0F6376"/>
    <w:rsid w:val="0A353CEA"/>
    <w:rsid w:val="0A6A18DB"/>
    <w:rsid w:val="0AEF3828"/>
    <w:rsid w:val="0BBB665B"/>
    <w:rsid w:val="0CB7664E"/>
    <w:rsid w:val="0E5E7EC3"/>
    <w:rsid w:val="0E816EC5"/>
    <w:rsid w:val="0ECE5049"/>
    <w:rsid w:val="0EEA6FC1"/>
    <w:rsid w:val="0F954485"/>
    <w:rsid w:val="0FA71D21"/>
    <w:rsid w:val="0FBF344F"/>
    <w:rsid w:val="0FD12FD1"/>
    <w:rsid w:val="101A3EB0"/>
    <w:rsid w:val="10505F32"/>
    <w:rsid w:val="105A27E6"/>
    <w:rsid w:val="119B0711"/>
    <w:rsid w:val="12197477"/>
    <w:rsid w:val="13587E2C"/>
    <w:rsid w:val="13700E42"/>
    <w:rsid w:val="1466407E"/>
    <w:rsid w:val="14834E28"/>
    <w:rsid w:val="148E7D65"/>
    <w:rsid w:val="151D4243"/>
    <w:rsid w:val="15231BF9"/>
    <w:rsid w:val="179F5278"/>
    <w:rsid w:val="19360DB7"/>
    <w:rsid w:val="1A3B68AA"/>
    <w:rsid w:val="1A3E1C1E"/>
    <w:rsid w:val="1BA74675"/>
    <w:rsid w:val="1C141836"/>
    <w:rsid w:val="1E6B6A14"/>
    <w:rsid w:val="20550D9A"/>
    <w:rsid w:val="20D65FDF"/>
    <w:rsid w:val="21714B53"/>
    <w:rsid w:val="218E2416"/>
    <w:rsid w:val="21B13D3D"/>
    <w:rsid w:val="21DE2FAD"/>
    <w:rsid w:val="226915FE"/>
    <w:rsid w:val="22E14C32"/>
    <w:rsid w:val="23EA011A"/>
    <w:rsid w:val="2424247A"/>
    <w:rsid w:val="24B97929"/>
    <w:rsid w:val="2520252D"/>
    <w:rsid w:val="256C0CF0"/>
    <w:rsid w:val="26163BC1"/>
    <w:rsid w:val="268F4760"/>
    <w:rsid w:val="26B372C9"/>
    <w:rsid w:val="284B72B3"/>
    <w:rsid w:val="285F40CA"/>
    <w:rsid w:val="28C01ECB"/>
    <w:rsid w:val="28EC3ECC"/>
    <w:rsid w:val="29BF71E3"/>
    <w:rsid w:val="2A127B63"/>
    <w:rsid w:val="2A2878AC"/>
    <w:rsid w:val="2A7D6E53"/>
    <w:rsid w:val="2AAA4765"/>
    <w:rsid w:val="2AC21606"/>
    <w:rsid w:val="2AF63C5E"/>
    <w:rsid w:val="2B7E7608"/>
    <w:rsid w:val="2B7F04E9"/>
    <w:rsid w:val="2C305555"/>
    <w:rsid w:val="2C9A21B9"/>
    <w:rsid w:val="2CE20523"/>
    <w:rsid w:val="2D496D68"/>
    <w:rsid w:val="2E6672CB"/>
    <w:rsid w:val="2E7A48DE"/>
    <w:rsid w:val="2EDC3ED8"/>
    <w:rsid w:val="2F2D046C"/>
    <w:rsid w:val="2F522760"/>
    <w:rsid w:val="2F6351B4"/>
    <w:rsid w:val="2F700DFB"/>
    <w:rsid w:val="2FCF199E"/>
    <w:rsid w:val="30483E83"/>
    <w:rsid w:val="30AA0E97"/>
    <w:rsid w:val="334E4CD8"/>
    <w:rsid w:val="33917C16"/>
    <w:rsid w:val="343C0775"/>
    <w:rsid w:val="34AA76A9"/>
    <w:rsid w:val="356C50EC"/>
    <w:rsid w:val="35740700"/>
    <w:rsid w:val="359C2D6E"/>
    <w:rsid w:val="361108CD"/>
    <w:rsid w:val="3700166C"/>
    <w:rsid w:val="3727617F"/>
    <w:rsid w:val="375969FE"/>
    <w:rsid w:val="38694EE9"/>
    <w:rsid w:val="3B365CC9"/>
    <w:rsid w:val="3B9A7B88"/>
    <w:rsid w:val="3BC114FF"/>
    <w:rsid w:val="3C2660C6"/>
    <w:rsid w:val="3D2C7AC8"/>
    <w:rsid w:val="3D855D12"/>
    <w:rsid w:val="3D8B42FF"/>
    <w:rsid w:val="3D8C02DD"/>
    <w:rsid w:val="3DC20089"/>
    <w:rsid w:val="3DF36A6E"/>
    <w:rsid w:val="3F1138E1"/>
    <w:rsid w:val="3F792F1E"/>
    <w:rsid w:val="40824826"/>
    <w:rsid w:val="40E63923"/>
    <w:rsid w:val="413606A8"/>
    <w:rsid w:val="41E80A39"/>
    <w:rsid w:val="42B443F4"/>
    <w:rsid w:val="42F43FD4"/>
    <w:rsid w:val="43A91E5B"/>
    <w:rsid w:val="44BC3308"/>
    <w:rsid w:val="44DC0FEC"/>
    <w:rsid w:val="45BA48DB"/>
    <w:rsid w:val="463A3650"/>
    <w:rsid w:val="469F0116"/>
    <w:rsid w:val="475259B7"/>
    <w:rsid w:val="478D56A7"/>
    <w:rsid w:val="48831CF9"/>
    <w:rsid w:val="49A165B8"/>
    <w:rsid w:val="49B1408D"/>
    <w:rsid w:val="49D40A5E"/>
    <w:rsid w:val="4A7D4FD2"/>
    <w:rsid w:val="4A913C9A"/>
    <w:rsid w:val="4AE22D2F"/>
    <w:rsid w:val="4B1F70AC"/>
    <w:rsid w:val="4B240F94"/>
    <w:rsid w:val="4B386AE5"/>
    <w:rsid w:val="4B7B2420"/>
    <w:rsid w:val="4BA75287"/>
    <w:rsid w:val="4BED70D6"/>
    <w:rsid w:val="4C3C565C"/>
    <w:rsid w:val="4CCC79C7"/>
    <w:rsid w:val="4D7555C7"/>
    <w:rsid w:val="4DB95B9F"/>
    <w:rsid w:val="4E641DC7"/>
    <w:rsid w:val="4EAE6DA0"/>
    <w:rsid w:val="4FD037EF"/>
    <w:rsid w:val="5016514B"/>
    <w:rsid w:val="502857C7"/>
    <w:rsid w:val="50476D3D"/>
    <w:rsid w:val="51250E73"/>
    <w:rsid w:val="51CB1C78"/>
    <w:rsid w:val="51FD6A51"/>
    <w:rsid w:val="526B680A"/>
    <w:rsid w:val="52C90BE7"/>
    <w:rsid w:val="53150D15"/>
    <w:rsid w:val="5352083E"/>
    <w:rsid w:val="541A5D30"/>
    <w:rsid w:val="553E632F"/>
    <w:rsid w:val="55F068CD"/>
    <w:rsid w:val="566C3136"/>
    <w:rsid w:val="568D04F2"/>
    <w:rsid w:val="576F0018"/>
    <w:rsid w:val="58020B0B"/>
    <w:rsid w:val="588D6DD7"/>
    <w:rsid w:val="590D5D3B"/>
    <w:rsid w:val="5A526582"/>
    <w:rsid w:val="5A5F5C77"/>
    <w:rsid w:val="5B45775A"/>
    <w:rsid w:val="5BBE39CD"/>
    <w:rsid w:val="5BC11A60"/>
    <w:rsid w:val="5C7A4D54"/>
    <w:rsid w:val="5CD23B73"/>
    <w:rsid w:val="5D8E1A9D"/>
    <w:rsid w:val="5F127819"/>
    <w:rsid w:val="5F250F07"/>
    <w:rsid w:val="5F63752A"/>
    <w:rsid w:val="60F1503F"/>
    <w:rsid w:val="61025188"/>
    <w:rsid w:val="61057D5F"/>
    <w:rsid w:val="614D4977"/>
    <w:rsid w:val="63C60FC0"/>
    <w:rsid w:val="64BA3D7A"/>
    <w:rsid w:val="64F179BC"/>
    <w:rsid w:val="65C94C55"/>
    <w:rsid w:val="66380E40"/>
    <w:rsid w:val="665704D3"/>
    <w:rsid w:val="673148E2"/>
    <w:rsid w:val="675445CD"/>
    <w:rsid w:val="67C065A4"/>
    <w:rsid w:val="67D359C9"/>
    <w:rsid w:val="68FE36DD"/>
    <w:rsid w:val="694E60FC"/>
    <w:rsid w:val="69EF4042"/>
    <w:rsid w:val="6C355D54"/>
    <w:rsid w:val="6C410A63"/>
    <w:rsid w:val="6C675CE6"/>
    <w:rsid w:val="6CEF35AF"/>
    <w:rsid w:val="6D4F4321"/>
    <w:rsid w:val="6DFF7360"/>
    <w:rsid w:val="6E7A5F73"/>
    <w:rsid w:val="6F2E3798"/>
    <w:rsid w:val="6FD74228"/>
    <w:rsid w:val="6FDC2BA3"/>
    <w:rsid w:val="70FE5EDF"/>
    <w:rsid w:val="71633091"/>
    <w:rsid w:val="73081CA5"/>
    <w:rsid w:val="74017DF2"/>
    <w:rsid w:val="74545B7C"/>
    <w:rsid w:val="7487762D"/>
    <w:rsid w:val="75385498"/>
    <w:rsid w:val="75412E25"/>
    <w:rsid w:val="769962BD"/>
    <w:rsid w:val="76BC207F"/>
    <w:rsid w:val="76EB4904"/>
    <w:rsid w:val="77482DDB"/>
    <w:rsid w:val="777378F5"/>
    <w:rsid w:val="777A2D3C"/>
    <w:rsid w:val="78537BEA"/>
    <w:rsid w:val="79074B81"/>
    <w:rsid w:val="794F0939"/>
    <w:rsid w:val="79AF0FCA"/>
    <w:rsid w:val="79EF2560"/>
    <w:rsid w:val="7AE13CEE"/>
    <w:rsid w:val="7AF9279C"/>
    <w:rsid w:val="7B7A410F"/>
    <w:rsid w:val="7C3945CD"/>
    <w:rsid w:val="7CC51958"/>
    <w:rsid w:val="7CEC40B6"/>
    <w:rsid w:val="7E2936C3"/>
    <w:rsid w:val="7E2E365C"/>
    <w:rsid w:val="7E6411B9"/>
    <w:rsid w:val="7ECC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50"/>
    <w:autoRedefine/>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55"/>
    <w:autoRedefine/>
    <w:qFormat/>
    <w:uiPriority w:val="0"/>
    <w:pPr>
      <w:keepNext/>
      <w:keepLines/>
      <w:spacing w:before="280" w:after="290" w:line="376" w:lineRule="auto"/>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楷体_GB2312" w:hAnsi="Calibri" w:eastAsia="楷体_GB2312"/>
      <w:color w:val="000000"/>
      <w:sz w:val="24"/>
    </w:rPr>
  </w:style>
  <w:style w:type="paragraph" w:customStyle="1" w:styleId="3">
    <w:name w:val="!正文"/>
    <w:qFormat/>
    <w:uiPriority w:val="0"/>
    <w:pPr>
      <w:spacing w:line="360" w:lineRule="auto"/>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47"/>
    <w:autoRedefine/>
    <w:qFormat/>
    <w:uiPriority w:val="0"/>
    <w:pPr>
      <w:jc w:val="left"/>
    </w:pPr>
    <w:rPr>
      <w:rFonts w:ascii="Arial" w:hAnsi="Arial" w:eastAsia="黑体" w:cs="Arial"/>
    </w:rPr>
  </w:style>
  <w:style w:type="paragraph" w:styleId="11">
    <w:name w:val="Body Text"/>
    <w:basedOn w:val="1"/>
    <w:autoRedefine/>
    <w:qFormat/>
    <w:uiPriority w:val="0"/>
    <w:pPr>
      <w:spacing w:after="120"/>
    </w:pPr>
    <w:rPr>
      <w:rFonts w:ascii="@微软简标宋" w:hAnsi="@微软简标宋" w:eastAsia="@微软简标宋" w:cs="@微软简标宋"/>
      <w:szCs w:val="24"/>
      <w:lang w:val="zh-CN"/>
    </w:rPr>
  </w:style>
  <w:style w:type="paragraph" w:styleId="12">
    <w:name w:val="Body Text Indent"/>
    <w:basedOn w:val="1"/>
    <w:qFormat/>
    <w:uiPriority w:val="0"/>
    <w:pPr>
      <w:spacing w:after="120"/>
      <w:ind w:left="200" w:leftChars="200"/>
    </w:p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37"/>
    <w:autoRedefine/>
    <w:qFormat/>
    <w:uiPriority w:val="99"/>
    <w:rPr>
      <w:rFonts w:ascii="宋体" w:hAnsi="Courier New" w:eastAsiaTheme="minorEastAsia" w:cstheme="minorBidi"/>
      <w:szCs w:val="22"/>
    </w:rPr>
  </w:style>
  <w:style w:type="paragraph" w:styleId="15">
    <w:name w:val="Date"/>
    <w:basedOn w:val="1"/>
    <w:next w:val="1"/>
    <w:link w:val="44"/>
    <w:autoRedefine/>
    <w:qFormat/>
    <w:uiPriority w:val="0"/>
    <w:rPr>
      <w:rFonts w:ascii="Arial" w:hAnsi="Arial" w:eastAsia="宋体" w:cs="Arial"/>
      <w:b/>
      <w:sz w:val="28"/>
    </w:rPr>
  </w:style>
  <w:style w:type="paragraph" w:styleId="16">
    <w:name w:val="Balloon Text"/>
    <w:basedOn w:val="1"/>
    <w:link w:val="31"/>
    <w:autoRedefine/>
    <w:semiHidden/>
    <w:unhideWhenUsed/>
    <w:qFormat/>
    <w:uiPriority w:val="99"/>
    <w:rPr>
      <w:sz w:val="18"/>
      <w:szCs w:val="18"/>
    </w:rPr>
  </w:style>
  <w:style w:type="paragraph" w:styleId="17">
    <w:name w:val="footer"/>
    <w:basedOn w:val="1"/>
    <w:link w:val="36"/>
    <w:autoRedefine/>
    <w:unhideWhenUsed/>
    <w:qFormat/>
    <w:uiPriority w:val="99"/>
    <w:pPr>
      <w:tabs>
        <w:tab w:val="center" w:pos="4153"/>
        <w:tab w:val="right" w:pos="8306"/>
      </w:tabs>
      <w:snapToGrid w:val="0"/>
      <w:jc w:val="left"/>
    </w:pPr>
    <w:rPr>
      <w:sz w:val="18"/>
      <w:szCs w:val="18"/>
    </w:rPr>
  </w:style>
  <w:style w:type="paragraph" w:styleId="18">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10"/>
    <w:next w:val="10"/>
    <w:link w:val="58"/>
    <w:autoRedefine/>
    <w:semiHidden/>
    <w:unhideWhenUsed/>
    <w:qFormat/>
    <w:uiPriority w:val="99"/>
    <w:rPr>
      <w:rFonts w:ascii="@仿宋_GB2312" w:hAnsi="@仿宋_GB2312" w:eastAsia="@仿宋_GB2312" w:cs="@仿宋_GB2312"/>
      <w:b/>
      <w:bCs/>
    </w:rPr>
  </w:style>
  <w:style w:type="paragraph" w:styleId="24">
    <w:name w:val="Body Text First Indent"/>
    <w:basedOn w:val="11"/>
    <w:autoRedefine/>
    <w:unhideWhenUsed/>
    <w:qFormat/>
    <w:uiPriority w:val="99"/>
    <w:pPr>
      <w:ind w:firstLine="420" w:firstLineChars="100"/>
    </w:p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Hyperlink"/>
    <w:basedOn w:val="27"/>
    <w:autoRedefine/>
    <w:unhideWhenUsed/>
    <w:qFormat/>
    <w:uiPriority w:val="99"/>
    <w:rPr>
      <w:color w:val="0000FF" w:themeColor="hyperlink"/>
      <w:u w:val="single"/>
      <w14:textFill>
        <w14:solidFill>
          <w14:schemeClr w14:val="hlink"/>
        </w14:solidFill>
      </w14:textFill>
    </w:rPr>
  </w:style>
  <w:style w:type="character" w:styleId="30">
    <w:name w:val="annotation reference"/>
    <w:basedOn w:val="27"/>
    <w:autoRedefine/>
    <w:semiHidden/>
    <w:unhideWhenUsed/>
    <w:qFormat/>
    <w:uiPriority w:val="99"/>
    <w:rPr>
      <w:sz w:val="21"/>
      <w:szCs w:val="21"/>
    </w:rPr>
  </w:style>
  <w:style w:type="character" w:customStyle="1" w:styleId="31">
    <w:name w:val="批注框文本 字符"/>
    <w:basedOn w:val="27"/>
    <w:link w:val="16"/>
    <w:autoRedefine/>
    <w:semiHidden/>
    <w:qFormat/>
    <w:uiPriority w:val="99"/>
    <w:rPr>
      <w:rFonts w:ascii="@仿宋_GB2312" w:hAnsi="@仿宋_GB2312" w:eastAsia="@仿宋_GB2312" w:cs="@仿宋_GB2312"/>
      <w:sz w:val="18"/>
      <w:szCs w:val="18"/>
    </w:rPr>
  </w:style>
  <w:style w:type="paragraph" w:customStyle="1" w:styleId="3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4">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5">
    <w:name w:val="页眉 字符"/>
    <w:basedOn w:val="27"/>
    <w:link w:val="18"/>
    <w:autoRedefine/>
    <w:qFormat/>
    <w:uiPriority w:val="99"/>
    <w:rPr>
      <w:rFonts w:ascii="@仿宋_GB2312" w:hAnsi="@仿宋_GB2312" w:eastAsia="@仿宋_GB2312" w:cs="@仿宋_GB2312"/>
      <w:sz w:val="18"/>
      <w:szCs w:val="18"/>
    </w:rPr>
  </w:style>
  <w:style w:type="character" w:customStyle="1" w:styleId="36">
    <w:name w:val="页脚 字符"/>
    <w:basedOn w:val="27"/>
    <w:link w:val="17"/>
    <w:autoRedefine/>
    <w:qFormat/>
    <w:uiPriority w:val="99"/>
    <w:rPr>
      <w:rFonts w:ascii="@仿宋_GB2312" w:hAnsi="@仿宋_GB2312" w:eastAsia="@仿宋_GB2312" w:cs="@仿宋_GB2312"/>
      <w:sz w:val="18"/>
      <w:szCs w:val="18"/>
    </w:rPr>
  </w:style>
  <w:style w:type="character" w:customStyle="1" w:styleId="37">
    <w:name w:val="纯文本 字符"/>
    <w:link w:val="14"/>
    <w:autoRedefine/>
    <w:qFormat/>
    <w:uiPriority w:val="0"/>
    <w:rPr>
      <w:rFonts w:ascii="宋体" w:hAnsi="Courier New"/>
    </w:rPr>
  </w:style>
  <w:style w:type="character" w:customStyle="1" w:styleId="38">
    <w:name w:val="纯文本 字符1"/>
    <w:basedOn w:val="27"/>
    <w:autoRedefine/>
    <w:semiHidden/>
    <w:qFormat/>
    <w:uiPriority w:val="99"/>
    <w:rPr>
      <w:rFonts w:hAnsi="Courier New" w:cs="Courier New" w:asciiTheme="minorEastAsia"/>
      <w:szCs w:val="20"/>
    </w:rPr>
  </w:style>
  <w:style w:type="character" w:customStyle="1" w:styleId="39">
    <w:name w:val="未处理的提及1"/>
    <w:basedOn w:val="27"/>
    <w:autoRedefine/>
    <w:semiHidden/>
    <w:unhideWhenUsed/>
    <w:qFormat/>
    <w:uiPriority w:val="99"/>
    <w:rPr>
      <w:color w:val="605E5C"/>
      <w:shd w:val="clear" w:color="auto" w:fill="E1DFDD"/>
    </w:rPr>
  </w:style>
  <w:style w:type="paragraph" w:styleId="40">
    <w:name w:val="List Paragraph"/>
    <w:basedOn w:val="1"/>
    <w:autoRedefine/>
    <w:qFormat/>
    <w:uiPriority w:val="34"/>
    <w:pPr>
      <w:ind w:firstLine="420" w:firstLineChars="200"/>
    </w:pPr>
  </w:style>
  <w:style w:type="paragraph" w:customStyle="1" w:styleId="41">
    <w:name w:val="Char Char Char Char Char Char Char1 Char"/>
    <w:basedOn w:val="1"/>
    <w:autoRedefine/>
    <w:qFormat/>
    <w:uiPriority w:val="0"/>
    <w:rPr>
      <w:rFonts w:ascii="Arial" w:hAnsi="Arial" w:eastAsia="宋体" w:cs="Arial"/>
      <w:sz w:val="24"/>
    </w:rPr>
  </w:style>
  <w:style w:type="table" w:customStyle="1" w:styleId="42">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3">
    <w:name w:val="日期 字符"/>
    <w:basedOn w:val="27"/>
    <w:autoRedefine/>
    <w:semiHidden/>
    <w:qFormat/>
    <w:uiPriority w:val="99"/>
    <w:rPr>
      <w:rFonts w:ascii="@仿宋_GB2312" w:hAnsi="@仿宋_GB2312" w:eastAsia="@仿宋_GB2312" w:cs="@仿宋_GB2312"/>
      <w:szCs w:val="20"/>
    </w:rPr>
  </w:style>
  <w:style w:type="character" w:customStyle="1" w:styleId="44">
    <w:name w:val="日期 字符1"/>
    <w:link w:val="15"/>
    <w:autoRedefine/>
    <w:qFormat/>
    <w:uiPriority w:val="0"/>
    <w:rPr>
      <w:rFonts w:ascii="Arial" w:hAnsi="Arial" w:eastAsia="宋体" w:cs="Arial"/>
      <w:b/>
      <w:sz w:val="28"/>
      <w:szCs w:val="20"/>
    </w:rPr>
  </w:style>
  <w:style w:type="character" w:customStyle="1" w:styleId="45">
    <w:name w:val="纯文本 Char1"/>
    <w:autoRedefine/>
    <w:qFormat/>
    <w:locked/>
    <w:uiPriority w:val="99"/>
    <w:rPr>
      <w:rFonts w:ascii="Arial" w:hAnsi="Arial" w:eastAsia="Arial"/>
      <w:kern w:val="2"/>
      <w:sz w:val="21"/>
      <w:lang w:val="en-US" w:eastAsia="zh-CN" w:bidi="ar-SA"/>
    </w:rPr>
  </w:style>
  <w:style w:type="character" w:customStyle="1" w:styleId="46">
    <w:name w:val="批注文字 Char"/>
    <w:basedOn w:val="27"/>
    <w:autoRedefine/>
    <w:semiHidden/>
    <w:qFormat/>
    <w:uiPriority w:val="99"/>
    <w:rPr>
      <w:rFonts w:ascii="@仿宋_GB2312" w:hAnsi="@仿宋_GB2312" w:eastAsia="@仿宋_GB2312" w:cs="@仿宋_GB2312"/>
      <w:szCs w:val="20"/>
    </w:rPr>
  </w:style>
  <w:style w:type="character" w:customStyle="1" w:styleId="47">
    <w:name w:val="批注文字 字符"/>
    <w:link w:val="10"/>
    <w:autoRedefine/>
    <w:qFormat/>
    <w:uiPriority w:val="0"/>
    <w:rPr>
      <w:rFonts w:ascii="Arial" w:hAnsi="Arial" w:eastAsia="黑体" w:cs="Arial"/>
      <w:szCs w:val="20"/>
    </w:rPr>
  </w:style>
  <w:style w:type="character" w:customStyle="1" w:styleId="48">
    <w:name w:val="标题 1 字符"/>
    <w:basedOn w:val="27"/>
    <w:link w:val="5"/>
    <w:autoRedefine/>
    <w:qFormat/>
    <w:uiPriority w:val="9"/>
    <w:rPr>
      <w:rFonts w:ascii="@仿宋_GB2312" w:hAnsi="@仿宋_GB2312" w:eastAsia="@仿宋_GB2312" w:cs="@仿宋_GB2312"/>
      <w:b/>
      <w:bCs/>
      <w:kern w:val="44"/>
      <w:sz w:val="44"/>
      <w:szCs w:val="44"/>
    </w:rPr>
  </w:style>
  <w:style w:type="paragraph" w:customStyle="1" w:styleId="49">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标题 3 字符"/>
    <w:basedOn w:val="27"/>
    <w:link w:val="7"/>
    <w:autoRedefine/>
    <w:semiHidden/>
    <w:qFormat/>
    <w:uiPriority w:val="9"/>
    <w:rPr>
      <w:rFonts w:ascii="@仿宋_GB2312" w:hAnsi="@仿宋_GB2312" w:eastAsia="@仿宋_GB2312" w:cs="@仿宋_GB2312"/>
      <w:b/>
      <w:bCs/>
      <w:sz w:val="32"/>
      <w:szCs w:val="32"/>
    </w:rPr>
  </w:style>
  <w:style w:type="character" w:customStyle="1" w:styleId="51">
    <w:name w:val="fontstyle01"/>
    <w:basedOn w:val="27"/>
    <w:autoRedefine/>
    <w:qFormat/>
    <w:uiPriority w:val="0"/>
    <w:rPr>
      <w:rFonts w:hint="eastAsia" w:ascii="宋体" w:hAnsi="宋体" w:eastAsia="宋体"/>
      <w:color w:val="000000"/>
      <w:sz w:val="22"/>
      <w:szCs w:val="22"/>
    </w:rPr>
  </w:style>
  <w:style w:type="character" w:customStyle="1" w:styleId="52">
    <w:name w:val="fontstyle21"/>
    <w:basedOn w:val="27"/>
    <w:autoRedefine/>
    <w:qFormat/>
    <w:uiPriority w:val="0"/>
    <w:rPr>
      <w:rFonts w:hint="default" w:ascii="TimesNewRomanPSMT" w:hAnsi="TimesNewRomanPSMT"/>
      <w:color w:val="000000"/>
      <w:sz w:val="22"/>
      <w:szCs w:val="22"/>
    </w:rPr>
  </w:style>
  <w:style w:type="character" w:customStyle="1" w:styleId="5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4">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55">
    <w:name w:val="标题 4 字符1"/>
    <w:link w:val="8"/>
    <w:autoRedefine/>
    <w:qFormat/>
    <w:uiPriority w:val="0"/>
    <w:rPr>
      <w:rFonts w:ascii="@仿宋_GB2312" w:hAnsi="@仿宋_GB2312" w:eastAsia="@仿宋_GB2312" w:cs="@仿宋_GB2312"/>
      <w:b/>
      <w:bCs/>
      <w:sz w:val="28"/>
      <w:szCs w:val="28"/>
    </w:rPr>
  </w:style>
  <w:style w:type="character" w:customStyle="1" w:styleId="56">
    <w:name w:val="标题 4 Char"/>
    <w:autoRedefine/>
    <w:qFormat/>
    <w:uiPriority w:val="0"/>
    <w:rPr>
      <w:rFonts w:ascii="Arial" w:hAnsi="Arial" w:eastAsia="Arial"/>
      <w:b/>
      <w:bCs/>
      <w:kern w:val="2"/>
      <w:sz w:val="28"/>
      <w:szCs w:val="28"/>
      <w:lang w:val="en-US" w:eastAsia="zh-CN" w:bidi="ar-SA"/>
    </w:rPr>
  </w:style>
  <w:style w:type="table" w:customStyle="1" w:styleId="57">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批注主题 字符"/>
    <w:basedOn w:val="47"/>
    <w:link w:val="23"/>
    <w:autoRedefine/>
    <w:semiHidden/>
    <w:qFormat/>
    <w:uiPriority w:val="99"/>
    <w:rPr>
      <w:rFonts w:ascii="@仿宋_GB2312" w:hAnsi="@仿宋_GB2312" w:eastAsia="@仿宋_GB2312" w:cs="@仿宋_GB2312"/>
      <w:b/>
      <w:bCs/>
      <w:szCs w:val="20"/>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Table Text"/>
    <w:basedOn w:val="1"/>
    <w:autoRedefine/>
    <w:semiHidden/>
    <w:qFormat/>
    <w:uiPriority w:val="0"/>
    <w:rPr>
      <w:rFonts w:ascii="Arial" w:hAnsi="Arial" w:eastAsia="Arial" w:cs="Arial"/>
      <w:szCs w:val="21"/>
      <w:lang w:eastAsia="en-US"/>
    </w:rPr>
  </w:style>
  <w:style w:type="paragraph" w:customStyle="1" w:styleId="61">
    <w:name w:val="HF标题2"/>
    <w:basedOn w:val="62"/>
    <w:next w:val="1"/>
    <w:qFormat/>
    <w:uiPriority w:val="0"/>
    <w:pPr>
      <w:numPr>
        <w:ilvl w:val="1"/>
      </w:numPr>
      <w:outlineLvl w:val="1"/>
    </w:pPr>
    <w:rPr>
      <w:sz w:val="30"/>
    </w:rPr>
  </w:style>
  <w:style w:type="paragraph" w:customStyle="1" w:styleId="62">
    <w:name w:val="HF标题1"/>
    <w:basedOn w:val="5"/>
    <w:next w:val="1"/>
    <w:qFormat/>
    <w:uiPriority w:val="0"/>
    <w:pPr>
      <w:numPr>
        <w:ilvl w:val="0"/>
        <w:numId w:val="1"/>
      </w:numPr>
      <w:spacing w:before="100" w:beforeAutospacing="1" w:after="100" w:afterAutospacing="1"/>
    </w:pPr>
    <w:rPr>
      <w:rFonts w:ascii="微软雅黑" w:hAnsi="微软雅黑" w:eastAsia="微软雅黑"/>
      <w:sz w:val="32"/>
    </w:rPr>
  </w:style>
  <w:style w:type="paragraph" w:customStyle="1" w:styleId="63">
    <w:name w:val="HF标题3"/>
    <w:basedOn w:val="61"/>
    <w:next w:val="1"/>
    <w:qFormat/>
    <w:uiPriority w:val="0"/>
    <w:pPr>
      <w:numPr>
        <w:ilvl w:val="2"/>
      </w:numPr>
      <w:outlineLvl w:val="2"/>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63</Pages>
  <Words>2387</Words>
  <Characters>2962</Characters>
  <Lines>252</Lines>
  <Paragraphs>71</Paragraphs>
  <TotalTime>11</TotalTime>
  <ScaleCrop>false</ScaleCrop>
  <LinksUpToDate>false</LinksUpToDate>
  <CharactersWithSpaces>3012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2025-05-22T06:51:00Z</dcterms:created>
  <dc:creator>Anakin</dc:creator>
  <cp:lastModifiedBy>admin</cp:lastModifiedBy>
  <cp:lastPrinted>2019-12-07T15:18:00Z</cp:lastPrinted>
  <dcterms:modified xsi:type="dcterms:W3CDTF">2025-06-20T01:11:08Z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C0C2C4E1806743FEA9C348B6057F58E0_13</vt:lpwstr>
  </property>
  <property fmtid="{D5CDD505-2E9C-101B-9397-08002B2CF9AE}" pid="4" name="KSOTemplateDocerSaveRecord">
    <vt:lpwstr>eyJoZGlkIjoiNWQ5OGI1NjVmZWNhZGNkYTdkODQxYjM2ZWI3ZWJhZmYiLCJ1c2VySWQiOiIyNjE1NzMwNTYifQ==</vt:lpwstr>
  </property>
</Properties>
</file>