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13666">
      <w:pPr>
        <w:tabs>
          <w:tab w:val="left" w:pos="315"/>
          <w:tab w:val="left" w:pos="8820"/>
        </w:tabs>
        <w:spacing w:beforeLines="100" w:afterLines="50" w:line="500" w:lineRule="exact"/>
        <w:ind w:right="267" w:rightChars="127"/>
        <w:jc w:val="center"/>
        <w:rPr>
          <w:rFonts w:ascii="宋体" w:hAnsi="宋体" w:eastAsia="宋体"/>
          <w:b/>
          <w:bCs/>
          <w:sz w:val="52"/>
          <w:szCs w:val="52"/>
        </w:rPr>
      </w:pPr>
      <w:bookmarkStart w:id="0" w:name="_Toc99301417"/>
      <w:bookmarkStart w:id="1" w:name="_Toc74227630"/>
      <w:bookmarkStart w:id="2" w:name="_Toc2777"/>
    </w:p>
    <w:p w14:paraId="6E753676">
      <w:pPr>
        <w:tabs>
          <w:tab w:val="left" w:pos="315"/>
          <w:tab w:val="left" w:pos="8820"/>
        </w:tabs>
        <w:spacing w:beforeLines="100" w:afterLines="50" w:line="500" w:lineRule="exact"/>
        <w:ind w:right="267" w:rightChars="127"/>
        <w:jc w:val="center"/>
        <w:rPr>
          <w:rFonts w:ascii="宋体" w:hAnsi="宋体" w:eastAsia="宋体"/>
          <w:b/>
          <w:bCs/>
          <w:sz w:val="52"/>
          <w:szCs w:val="52"/>
        </w:rPr>
      </w:pPr>
    </w:p>
    <w:p w14:paraId="3A7037DF">
      <w:pPr>
        <w:tabs>
          <w:tab w:val="left" w:pos="315"/>
          <w:tab w:val="left" w:pos="8820"/>
        </w:tabs>
        <w:spacing w:beforeLines="100" w:afterLines="50" w:line="500" w:lineRule="exact"/>
        <w:ind w:right="267" w:rightChars="127"/>
        <w:jc w:val="center"/>
        <w:rPr>
          <w:rFonts w:ascii="宋体" w:hAnsi="宋体" w:eastAsia="宋体"/>
          <w:b/>
          <w:bCs/>
          <w:sz w:val="52"/>
          <w:szCs w:val="52"/>
        </w:rPr>
      </w:pPr>
    </w:p>
    <w:p w14:paraId="09658F64">
      <w:pPr>
        <w:tabs>
          <w:tab w:val="left" w:pos="315"/>
          <w:tab w:val="left" w:pos="8820"/>
        </w:tabs>
        <w:spacing w:beforeLines="100" w:afterLines="50" w:line="500" w:lineRule="exact"/>
        <w:ind w:right="57" w:rightChars="27"/>
        <w:jc w:val="center"/>
        <w:rPr>
          <w:rFonts w:ascii="宋体" w:hAnsi="宋体" w:eastAsia="宋体"/>
          <w:b/>
          <w:kern w:val="0"/>
          <w:sz w:val="36"/>
          <w:szCs w:val="36"/>
        </w:rPr>
      </w:pPr>
      <w:r>
        <w:rPr>
          <w:rFonts w:hint="eastAsia" w:ascii="宋体" w:hAnsi="宋体" w:eastAsia="宋体"/>
          <w:b/>
          <w:kern w:val="0"/>
          <w:sz w:val="36"/>
          <w:szCs w:val="36"/>
        </w:rPr>
        <w:t>安徽省淮水北调工程2026年度调度管理设施设备</w:t>
      </w:r>
    </w:p>
    <w:p w14:paraId="6E7CCB26">
      <w:pPr>
        <w:tabs>
          <w:tab w:val="left" w:pos="315"/>
          <w:tab w:val="left" w:pos="8820"/>
        </w:tabs>
        <w:spacing w:beforeLines="100" w:afterLines="50" w:line="500" w:lineRule="exact"/>
        <w:ind w:right="57" w:rightChars="27"/>
        <w:jc w:val="center"/>
        <w:rPr>
          <w:rFonts w:ascii="宋体" w:hAnsi="宋体" w:eastAsia="宋体"/>
          <w:b/>
          <w:bCs/>
          <w:sz w:val="36"/>
          <w:szCs w:val="36"/>
        </w:rPr>
      </w:pPr>
      <w:r>
        <w:rPr>
          <w:rFonts w:hint="eastAsia" w:ascii="宋体" w:hAnsi="宋体" w:eastAsia="宋体"/>
          <w:b/>
          <w:kern w:val="0"/>
          <w:sz w:val="36"/>
          <w:szCs w:val="36"/>
        </w:rPr>
        <w:t>运行维护项目</w:t>
      </w:r>
    </w:p>
    <w:p w14:paraId="3748C7CA">
      <w:pPr>
        <w:tabs>
          <w:tab w:val="left" w:pos="315"/>
          <w:tab w:val="left" w:pos="8820"/>
        </w:tabs>
        <w:spacing w:beforeLines="100" w:afterLines="50" w:line="500" w:lineRule="exact"/>
        <w:ind w:right="267" w:rightChars="127"/>
        <w:jc w:val="center"/>
        <w:rPr>
          <w:rFonts w:ascii="宋体" w:hAnsi="宋体" w:eastAsia="宋体"/>
          <w:b/>
          <w:bCs/>
          <w:sz w:val="52"/>
          <w:szCs w:val="52"/>
        </w:rPr>
      </w:pPr>
      <w:bookmarkStart w:id="3" w:name="_Hlk9544796"/>
    </w:p>
    <w:p w14:paraId="38CD7CBB">
      <w:pPr>
        <w:tabs>
          <w:tab w:val="left" w:pos="315"/>
          <w:tab w:val="left" w:pos="8820"/>
        </w:tabs>
        <w:spacing w:beforeLines="100" w:afterLines="50" w:line="500" w:lineRule="exact"/>
        <w:ind w:right="267" w:rightChars="127"/>
        <w:jc w:val="center"/>
        <w:rPr>
          <w:rFonts w:ascii="宋体" w:hAnsi="宋体" w:eastAsia="宋体"/>
          <w:b/>
          <w:bCs/>
          <w:sz w:val="52"/>
          <w:szCs w:val="52"/>
        </w:rPr>
      </w:pPr>
      <w:r>
        <w:rPr>
          <w:rFonts w:hint="eastAsia" w:ascii="宋体" w:hAnsi="宋体" w:eastAsia="宋体"/>
          <w:b/>
          <w:bCs/>
          <w:sz w:val="52"/>
          <w:szCs w:val="52"/>
        </w:rPr>
        <w:t>竞争性磋商文件</w:t>
      </w:r>
    </w:p>
    <w:bookmarkEnd w:id="3"/>
    <w:p w14:paraId="1EE81E88">
      <w:pPr>
        <w:tabs>
          <w:tab w:val="left" w:pos="315"/>
          <w:tab w:val="left" w:pos="8820"/>
        </w:tabs>
        <w:spacing w:beforeLines="100" w:afterLines="50" w:line="500" w:lineRule="exact"/>
        <w:ind w:right="267" w:rightChars="127"/>
        <w:jc w:val="center"/>
        <w:rPr>
          <w:rFonts w:ascii="宋体" w:hAnsi="宋体" w:eastAsia="宋体"/>
          <w:bCs/>
          <w:sz w:val="44"/>
          <w:szCs w:val="44"/>
        </w:rPr>
      </w:pPr>
    </w:p>
    <w:p w14:paraId="2BF04B8D">
      <w:pPr>
        <w:tabs>
          <w:tab w:val="left" w:pos="315"/>
          <w:tab w:val="left" w:pos="8820"/>
        </w:tabs>
        <w:spacing w:beforeLines="100" w:afterLines="50" w:line="500" w:lineRule="exact"/>
        <w:ind w:right="267" w:rightChars="127"/>
        <w:jc w:val="center"/>
        <w:rPr>
          <w:rFonts w:ascii="宋体" w:hAnsi="宋体" w:eastAsia="宋体"/>
          <w:b/>
          <w:bCs/>
          <w:sz w:val="44"/>
          <w:szCs w:val="44"/>
        </w:rPr>
      </w:pPr>
    </w:p>
    <w:p w14:paraId="6E8438E9">
      <w:pPr>
        <w:tabs>
          <w:tab w:val="left" w:pos="315"/>
          <w:tab w:val="left" w:pos="8820"/>
        </w:tabs>
        <w:spacing w:beforeLines="100" w:afterLines="50" w:line="500" w:lineRule="exact"/>
        <w:ind w:right="267" w:rightChars="127"/>
        <w:jc w:val="center"/>
        <w:rPr>
          <w:rFonts w:ascii="宋体" w:hAnsi="宋体" w:eastAsia="宋体"/>
          <w:b/>
          <w:bCs/>
          <w:sz w:val="44"/>
          <w:szCs w:val="44"/>
        </w:rPr>
      </w:pPr>
    </w:p>
    <w:p w14:paraId="5C258DEB">
      <w:pPr>
        <w:tabs>
          <w:tab w:val="left" w:pos="315"/>
          <w:tab w:val="left" w:pos="8820"/>
        </w:tabs>
        <w:spacing w:beforeLines="100" w:afterLines="50" w:line="500" w:lineRule="exact"/>
        <w:ind w:right="267" w:rightChars="127"/>
        <w:jc w:val="center"/>
        <w:rPr>
          <w:rFonts w:ascii="宋体" w:hAnsi="宋体" w:eastAsia="宋体"/>
          <w:b/>
          <w:bCs/>
          <w:sz w:val="44"/>
          <w:szCs w:val="44"/>
        </w:rPr>
      </w:pPr>
    </w:p>
    <w:p w14:paraId="12A4640B">
      <w:pPr>
        <w:tabs>
          <w:tab w:val="left" w:pos="315"/>
          <w:tab w:val="left" w:pos="8820"/>
        </w:tabs>
        <w:spacing w:beforeLines="100" w:afterLines="50" w:line="500" w:lineRule="exact"/>
        <w:ind w:right="267" w:rightChars="127"/>
        <w:jc w:val="center"/>
        <w:rPr>
          <w:rFonts w:ascii="宋体" w:hAnsi="宋体" w:eastAsia="宋体"/>
          <w:b/>
          <w:bCs/>
          <w:sz w:val="44"/>
          <w:szCs w:val="44"/>
        </w:rPr>
      </w:pPr>
    </w:p>
    <w:p w14:paraId="6AA953E8">
      <w:pPr>
        <w:tabs>
          <w:tab w:val="left" w:pos="315"/>
          <w:tab w:val="left" w:pos="8820"/>
        </w:tabs>
        <w:spacing w:beforeLines="100" w:afterLines="50" w:line="500" w:lineRule="exact"/>
        <w:ind w:right="267" w:rightChars="127"/>
        <w:jc w:val="center"/>
        <w:rPr>
          <w:rFonts w:ascii="宋体" w:hAnsi="宋体" w:eastAsia="宋体"/>
          <w:b/>
          <w:bCs/>
          <w:sz w:val="44"/>
          <w:szCs w:val="44"/>
        </w:rPr>
      </w:pPr>
    </w:p>
    <w:p w14:paraId="566ED4BF">
      <w:pPr>
        <w:tabs>
          <w:tab w:val="left" w:pos="315"/>
          <w:tab w:val="left" w:pos="8820"/>
        </w:tabs>
        <w:spacing w:beforeLines="100" w:afterLines="50" w:line="500" w:lineRule="exact"/>
        <w:ind w:right="267" w:rightChars="127"/>
        <w:jc w:val="center"/>
        <w:rPr>
          <w:rFonts w:ascii="宋体" w:hAnsi="宋体" w:eastAsia="宋体"/>
          <w:b/>
          <w:bCs/>
          <w:sz w:val="44"/>
          <w:szCs w:val="44"/>
        </w:rPr>
      </w:pPr>
    </w:p>
    <w:p w14:paraId="4CC57055">
      <w:pPr>
        <w:tabs>
          <w:tab w:val="left" w:pos="2410"/>
        </w:tabs>
        <w:autoSpaceDE w:val="0"/>
        <w:autoSpaceDN w:val="0"/>
        <w:adjustRightInd w:val="0"/>
        <w:snapToGrid w:val="0"/>
        <w:spacing w:line="360" w:lineRule="auto"/>
        <w:ind w:right="459" w:firstLine="723" w:firstLineChars="200"/>
        <w:rPr>
          <w:rFonts w:ascii="宋体" w:hAnsi="宋体" w:eastAsia="宋体"/>
          <w:b/>
          <w:spacing w:val="20"/>
          <w:kern w:val="0"/>
          <w:sz w:val="32"/>
          <w:szCs w:val="32"/>
        </w:rPr>
      </w:pPr>
    </w:p>
    <w:p w14:paraId="6E30CB17">
      <w:pPr>
        <w:tabs>
          <w:tab w:val="left" w:pos="2410"/>
        </w:tabs>
        <w:autoSpaceDE w:val="0"/>
        <w:autoSpaceDN w:val="0"/>
        <w:adjustRightInd w:val="0"/>
        <w:snapToGrid w:val="0"/>
        <w:spacing w:line="360" w:lineRule="auto"/>
        <w:ind w:left="1524" w:right="459" w:hanging="1524" w:hangingChars="542"/>
        <w:rPr>
          <w:rFonts w:ascii="宋体" w:hAnsi="宋体" w:eastAsia="宋体"/>
          <w:b/>
          <w:kern w:val="0"/>
          <w:sz w:val="28"/>
          <w:szCs w:val="28"/>
        </w:rPr>
      </w:pPr>
      <w:r>
        <w:rPr>
          <w:rFonts w:hint="eastAsia" w:ascii="宋体" w:hAnsi="宋体" w:eastAsia="宋体"/>
          <w:b/>
          <w:kern w:val="0"/>
          <w:sz w:val="28"/>
          <w:szCs w:val="28"/>
        </w:rPr>
        <w:t>采购人：</w:t>
      </w:r>
      <w:r>
        <w:rPr>
          <w:rFonts w:hint="eastAsia" w:ascii="宋体" w:hAnsi="宋体" w:eastAsia="宋体"/>
          <w:b/>
          <w:spacing w:val="-20"/>
          <w:kern w:val="0"/>
          <w:sz w:val="28"/>
          <w:szCs w:val="28"/>
          <w:u w:val="single"/>
        </w:rPr>
        <w:t>安徽省怀洪新河河道管理局（安徽省淮水北调工程管理中心）</w:t>
      </w:r>
    </w:p>
    <w:p w14:paraId="2A105FFE">
      <w:pPr>
        <w:tabs>
          <w:tab w:val="left" w:pos="2410"/>
        </w:tabs>
        <w:autoSpaceDE w:val="0"/>
        <w:autoSpaceDN w:val="0"/>
        <w:adjustRightInd w:val="0"/>
        <w:snapToGrid w:val="0"/>
        <w:spacing w:line="360" w:lineRule="auto"/>
        <w:ind w:right="459"/>
        <w:rPr>
          <w:rFonts w:ascii="宋体" w:hAnsi="宋体" w:eastAsia="宋体"/>
          <w:b/>
          <w:kern w:val="0"/>
          <w:sz w:val="28"/>
          <w:szCs w:val="28"/>
          <w:u w:val="single"/>
        </w:rPr>
      </w:pPr>
      <w:r>
        <w:rPr>
          <w:rFonts w:hint="eastAsia" w:ascii="宋体" w:hAnsi="宋体" w:eastAsia="宋体"/>
          <w:b/>
          <w:kern w:val="0"/>
          <w:sz w:val="28"/>
          <w:szCs w:val="28"/>
        </w:rPr>
        <w:t>采购代理机构：</w:t>
      </w:r>
      <w:r>
        <w:rPr>
          <w:rFonts w:hint="eastAsia" w:ascii="宋体" w:hAnsi="宋体" w:eastAsia="宋体"/>
          <w:b/>
          <w:kern w:val="0"/>
          <w:sz w:val="28"/>
          <w:szCs w:val="28"/>
          <w:u w:val="single"/>
        </w:rPr>
        <w:t>安徽英才建设工程管理有限公司</w:t>
      </w:r>
    </w:p>
    <w:p w14:paraId="06C25F48">
      <w:pPr>
        <w:tabs>
          <w:tab w:val="left" w:pos="2410"/>
        </w:tabs>
        <w:autoSpaceDE w:val="0"/>
        <w:autoSpaceDN w:val="0"/>
        <w:adjustRightInd w:val="0"/>
        <w:snapToGrid w:val="0"/>
        <w:spacing w:line="360" w:lineRule="auto"/>
        <w:ind w:right="459"/>
        <w:rPr>
          <w:rFonts w:ascii="宋体" w:hAnsi="宋体" w:eastAsia="宋体"/>
          <w:b/>
          <w:spacing w:val="20"/>
          <w:kern w:val="0"/>
          <w:sz w:val="32"/>
          <w:szCs w:val="32"/>
        </w:rPr>
      </w:pPr>
    </w:p>
    <w:p w14:paraId="0C60C996">
      <w:pPr>
        <w:tabs>
          <w:tab w:val="left" w:pos="2410"/>
        </w:tabs>
        <w:autoSpaceDE w:val="0"/>
        <w:autoSpaceDN w:val="0"/>
        <w:adjustRightInd w:val="0"/>
        <w:snapToGrid w:val="0"/>
        <w:spacing w:line="360" w:lineRule="auto"/>
        <w:ind w:right="459"/>
        <w:jc w:val="center"/>
        <w:rPr>
          <w:rFonts w:ascii="宋体" w:hAnsi="宋体" w:eastAsia="宋体"/>
          <w:b/>
          <w:spacing w:val="20"/>
          <w:kern w:val="0"/>
          <w:sz w:val="28"/>
          <w:szCs w:val="28"/>
        </w:rPr>
      </w:pPr>
      <w:r>
        <w:rPr>
          <w:rFonts w:hint="eastAsia" w:ascii="宋体" w:hAnsi="宋体" w:eastAsia="宋体"/>
          <w:b/>
          <w:spacing w:val="20"/>
          <w:kern w:val="0"/>
          <w:sz w:val="28"/>
          <w:szCs w:val="28"/>
        </w:rPr>
        <w:t>2026年1月</w:t>
      </w:r>
    </w:p>
    <w:p w14:paraId="2428BBAC">
      <w:pPr>
        <w:tabs>
          <w:tab w:val="left" w:pos="2410"/>
        </w:tabs>
        <w:autoSpaceDE w:val="0"/>
        <w:autoSpaceDN w:val="0"/>
        <w:adjustRightInd w:val="0"/>
        <w:snapToGrid w:val="0"/>
        <w:spacing w:line="360" w:lineRule="auto"/>
        <w:ind w:right="459"/>
        <w:jc w:val="center"/>
        <w:rPr>
          <w:rFonts w:ascii="宋体" w:hAnsi="宋体" w:eastAsia="宋体"/>
          <w:b/>
          <w:sz w:val="36"/>
        </w:rPr>
      </w:pPr>
    </w:p>
    <w:bookmarkEnd w:id="0"/>
    <w:bookmarkEnd w:id="1"/>
    <w:bookmarkEnd w:id="2"/>
    <w:p w14:paraId="6C1D6F84">
      <w:pPr>
        <w:tabs>
          <w:tab w:val="left" w:pos="2410"/>
        </w:tabs>
        <w:autoSpaceDE w:val="0"/>
        <w:autoSpaceDN w:val="0"/>
        <w:adjustRightInd w:val="0"/>
        <w:snapToGrid w:val="0"/>
        <w:spacing w:line="360" w:lineRule="auto"/>
        <w:jc w:val="center"/>
        <w:rPr>
          <w:rFonts w:ascii="宋体" w:hAnsi="宋体" w:eastAsia="宋体"/>
          <w:b/>
          <w:sz w:val="28"/>
        </w:rPr>
      </w:pPr>
      <w:r>
        <w:rPr>
          <w:rFonts w:hint="eastAsia" w:ascii="宋体" w:hAnsi="宋体" w:eastAsia="宋体"/>
          <w:b/>
          <w:sz w:val="28"/>
        </w:rPr>
        <w:t>目  录</w:t>
      </w:r>
    </w:p>
    <w:p w14:paraId="26ACAEB1">
      <w:pPr>
        <w:tabs>
          <w:tab w:val="left" w:pos="2410"/>
        </w:tabs>
        <w:autoSpaceDE w:val="0"/>
        <w:autoSpaceDN w:val="0"/>
        <w:adjustRightInd w:val="0"/>
        <w:snapToGrid w:val="0"/>
        <w:spacing w:line="360" w:lineRule="auto"/>
        <w:jc w:val="center"/>
        <w:rPr>
          <w:rFonts w:ascii="宋体" w:hAnsi="宋体" w:eastAsia="宋体"/>
          <w:b/>
          <w:sz w:val="28"/>
        </w:rPr>
      </w:pPr>
    </w:p>
    <w:p w14:paraId="55CA6C24">
      <w:pPr>
        <w:pStyle w:val="18"/>
        <w:tabs>
          <w:tab w:val="right" w:leader="dot" w:pos="8279"/>
        </w:tabs>
      </w:pPr>
      <w:r>
        <w:rPr>
          <w:rFonts w:asciiTheme="minorEastAsia" w:hAnsiTheme="minorEastAsia"/>
          <w:b/>
          <w:bCs/>
          <w:sz w:val="24"/>
          <w:szCs w:val="24"/>
        </w:rPr>
        <w:fldChar w:fldCharType="begin"/>
      </w:r>
      <w:r>
        <w:rPr>
          <w:rFonts w:hint="eastAsia" w:asciiTheme="minorEastAsia" w:hAnsiTheme="minorEastAsia"/>
          <w:b/>
          <w:bCs/>
          <w:sz w:val="24"/>
          <w:szCs w:val="24"/>
        </w:rPr>
        <w:instrText xml:space="preserve">TOC \o "1-2" \h \z \u</w:instrText>
      </w:r>
      <w:r>
        <w:rPr>
          <w:rFonts w:asciiTheme="minorEastAsia" w:hAnsiTheme="minorEastAsia"/>
          <w:b/>
          <w:bCs/>
          <w:sz w:val="24"/>
          <w:szCs w:val="24"/>
        </w:rPr>
        <w:fldChar w:fldCharType="separate"/>
      </w:r>
      <w:r>
        <w:fldChar w:fldCharType="begin"/>
      </w:r>
      <w:r>
        <w:instrText xml:space="preserve"> HYPERLINK \l "_Toc19988" </w:instrText>
      </w:r>
      <w:r>
        <w:fldChar w:fldCharType="separate"/>
      </w:r>
      <w:r>
        <w:rPr>
          <w:rFonts w:hint="eastAsia" w:asciiTheme="minorEastAsia" w:hAnsiTheme="minorEastAsia"/>
        </w:rPr>
        <w:t>第一章 磋商邀请</w:t>
      </w:r>
      <w:r>
        <w:tab/>
      </w:r>
      <w:r>
        <w:fldChar w:fldCharType="begin"/>
      </w:r>
      <w:r>
        <w:instrText xml:space="preserve"> PAGEREF _Toc19988 \h </w:instrText>
      </w:r>
      <w:r>
        <w:fldChar w:fldCharType="separate"/>
      </w:r>
      <w:r>
        <w:t>3</w:t>
      </w:r>
      <w:r>
        <w:fldChar w:fldCharType="end"/>
      </w:r>
      <w:r>
        <w:fldChar w:fldCharType="end"/>
      </w:r>
    </w:p>
    <w:p w14:paraId="445FAA73">
      <w:pPr>
        <w:pStyle w:val="18"/>
        <w:tabs>
          <w:tab w:val="right" w:leader="dot" w:pos="8279"/>
        </w:tabs>
      </w:pPr>
      <w:r>
        <w:fldChar w:fldCharType="begin"/>
      </w:r>
      <w:r>
        <w:instrText xml:space="preserve"> HYPERLINK \l "_Toc7162" </w:instrText>
      </w:r>
      <w:r>
        <w:fldChar w:fldCharType="separate"/>
      </w:r>
      <w:r>
        <w:rPr>
          <w:rFonts w:hint="eastAsia" w:asciiTheme="minorEastAsia" w:hAnsiTheme="minorEastAsia"/>
        </w:rPr>
        <w:t>第二章 供应商</w:t>
      </w:r>
      <w:r>
        <w:rPr>
          <w:rFonts w:asciiTheme="minorEastAsia" w:hAnsiTheme="minorEastAsia"/>
        </w:rPr>
        <w:t>须知</w:t>
      </w:r>
      <w:r>
        <w:tab/>
      </w:r>
      <w:r>
        <w:fldChar w:fldCharType="begin"/>
      </w:r>
      <w:r>
        <w:instrText xml:space="preserve"> PAGEREF _Toc7162 \h </w:instrText>
      </w:r>
      <w:r>
        <w:fldChar w:fldCharType="separate"/>
      </w:r>
      <w:r>
        <w:t>7</w:t>
      </w:r>
      <w:r>
        <w:fldChar w:fldCharType="end"/>
      </w:r>
      <w:r>
        <w:fldChar w:fldCharType="end"/>
      </w:r>
    </w:p>
    <w:p w14:paraId="630EB4E5">
      <w:pPr>
        <w:pStyle w:val="18"/>
        <w:tabs>
          <w:tab w:val="right" w:leader="dot" w:pos="8279"/>
        </w:tabs>
      </w:pPr>
      <w:r>
        <w:fldChar w:fldCharType="begin"/>
      </w:r>
      <w:r>
        <w:instrText xml:space="preserve"> HYPERLINK \l "_Toc19440" </w:instrText>
      </w:r>
      <w:r>
        <w:fldChar w:fldCharType="separate"/>
      </w:r>
      <w:r>
        <w:rPr>
          <w:rFonts w:hint="eastAsia" w:asciiTheme="minorEastAsia" w:hAnsiTheme="minorEastAsia"/>
        </w:rPr>
        <w:t>第三章  采购需求</w:t>
      </w:r>
      <w:r>
        <w:tab/>
      </w:r>
      <w:r>
        <w:fldChar w:fldCharType="begin"/>
      </w:r>
      <w:r>
        <w:instrText xml:space="preserve"> PAGEREF _Toc19440 \h </w:instrText>
      </w:r>
      <w:r>
        <w:fldChar w:fldCharType="separate"/>
      </w:r>
      <w:r>
        <w:t>21</w:t>
      </w:r>
      <w:r>
        <w:fldChar w:fldCharType="end"/>
      </w:r>
      <w:r>
        <w:fldChar w:fldCharType="end"/>
      </w:r>
    </w:p>
    <w:p w14:paraId="4D3C95CC">
      <w:pPr>
        <w:pStyle w:val="18"/>
        <w:tabs>
          <w:tab w:val="right" w:leader="dot" w:pos="8279"/>
        </w:tabs>
      </w:pPr>
      <w:r>
        <w:fldChar w:fldCharType="begin"/>
      </w:r>
      <w:r>
        <w:instrText xml:space="preserve"> HYPERLINK \l "_Toc8668" </w:instrText>
      </w:r>
      <w:r>
        <w:fldChar w:fldCharType="separate"/>
      </w:r>
      <w:r>
        <w:rPr>
          <w:rFonts w:hint="eastAsia" w:asciiTheme="minorEastAsia" w:hAnsiTheme="minorEastAsia"/>
        </w:rPr>
        <w:t>第四章  评审方法和标准</w:t>
      </w:r>
      <w:r>
        <w:tab/>
      </w:r>
      <w:r>
        <w:fldChar w:fldCharType="begin"/>
      </w:r>
      <w:r>
        <w:instrText xml:space="preserve"> PAGEREF _Toc8668 \h </w:instrText>
      </w:r>
      <w:r>
        <w:fldChar w:fldCharType="separate"/>
      </w:r>
      <w:r>
        <w:t>70</w:t>
      </w:r>
      <w:r>
        <w:fldChar w:fldCharType="end"/>
      </w:r>
      <w:r>
        <w:fldChar w:fldCharType="end"/>
      </w:r>
    </w:p>
    <w:p w14:paraId="55DE1303">
      <w:pPr>
        <w:pStyle w:val="18"/>
        <w:tabs>
          <w:tab w:val="right" w:leader="dot" w:pos="8279"/>
        </w:tabs>
      </w:pPr>
      <w:r>
        <w:fldChar w:fldCharType="begin"/>
      </w:r>
      <w:r>
        <w:instrText xml:space="preserve"> HYPERLINK \l "_Toc17167" </w:instrText>
      </w:r>
      <w:r>
        <w:fldChar w:fldCharType="separate"/>
      </w:r>
      <w:r>
        <w:rPr>
          <w:rFonts w:hint="eastAsia" w:asciiTheme="minorEastAsia" w:hAnsiTheme="minorEastAsia"/>
        </w:rPr>
        <w:t xml:space="preserve">第五章  </w:t>
      </w:r>
      <w:r>
        <w:rPr>
          <w:rFonts w:asciiTheme="minorEastAsia" w:hAnsiTheme="minorEastAsia"/>
        </w:rPr>
        <w:t>政府采购合同</w:t>
      </w:r>
      <w:r>
        <w:tab/>
      </w:r>
      <w:r>
        <w:rPr>
          <w:rFonts w:hint="eastAsia"/>
        </w:rPr>
        <w:t>8</w:t>
      </w:r>
      <w:r>
        <w:rPr>
          <w:rFonts w:hint="eastAsia"/>
        </w:rPr>
        <w:fldChar w:fldCharType="end"/>
      </w:r>
      <w:r>
        <w:rPr>
          <w:rFonts w:hint="eastAsia"/>
        </w:rPr>
        <w:t>0</w:t>
      </w:r>
    </w:p>
    <w:p w14:paraId="6BCDE966">
      <w:pPr>
        <w:pStyle w:val="18"/>
        <w:tabs>
          <w:tab w:val="right" w:leader="dot" w:pos="8279"/>
        </w:tabs>
      </w:pPr>
      <w:r>
        <w:fldChar w:fldCharType="begin"/>
      </w:r>
      <w:r>
        <w:instrText xml:space="preserve"> HYPERLINK \l "_Toc25148" </w:instrText>
      </w:r>
      <w:r>
        <w:fldChar w:fldCharType="separate"/>
      </w:r>
      <w:r>
        <w:rPr>
          <w:rFonts w:hint="eastAsia" w:asciiTheme="minorEastAsia" w:hAnsiTheme="minorEastAsia"/>
        </w:rPr>
        <w:t>第六章  响应文件格式</w:t>
      </w:r>
      <w:r>
        <w:tab/>
      </w:r>
      <w:r>
        <w:fldChar w:fldCharType="begin"/>
      </w:r>
      <w:r>
        <w:instrText xml:space="preserve"> PAGEREF _Toc25148 \h </w:instrText>
      </w:r>
      <w:r>
        <w:fldChar w:fldCharType="separate"/>
      </w:r>
      <w:r>
        <w:t>88</w:t>
      </w:r>
      <w:r>
        <w:fldChar w:fldCharType="end"/>
      </w:r>
      <w:r>
        <w:fldChar w:fldCharType="end"/>
      </w:r>
    </w:p>
    <w:p w14:paraId="6FB221F1">
      <w:pPr>
        <w:pStyle w:val="18"/>
        <w:tabs>
          <w:tab w:val="right" w:leader="dot" w:pos="8279"/>
        </w:tabs>
      </w:pPr>
      <w:r>
        <w:fldChar w:fldCharType="begin"/>
      </w:r>
      <w:r>
        <w:instrText xml:space="preserve"> HYPERLINK \l "_Toc19418" </w:instrText>
      </w:r>
      <w:r>
        <w:fldChar w:fldCharType="separate"/>
      </w:r>
      <w:r>
        <w:rPr>
          <w:rFonts w:hint="eastAsia" w:ascii="宋体" w:hAnsi="宋体" w:eastAsia="宋体"/>
          <w:bCs/>
        </w:rPr>
        <w:t>第七章  政府采购</w:t>
      </w:r>
      <w:r>
        <w:rPr>
          <w:rFonts w:hint="eastAsia" w:asciiTheme="minorEastAsia" w:hAnsiTheme="minorEastAsia"/>
        </w:rPr>
        <w:t>供应</w:t>
      </w:r>
      <w:r>
        <w:rPr>
          <w:rFonts w:hint="eastAsia" w:ascii="宋体" w:hAnsi="宋体" w:eastAsia="宋体"/>
          <w:bCs/>
        </w:rPr>
        <w:t>商询问函和质疑函范本</w:t>
      </w:r>
      <w:r>
        <w:tab/>
      </w:r>
      <w:r>
        <w:fldChar w:fldCharType="begin"/>
      </w:r>
      <w:r>
        <w:instrText xml:space="preserve"> PAGEREF _Toc19418 \h </w:instrText>
      </w:r>
      <w:r>
        <w:fldChar w:fldCharType="separate"/>
      </w:r>
      <w:r>
        <w:t>102</w:t>
      </w:r>
      <w:r>
        <w:fldChar w:fldCharType="end"/>
      </w:r>
      <w:r>
        <w:fldChar w:fldCharType="end"/>
      </w:r>
    </w:p>
    <w:p w14:paraId="5DEB84D3">
      <w:pPr>
        <w:pStyle w:val="19"/>
        <w:tabs>
          <w:tab w:val="right" w:leader="dot" w:pos="8296"/>
        </w:tabs>
        <w:rPr>
          <w:rFonts w:asciiTheme="minorEastAsia" w:hAnsiTheme="minorEastAsia"/>
          <w:b/>
          <w:sz w:val="32"/>
        </w:rPr>
      </w:pPr>
      <w:r>
        <w:rPr>
          <w:rFonts w:asciiTheme="minorEastAsia" w:hAnsiTheme="minorEastAsia"/>
          <w:bCs/>
          <w:szCs w:val="24"/>
        </w:rPr>
        <w:fldChar w:fldCharType="end"/>
      </w:r>
    </w:p>
    <w:p w14:paraId="059C0DA9">
      <w:pPr>
        <w:spacing w:line="360" w:lineRule="auto"/>
        <w:jc w:val="center"/>
        <w:outlineLvl w:val="1"/>
        <w:rPr>
          <w:rFonts w:asciiTheme="minorEastAsia" w:hAnsiTheme="minorEastAsia" w:eastAsiaTheme="minorEastAsia"/>
          <w:b/>
          <w:sz w:val="28"/>
        </w:rPr>
        <w:sectPr>
          <w:headerReference r:id="rId3" w:type="default"/>
          <w:footerReference r:id="rId4" w:type="default"/>
          <w:pgSz w:w="11907" w:h="16840"/>
          <w:pgMar w:top="1474" w:right="1814" w:bottom="1474" w:left="1814" w:header="851" w:footer="992" w:gutter="0"/>
          <w:cols w:space="720" w:num="1"/>
          <w:docGrid w:linePitch="462" w:charSpace="0"/>
        </w:sectPr>
      </w:pPr>
    </w:p>
    <w:p w14:paraId="278539C7">
      <w:pPr>
        <w:spacing w:line="360" w:lineRule="auto"/>
        <w:jc w:val="center"/>
        <w:outlineLvl w:val="0"/>
        <w:rPr>
          <w:rFonts w:asciiTheme="minorEastAsia" w:hAnsiTheme="minorEastAsia" w:eastAsiaTheme="minorEastAsia"/>
          <w:b/>
          <w:sz w:val="28"/>
        </w:rPr>
      </w:pPr>
      <w:bookmarkStart w:id="4" w:name="_Toc19988"/>
      <w:bookmarkStart w:id="5" w:name="_Toc501"/>
      <w:r>
        <w:rPr>
          <w:rFonts w:hint="eastAsia" w:asciiTheme="minorEastAsia" w:hAnsiTheme="minorEastAsia" w:eastAsiaTheme="minorEastAsia"/>
          <w:b/>
          <w:sz w:val="28"/>
        </w:rPr>
        <w:t>第一章 磋商邀请</w:t>
      </w:r>
      <w:bookmarkEnd w:id="4"/>
      <w:bookmarkEnd w:id="5"/>
    </w:p>
    <w:p w14:paraId="6BDBBACE">
      <w:pPr>
        <w:pStyle w:val="3"/>
        <w:spacing w:before="0" w:after="0" w:line="360" w:lineRule="auto"/>
        <w:ind w:firstLine="482" w:firstLineChars="200"/>
        <w:rPr>
          <w:rFonts w:ascii="宋体" w:hAnsi="宋体" w:eastAsia="宋体" w:cs="宋体"/>
          <w:bCs w:val="0"/>
          <w:sz w:val="24"/>
          <w:szCs w:val="24"/>
        </w:rPr>
      </w:pPr>
      <w:bookmarkStart w:id="6" w:name="_Toc14730"/>
      <w:bookmarkStart w:id="7" w:name="_Toc28359012"/>
      <w:bookmarkStart w:id="8" w:name="_Toc35393798"/>
      <w:bookmarkStart w:id="9" w:name="_Toc35393629"/>
      <w:bookmarkStart w:id="10" w:name="_Toc28359089"/>
      <w:r>
        <w:rPr>
          <w:rFonts w:hint="eastAsia" w:ascii="宋体" w:hAnsi="宋体" w:eastAsia="宋体" w:cs="宋体"/>
          <w:bCs w:val="0"/>
          <w:sz w:val="24"/>
          <w:szCs w:val="24"/>
        </w:rPr>
        <w:t>一、项目基本情况</w:t>
      </w:r>
      <w:bookmarkEnd w:id="6"/>
      <w:bookmarkEnd w:id="7"/>
      <w:bookmarkEnd w:id="8"/>
      <w:bookmarkEnd w:id="9"/>
      <w:bookmarkEnd w:id="10"/>
    </w:p>
    <w:p w14:paraId="3090ED2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1.项目编号：FS34000120260348号001</w:t>
      </w:r>
    </w:p>
    <w:p w14:paraId="2D12B73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2.项目名称：</w:t>
      </w:r>
      <w:r>
        <w:rPr>
          <w:rFonts w:hint="eastAsia" w:ascii="宋体" w:hAnsi="宋体" w:eastAsia="宋体"/>
          <w:sz w:val="24"/>
          <w:szCs w:val="18"/>
        </w:rPr>
        <w:t>安徽省淮水北调工程2026年度调度管理设施设备运行维护项目</w:t>
      </w:r>
    </w:p>
    <w:p w14:paraId="1EFD0C8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3.预算金额：</w:t>
      </w:r>
      <w:r>
        <w:rPr>
          <w:rFonts w:hint="eastAsia" w:ascii="宋体" w:hAnsi="宋体" w:eastAsia="宋体"/>
          <w:sz w:val="24"/>
          <w:szCs w:val="18"/>
        </w:rPr>
        <w:t>160万元</w:t>
      </w:r>
    </w:p>
    <w:p w14:paraId="11C09BE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4.最高限价：</w:t>
      </w:r>
      <w:r>
        <w:rPr>
          <w:rFonts w:hint="eastAsia" w:ascii="宋体" w:hAnsi="宋体" w:eastAsia="宋体"/>
          <w:sz w:val="24"/>
          <w:szCs w:val="18"/>
        </w:rPr>
        <w:t>160万元</w:t>
      </w:r>
    </w:p>
    <w:p w14:paraId="25EF8C4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采购需求：本项目服务内容包括：（1）安徽省淮水北调工程调度运行中心设施设备运维服务；（2）安徽省淮水北调工程省管固镇泵站、五河泵站和四铺泵站中控室设施设备运维服务；（3）安徽省淮水北调工程水质监测站点（主要为沿线6个水质自动在线监测站）运行维护服务；（4）安徽省淮水北调工程调度运行及水质监测的通信网络服务。详见采购需求。</w:t>
      </w:r>
    </w:p>
    <w:p w14:paraId="6210E92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6.合同履行期限：自合同签订之日至2026年12月。</w:t>
      </w:r>
    </w:p>
    <w:p w14:paraId="2F2BD12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w:t>
      </w:r>
      <w:r>
        <w:rPr>
          <w:rFonts w:hint="eastAsia" w:asciiTheme="minorEastAsia" w:hAnsiTheme="minorEastAsia" w:eastAsiaTheme="minorEastAsia"/>
          <w:sz w:val="24"/>
        </w:rPr>
        <w:t>本项目（否）接受联合体磋商。</w:t>
      </w:r>
    </w:p>
    <w:p w14:paraId="4CB302A9">
      <w:pPr>
        <w:pStyle w:val="3"/>
        <w:spacing w:before="0" w:after="0" w:line="360" w:lineRule="auto"/>
        <w:ind w:firstLine="482" w:firstLineChars="200"/>
        <w:rPr>
          <w:rFonts w:ascii="宋体" w:hAnsi="宋体" w:eastAsia="宋体" w:cs="宋体"/>
          <w:bCs w:val="0"/>
          <w:sz w:val="24"/>
          <w:szCs w:val="24"/>
        </w:rPr>
      </w:pPr>
      <w:bookmarkStart w:id="11" w:name="_Toc35393799"/>
      <w:bookmarkStart w:id="12" w:name="_Toc28359090"/>
      <w:bookmarkStart w:id="13" w:name="_Toc35393630"/>
      <w:bookmarkStart w:id="14" w:name="_Toc28359013"/>
      <w:bookmarkStart w:id="15" w:name="_Toc32615"/>
      <w:r>
        <w:rPr>
          <w:rFonts w:hint="eastAsia" w:ascii="宋体" w:hAnsi="宋体" w:eastAsia="宋体" w:cs="宋体"/>
          <w:bCs w:val="0"/>
          <w:sz w:val="24"/>
          <w:szCs w:val="24"/>
        </w:rPr>
        <w:t>二、申请人的资格要求：</w:t>
      </w:r>
      <w:bookmarkEnd w:id="11"/>
      <w:bookmarkEnd w:id="12"/>
      <w:bookmarkEnd w:id="13"/>
      <w:bookmarkEnd w:id="14"/>
      <w:bookmarkEnd w:id="15"/>
    </w:p>
    <w:p w14:paraId="43AB15A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3F910C04">
      <w:pPr>
        <w:spacing w:line="360" w:lineRule="auto"/>
        <w:ind w:firstLine="435"/>
        <w:rPr>
          <w:rFonts w:ascii="宋体" w:hAnsi="宋体" w:eastAsia="宋体" w:cs="宋体"/>
          <w:sz w:val="24"/>
          <w:szCs w:val="24"/>
        </w:rPr>
      </w:pPr>
      <w:bookmarkStart w:id="16" w:name="_Toc28359091"/>
      <w:bookmarkStart w:id="17" w:name="_Toc28359014"/>
      <w:r>
        <w:rPr>
          <w:rFonts w:hint="eastAsia" w:ascii="宋体" w:hAnsi="宋体" w:eastAsia="宋体" w:cs="宋体"/>
          <w:sz w:val="24"/>
          <w:szCs w:val="24"/>
        </w:rPr>
        <w:t>2.落实政府采购政策需满足的资格要求：</w:t>
      </w:r>
    </w:p>
    <w:p w14:paraId="3DAE0FD9">
      <w:pPr>
        <w:spacing w:line="360" w:lineRule="auto"/>
        <w:ind w:firstLine="435"/>
        <w:rPr>
          <w:rFonts w:ascii="宋体" w:hAnsi="宋体" w:eastAsia="宋体" w:cs="宋体"/>
          <w:sz w:val="24"/>
          <w:szCs w:val="24"/>
        </w:rPr>
      </w:pPr>
      <w:r>
        <w:rPr>
          <w:rFonts w:hint="eastAsia" w:ascii="宋体" w:hAnsi="宋体" w:eastAsia="宋体" w:cs="宋体"/>
          <w:sz w:val="24"/>
          <w:szCs w:val="24"/>
        </w:rPr>
        <w:t>2.1中小企业政策</w:t>
      </w:r>
    </w:p>
    <w:p w14:paraId="2B0D67B5">
      <w:pPr>
        <w:spacing w:line="360" w:lineRule="auto"/>
        <w:ind w:firstLine="435"/>
        <w:rPr>
          <w:rFonts w:ascii="宋体" w:hAnsi="宋体" w:eastAsia="宋体" w:cs="宋体"/>
          <w:sz w:val="24"/>
          <w:szCs w:val="24"/>
        </w:rPr>
      </w:pPr>
      <w:r>
        <w:rPr>
          <w:rFonts w:ascii="宋体" w:hAnsi="宋体" w:eastAsia="宋体" w:cs="宋体"/>
          <w:sz w:val="24"/>
          <w:szCs w:val="24"/>
        </w:rPr>
        <w:t>本项目专门面向中小企业采购：按照财政部、工业和信息化部制定的《政府采购促进中小企业发展管理办法》，本项目为专门面向中小企业采购项目。企业划型标准按照《关于印发中小企业划型标准规定的通知》（工信部联企业〔2011〕300号）规定执行</w:t>
      </w:r>
      <w:r>
        <w:rPr>
          <w:rFonts w:hint="eastAsia" w:ascii="宋体" w:hAnsi="宋体" w:eastAsia="宋体" w:cs="宋体"/>
          <w:sz w:val="24"/>
          <w:szCs w:val="24"/>
        </w:rPr>
        <w:t>。</w:t>
      </w:r>
    </w:p>
    <w:p w14:paraId="156A5A85">
      <w:pPr>
        <w:spacing w:line="360" w:lineRule="auto"/>
        <w:ind w:firstLine="435"/>
        <w:rPr>
          <w:rFonts w:ascii="宋体" w:hAnsi="宋体" w:eastAsia="宋体" w:cs="宋体"/>
          <w:sz w:val="24"/>
          <w:szCs w:val="24"/>
        </w:rPr>
      </w:pPr>
      <w:r>
        <w:rPr>
          <w:rFonts w:ascii="宋体" w:hAnsi="宋体" w:eastAsia="宋体" w:cs="宋体"/>
          <w:sz w:val="24"/>
          <w:szCs w:val="24"/>
        </w:rPr>
        <w:t>2.2</w:t>
      </w:r>
      <w:r>
        <w:rPr>
          <w:rFonts w:hint="eastAsia" w:ascii="宋体" w:hAnsi="宋体" w:eastAsia="宋体" w:cs="宋体"/>
          <w:sz w:val="24"/>
          <w:szCs w:val="24"/>
        </w:rPr>
        <w:t>其它落实政府采购政策的资格要求：无。</w:t>
      </w:r>
    </w:p>
    <w:p w14:paraId="699DC32B">
      <w:pPr>
        <w:spacing w:line="360" w:lineRule="auto"/>
        <w:ind w:firstLine="435"/>
        <w:rPr>
          <w:rFonts w:ascii="宋体" w:hAnsi="宋体" w:eastAsia="宋体" w:cs="宋体"/>
          <w:sz w:val="24"/>
          <w:szCs w:val="24"/>
        </w:rPr>
      </w:pPr>
      <w:r>
        <w:rPr>
          <w:rFonts w:hint="eastAsia" w:ascii="宋体" w:hAnsi="宋体" w:eastAsia="宋体" w:cs="宋体"/>
          <w:sz w:val="24"/>
          <w:szCs w:val="24"/>
        </w:rPr>
        <w:t>3.本项目的特定资格要求：无。</w:t>
      </w:r>
    </w:p>
    <w:p w14:paraId="10DC735F">
      <w:pPr>
        <w:pStyle w:val="3"/>
        <w:spacing w:before="0" w:after="0" w:line="360" w:lineRule="auto"/>
        <w:ind w:firstLine="482" w:firstLineChars="200"/>
        <w:rPr>
          <w:rFonts w:ascii="宋体" w:hAnsi="宋体" w:eastAsia="宋体" w:cs="宋体"/>
          <w:bCs w:val="0"/>
          <w:sz w:val="24"/>
          <w:szCs w:val="24"/>
        </w:rPr>
      </w:pPr>
      <w:bookmarkStart w:id="18" w:name="_Toc24072"/>
      <w:bookmarkStart w:id="19" w:name="_Toc35393631"/>
      <w:bookmarkStart w:id="20" w:name="_Toc35393800"/>
      <w:r>
        <w:rPr>
          <w:rFonts w:hint="eastAsia" w:ascii="宋体" w:hAnsi="宋体" w:eastAsia="宋体" w:cs="宋体"/>
          <w:bCs w:val="0"/>
          <w:sz w:val="24"/>
          <w:szCs w:val="24"/>
        </w:rPr>
        <w:t>三、获取采购文件</w:t>
      </w:r>
      <w:bookmarkEnd w:id="16"/>
      <w:bookmarkEnd w:id="17"/>
      <w:bookmarkEnd w:id="18"/>
      <w:bookmarkEnd w:id="19"/>
      <w:bookmarkEnd w:id="20"/>
    </w:p>
    <w:p w14:paraId="40C70A4B">
      <w:pPr>
        <w:spacing w:line="360" w:lineRule="auto"/>
        <w:ind w:firstLine="540"/>
        <w:rPr>
          <w:rFonts w:asciiTheme="minorEastAsia" w:hAnsiTheme="minorEastAsia" w:eastAsiaTheme="minorEastAsia" w:cstheme="minorEastAsia"/>
          <w:sz w:val="24"/>
          <w:szCs w:val="24"/>
        </w:rPr>
      </w:pPr>
      <w:bookmarkStart w:id="21" w:name="_Toc28359092"/>
      <w:bookmarkStart w:id="22" w:name="_Toc35393801"/>
      <w:bookmarkStart w:id="23" w:name="_Toc28359015"/>
      <w:bookmarkStart w:id="24" w:name="_Toc35393632"/>
      <w:r>
        <w:rPr>
          <w:rFonts w:hint="eastAsia" w:asciiTheme="minorEastAsia" w:hAnsiTheme="minorEastAsia" w:eastAsiaTheme="minorEastAsia" w:cstheme="minorEastAsia"/>
          <w:sz w:val="24"/>
          <w:szCs w:val="24"/>
        </w:rPr>
        <w:t>时间：2026年</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日至2026年</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26</w:t>
      </w:r>
      <w:r>
        <w:rPr>
          <w:rFonts w:hint="eastAsia" w:asciiTheme="minorEastAsia" w:hAnsiTheme="minorEastAsia" w:eastAsiaTheme="minorEastAsia" w:cstheme="minorEastAsia"/>
          <w:sz w:val="24"/>
          <w:szCs w:val="24"/>
        </w:rPr>
        <w:t>日，每天上午00:00至12:00，下午12:00至23:59（北京时间，法定节假日除外）</w:t>
      </w:r>
    </w:p>
    <w:p w14:paraId="42D12BF7">
      <w:pPr>
        <w:spacing w:line="360" w:lineRule="auto"/>
        <w:ind w:firstLine="540"/>
        <w:rPr>
          <w:rFonts w:ascii="宋体" w:hAnsi="宋体" w:eastAsia="宋体"/>
          <w:sz w:val="24"/>
          <w:szCs w:val="18"/>
          <w:u w:val="single"/>
        </w:rPr>
      </w:pPr>
      <w:r>
        <w:rPr>
          <w:rFonts w:hint="eastAsia" w:asciiTheme="minorEastAsia" w:hAnsiTheme="minorEastAsia" w:eastAsiaTheme="minorEastAsia" w:cstheme="minorEastAsia"/>
          <w:sz w:val="24"/>
          <w:szCs w:val="24"/>
        </w:rPr>
        <w:t xml:space="preserve">地点：“徽采云”电子交易系统 </w:t>
      </w:r>
    </w:p>
    <w:p w14:paraId="03A3F0D2">
      <w:pPr>
        <w:spacing w:line="360" w:lineRule="auto"/>
        <w:ind w:firstLine="54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方式：供应商登录“徽采云”电子交易系统在线获取采购文件</w:t>
      </w:r>
    </w:p>
    <w:p w14:paraId="34DAEA85">
      <w:pPr>
        <w:pStyle w:val="3"/>
        <w:spacing w:before="0" w:after="0" w:line="360" w:lineRule="auto"/>
        <w:ind w:firstLine="482" w:firstLineChars="200"/>
        <w:rPr>
          <w:rFonts w:ascii="宋体" w:hAnsi="宋体" w:eastAsia="宋体" w:cs="宋体"/>
          <w:bCs w:val="0"/>
          <w:sz w:val="24"/>
          <w:szCs w:val="24"/>
        </w:rPr>
      </w:pPr>
      <w:bookmarkStart w:id="25" w:name="_Toc5805"/>
      <w:r>
        <w:rPr>
          <w:rFonts w:hint="eastAsia" w:ascii="宋体" w:hAnsi="宋体" w:eastAsia="宋体" w:cs="宋体"/>
          <w:bCs w:val="0"/>
          <w:sz w:val="24"/>
          <w:szCs w:val="24"/>
        </w:rPr>
        <w:t>四、响应文件提交</w:t>
      </w:r>
      <w:bookmarkEnd w:id="21"/>
      <w:bookmarkEnd w:id="22"/>
      <w:bookmarkEnd w:id="23"/>
      <w:bookmarkEnd w:id="24"/>
      <w:bookmarkEnd w:id="25"/>
    </w:p>
    <w:p w14:paraId="7CBCBB6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时间：2026年</w:t>
      </w:r>
      <w:r>
        <w:rPr>
          <w:rFonts w:hint="eastAsia" w:ascii="宋体" w:hAnsi="宋体" w:eastAsia="宋体" w:cs="宋体"/>
          <w:sz w:val="24"/>
          <w:szCs w:val="24"/>
          <w:lang w:val="en-US" w:eastAsia="zh-CN"/>
        </w:rPr>
        <w:t>2</w:t>
      </w:r>
      <w:r>
        <w:rPr>
          <w:rFonts w:hint="eastAsia" w:ascii="宋体" w:hAnsi="宋体" w:eastAsia="宋体" w:cs="宋体"/>
          <w:sz w:val="24"/>
          <w:szCs w:val="24"/>
        </w:rPr>
        <w:t>月</w:t>
      </w:r>
      <w:r>
        <w:rPr>
          <w:rFonts w:hint="eastAsia" w:ascii="宋体" w:hAnsi="宋体" w:eastAsia="宋体" w:cs="宋体"/>
          <w:sz w:val="24"/>
          <w:szCs w:val="24"/>
          <w:lang w:val="en-US" w:eastAsia="zh-CN"/>
        </w:rPr>
        <w:t>26</w:t>
      </w:r>
      <w:r>
        <w:rPr>
          <w:rFonts w:hint="eastAsia" w:ascii="宋体" w:hAnsi="宋体" w:eastAsia="宋体" w:cs="宋体"/>
          <w:sz w:val="24"/>
          <w:szCs w:val="24"/>
        </w:rPr>
        <w:t>日09点30分（北京时间）</w:t>
      </w:r>
    </w:p>
    <w:p w14:paraId="20B7B69A">
      <w:pPr>
        <w:spacing w:line="360" w:lineRule="auto"/>
        <w:ind w:firstLine="480" w:firstLineChars="200"/>
        <w:rPr>
          <w:rFonts w:ascii="宋体" w:hAnsi="宋体" w:eastAsia="宋体" w:cs="宋体"/>
          <w:bCs/>
          <w:sz w:val="24"/>
          <w:szCs w:val="24"/>
          <w:u w:val="single"/>
        </w:rPr>
      </w:pPr>
      <w:r>
        <w:rPr>
          <w:rFonts w:hint="eastAsia" w:ascii="宋体" w:hAnsi="宋体" w:eastAsia="宋体" w:cs="宋体"/>
          <w:sz w:val="24"/>
          <w:szCs w:val="24"/>
        </w:rPr>
        <w:t>地点：“徽采云”电子交易系统</w:t>
      </w:r>
    </w:p>
    <w:p w14:paraId="3F5F6FCF">
      <w:pPr>
        <w:pStyle w:val="3"/>
        <w:spacing w:before="0" w:after="0" w:line="360" w:lineRule="auto"/>
        <w:ind w:firstLine="482" w:firstLineChars="200"/>
        <w:rPr>
          <w:rFonts w:ascii="宋体" w:hAnsi="宋体" w:eastAsia="宋体" w:cs="宋体"/>
          <w:bCs w:val="0"/>
          <w:sz w:val="24"/>
          <w:szCs w:val="24"/>
        </w:rPr>
      </w:pPr>
      <w:bookmarkStart w:id="26" w:name="_Toc32658"/>
      <w:bookmarkStart w:id="27" w:name="_Toc35393633"/>
      <w:bookmarkStart w:id="28" w:name="_Toc35393802"/>
      <w:bookmarkStart w:id="29" w:name="_Toc28359016"/>
      <w:bookmarkStart w:id="30" w:name="_Toc28359093"/>
      <w:r>
        <w:rPr>
          <w:rFonts w:hint="eastAsia" w:ascii="宋体" w:hAnsi="宋体" w:eastAsia="宋体" w:cs="宋体"/>
          <w:bCs w:val="0"/>
          <w:sz w:val="24"/>
          <w:szCs w:val="24"/>
        </w:rPr>
        <w:t>五、开启</w:t>
      </w:r>
      <w:bookmarkEnd w:id="26"/>
      <w:bookmarkEnd w:id="27"/>
      <w:bookmarkEnd w:id="28"/>
      <w:bookmarkEnd w:id="29"/>
      <w:bookmarkEnd w:id="30"/>
    </w:p>
    <w:p w14:paraId="57260EFB">
      <w:pPr>
        <w:spacing w:line="360" w:lineRule="auto"/>
        <w:ind w:firstLine="480" w:firstLineChars="200"/>
        <w:rPr>
          <w:rFonts w:ascii="宋体" w:hAnsi="宋体" w:eastAsia="宋体" w:cs="宋体"/>
          <w:sz w:val="24"/>
          <w:szCs w:val="24"/>
        </w:rPr>
      </w:pPr>
      <w:bookmarkStart w:id="31" w:name="_Toc6935"/>
      <w:bookmarkStart w:id="32" w:name="_Toc28359094"/>
      <w:bookmarkStart w:id="33" w:name="_Toc28359017"/>
      <w:bookmarkStart w:id="34" w:name="_Toc35393634"/>
      <w:bookmarkStart w:id="35" w:name="_Toc35393803"/>
      <w:r>
        <w:rPr>
          <w:rFonts w:hint="eastAsia" w:ascii="宋体" w:hAnsi="宋体" w:eastAsia="宋体" w:cs="宋体"/>
          <w:sz w:val="24"/>
          <w:szCs w:val="24"/>
        </w:rPr>
        <w:t>时间：2026年</w:t>
      </w:r>
      <w:r>
        <w:rPr>
          <w:rFonts w:hint="eastAsia" w:ascii="宋体" w:hAnsi="宋体" w:eastAsia="宋体" w:cs="宋体"/>
          <w:sz w:val="24"/>
          <w:szCs w:val="24"/>
          <w:lang w:val="en-US" w:eastAsia="zh-CN"/>
        </w:rPr>
        <w:t>2</w:t>
      </w:r>
      <w:r>
        <w:rPr>
          <w:rFonts w:hint="eastAsia" w:ascii="宋体" w:hAnsi="宋体" w:eastAsia="宋体" w:cs="宋体"/>
          <w:sz w:val="24"/>
          <w:szCs w:val="24"/>
        </w:rPr>
        <w:t>月</w:t>
      </w:r>
      <w:r>
        <w:rPr>
          <w:rFonts w:hint="eastAsia" w:ascii="宋体" w:hAnsi="宋体" w:eastAsia="宋体" w:cs="宋体"/>
          <w:sz w:val="24"/>
          <w:szCs w:val="24"/>
          <w:lang w:val="en-US" w:eastAsia="zh-CN"/>
        </w:rPr>
        <w:t>26</w:t>
      </w:r>
      <w:r>
        <w:rPr>
          <w:rFonts w:hint="eastAsia" w:ascii="宋体" w:hAnsi="宋体" w:eastAsia="宋体" w:cs="宋体"/>
          <w:sz w:val="24"/>
          <w:szCs w:val="24"/>
        </w:rPr>
        <w:t>日09点30分（北京时间）</w:t>
      </w:r>
    </w:p>
    <w:p w14:paraId="15C1F7BF">
      <w:pPr>
        <w:spacing w:line="360" w:lineRule="auto"/>
        <w:ind w:firstLine="480" w:firstLineChars="200"/>
        <w:rPr>
          <w:rFonts w:ascii="宋体" w:hAnsi="宋体" w:eastAsia="宋体" w:cs="宋体"/>
          <w:bCs/>
          <w:sz w:val="24"/>
          <w:szCs w:val="24"/>
          <w:u w:val="single"/>
        </w:rPr>
      </w:pPr>
      <w:r>
        <w:rPr>
          <w:rFonts w:hint="eastAsia" w:ascii="宋体" w:hAnsi="宋体" w:eastAsia="宋体" w:cs="宋体"/>
          <w:sz w:val="24"/>
          <w:szCs w:val="24"/>
        </w:rPr>
        <w:t>地点：“徽采云”电子交易系统</w:t>
      </w:r>
    </w:p>
    <w:p w14:paraId="0D3FD531">
      <w:pPr>
        <w:pStyle w:val="3"/>
        <w:spacing w:before="0" w:after="0" w:line="360" w:lineRule="auto"/>
        <w:ind w:firstLine="482" w:firstLineChars="200"/>
        <w:rPr>
          <w:rFonts w:ascii="宋体" w:hAnsi="宋体" w:eastAsia="宋体" w:cs="宋体"/>
          <w:bCs w:val="0"/>
          <w:sz w:val="24"/>
          <w:szCs w:val="24"/>
        </w:rPr>
      </w:pPr>
      <w:r>
        <w:rPr>
          <w:rFonts w:hint="eastAsia" w:ascii="宋体" w:hAnsi="宋体" w:eastAsia="宋体" w:cs="宋体"/>
          <w:bCs w:val="0"/>
          <w:sz w:val="24"/>
          <w:szCs w:val="24"/>
        </w:rPr>
        <w:t>六、公告期限</w:t>
      </w:r>
      <w:bookmarkEnd w:id="31"/>
      <w:bookmarkEnd w:id="32"/>
      <w:bookmarkEnd w:id="33"/>
      <w:bookmarkEnd w:id="34"/>
      <w:bookmarkEnd w:id="35"/>
    </w:p>
    <w:p w14:paraId="6A8E7C12">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自本公告发布之日起3个工作日。</w:t>
      </w:r>
    </w:p>
    <w:p w14:paraId="0D98BB20">
      <w:pPr>
        <w:pStyle w:val="3"/>
        <w:spacing w:before="0" w:after="0" w:line="360" w:lineRule="auto"/>
        <w:ind w:firstLine="482" w:firstLineChars="200"/>
        <w:rPr>
          <w:rFonts w:ascii="宋体" w:hAnsi="宋体" w:eastAsia="宋体" w:cs="宋体"/>
          <w:bCs w:val="0"/>
          <w:sz w:val="24"/>
          <w:szCs w:val="24"/>
        </w:rPr>
      </w:pPr>
      <w:bookmarkStart w:id="36" w:name="_Toc23004"/>
      <w:bookmarkStart w:id="37" w:name="_Toc35393635"/>
      <w:bookmarkStart w:id="38" w:name="_Toc35393804"/>
      <w:r>
        <w:rPr>
          <w:rFonts w:hint="eastAsia" w:ascii="宋体" w:hAnsi="宋体" w:eastAsia="宋体" w:cs="宋体"/>
          <w:bCs w:val="0"/>
          <w:sz w:val="24"/>
          <w:szCs w:val="24"/>
        </w:rPr>
        <w:t>七、其他补充事宜</w:t>
      </w:r>
      <w:bookmarkEnd w:id="36"/>
      <w:bookmarkEnd w:id="37"/>
      <w:bookmarkEnd w:id="38"/>
    </w:p>
    <w:p w14:paraId="6D3F941D">
      <w:pPr>
        <w:pStyle w:val="9"/>
        <w:spacing w:after="0" w:line="360" w:lineRule="auto"/>
        <w:ind w:firstLine="480" w:firstLineChars="200"/>
        <w:rPr>
          <w:rFonts w:ascii="宋体" w:hAnsi="宋体" w:eastAsia="宋体"/>
          <w:sz w:val="24"/>
          <w:szCs w:val="18"/>
          <w:lang w:val="en-US"/>
        </w:rPr>
      </w:pPr>
      <w:r>
        <w:rPr>
          <w:rFonts w:hint="eastAsia" w:ascii="宋体" w:hAnsi="宋体" w:eastAsia="宋体"/>
          <w:sz w:val="24"/>
          <w:szCs w:val="18"/>
        </w:rPr>
        <w:t>项目采用全流程电子化采购方式，</w:t>
      </w:r>
      <w:r>
        <w:rPr>
          <w:rFonts w:hint="eastAsia" w:ascii="宋体" w:hAnsi="宋体" w:eastAsia="宋体"/>
          <w:sz w:val="24"/>
          <w:szCs w:val="18"/>
          <w:lang w:val="en-US"/>
        </w:rPr>
        <w:t>相关操作说明如下：</w:t>
      </w:r>
    </w:p>
    <w:p w14:paraId="20504EC2">
      <w:pPr>
        <w:pStyle w:val="9"/>
        <w:spacing w:after="0" w:line="360" w:lineRule="auto"/>
        <w:ind w:firstLine="480" w:firstLineChars="200"/>
        <w:rPr>
          <w:rFonts w:ascii="宋体" w:hAnsi="宋体" w:eastAsia="宋体"/>
          <w:sz w:val="24"/>
          <w:szCs w:val="18"/>
          <w:lang w:val="en-US"/>
        </w:rPr>
      </w:pPr>
      <w:r>
        <w:rPr>
          <w:rFonts w:hint="eastAsia" w:ascii="宋体" w:hAnsi="宋体" w:eastAsia="宋体"/>
          <w:sz w:val="24"/>
          <w:szCs w:val="18"/>
          <w:lang w:val="en-US"/>
        </w:rPr>
        <w:t>1.本项目落实节能环保、中小微型企业扶持等相关政府采购政策。</w:t>
      </w:r>
    </w:p>
    <w:p w14:paraId="04D155E5">
      <w:pPr>
        <w:pStyle w:val="9"/>
        <w:spacing w:after="0" w:line="360" w:lineRule="auto"/>
        <w:ind w:firstLine="480" w:firstLineChars="200"/>
        <w:rPr>
          <w:rFonts w:ascii="宋体" w:hAnsi="宋体" w:eastAsia="宋体"/>
          <w:sz w:val="24"/>
          <w:szCs w:val="18"/>
          <w:lang w:val="en-US"/>
        </w:rPr>
      </w:pPr>
      <w:r>
        <w:rPr>
          <w:rFonts w:hint="eastAsia" w:ascii="宋体" w:hAnsi="宋体" w:eastAsia="宋体"/>
          <w:sz w:val="24"/>
          <w:szCs w:val="18"/>
          <w:lang w:val="en-US"/>
        </w:rPr>
        <w:t>2.本次竞争性磋商公告同时在安徽省政府采购网和安徽省水利厅·安徽省怀洪新河河道管理局网站上发布。</w:t>
      </w:r>
    </w:p>
    <w:p w14:paraId="0786F876">
      <w:pPr>
        <w:pStyle w:val="9"/>
        <w:spacing w:after="0" w:line="360" w:lineRule="auto"/>
        <w:ind w:firstLine="480" w:firstLineChars="200"/>
        <w:rPr>
          <w:rFonts w:ascii="宋体" w:hAnsi="宋体" w:eastAsia="宋体"/>
          <w:sz w:val="24"/>
          <w:szCs w:val="18"/>
          <w:lang w:val="en-US"/>
        </w:rPr>
      </w:pPr>
      <w:r>
        <w:rPr>
          <w:rFonts w:hint="eastAsia" w:ascii="宋体" w:hAnsi="宋体" w:eastAsia="宋体"/>
          <w:sz w:val="24"/>
          <w:szCs w:val="18"/>
          <w:lang w:val="en-US"/>
        </w:rPr>
        <w:t>3.供应商应合理安排磋商文件获取时间，特别是网络速度慢的地区防止在系统关闭前网络拥堵无法操作。如果因计算机及网络故障造成无法完成磋商文件获取，责任自负。</w:t>
      </w:r>
    </w:p>
    <w:p w14:paraId="1CEFF456">
      <w:pPr>
        <w:pStyle w:val="9"/>
        <w:spacing w:after="0" w:line="360" w:lineRule="auto"/>
        <w:ind w:firstLine="480" w:firstLineChars="200"/>
        <w:rPr>
          <w:rFonts w:ascii="宋体" w:hAnsi="宋体" w:eastAsia="宋体"/>
          <w:sz w:val="24"/>
          <w:szCs w:val="18"/>
          <w:lang w:val="en-US"/>
        </w:rPr>
      </w:pPr>
      <w:r>
        <w:rPr>
          <w:rFonts w:hint="eastAsia" w:ascii="宋体" w:hAnsi="宋体" w:eastAsia="宋体"/>
          <w:sz w:val="24"/>
          <w:szCs w:val="18"/>
          <w:lang w:val="en-US"/>
        </w:rPr>
        <w:t>4.响应文件的提交要求：</w:t>
      </w:r>
    </w:p>
    <w:p w14:paraId="355A7456">
      <w:pPr>
        <w:pStyle w:val="9"/>
        <w:spacing w:after="0" w:line="360" w:lineRule="auto"/>
        <w:ind w:firstLine="480" w:firstLineChars="200"/>
        <w:rPr>
          <w:rFonts w:ascii="宋体" w:hAnsi="宋体" w:eastAsia="宋体"/>
          <w:sz w:val="24"/>
          <w:szCs w:val="18"/>
          <w:lang w:val="en-US"/>
        </w:rPr>
      </w:pPr>
      <w:r>
        <w:rPr>
          <w:rFonts w:hint="eastAsia" w:ascii="宋体" w:hAnsi="宋体" w:eastAsia="宋体"/>
          <w:sz w:val="24"/>
          <w:szCs w:val="18"/>
          <w:lang w:val="en-US"/>
        </w:rPr>
        <w:t>供应商应当在响应文件提交截止时间前通过“徽采云”电子交易系统上传加密的电子响应文件，未在响应文件提交截止时间前完成上传的，视为逾期送达，拒绝接收。</w:t>
      </w:r>
    </w:p>
    <w:p w14:paraId="4CC34F7C">
      <w:pPr>
        <w:pStyle w:val="9"/>
        <w:spacing w:after="0" w:line="360" w:lineRule="auto"/>
        <w:ind w:firstLine="480" w:firstLineChars="200"/>
        <w:rPr>
          <w:rFonts w:ascii="宋体" w:hAnsi="宋体" w:eastAsia="宋体"/>
          <w:sz w:val="24"/>
          <w:szCs w:val="18"/>
          <w:lang w:val="en-US"/>
        </w:rPr>
      </w:pPr>
      <w:r>
        <w:rPr>
          <w:rFonts w:hint="eastAsia" w:ascii="宋体" w:hAnsi="宋体" w:eastAsia="宋体"/>
          <w:sz w:val="24"/>
          <w:szCs w:val="18"/>
          <w:lang w:val="en-US"/>
        </w:rPr>
        <w:t>5.电子招响应的说明</w:t>
      </w:r>
    </w:p>
    <w:p w14:paraId="6B702073">
      <w:pPr>
        <w:pStyle w:val="9"/>
        <w:spacing w:after="0" w:line="360" w:lineRule="auto"/>
        <w:ind w:firstLine="480" w:firstLineChars="200"/>
        <w:rPr>
          <w:rFonts w:ascii="宋体" w:hAnsi="宋体" w:eastAsia="宋体"/>
          <w:sz w:val="24"/>
          <w:szCs w:val="18"/>
          <w:lang w:val="en-US"/>
        </w:rPr>
      </w:pPr>
      <w:r>
        <w:rPr>
          <w:rFonts w:hint="eastAsia" w:ascii="宋体" w:hAnsi="宋体" w:eastAsia="宋体"/>
          <w:sz w:val="24"/>
          <w:szCs w:val="18"/>
          <w:lang w:val="en-US"/>
        </w:rPr>
        <w:t>5.1电子招响应：本项目以数据电文形式，依托“徽采云”电子交易系统进行招响应活动；</w:t>
      </w:r>
    </w:p>
    <w:p w14:paraId="288A6B13">
      <w:pPr>
        <w:pStyle w:val="9"/>
        <w:spacing w:after="0" w:line="360" w:lineRule="auto"/>
        <w:ind w:firstLine="480" w:firstLineChars="200"/>
        <w:rPr>
          <w:rFonts w:ascii="宋体" w:hAnsi="宋体" w:eastAsia="宋体"/>
          <w:sz w:val="24"/>
          <w:szCs w:val="18"/>
          <w:lang w:val="en-US"/>
        </w:rPr>
      </w:pPr>
      <w:r>
        <w:rPr>
          <w:rFonts w:hint="eastAsia" w:ascii="宋体" w:hAnsi="宋体" w:eastAsia="宋体"/>
          <w:sz w:val="24"/>
          <w:szCs w:val="18"/>
          <w:lang w:val="en-US"/>
        </w:rPr>
        <w:t>5.2响应准备：注册账号--详情参见“徽采云”平台供应商注册与配置手 册 “ 第 2 章 入 驻 操 作 流 程 ” （https://sitecdn.zcycdn.com/f2e-assets/a2d7b18f-adb6-47d9-8fb3-cb8632b8fffc.pdf?utm=a0017.b1884.cl28.topic.1a7c2150533811ed990f05d85dda49f6）；申领CA数字证书---申领流程详见“安徽省政府采购网-下载专区-其他-供应商CA驱动下载-安徽省各市CA办理服务指南（已有安徽CA和翔晟CA无需重复申领）；安装“徽采云”响应客户端----前往“安徽省政府采购网-下载专区-电子交易系统专区”进行下载并安装（http://www.ccgp-anhui.gov.cn/anhuiCategory15/anhuiCategory119/9396667.html）；</w:t>
      </w:r>
    </w:p>
    <w:p w14:paraId="6CD65171">
      <w:pPr>
        <w:pStyle w:val="9"/>
        <w:spacing w:after="0" w:line="360" w:lineRule="auto"/>
        <w:ind w:firstLine="480" w:firstLineChars="200"/>
        <w:rPr>
          <w:rFonts w:ascii="宋体" w:hAnsi="宋体" w:eastAsia="宋体"/>
          <w:sz w:val="24"/>
          <w:szCs w:val="18"/>
          <w:lang w:val="en-US"/>
        </w:rPr>
      </w:pPr>
      <w:r>
        <w:rPr>
          <w:rFonts w:hint="eastAsia" w:ascii="宋体" w:hAnsi="宋体" w:eastAsia="宋体"/>
          <w:sz w:val="24"/>
          <w:szCs w:val="18"/>
          <w:lang w:val="en-US"/>
        </w:rPr>
        <w:t xml:space="preserve"> 5.3招标文件的获取：使用 CA 登录“徽采云”电子交易系统；进入“项目采购”应用，在获取采购文件菜单中选择项目，获取招标文件；</w:t>
      </w:r>
    </w:p>
    <w:p w14:paraId="205CED2D">
      <w:pPr>
        <w:pStyle w:val="9"/>
        <w:spacing w:after="0" w:line="360" w:lineRule="auto"/>
        <w:ind w:firstLine="480" w:firstLineChars="200"/>
        <w:rPr>
          <w:rFonts w:ascii="宋体" w:hAnsi="宋体" w:eastAsia="宋体"/>
          <w:sz w:val="24"/>
          <w:szCs w:val="18"/>
          <w:lang w:val="en-US"/>
        </w:rPr>
      </w:pPr>
      <w:r>
        <w:rPr>
          <w:rFonts w:hint="eastAsia" w:ascii="宋体" w:hAnsi="宋体" w:eastAsia="宋体"/>
          <w:sz w:val="24"/>
          <w:szCs w:val="18"/>
          <w:lang w:val="en-US"/>
        </w:rPr>
        <w:t xml:space="preserve"> 5.4响应文件的制作：在“徽采云响应客户端”中完成“填写基本信息”、 “制作和导入响应（响应）文件”、“标书关联”、“标书检查”、“电子签名”、 “生成电子标书”等操作；</w:t>
      </w:r>
    </w:p>
    <w:p w14:paraId="4A8646AC">
      <w:pPr>
        <w:pStyle w:val="9"/>
        <w:spacing w:after="0" w:line="360" w:lineRule="auto"/>
        <w:ind w:firstLine="480" w:firstLineChars="200"/>
        <w:rPr>
          <w:rFonts w:ascii="宋体" w:hAnsi="宋体" w:eastAsia="宋体"/>
          <w:sz w:val="24"/>
          <w:szCs w:val="18"/>
          <w:lang w:val="en-US"/>
        </w:rPr>
      </w:pPr>
      <w:r>
        <w:rPr>
          <w:rFonts w:hint="eastAsia" w:ascii="宋体" w:hAnsi="宋体" w:eastAsia="宋体"/>
          <w:sz w:val="24"/>
          <w:szCs w:val="18"/>
          <w:lang w:val="en-US"/>
        </w:rPr>
        <w:t xml:space="preserve"> 5.5响应文件的上传：使用CA登录“徽采云”电子交易系统；进入“项目采购”应用，在响应文件上传菜单中选择项目，上传加密的响应文件（*.jmbs）；</w:t>
      </w:r>
    </w:p>
    <w:p w14:paraId="6D6C1726">
      <w:pPr>
        <w:pStyle w:val="9"/>
        <w:spacing w:after="0" w:line="360" w:lineRule="auto"/>
        <w:ind w:firstLine="480" w:firstLineChars="200"/>
        <w:rPr>
          <w:rFonts w:ascii="宋体" w:hAnsi="宋体" w:eastAsia="宋体"/>
          <w:sz w:val="24"/>
          <w:szCs w:val="18"/>
          <w:lang w:val="en-US"/>
        </w:rPr>
      </w:pPr>
      <w:r>
        <w:rPr>
          <w:rFonts w:hint="eastAsia" w:ascii="宋体" w:hAnsi="宋体" w:eastAsia="宋体"/>
          <w:sz w:val="24"/>
          <w:szCs w:val="18"/>
          <w:lang w:val="en-US"/>
        </w:rPr>
        <w:t xml:space="preserve"> 5.6响应文件的解密：响应人按照系统提示和招标文件规定，在规定时间内完成在线解密；</w:t>
      </w:r>
    </w:p>
    <w:p w14:paraId="1F1AC9E5">
      <w:pPr>
        <w:pStyle w:val="9"/>
        <w:spacing w:after="0" w:line="360" w:lineRule="auto"/>
        <w:ind w:firstLine="480" w:firstLineChars="200"/>
        <w:rPr>
          <w:rFonts w:ascii="宋体" w:hAnsi="宋体" w:eastAsia="宋体"/>
          <w:sz w:val="24"/>
          <w:szCs w:val="18"/>
          <w:lang w:val="en-US"/>
        </w:rPr>
      </w:pPr>
      <w:r>
        <w:rPr>
          <w:rFonts w:hint="eastAsia" w:ascii="宋体" w:hAnsi="宋体" w:eastAsia="宋体"/>
          <w:sz w:val="24"/>
          <w:szCs w:val="18"/>
          <w:lang w:val="en-US"/>
        </w:rPr>
        <w:t>5.7“徽采云”电子交易系统具体操作指南：详见安徽省政府采购网-徽采学院-电子交易系统学习专题-供应商-操作手册。</w:t>
      </w:r>
    </w:p>
    <w:p w14:paraId="119B31FA">
      <w:pPr>
        <w:pStyle w:val="9"/>
        <w:spacing w:after="0" w:line="360" w:lineRule="auto"/>
        <w:ind w:firstLine="480" w:firstLineChars="200"/>
        <w:rPr>
          <w:rFonts w:ascii="宋体" w:hAnsi="宋体" w:eastAsia="宋体"/>
          <w:sz w:val="24"/>
          <w:szCs w:val="18"/>
          <w:lang w:val="en-US"/>
        </w:rPr>
      </w:pPr>
      <w:r>
        <w:rPr>
          <w:rFonts w:hint="eastAsia" w:ascii="宋体" w:hAnsi="宋体" w:eastAsia="宋体"/>
          <w:sz w:val="24"/>
          <w:szCs w:val="18"/>
          <w:lang w:val="en-US"/>
        </w:rPr>
        <w:t xml:space="preserve">5.8CA问题联系电话：安徽CA 400-615-8899；翔晟CA 0551-68105136。 </w:t>
      </w:r>
    </w:p>
    <w:p w14:paraId="5397B0D7">
      <w:pPr>
        <w:pStyle w:val="3"/>
        <w:spacing w:before="0" w:after="0" w:line="360" w:lineRule="auto"/>
        <w:ind w:firstLine="482" w:firstLineChars="200"/>
        <w:rPr>
          <w:rFonts w:ascii="宋体" w:hAnsi="宋体" w:eastAsia="宋体" w:cs="宋体"/>
          <w:bCs w:val="0"/>
          <w:sz w:val="24"/>
          <w:szCs w:val="24"/>
        </w:rPr>
      </w:pPr>
      <w:bookmarkStart w:id="39" w:name="_Toc35393636"/>
      <w:bookmarkStart w:id="40" w:name="_Toc28359018"/>
      <w:bookmarkStart w:id="41" w:name="_Toc28099"/>
      <w:bookmarkStart w:id="42" w:name="_Toc35393805"/>
      <w:bookmarkStart w:id="43" w:name="_Toc28359095"/>
      <w:r>
        <w:rPr>
          <w:rFonts w:hint="eastAsia" w:ascii="宋体" w:hAnsi="宋体" w:eastAsia="宋体" w:cs="宋体"/>
          <w:bCs w:val="0"/>
          <w:sz w:val="24"/>
          <w:szCs w:val="24"/>
        </w:rPr>
        <w:t>八、凡对本次采购提出询问，请按以下方式联系。</w:t>
      </w:r>
      <w:bookmarkEnd w:id="39"/>
      <w:bookmarkEnd w:id="40"/>
      <w:bookmarkEnd w:id="41"/>
      <w:bookmarkEnd w:id="42"/>
      <w:bookmarkEnd w:id="43"/>
    </w:p>
    <w:p w14:paraId="33FC90AC">
      <w:pPr>
        <w:pStyle w:val="3"/>
        <w:spacing w:before="0" w:after="0" w:line="360" w:lineRule="auto"/>
        <w:ind w:firstLine="480" w:firstLineChars="200"/>
        <w:rPr>
          <w:rFonts w:ascii="宋体" w:hAnsi="宋体" w:eastAsia="宋体" w:cs="宋体"/>
          <w:b w:val="0"/>
          <w:sz w:val="24"/>
          <w:szCs w:val="24"/>
        </w:rPr>
      </w:pPr>
      <w:bookmarkStart w:id="44" w:name="_Toc28359019"/>
      <w:bookmarkStart w:id="45" w:name="_Toc35393806"/>
      <w:bookmarkStart w:id="46" w:name="_Toc35393637"/>
      <w:bookmarkStart w:id="47" w:name="_Toc28359096"/>
      <w:bookmarkStart w:id="48" w:name="_Toc29915"/>
      <w:r>
        <w:rPr>
          <w:rFonts w:hint="eastAsia" w:ascii="宋体" w:hAnsi="宋体" w:eastAsia="宋体" w:cs="宋体"/>
          <w:b w:val="0"/>
          <w:sz w:val="24"/>
          <w:szCs w:val="24"/>
        </w:rPr>
        <w:t>1.采购人信息</w:t>
      </w:r>
      <w:bookmarkEnd w:id="44"/>
      <w:bookmarkEnd w:id="45"/>
      <w:bookmarkEnd w:id="46"/>
      <w:bookmarkEnd w:id="47"/>
      <w:bookmarkEnd w:id="48"/>
    </w:p>
    <w:p w14:paraId="75E2320B">
      <w:pPr>
        <w:spacing w:line="360" w:lineRule="auto"/>
        <w:ind w:firstLine="435"/>
        <w:rPr>
          <w:rFonts w:ascii="宋体" w:hAnsi="宋体" w:eastAsia="宋体"/>
          <w:sz w:val="24"/>
          <w:szCs w:val="18"/>
        </w:rPr>
      </w:pPr>
      <w:r>
        <w:rPr>
          <w:rFonts w:hint="eastAsia" w:ascii="宋体" w:hAnsi="宋体" w:eastAsia="宋体" w:cs="宋体"/>
          <w:sz w:val="24"/>
          <w:szCs w:val="24"/>
        </w:rPr>
        <w:t>名  称</w:t>
      </w:r>
      <w:r>
        <w:rPr>
          <w:rFonts w:hint="eastAsia" w:ascii="宋体" w:hAnsi="宋体" w:eastAsia="宋体"/>
          <w:sz w:val="24"/>
          <w:szCs w:val="18"/>
        </w:rPr>
        <w:t>：安徽省怀洪新河河道管理局（安徽省淮水北调工程管理中心）</w:t>
      </w:r>
    </w:p>
    <w:p w14:paraId="29AD1EEB">
      <w:pPr>
        <w:spacing w:line="360" w:lineRule="auto"/>
        <w:ind w:firstLine="435"/>
        <w:rPr>
          <w:rFonts w:ascii="宋体" w:hAnsi="宋体" w:eastAsia="宋体"/>
          <w:sz w:val="24"/>
          <w:szCs w:val="18"/>
        </w:rPr>
      </w:pPr>
      <w:r>
        <w:rPr>
          <w:rFonts w:hint="eastAsia" w:ascii="宋体" w:hAnsi="宋体" w:eastAsia="宋体"/>
          <w:sz w:val="24"/>
          <w:szCs w:val="18"/>
        </w:rPr>
        <w:t>地 址：安徽省蚌埠市龙子湖区沿淮路780号</w:t>
      </w:r>
    </w:p>
    <w:p w14:paraId="22054E80">
      <w:pPr>
        <w:spacing w:line="360" w:lineRule="auto"/>
        <w:ind w:firstLine="435"/>
        <w:rPr>
          <w:rFonts w:ascii="宋体" w:hAnsi="宋体" w:eastAsia="宋体"/>
          <w:sz w:val="24"/>
          <w:szCs w:val="18"/>
        </w:rPr>
      </w:pPr>
      <w:r>
        <w:rPr>
          <w:rFonts w:hint="eastAsia" w:ascii="宋体" w:hAnsi="宋体" w:eastAsia="宋体"/>
          <w:sz w:val="24"/>
          <w:szCs w:val="18"/>
        </w:rPr>
        <w:t>联系人：段震宇</w:t>
      </w:r>
    </w:p>
    <w:p w14:paraId="6F513144">
      <w:pPr>
        <w:spacing w:line="360" w:lineRule="auto"/>
        <w:ind w:firstLine="435"/>
        <w:rPr>
          <w:rFonts w:ascii="宋体" w:hAnsi="宋体" w:eastAsia="宋体"/>
          <w:sz w:val="24"/>
          <w:szCs w:val="18"/>
        </w:rPr>
      </w:pPr>
      <w:r>
        <w:rPr>
          <w:rFonts w:hint="eastAsia" w:ascii="宋体" w:hAnsi="宋体" w:eastAsia="宋体"/>
          <w:sz w:val="24"/>
          <w:szCs w:val="18"/>
        </w:rPr>
        <w:t>联系方式：0552-3918715</w:t>
      </w:r>
    </w:p>
    <w:p w14:paraId="7D47E7F2">
      <w:pPr>
        <w:spacing w:line="360" w:lineRule="auto"/>
        <w:ind w:firstLine="435"/>
        <w:rPr>
          <w:rFonts w:ascii="宋体" w:hAnsi="宋体" w:eastAsia="宋体" w:cs="宋体"/>
          <w:sz w:val="24"/>
          <w:szCs w:val="24"/>
        </w:rPr>
      </w:pPr>
      <w:r>
        <w:rPr>
          <w:rFonts w:hint="eastAsia" w:ascii="宋体" w:hAnsi="宋体" w:eastAsia="宋体" w:cs="宋体"/>
          <w:sz w:val="24"/>
          <w:szCs w:val="24"/>
        </w:rPr>
        <w:t>2.采购代理机构信息</w:t>
      </w:r>
    </w:p>
    <w:p w14:paraId="0E283CCA">
      <w:pPr>
        <w:spacing w:line="360" w:lineRule="auto"/>
        <w:ind w:firstLine="435"/>
        <w:rPr>
          <w:rFonts w:ascii="宋体" w:hAnsi="宋体" w:eastAsia="宋体" w:cs="宋体"/>
          <w:sz w:val="24"/>
          <w:szCs w:val="24"/>
        </w:rPr>
      </w:pPr>
      <w:r>
        <w:rPr>
          <w:rFonts w:hint="eastAsia" w:ascii="宋体" w:hAnsi="宋体" w:eastAsia="宋体" w:cs="宋体"/>
          <w:sz w:val="24"/>
          <w:szCs w:val="24"/>
        </w:rPr>
        <w:t>名  称：安徽英才建设工程管理有限公司</w:t>
      </w:r>
    </w:p>
    <w:p w14:paraId="58D464F3">
      <w:pPr>
        <w:spacing w:line="360" w:lineRule="auto"/>
        <w:ind w:firstLine="435"/>
        <w:rPr>
          <w:rFonts w:ascii="宋体" w:hAnsi="宋体" w:eastAsia="宋体" w:cs="宋体"/>
          <w:sz w:val="24"/>
          <w:szCs w:val="24"/>
        </w:rPr>
      </w:pPr>
      <w:r>
        <w:rPr>
          <w:rFonts w:hint="eastAsia" w:ascii="宋体" w:hAnsi="宋体" w:eastAsia="宋体" w:cs="宋体"/>
          <w:sz w:val="24"/>
          <w:szCs w:val="24"/>
        </w:rPr>
        <w:t>地  址：安徽省蚌埠市蚌山区万达写字楼A座9层913室</w:t>
      </w:r>
    </w:p>
    <w:p w14:paraId="345E3FBA">
      <w:pPr>
        <w:spacing w:line="360" w:lineRule="auto"/>
        <w:ind w:firstLine="435"/>
        <w:rPr>
          <w:rFonts w:ascii="宋体" w:hAnsi="宋体" w:eastAsia="宋体" w:cs="宋体"/>
          <w:sz w:val="24"/>
          <w:szCs w:val="24"/>
        </w:rPr>
      </w:pPr>
      <w:r>
        <w:rPr>
          <w:rFonts w:hint="eastAsia" w:ascii="宋体" w:hAnsi="宋体" w:eastAsia="宋体" w:cs="宋体"/>
          <w:sz w:val="24"/>
          <w:szCs w:val="24"/>
        </w:rPr>
        <w:t>联系人：冷棠鸿、张悦</w:t>
      </w:r>
    </w:p>
    <w:p w14:paraId="4E239E4B">
      <w:pPr>
        <w:spacing w:line="360" w:lineRule="auto"/>
        <w:ind w:firstLine="435"/>
        <w:rPr>
          <w:rFonts w:ascii="宋体" w:hAnsi="宋体" w:eastAsia="宋体" w:cs="宋体"/>
          <w:sz w:val="24"/>
          <w:szCs w:val="24"/>
        </w:rPr>
      </w:pPr>
      <w:r>
        <w:rPr>
          <w:rFonts w:hint="eastAsia" w:ascii="宋体" w:hAnsi="宋体" w:eastAsia="宋体" w:cs="宋体"/>
          <w:sz w:val="24"/>
          <w:szCs w:val="24"/>
        </w:rPr>
        <w:t xml:space="preserve">联系方式：0552-3080018 </w:t>
      </w:r>
    </w:p>
    <w:p w14:paraId="5D1D97CF">
      <w:pPr>
        <w:spacing w:line="360" w:lineRule="auto"/>
        <w:ind w:firstLine="437"/>
        <w:rPr>
          <w:rFonts w:ascii="宋体" w:hAnsi="宋体" w:eastAsia="宋体"/>
          <w:b/>
          <w:sz w:val="24"/>
          <w:szCs w:val="18"/>
        </w:rPr>
      </w:pPr>
      <w:r>
        <w:rPr>
          <w:rFonts w:hint="eastAsia" w:ascii="宋体" w:hAnsi="宋体" w:eastAsia="宋体"/>
          <w:bCs/>
          <w:sz w:val="24"/>
          <w:szCs w:val="18"/>
        </w:rPr>
        <w:t>3</w:t>
      </w:r>
      <w:r>
        <w:rPr>
          <w:rFonts w:hint="eastAsia" w:ascii="宋体" w:hAnsi="宋体" w:eastAsia="宋体"/>
          <w:b/>
          <w:sz w:val="24"/>
          <w:szCs w:val="18"/>
        </w:rPr>
        <w:t>.</w:t>
      </w:r>
      <w:r>
        <w:rPr>
          <w:rFonts w:hint="eastAsia" w:ascii="宋体" w:hAnsi="宋体" w:eastAsia="宋体"/>
          <w:sz w:val="24"/>
          <w:szCs w:val="18"/>
        </w:rPr>
        <w:t>政府采购监督管理部门信息</w:t>
      </w:r>
    </w:p>
    <w:p w14:paraId="18F4DC88">
      <w:pPr>
        <w:spacing w:line="360" w:lineRule="auto"/>
        <w:ind w:firstLine="435"/>
        <w:rPr>
          <w:rFonts w:ascii="宋体" w:hAnsi="宋体" w:eastAsia="宋体"/>
          <w:sz w:val="24"/>
          <w:szCs w:val="18"/>
        </w:rPr>
      </w:pPr>
      <w:r>
        <w:rPr>
          <w:rFonts w:hint="eastAsia" w:ascii="宋体" w:hAnsi="宋体" w:eastAsia="宋体" w:cs="宋体"/>
          <w:sz w:val="24"/>
          <w:szCs w:val="24"/>
        </w:rPr>
        <w:t>名  称</w:t>
      </w:r>
      <w:r>
        <w:rPr>
          <w:rFonts w:hint="eastAsia" w:ascii="宋体" w:hAnsi="宋体" w:eastAsia="宋体"/>
          <w:sz w:val="24"/>
          <w:szCs w:val="18"/>
        </w:rPr>
        <w:t>：安徽省财政厅</w:t>
      </w:r>
    </w:p>
    <w:p w14:paraId="7EE50CF7">
      <w:pPr>
        <w:spacing w:line="360" w:lineRule="auto"/>
        <w:ind w:firstLine="435"/>
        <w:rPr>
          <w:rFonts w:ascii="宋体" w:hAnsi="宋体" w:eastAsia="宋体"/>
          <w:sz w:val="24"/>
          <w:szCs w:val="18"/>
        </w:rPr>
      </w:pPr>
      <w:r>
        <w:rPr>
          <w:rFonts w:hint="eastAsia" w:ascii="宋体" w:hAnsi="宋体" w:eastAsia="宋体"/>
          <w:sz w:val="24"/>
          <w:szCs w:val="18"/>
        </w:rPr>
        <w:t>地  址：合肥市阜南西路 238 号</w:t>
      </w:r>
    </w:p>
    <w:p w14:paraId="54863128">
      <w:pPr>
        <w:spacing w:line="360" w:lineRule="auto"/>
        <w:ind w:firstLine="435"/>
        <w:rPr>
          <w:rFonts w:ascii="宋体" w:hAnsi="宋体" w:eastAsia="宋体"/>
          <w:sz w:val="24"/>
          <w:szCs w:val="18"/>
        </w:rPr>
      </w:pPr>
      <w:r>
        <w:rPr>
          <w:rFonts w:hint="eastAsia" w:ascii="宋体" w:hAnsi="宋体" w:eastAsia="宋体"/>
          <w:sz w:val="24"/>
          <w:szCs w:val="18"/>
        </w:rPr>
        <w:t>联系方式：0551-68150413</w:t>
      </w:r>
    </w:p>
    <w:p w14:paraId="1AB2E0F2">
      <w:pPr>
        <w:spacing w:line="360" w:lineRule="auto"/>
        <w:ind w:firstLine="435"/>
        <w:rPr>
          <w:rFonts w:ascii="宋体" w:hAnsi="宋体" w:eastAsia="宋体"/>
          <w:sz w:val="24"/>
          <w:szCs w:val="18"/>
        </w:rPr>
      </w:pPr>
      <w:r>
        <w:rPr>
          <w:rFonts w:ascii="宋体" w:hAnsi="宋体" w:eastAsia="宋体"/>
          <w:sz w:val="24"/>
          <w:szCs w:val="18"/>
        </w:rPr>
        <w:br w:type="page"/>
      </w:r>
      <w:bookmarkStart w:id="486" w:name="_GoBack"/>
      <w:bookmarkEnd w:id="486"/>
    </w:p>
    <w:p w14:paraId="5B3632D0">
      <w:pPr>
        <w:spacing w:line="360" w:lineRule="auto"/>
        <w:jc w:val="center"/>
        <w:outlineLvl w:val="0"/>
        <w:rPr>
          <w:rFonts w:asciiTheme="minorEastAsia" w:hAnsiTheme="minorEastAsia" w:eastAsiaTheme="minorEastAsia"/>
          <w:b/>
          <w:sz w:val="28"/>
        </w:rPr>
      </w:pPr>
      <w:bookmarkStart w:id="49" w:name="_Toc7162"/>
      <w:r>
        <w:rPr>
          <w:rFonts w:hint="eastAsia" w:asciiTheme="minorEastAsia" w:hAnsiTheme="minorEastAsia" w:eastAsiaTheme="minorEastAsia"/>
          <w:b/>
          <w:sz w:val="28"/>
        </w:rPr>
        <w:t>第二章 供应商</w:t>
      </w:r>
      <w:r>
        <w:rPr>
          <w:rFonts w:asciiTheme="minorEastAsia" w:hAnsiTheme="minorEastAsia" w:eastAsiaTheme="minorEastAsia"/>
          <w:b/>
          <w:sz w:val="28"/>
        </w:rPr>
        <w:t>须知</w:t>
      </w:r>
      <w:bookmarkEnd w:id="49"/>
    </w:p>
    <w:p w14:paraId="1DA64E87">
      <w:pPr>
        <w:spacing w:line="360" w:lineRule="auto"/>
        <w:jc w:val="center"/>
        <w:outlineLvl w:val="1"/>
        <w:rPr>
          <w:rFonts w:asciiTheme="minorEastAsia" w:hAnsiTheme="minorEastAsia" w:eastAsiaTheme="minorEastAsia"/>
          <w:b/>
          <w:sz w:val="24"/>
        </w:rPr>
      </w:pPr>
      <w:bookmarkStart w:id="50" w:name="_Toc11383"/>
      <w:bookmarkStart w:id="51" w:name="_Toc11709"/>
      <w:r>
        <w:rPr>
          <w:rFonts w:hint="eastAsia" w:asciiTheme="minorEastAsia" w:hAnsiTheme="minorEastAsia" w:eastAsiaTheme="minorEastAsia"/>
          <w:b/>
          <w:sz w:val="24"/>
        </w:rPr>
        <w:t>一、供应商</w:t>
      </w:r>
      <w:r>
        <w:rPr>
          <w:rFonts w:asciiTheme="minorEastAsia" w:hAnsiTheme="minorEastAsia" w:eastAsiaTheme="minorEastAsia"/>
          <w:b/>
          <w:sz w:val="24"/>
        </w:rPr>
        <w:t>须知前附表</w:t>
      </w:r>
      <w:bookmarkEnd w:id="50"/>
      <w:bookmarkEnd w:id="51"/>
    </w:p>
    <w:p w14:paraId="0F53DE69">
      <w:pPr>
        <w:spacing w:line="360" w:lineRule="auto"/>
        <w:ind w:firstLine="435"/>
        <w:rPr>
          <w:rFonts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本表是本项目的具体要求，是对供应商须知的具体补充和修改，如有不一致，以本表为准。</w:t>
      </w:r>
    </w:p>
    <w:tbl>
      <w:tblPr>
        <w:tblStyle w:val="24"/>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2031"/>
        <w:gridCol w:w="5722"/>
      </w:tblGrid>
      <w:tr w14:paraId="7C0A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1002" w:type="dxa"/>
            <w:vAlign w:val="center"/>
          </w:tcPr>
          <w:p w14:paraId="6747417B">
            <w:pPr>
              <w:pStyle w:val="42"/>
              <w:widowControl w:val="0"/>
              <w:spacing w:before="0" w:beforeAutospacing="0" w:after="0" w:afterAutospacing="0" w:line="360" w:lineRule="auto"/>
              <w:rPr>
                <w:rFonts w:ascii="宋体" w:hAnsi="宋体" w:eastAsia="宋体"/>
                <w:bCs w:val="0"/>
                <w:kern w:val="2"/>
                <w:sz w:val="24"/>
                <w:szCs w:val="20"/>
                <w:highlight w:val="yellow"/>
              </w:rPr>
            </w:pPr>
            <w:r>
              <w:rPr>
                <w:rFonts w:hint="eastAsia" w:ascii="宋体" w:hAnsi="宋体" w:eastAsia="宋体"/>
                <w:bCs w:val="0"/>
                <w:kern w:val="2"/>
                <w:sz w:val="24"/>
                <w:szCs w:val="20"/>
              </w:rPr>
              <w:t>条款号</w:t>
            </w:r>
          </w:p>
        </w:tc>
        <w:tc>
          <w:tcPr>
            <w:tcW w:w="1160" w:type="pct"/>
            <w:vAlign w:val="center"/>
          </w:tcPr>
          <w:p w14:paraId="3F539F3C">
            <w:pPr>
              <w:pStyle w:val="42"/>
              <w:widowControl w:val="0"/>
              <w:spacing w:before="0" w:beforeAutospacing="0" w:after="0" w:afterAutospacing="0" w:line="360" w:lineRule="auto"/>
              <w:rPr>
                <w:rFonts w:ascii="宋体" w:hAnsi="宋体" w:eastAsia="宋体"/>
                <w:bCs w:val="0"/>
                <w:kern w:val="2"/>
                <w:sz w:val="24"/>
                <w:szCs w:val="20"/>
              </w:rPr>
            </w:pPr>
            <w:r>
              <w:rPr>
                <w:rFonts w:hint="eastAsia" w:ascii="宋体" w:hAnsi="宋体" w:eastAsia="宋体"/>
                <w:bCs w:val="0"/>
                <w:kern w:val="2"/>
                <w:sz w:val="24"/>
                <w:szCs w:val="20"/>
              </w:rPr>
              <w:t>条款名称</w:t>
            </w:r>
          </w:p>
        </w:tc>
        <w:tc>
          <w:tcPr>
            <w:tcW w:w="3267" w:type="pct"/>
            <w:vAlign w:val="center"/>
          </w:tcPr>
          <w:p w14:paraId="349B91E6">
            <w:pPr>
              <w:pStyle w:val="42"/>
              <w:widowControl w:val="0"/>
              <w:spacing w:before="0" w:beforeAutospacing="0" w:after="0" w:afterAutospacing="0" w:line="360" w:lineRule="auto"/>
              <w:rPr>
                <w:rFonts w:ascii="宋体" w:hAnsi="宋体" w:eastAsia="宋体"/>
                <w:bCs w:val="0"/>
                <w:kern w:val="2"/>
                <w:sz w:val="24"/>
                <w:szCs w:val="20"/>
              </w:rPr>
            </w:pPr>
            <w:r>
              <w:rPr>
                <w:rFonts w:hint="eastAsia" w:ascii="宋体" w:hAnsi="宋体" w:eastAsia="宋体"/>
                <w:bCs w:val="0"/>
                <w:kern w:val="2"/>
                <w:sz w:val="24"/>
                <w:szCs w:val="20"/>
              </w:rPr>
              <w:t>内容、说明与要求</w:t>
            </w:r>
          </w:p>
        </w:tc>
      </w:tr>
      <w:tr w14:paraId="351C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5B5C2C0F">
            <w:pPr>
              <w:pStyle w:val="43"/>
              <w:pBdr>
                <w:bottom w:val="none" w:color="auto" w:sz="0" w:space="0"/>
              </w:pBdr>
              <w:tabs>
                <w:tab w:val="clear" w:pos="4153"/>
                <w:tab w:val="clear" w:pos="8306"/>
              </w:tabs>
              <w:adjustRightInd/>
              <w:spacing w:line="360" w:lineRule="auto"/>
              <w:textAlignment w:val="auto"/>
              <w:rPr>
                <w:rFonts w:ascii="宋体" w:hAnsi="宋体" w:eastAsia="宋体"/>
                <w:bCs/>
                <w:kern w:val="2"/>
                <w:highlight w:val="yellow"/>
              </w:rPr>
            </w:pPr>
            <w:r>
              <w:rPr>
                <w:rFonts w:hint="eastAsia" w:ascii="宋体" w:hAnsi="宋体" w:eastAsia="宋体"/>
                <w:bCs/>
                <w:kern w:val="2"/>
              </w:rPr>
              <w:t>5</w:t>
            </w:r>
            <w:r>
              <w:rPr>
                <w:rFonts w:ascii="宋体" w:hAnsi="宋体" w:eastAsia="宋体"/>
                <w:bCs/>
                <w:kern w:val="2"/>
              </w:rPr>
              <w:t>.</w:t>
            </w:r>
            <w:r>
              <w:rPr>
                <w:rFonts w:hint="eastAsia" w:ascii="宋体" w:hAnsi="宋体" w:eastAsia="宋体"/>
                <w:bCs/>
                <w:kern w:val="2"/>
              </w:rPr>
              <w:t>2</w:t>
            </w:r>
          </w:p>
        </w:tc>
        <w:tc>
          <w:tcPr>
            <w:tcW w:w="1160" w:type="pct"/>
            <w:vAlign w:val="center"/>
          </w:tcPr>
          <w:p w14:paraId="6A282559">
            <w:pPr>
              <w:pStyle w:val="42"/>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kern w:val="2"/>
                <w:sz w:val="24"/>
                <w:szCs w:val="22"/>
              </w:rPr>
              <w:t>现场考察或标前答疑会</w:t>
            </w:r>
          </w:p>
        </w:tc>
        <w:tc>
          <w:tcPr>
            <w:tcW w:w="3267" w:type="pct"/>
            <w:vAlign w:val="center"/>
          </w:tcPr>
          <w:p w14:paraId="7A386D26">
            <w:pPr>
              <w:spacing w:line="360" w:lineRule="auto"/>
              <w:rPr>
                <w:rFonts w:ascii="宋体" w:hAnsi="宋体" w:eastAsia="宋体"/>
                <w:bCs/>
                <w:sz w:val="24"/>
              </w:rPr>
            </w:pPr>
            <w:r>
              <w:rPr>
                <w:rFonts w:hint="eastAsia" w:ascii="宋体" w:hAnsi="宋体" w:eastAsia="宋体"/>
                <w:bCs/>
                <w:sz w:val="24"/>
                <w:szCs w:val="24"/>
              </w:rPr>
              <w:t>☑</w:t>
            </w:r>
            <w:r>
              <w:rPr>
                <w:rFonts w:hint="eastAsia" w:ascii="宋体" w:hAnsi="宋体" w:eastAsia="宋体"/>
                <w:sz w:val="24"/>
              </w:rPr>
              <w:t>不组织或不召开</w:t>
            </w:r>
          </w:p>
          <w:p w14:paraId="31F4D608">
            <w:pPr>
              <w:spacing w:line="360" w:lineRule="auto"/>
              <w:rPr>
                <w:rFonts w:ascii="宋体" w:hAnsi="宋体" w:eastAsia="宋体"/>
                <w:bCs/>
                <w:sz w:val="24"/>
              </w:rPr>
            </w:pPr>
            <w:r>
              <w:rPr>
                <w:rFonts w:hint="eastAsia" w:ascii="宋体" w:hAnsi="宋体" w:eastAsia="宋体"/>
                <w:sz w:val="24"/>
              </w:rPr>
              <w:t>□</w:t>
            </w:r>
            <w:r>
              <w:rPr>
                <w:rFonts w:hint="eastAsia" w:ascii="宋体" w:hAnsi="宋体" w:eastAsia="宋体"/>
                <w:bCs/>
                <w:sz w:val="24"/>
              </w:rPr>
              <w:t>统一组织</w:t>
            </w:r>
          </w:p>
          <w:p w14:paraId="0F87346A">
            <w:pPr>
              <w:spacing w:line="360" w:lineRule="auto"/>
              <w:rPr>
                <w:rFonts w:ascii="宋体" w:hAnsi="宋体" w:eastAsia="宋体"/>
                <w:bCs/>
                <w:sz w:val="24"/>
                <w:u w:val="single"/>
              </w:rPr>
            </w:pPr>
            <w:r>
              <w:rPr>
                <w:rFonts w:hint="eastAsia" w:ascii="宋体" w:hAnsi="宋体" w:eastAsia="宋体"/>
                <w:bCs/>
                <w:sz w:val="24"/>
              </w:rPr>
              <w:t>时间：年月日时分</w:t>
            </w:r>
          </w:p>
          <w:p w14:paraId="462AD2B4">
            <w:pPr>
              <w:spacing w:line="360" w:lineRule="auto"/>
              <w:rPr>
                <w:rFonts w:ascii="宋体" w:hAnsi="宋体" w:eastAsia="宋体"/>
                <w:bCs/>
                <w:sz w:val="24"/>
                <w:u w:val="single"/>
              </w:rPr>
            </w:pPr>
            <w:r>
              <w:rPr>
                <w:rFonts w:hint="eastAsia" w:ascii="宋体" w:hAnsi="宋体" w:eastAsia="宋体"/>
                <w:bCs/>
                <w:sz w:val="24"/>
              </w:rPr>
              <w:t>地点：</w:t>
            </w:r>
          </w:p>
          <w:p w14:paraId="7641CB6B">
            <w:pPr>
              <w:spacing w:line="360" w:lineRule="auto"/>
              <w:rPr>
                <w:rFonts w:ascii="宋体" w:hAnsi="宋体" w:eastAsia="宋体"/>
                <w:bCs/>
                <w:sz w:val="24"/>
                <w:u w:val="single"/>
              </w:rPr>
            </w:pPr>
            <w:r>
              <w:rPr>
                <w:rFonts w:hint="eastAsia" w:ascii="宋体" w:hAnsi="宋体" w:eastAsia="宋体"/>
                <w:bCs/>
                <w:sz w:val="24"/>
              </w:rPr>
              <w:t>联系人及联系电话：</w:t>
            </w:r>
          </w:p>
          <w:p w14:paraId="133D7A68">
            <w:pPr>
              <w:pStyle w:val="4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Cs w:val="0"/>
                <w:sz w:val="24"/>
              </w:rPr>
              <w:t>注：如供应商未参加采购人统一组织的现场考察或采购人统一召开的标前答疑会，视同放弃现场考察或标前答疑会，由此引起的一切责任由供应商自行承担。</w:t>
            </w:r>
          </w:p>
        </w:tc>
      </w:tr>
      <w:tr w14:paraId="25C14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75F4F11A">
            <w:pPr>
              <w:pStyle w:val="43"/>
              <w:pBdr>
                <w:bottom w:val="none" w:color="auto" w:sz="0" w:space="0"/>
              </w:pBdr>
              <w:tabs>
                <w:tab w:val="clear" w:pos="4153"/>
                <w:tab w:val="clear" w:pos="8306"/>
              </w:tabs>
              <w:adjustRightInd/>
              <w:spacing w:line="360" w:lineRule="auto"/>
              <w:textAlignment w:val="auto"/>
              <w:rPr>
                <w:rFonts w:ascii="宋体" w:hAnsi="宋体" w:eastAsia="宋体"/>
                <w:bCs/>
                <w:kern w:val="2"/>
                <w:highlight w:val="yellow"/>
              </w:rPr>
            </w:pPr>
            <w:r>
              <w:rPr>
                <w:rFonts w:hint="eastAsia" w:ascii="宋体" w:hAnsi="宋体" w:eastAsia="宋体"/>
                <w:bCs/>
                <w:kern w:val="2"/>
              </w:rPr>
              <w:t>6</w:t>
            </w:r>
            <w:r>
              <w:rPr>
                <w:rFonts w:ascii="宋体" w:hAnsi="宋体" w:eastAsia="宋体"/>
                <w:bCs/>
                <w:kern w:val="2"/>
              </w:rPr>
              <w:t>.1</w:t>
            </w:r>
          </w:p>
        </w:tc>
        <w:tc>
          <w:tcPr>
            <w:tcW w:w="1160" w:type="pct"/>
            <w:vAlign w:val="center"/>
          </w:tcPr>
          <w:p w14:paraId="0AA919F1">
            <w:pPr>
              <w:pStyle w:val="42"/>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网上询问截止时间</w:t>
            </w:r>
          </w:p>
        </w:tc>
        <w:tc>
          <w:tcPr>
            <w:tcW w:w="3267" w:type="pct"/>
            <w:vAlign w:val="center"/>
          </w:tcPr>
          <w:p w14:paraId="0C4938FA">
            <w:pPr>
              <w:pStyle w:val="4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rPr>
              <w:t>2026</w:t>
            </w:r>
            <w:r>
              <w:rPr>
                <w:rFonts w:ascii="宋体" w:hAnsi="宋体" w:eastAsia="宋体"/>
                <w:b w:val="0"/>
                <w:sz w:val="24"/>
              </w:rPr>
              <w:t>年</w:t>
            </w:r>
            <w:r>
              <w:rPr>
                <w:rFonts w:hint="eastAsia" w:ascii="宋体" w:hAnsi="宋体" w:eastAsia="宋体"/>
                <w:b w:val="0"/>
                <w:sz w:val="24"/>
                <w:u w:val="single"/>
                <w:lang w:val="en-US" w:eastAsia="zh-CN"/>
              </w:rPr>
              <w:t>2</w:t>
            </w:r>
            <w:r>
              <w:rPr>
                <w:rFonts w:ascii="宋体" w:hAnsi="宋体" w:eastAsia="宋体"/>
                <w:b w:val="0"/>
                <w:sz w:val="24"/>
              </w:rPr>
              <w:t>月</w:t>
            </w:r>
            <w:r>
              <w:rPr>
                <w:rFonts w:hint="eastAsia" w:ascii="宋体" w:hAnsi="宋体" w:eastAsia="宋体"/>
                <w:b w:val="0"/>
                <w:sz w:val="24"/>
                <w:u w:val="single"/>
                <w:lang w:val="en-US" w:eastAsia="zh-CN"/>
              </w:rPr>
              <w:t>13</w:t>
            </w:r>
            <w:r>
              <w:rPr>
                <w:rFonts w:ascii="宋体" w:hAnsi="宋体" w:eastAsia="宋体"/>
                <w:b w:val="0"/>
                <w:sz w:val="24"/>
              </w:rPr>
              <w:t>日</w:t>
            </w:r>
            <w:r>
              <w:rPr>
                <w:rFonts w:hint="eastAsia" w:ascii="宋体" w:hAnsi="宋体" w:eastAsia="宋体"/>
                <w:b w:val="0"/>
                <w:sz w:val="24"/>
                <w:u w:val="single"/>
              </w:rPr>
              <w:t>17</w:t>
            </w:r>
            <w:r>
              <w:rPr>
                <w:rFonts w:ascii="宋体" w:hAnsi="宋体" w:eastAsia="宋体"/>
                <w:b w:val="0"/>
                <w:sz w:val="24"/>
              </w:rPr>
              <w:t>时</w:t>
            </w:r>
            <w:r>
              <w:rPr>
                <w:rFonts w:hint="eastAsia" w:ascii="宋体" w:hAnsi="宋体" w:eastAsia="宋体"/>
                <w:b w:val="0"/>
                <w:sz w:val="24"/>
                <w:u w:val="single"/>
              </w:rPr>
              <w:t>00</w:t>
            </w:r>
            <w:r>
              <w:rPr>
                <w:rFonts w:hint="eastAsia" w:ascii="宋体" w:hAnsi="宋体" w:eastAsia="宋体"/>
                <w:b w:val="0"/>
                <w:sz w:val="24"/>
              </w:rPr>
              <w:t>分</w:t>
            </w:r>
          </w:p>
        </w:tc>
      </w:tr>
      <w:tr w14:paraId="1640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02" w:type="dxa"/>
            <w:vAlign w:val="center"/>
          </w:tcPr>
          <w:p w14:paraId="64E2CC45">
            <w:pPr>
              <w:pStyle w:val="43"/>
              <w:pBdr>
                <w:bottom w:val="none" w:color="auto" w:sz="0" w:space="0"/>
              </w:pBdr>
              <w:tabs>
                <w:tab w:val="clear" w:pos="4153"/>
                <w:tab w:val="clear" w:pos="8306"/>
              </w:tabs>
              <w:adjustRightInd/>
              <w:spacing w:line="360" w:lineRule="auto"/>
              <w:textAlignment w:val="auto"/>
              <w:rPr>
                <w:rFonts w:ascii="宋体" w:hAnsi="宋体" w:eastAsia="宋体"/>
                <w:bCs/>
                <w:kern w:val="2"/>
                <w:highlight w:val="yellow"/>
              </w:rPr>
            </w:pPr>
            <w:r>
              <w:rPr>
                <w:rFonts w:hint="eastAsia" w:ascii="宋体" w:hAnsi="宋体" w:eastAsia="宋体"/>
                <w:bCs/>
                <w:kern w:val="2"/>
              </w:rPr>
              <w:t>7.1</w:t>
            </w:r>
          </w:p>
        </w:tc>
        <w:tc>
          <w:tcPr>
            <w:tcW w:w="1160" w:type="pct"/>
            <w:vAlign w:val="center"/>
          </w:tcPr>
          <w:p w14:paraId="36C28F4F">
            <w:pPr>
              <w:pStyle w:val="42"/>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包别划分</w:t>
            </w:r>
          </w:p>
        </w:tc>
        <w:tc>
          <w:tcPr>
            <w:tcW w:w="3267" w:type="pct"/>
            <w:vAlign w:val="center"/>
          </w:tcPr>
          <w:p w14:paraId="72B25205">
            <w:pPr>
              <w:pStyle w:val="4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bCs w:val="0"/>
                <w:sz w:val="24"/>
                <w:szCs w:val="24"/>
              </w:rPr>
              <w:t>☑</w:t>
            </w:r>
            <w:r>
              <w:rPr>
                <w:rFonts w:ascii="宋体" w:hAnsi="宋体" w:eastAsia="宋体"/>
                <w:b w:val="0"/>
                <w:sz w:val="24"/>
              </w:rPr>
              <w:t>不分包     □分为  个包</w:t>
            </w:r>
          </w:p>
          <w:p w14:paraId="1AE4E5AD">
            <w:pPr>
              <w:pStyle w:val="4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bCs w:val="0"/>
                <w:sz w:val="24"/>
                <w:szCs w:val="24"/>
              </w:rPr>
              <w:t>供应商参加多个包磋商的成交</w:t>
            </w:r>
            <w:r>
              <w:rPr>
                <w:rFonts w:ascii="宋体" w:hAnsi="宋体" w:eastAsia="宋体"/>
                <w:b w:val="0"/>
                <w:bCs w:val="0"/>
                <w:sz w:val="24"/>
                <w:szCs w:val="24"/>
              </w:rPr>
              <w:t>包</w:t>
            </w:r>
            <w:r>
              <w:rPr>
                <w:rFonts w:hint="eastAsia" w:ascii="宋体" w:hAnsi="宋体" w:eastAsia="宋体"/>
                <w:b w:val="0"/>
                <w:bCs w:val="0"/>
                <w:sz w:val="24"/>
                <w:szCs w:val="24"/>
              </w:rPr>
              <w:t>数规定：</w:t>
            </w:r>
          </w:p>
        </w:tc>
      </w:tr>
      <w:tr w14:paraId="109F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02" w:type="dxa"/>
            <w:vAlign w:val="center"/>
          </w:tcPr>
          <w:p w14:paraId="744F0938">
            <w:pPr>
              <w:pStyle w:val="43"/>
              <w:pBdr>
                <w:bottom w:val="none" w:color="auto" w:sz="0" w:space="0"/>
              </w:pBdr>
              <w:tabs>
                <w:tab w:val="clear" w:pos="4153"/>
                <w:tab w:val="clear" w:pos="8306"/>
              </w:tabs>
              <w:adjustRightInd/>
              <w:spacing w:line="360" w:lineRule="auto"/>
              <w:textAlignment w:val="auto"/>
              <w:rPr>
                <w:rFonts w:ascii="宋体" w:hAnsi="宋体" w:eastAsia="宋体"/>
                <w:bCs/>
                <w:kern w:val="2"/>
                <w:highlight w:val="yellow"/>
              </w:rPr>
            </w:pPr>
            <w:r>
              <w:rPr>
                <w:rFonts w:hint="eastAsia" w:ascii="宋体" w:hAnsi="宋体" w:eastAsia="宋体"/>
                <w:bCs/>
                <w:kern w:val="2"/>
              </w:rPr>
              <w:t>10.1</w:t>
            </w:r>
          </w:p>
        </w:tc>
        <w:tc>
          <w:tcPr>
            <w:tcW w:w="1160" w:type="pct"/>
            <w:vAlign w:val="center"/>
          </w:tcPr>
          <w:p w14:paraId="39D4AA08">
            <w:pPr>
              <w:pStyle w:val="42"/>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磋商保证金</w:t>
            </w:r>
          </w:p>
        </w:tc>
        <w:tc>
          <w:tcPr>
            <w:tcW w:w="3267" w:type="pct"/>
            <w:vAlign w:val="center"/>
          </w:tcPr>
          <w:p w14:paraId="23281AEB">
            <w:pPr>
              <w:pStyle w:val="4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不收取</w:t>
            </w:r>
          </w:p>
        </w:tc>
      </w:tr>
      <w:tr w14:paraId="38F12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7423D30C">
            <w:pPr>
              <w:pStyle w:val="43"/>
              <w:pBdr>
                <w:bottom w:val="none" w:color="auto" w:sz="0" w:space="0"/>
              </w:pBdr>
              <w:tabs>
                <w:tab w:val="clear" w:pos="4153"/>
                <w:tab w:val="clear" w:pos="8306"/>
              </w:tabs>
              <w:adjustRightInd/>
              <w:spacing w:line="360" w:lineRule="auto"/>
              <w:textAlignment w:val="auto"/>
              <w:rPr>
                <w:rFonts w:ascii="宋体" w:hAnsi="宋体" w:eastAsia="宋体"/>
                <w:bCs/>
                <w:kern w:val="2"/>
                <w:highlight w:val="yellow"/>
              </w:rPr>
            </w:pPr>
            <w:r>
              <w:rPr>
                <w:rFonts w:hint="eastAsia" w:ascii="宋体" w:hAnsi="宋体" w:eastAsia="宋体"/>
                <w:bCs/>
                <w:kern w:val="2"/>
              </w:rPr>
              <w:t>11</w:t>
            </w:r>
            <w:r>
              <w:rPr>
                <w:rFonts w:ascii="宋体" w:hAnsi="宋体" w:eastAsia="宋体"/>
                <w:bCs/>
                <w:kern w:val="2"/>
              </w:rPr>
              <w:t>.1</w:t>
            </w:r>
          </w:p>
        </w:tc>
        <w:tc>
          <w:tcPr>
            <w:tcW w:w="1160" w:type="pct"/>
            <w:vAlign w:val="center"/>
          </w:tcPr>
          <w:p w14:paraId="4062F310">
            <w:pPr>
              <w:pStyle w:val="4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磋商有效期</w:t>
            </w:r>
          </w:p>
        </w:tc>
        <w:tc>
          <w:tcPr>
            <w:tcW w:w="3267" w:type="pct"/>
            <w:vAlign w:val="center"/>
          </w:tcPr>
          <w:p w14:paraId="241FA8E2">
            <w:pPr>
              <w:pStyle w:val="4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rPr>
              <w:t>90</w:t>
            </w:r>
            <w:r>
              <w:rPr>
                <w:rFonts w:hint="eastAsia" w:ascii="宋体" w:hAnsi="宋体" w:eastAsia="宋体"/>
                <w:b w:val="0"/>
                <w:sz w:val="24"/>
              </w:rPr>
              <w:t>日历日</w:t>
            </w:r>
          </w:p>
        </w:tc>
      </w:tr>
      <w:tr w14:paraId="511AD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616170A3">
            <w:pPr>
              <w:pStyle w:val="43"/>
              <w:pBdr>
                <w:bottom w:val="none" w:color="auto" w:sz="0" w:space="0"/>
              </w:pBdr>
              <w:tabs>
                <w:tab w:val="clear" w:pos="4153"/>
                <w:tab w:val="clear" w:pos="8306"/>
              </w:tabs>
              <w:adjustRightInd/>
              <w:spacing w:line="360" w:lineRule="auto"/>
              <w:textAlignment w:val="auto"/>
              <w:rPr>
                <w:rFonts w:ascii="宋体" w:hAnsi="宋体" w:eastAsia="宋体"/>
                <w:bCs/>
                <w:kern w:val="2"/>
                <w:highlight w:val="yellow"/>
              </w:rPr>
            </w:pPr>
            <w:r>
              <w:rPr>
                <w:rFonts w:hint="eastAsia" w:ascii="宋体" w:hAnsi="宋体" w:eastAsia="宋体"/>
                <w:bCs/>
                <w:kern w:val="2"/>
              </w:rPr>
              <w:t>12</w:t>
            </w:r>
            <w:r>
              <w:rPr>
                <w:rFonts w:ascii="宋体" w:hAnsi="宋体" w:eastAsia="宋体"/>
                <w:bCs/>
                <w:kern w:val="2"/>
              </w:rPr>
              <w:t>.</w:t>
            </w:r>
            <w:r>
              <w:rPr>
                <w:rFonts w:hint="eastAsia" w:ascii="宋体" w:hAnsi="宋体" w:eastAsia="宋体"/>
                <w:bCs/>
                <w:kern w:val="2"/>
              </w:rPr>
              <w:t>3</w:t>
            </w:r>
          </w:p>
        </w:tc>
        <w:tc>
          <w:tcPr>
            <w:tcW w:w="1160" w:type="pct"/>
            <w:vAlign w:val="center"/>
          </w:tcPr>
          <w:p w14:paraId="6B29258F">
            <w:pPr>
              <w:pStyle w:val="4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响应文件解密时间</w:t>
            </w:r>
          </w:p>
        </w:tc>
        <w:tc>
          <w:tcPr>
            <w:tcW w:w="3267" w:type="pct"/>
            <w:vAlign w:val="center"/>
          </w:tcPr>
          <w:p w14:paraId="14472864">
            <w:pPr>
              <w:pStyle w:val="42"/>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rPr>
              <w:t>响应文件提交截止时间后</w:t>
            </w:r>
            <w:r>
              <w:rPr>
                <w:rFonts w:hint="eastAsia" w:ascii="宋体" w:hAnsi="宋体" w:eastAsia="宋体"/>
                <w:b w:val="0"/>
                <w:sz w:val="24"/>
                <w:u w:val="single"/>
              </w:rPr>
              <w:t>60</w:t>
            </w:r>
            <w:r>
              <w:rPr>
                <w:rFonts w:hint="eastAsia" w:ascii="宋体" w:hAnsi="宋体" w:eastAsia="宋体"/>
                <w:b w:val="0"/>
                <w:sz w:val="24"/>
              </w:rPr>
              <w:t>分钟内</w:t>
            </w:r>
          </w:p>
        </w:tc>
      </w:tr>
      <w:tr w14:paraId="6431A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77E06D06">
            <w:pPr>
              <w:pStyle w:val="43"/>
              <w:pBdr>
                <w:bottom w:val="none" w:color="auto" w:sz="0" w:space="0"/>
              </w:pBdr>
              <w:tabs>
                <w:tab w:val="clear" w:pos="4153"/>
                <w:tab w:val="clear" w:pos="8306"/>
              </w:tabs>
              <w:adjustRightInd/>
              <w:spacing w:line="360" w:lineRule="auto"/>
              <w:textAlignment w:val="auto"/>
              <w:rPr>
                <w:rFonts w:ascii="宋体" w:hAnsi="宋体" w:eastAsia="宋体"/>
                <w:bCs/>
                <w:kern w:val="2"/>
                <w:highlight w:val="yellow"/>
              </w:rPr>
            </w:pPr>
            <w:r>
              <w:rPr>
                <w:rFonts w:hint="eastAsia" w:ascii="宋体" w:hAnsi="宋体" w:eastAsia="宋体"/>
                <w:bCs/>
                <w:kern w:val="2"/>
              </w:rPr>
              <w:t>14.2</w:t>
            </w:r>
          </w:p>
        </w:tc>
        <w:tc>
          <w:tcPr>
            <w:tcW w:w="1160" w:type="pct"/>
            <w:vAlign w:val="center"/>
          </w:tcPr>
          <w:p w14:paraId="2D23D50F">
            <w:pPr>
              <w:pStyle w:val="4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评审方法</w:t>
            </w:r>
          </w:p>
        </w:tc>
        <w:tc>
          <w:tcPr>
            <w:tcW w:w="3267" w:type="pct"/>
            <w:vAlign w:val="center"/>
          </w:tcPr>
          <w:p w14:paraId="373F75FC">
            <w:pPr>
              <w:pStyle w:val="4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综合评分法</w:t>
            </w:r>
          </w:p>
        </w:tc>
      </w:tr>
      <w:tr w14:paraId="5D394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695D5A86">
            <w:pPr>
              <w:pStyle w:val="43"/>
              <w:pBdr>
                <w:bottom w:val="none" w:color="auto" w:sz="0" w:space="0"/>
              </w:pBdr>
              <w:tabs>
                <w:tab w:val="clear" w:pos="4153"/>
                <w:tab w:val="clear" w:pos="8306"/>
              </w:tabs>
              <w:adjustRightInd/>
              <w:spacing w:line="360" w:lineRule="auto"/>
              <w:textAlignment w:val="auto"/>
              <w:rPr>
                <w:rFonts w:ascii="宋体" w:hAnsi="宋体" w:eastAsia="宋体"/>
                <w:bCs/>
                <w:kern w:val="2"/>
                <w:highlight w:val="yellow"/>
              </w:rPr>
            </w:pPr>
            <w:r>
              <w:rPr>
                <w:rFonts w:hint="eastAsia" w:ascii="宋体" w:hAnsi="宋体" w:eastAsia="宋体"/>
                <w:bCs/>
                <w:kern w:val="2"/>
              </w:rPr>
              <w:t>17.4</w:t>
            </w:r>
          </w:p>
        </w:tc>
        <w:tc>
          <w:tcPr>
            <w:tcW w:w="1160" w:type="pct"/>
            <w:vAlign w:val="center"/>
          </w:tcPr>
          <w:p w14:paraId="1FE965B2">
            <w:pPr>
              <w:pStyle w:val="4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最后报价扣除</w:t>
            </w:r>
          </w:p>
          <w:p w14:paraId="3CFFC005">
            <w:pPr>
              <w:pStyle w:val="4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i/>
                <w:sz w:val="24"/>
              </w:rPr>
              <w:t>（非专门面向中小企业采购项目适用）</w:t>
            </w:r>
          </w:p>
        </w:tc>
        <w:tc>
          <w:tcPr>
            <w:tcW w:w="3267" w:type="pct"/>
            <w:vAlign w:val="center"/>
          </w:tcPr>
          <w:p w14:paraId="5CF8B478">
            <w:pPr>
              <w:pStyle w:val="4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w:t>
            </w:r>
            <w:r>
              <w:rPr>
                <w:rFonts w:ascii="宋体" w:hAnsi="宋体" w:eastAsia="宋体"/>
                <w:b w:val="0"/>
                <w:sz w:val="24"/>
              </w:rPr>
              <w:t>小型和微型</w:t>
            </w:r>
            <w:r>
              <w:rPr>
                <w:rFonts w:hint="eastAsia" w:ascii="宋体" w:hAnsi="宋体" w:eastAsia="宋体"/>
                <w:b w:val="0"/>
                <w:sz w:val="24"/>
              </w:rPr>
              <w:t>企业价格扣除：</w:t>
            </w:r>
            <w:r>
              <w:rPr>
                <w:rFonts w:hint="eastAsia" w:ascii="宋体" w:hAnsi="宋体" w:eastAsia="宋体"/>
                <w:b w:val="0"/>
                <w:sz w:val="24"/>
                <w:u w:val="single"/>
              </w:rPr>
              <w:t xml:space="preserve">  /      </w:t>
            </w:r>
            <w:r>
              <w:rPr>
                <w:rFonts w:hint="eastAsia" w:ascii="宋体" w:hAnsi="宋体" w:eastAsia="宋体"/>
                <w:b w:val="0"/>
                <w:sz w:val="24"/>
              </w:rPr>
              <w:t>。</w:t>
            </w:r>
          </w:p>
          <w:p w14:paraId="12BA9D83">
            <w:pPr>
              <w:pStyle w:val="4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（2）监狱企业价格扣除：同</w:t>
            </w:r>
            <w:r>
              <w:rPr>
                <w:rFonts w:ascii="宋体" w:hAnsi="宋体" w:eastAsia="宋体"/>
                <w:b w:val="0"/>
                <w:sz w:val="24"/>
              </w:rPr>
              <w:t>小型和微型企业</w:t>
            </w:r>
            <w:r>
              <w:rPr>
                <w:rFonts w:hint="eastAsia" w:ascii="宋体" w:hAnsi="宋体" w:eastAsia="宋体"/>
                <w:b w:val="0"/>
                <w:sz w:val="24"/>
              </w:rPr>
              <w:t>。</w:t>
            </w:r>
          </w:p>
          <w:p w14:paraId="2FBA3D2B">
            <w:pPr>
              <w:pStyle w:val="4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（3）残疾人福利性单位价格扣除：同</w:t>
            </w:r>
            <w:r>
              <w:rPr>
                <w:rFonts w:ascii="宋体" w:hAnsi="宋体" w:eastAsia="宋体"/>
                <w:b w:val="0"/>
                <w:sz w:val="24"/>
              </w:rPr>
              <w:t>小型和微型企业</w:t>
            </w:r>
            <w:r>
              <w:rPr>
                <w:rFonts w:hint="eastAsia" w:ascii="宋体" w:hAnsi="宋体" w:eastAsia="宋体"/>
                <w:b w:val="0"/>
                <w:sz w:val="24"/>
              </w:rPr>
              <w:t>。</w:t>
            </w:r>
          </w:p>
          <w:p w14:paraId="1555F74A">
            <w:pPr>
              <w:pStyle w:val="4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（4）符合条件的联合体价格扣除：</w:t>
            </w:r>
            <w:r>
              <w:rPr>
                <w:rFonts w:hint="eastAsia" w:ascii="宋体" w:hAnsi="宋体" w:eastAsia="宋体"/>
                <w:b w:val="0"/>
                <w:sz w:val="24"/>
                <w:u w:val="single"/>
              </w:rPr>
              <w:t xml:space="preserve">   /     </w:t>
            </w:r>
            <w:r>
              <w:rPr>
                <w:rFonts w:hint="eastAsia" w:ascii="宋体" w:hAnsi="宋体" w:eastAsia="宋体"/>
                <w:b w:val="0"/>
                <w:sz w:val="24"/>
              </w:rPr>
              <w:t>。</w:t>
            </w:r>
          </w:p>
          <w:p w14:paraId="547FCA34">
            <w:pPr>
              <w:pStyle w:val="4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（5）符合条件的向小微企业分包的大中型企业价格扣除：</w:t>
            </w:r>
            <w:r>
              <w:rPr>
                <w:rFonts w:hint="eastAsia" w:ascii="宋体" w:hAnsi="宋体" w:eastAsia="宋体"/>
                <w:b w:val="0"/>
                <w:sz w:val="24"/>
                <w:u w:val="single"/>
              </w:rPr>
              <w:t xml:space="preserve">   /     </w:t>
            </w:r>
            <w:r>
              <w:rPr>
                <w:rFonts w:hint="eastAsia" w:ascii="宋体" w:hAnsi="宋体" w:eastAsia="宋体"/>
                <w:b w:val="0"/>
                <w:sz w:val="24"/>
              </w:rPr>
              <w:t>。</w:t>
            </w:r>
            <w:r>
              <w:rPr>
                <w:rFonts w:hint="eastAsia" w:ascii="宋体" w:hAnsi="宋体" w:eastAsia="宋体"/>
                <w:b w:val="0"/>
                <w:i/>
                <w:sz w:val="24"/>
              </w:rPr>
              <w:t>（允许大中型企业向小微企业分包的项目适用）</w:t>
            </w:r>
          </w:p>
        </w:tc>
      </w:tr>
      <w:tr w14:paraId="47798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Merge w:val="restart"/>
            <w:vAlign w:val="center"/>
          </w:tcPr>
          <w:p w14:paraId="0E0BF52C">
            <w:pPr>
              <w:pStyle w:val="43"/>
              <w:pBdr>
                <w:bottom w:val="none" w:color="auto" w:sz="0" w:space="0"/>
              </w:pBdr>
              <w:tabs>
                <w:tab w:val="clear" w:pos="4153"/>
                <w:tab w:val="clear" w:pos="8306"/>
              </w:tabs>
              <w:adjustRightInd/>
              <w:spacing w:line="360" w:lineRule="auto"/>
              <w:textAlignment w:val="auto"/>
              <w:rPr>
                <w:rFonts w:ascii="宋体" w:hAnsi="宋体" w:eastAsia="宋体"/>
                <w:bCs/>
                <w:kern w:val="2"/>
                <w:highlight w:val="yellow"/>
              </w:rPr>
            </w:pPr>
            <w:r>
              <w:rPr>
                <w:rFonts w:hint="eastAsia" w:ascii="宋体" w:hAnsi="宋体" w:eastAsia="宋体"/>
                <w:bCs/>
                <w:kern w:val="2"/>
              </w:rPr>
              <w:t>19</w:t>
            </w:r>
            <w:r>
              <w:rPr>
                <w:rFonts w:ascii="宋体" w:hAnsi="宋体" w:eastAsia="宋体"/>
                <w:bCs/>
                <w:kern w:val="2"/>
              </w:rPr>
              <w:t>.</w:t>
            </w:r>
            <w:r>
              <w:rPr>
                <w:rFonts w:hint="eastAsia" w:ascii="宋体" w:hAnsi="宋体" w:eastAsia="宋体"/>
                <w:bCs/>
                <w:kern w:val="2"/>
              </w:rPr>
              <w:t>1</w:t>
            </w:r>
          </w:p>
        </w:tc>
        <w:tc>
          <w:tcPr>
            <w:tcW w:w="1160" w:type="pct"/>
            <w:vMerge w:val="restart"/>
            <w:vAlign w:val="center"/>
          </w:tcPr>
          <w:p w14:paraId="4404B4F6">
            <w:pPr>
              <w:pStyle w:val="42"/>
              <w:widowControl w:val="0"/>
              <w:spacing w:before="0" w:beforeAutospacing="0" w:after="0" w:afterAutospacing="0" w:line="360" w:lineRule="auto"/>
              <w:jc w:val="both"/>
              <w:rPr>
                <w:rFonts w:ascii="宋体" w:hAnsi="宋体" w:eastAsia="宋体"/>
                <w:b w:val="0"/>
                <w:sz w:val="24"/>
              </w:rPr>
            </w:pPr>
            <w:r>
              <w:rPr>
                <w:rFonts w:hint="eastAsia" w:asciiTheme="minorEastAsia" w:hAnsiTheme="minorEastAsia" w:eastAsiaTheme="minorEastAsia"/>
                <w:b w:val="0"/>
                <w:sz w:val="24"/>
              </w:rPr>
              <w:t>确定成交候选供应商和成交供应商</w:t>
            </w:r>
          </w:p>
        </w:tc>
        <w:tc>
          <w:tcPr>
            <w:tcW w:w="3267" w:type="pct"/>
            <w:vAlign w:val="center"/>
          </w:tcPr>
          <w:p w14:paraId="341A8755">
            <w:pPr>
              <w:pStyle w:val="4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磋商小组推荐成交</w:t>
            </w:r>
            <w:r>
              <w:rPr>
                <w:rFonts w:ascii="宋体" w:hAnsi="宋体" w:eastAsia="宋体"/>
                <w:b w:val="0"/>
                <w:sz w:val="24"/>
              </w:rPr>
              <w:t>候选</w:t>
            </w:r>
            <w:r>
              <w:rPr>
                <w:rFonts w:hint="eastAsia" w:ascii="宋体" w:hAnsi="宋体" w:eastAsia="宋体"/>
                <w:b w:val="0"/>
                <w:sz w:val="24"/>
              </w:rPr>
              <w:t>供应商的</w:t>
            </w:r>
            <w:r>
              <w:rPr>
                <w:rFonts w:ascii="宋体" w:hAnsi="宋体" w:eastAsia="宋体"/>
                <w:b w:val="0"/>
                <w:sz w:val="24"/>
              </w:rPr>
              <w:t>数</w:t>
            </w:r>
            <w:r>
              <w:rPr>
                <w:rFonts w:hint="eastAsia" w:ascii="宋体" w:hAnsi="宋体" w:eastAsia="宋体"/>
                <w:b w:val="0"/>
                <w:sz w:val="24"/>
              </w:rPr>
              <w:t>量：3家以上</w:t>
            </w:r>
          </w:p>
          <w:p w14:paraId="11DA9533">
            <w:pPr>
              <w:pStyle w:val="42"/>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rPr>
              <w:t>注：法律、法规另有规定的，从其规定</w:t>
            </w:r>
          </w:p>
        </w:tc>
      </w:tr>
      <w:tr w14:paraId="4E23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Merge w:val="continue"/>
            <w:vAlign w:val="center"/>
          </w:tcPr>
          <w:p w14:paraId="73DB4079">
            <w:pPr>
              <w:pStyle w:val="43"/>
              <w:pBdr>
                <w:bottom w:val="none" w:color="auto" w:sz="0" w:space="0"/>
              </w:pBdr>
              <w:tabs>
                <w:tab w:val="clear" w:pos="4153"/>
                <w:tab w:val="clear" w:pos="8306"/>
              </w:tabs>
              <w:adjustRightInd/>
              <w:spacing w:line="360" w:lineRule="auto"/>
              <w:textAlignment w:val="auto"/>
              <w:rPr>
                <w:rFonts w:ascii="宋体" w:hAnsi="宋体" w:eastAsia="宋体"/>
                <w:bCs/>
                <w:kern w:val="2"/>
                <w:highlight w:val="yellow"/>
              </w:rPr>
            </w:pPr>
          </w:p>
        </w:tc>
        <w:tc>
          <w:tcPr>
            <w:tcW w:w="1160" w:type="pct"/>
            <w:vMerge w:val="continue"/>
            <w:vAlign w:val="center"/>
          </w:tcPr>
          <w:p w14:paraId="359B0503">
            <w:pPr>
              <w:pStyle w:val="42"/>
              <w:widowControl w:val="0"/>
              <w:spacing w:before="0" w:beforeAutospacing="0" w:after="0" w:afterAutospacing="0" w:line="360" w:lineRule="auto"/>
              <w:jc w:val="both"/>
              <w:rPr>
                <w:rFonts w:ascii="宋体" w:hAnsi="宋体" w:eastAsia="宋体"/>
                <w:b w:val="0"/>
                <w:sz w:val="24"/>
              </w:rPr>
            </w:pPr>
          </w:p>
        </w:tc>
        <w:tc>
          <w:tcPr>
            <w:tcW w:w="3267" w:type="pct"/>
            <w:vAlign w:val="center"/>
          </w:tcPr>
          <w:p w14:paraId="452B8C63">
            <w:pPr>
              <w:pStyle w:val="4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确定成交供应商：</w:t>
            </w:r>
          </w:p>
          <w:p w14:paraId="3EEEF1C0">
            <w:pPr>
              <w:pStyle w:val="4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sym w:font="Wingdings" w:char="00A8"/>
            </w:r>
            <w:r>
              <w:rPr>
                <w:rFonts w:hint="eastAsia" w:ascii="宋体" w:hAnsi="宋体" w:eastAsia="宋体"/>
                <w:b w:val="0"/>
                <w:sz w:val="24"/>
              </w:rPr>
              <w:t>采购人委托磋商小组确定  ☑采购人确定</w:t>
            </w:r>
          </w:p>
        </w:tc>
      </w:tr>
      <w:tr w14:paraId="2B3F0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319FC06C">
            <w:pPr>
              <w:pStyle w:val="43"/>
              <w:pBdr>
                <w:bottom w:val="none" w:color="auto" w:sz="0" w:space="0"/>
              </w:pBdr>
              <w:tabs>
                <w:tab w:val="clear" w:pos="4153"/>
                <w:tab w:val="clear" w:pos="8306"/>
              </w:tabs>
              <w:adjustRightInd/>
              <w:spacing w:line="360" w:lineRule="auto"/>
              <w:textAlignment w:val="auto"/>
              <w:rPr>
                <w:rFonts w:ascii="宋体" w:hAnsi="宋体" w:eastAsia="宋体"/>
                <w:bCs/>
                <w:kern w:val="2"/>
                <w:highlight w:val="yellow"/>
              </w:rPr>
            </w:pPr>
            <w:r>
              <w:rPr>
                <w:rFonts w:hint="eastAsia" w:ascii="宋体" w:hAnsi="宋体" w:eastAsia="宋体"/>
                <w:bCs/>
                <w:kern w:val="2"/>
              </w:rPr>
              <w:t>22</w:t>
            </w:r>
            <w:r>
              <w:rPr>
                <w:rFonts w:ascii="宋体" w:hAnsi="宋体" w:eastAsia="宋体"/>
                <w:bCs/>
                <w:kern w:val="2"/>
              </w:rPr>
              <w:t>.</w:t>
            </w:r>
            <w:r>
              <w:rPr>
                <w:rFonts w:hint="eastAsia" w:ascii="宋体" w:hAnsi="宋体" w:eastAsia="宋体"/>
                <w:bCs/>
                <w:kern w:val="2"/>
              </w:rPr>
              <w:t>2</w:t>
            </w:r>
          </w:p>
        </w:tc>
        <w:tc>
          <w:tcPr>
            <w:tcW w:w="1160" w:type="pct"/>
            <w:vAlign w:val="center"/>
          </w:tcPr>
          <w:p w14:paraId="728B77F3">
            <w:pPr>
              <w:pStyle w:val="4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随成交结果公告同时公告的内容</w:t>
            </w:r>
          </w:p>
        </w:tc>
        <w:tc>
          <w:tcPr>
            <w:tcW w:w="3267" w:type="pct"/>
            <w:vAlign w:val="center"/>
          </w:tcPr>
          <w:p w14:paraId="247B1558">
            <w:pPr>
              <w:pStyle w:val="4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（1）中小企业声明函；</w:t>
            </w:r>
            <w:r>
              <w:rPr>
                <w:rFonts w:hint="eastAsia" w:ascii="宋体" w:hAnsi="宋体" w:eastAsia="宋体"/>
                <w:b w:val="0"/>
                <w:i/>
                <w:iCs/>
                <w:sz w:val="24"/>
              </w:rPr>
              <w:t>（如有）</w:t>
            </w:r>
          </w:p>
          <w:p w14:paraId="763803D3">
            <w:pPr>
              <w:pStyle w:val="42"/>
              <w:widowControl w:val="0"/>
              <w:spacing w:before="0" w:beforeAutospacing="0" w:after="0" w:afterAutospacing="0" w:line="360" w:lineRule="auto"/>
              <w:jc w:val="both"/>
              <w:rPr>
                <w:rFonts w:ascii="宋体" w:hAnsi="宋体" w:eastAsia="宋体"/>
                <w:b w:val="0"/>
                <w:i/>
                <w:sz w:val="24"/>
              </w:rPr>
            </w:pPr>
            <w:r>
              <w:rPr>
                <w:rFonts w:hint="eastAsia" w:ascii="宋体" w:hAnsi="宋体" w:eastAsia="宋体"/>
                <w:b w:val="0"/>
                <w:sz w:val="24"/>
              </w:rPr>
              <w:t>（2）残疾人福利性单位声明函；</w:t>
            </w:r>
            <w:r>
              <w:rPr>
                <w:rFonts w:hint="eastAsia" w:ascii="宋体" w:hAnsi="宋体" w:eastAsia="宋体"/>
                <w:b w:val="0"/>
                <w:i/>
                <w:iCs/>
                <w:sz w:val="24"/>
              </w:rPr>
              <w:t>（如有）</w:t>
            </w:r>
          </w:p>
          <w:p w14:paraId="484A6307">
            <w:pPr>
              <w:pStyle w:val="42"/>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sz w:val="24"/>
              </w:rPr>
              <w:t>（3）中标（成交）供应商的评审总得分；</w:t>
            </w:r>
          </w:p>
        </w:tc>
      </w:tr>
      <w:tr w14:paraId="476FA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05033085">
            <w:pPr>
              <w:pStyle w:val="43"/>
              <w:pBdr>
                <w:bottom w:val="none" w:color="auto" w:sz="0" w:space="0"/>
              </w:pBdr>
              <w:tabs>
                <w:tab w:val="clear" w:pos="4153"/>
                <w:tab w:val="clear" w:pos="8306"/>
              </w:tabs>
              <w:adjustRightInd/>
              <w:spacing w:line="360" w:lineRule="auto"/>
              <w:textAlignment w:val="auto"/>
              <w:rPr>
                <w:rFonts w:ascii="宋体" w:hAnsi="宋体" w:eastAsia="宋体"/>
                <w:bCs/>
                <w:kern w:val="2"/>
                <w:highlight w:val="yellow"/>
              </w:rPr>
            </w:pPr>
            <w:r>
              <w:rPr>
                <w:rFonts w:hint="eastAsia" w:ascii="宋体" w:hAnsi="宋体" w:eastAsia="宋体"/>
                <w:bCs/>
                <w:kern w:val="2"/>
              </w:rPr>
              <w:t>23</w:t>
            </w:r>
            <w:r>
              <w:rPr>
                <w:rFonts w:ascii="宋体" w:hAnsi="宋体" w:eastAsia="宋体"/>
                <w:bCs/>
                <w:kern w:val="2"/>
              </w:rPr>
              <w:t>.1</w:t>
            </w:r>
          </w:p>
        </w:tc>
        <w:tc>
          <w:tcPr>
            <w:tcW w:w="1160" w:type="pct"/>
            <w:vAlign w:val="center"/>
          </w:tcPr>
          <w:p w14:paraId="04DA4F9D">
            <w:pPr>
              <w:pStyle w:val="4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成交通知书发出的形式</w:t>
            </w:r>
          </w:p>
        </w:tc>
        <w:tc>
          <w:tcPr>
            <w:tcW w:w="3267" w:type="pct"/>
            <w:vAlign w:val="center"/>
          </w:tcPr>
          <w:p w14:paraId="25A36F71">
            <w:pPr>
              <w:pStyle w:val="4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 xml:space="preserve">□书面 </w:t>
            </w:r>
            <w:r>
              <w:rPr>
                <w:rFonts w:hint="eastAsia" w:ascii="宋体" w:hAnsi="宋体" w:eastAsia="宋体"/>
                <w:b w:val="0"/>
                <w:bCs w:val="0"/>
                <w:sz w:val="24"/>
                <w:szCs w:val="24"/>
              </w:rPr>
              <w:sym w:font="Wingdings" w:char="00FE"/>
            </w:r>
            <w:r>
              <w:rPr>
                <w:rFonts w:hint="eastAsia" w:ascii="宋体" w:hAnsi="宋体" w:eastAsia="宋体"/>
                <w:b w:val="0"/>
                <w:sz w:val="24"/>
              </w:rPr>
              <w:t>数据电文</w:t>
            </w:r>
          </w:p>
        </w:tc>
      </w:tr>
      <w:tr w14:paraId="338A2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3EA9BB64">
            <w:pPr>
              <w:pStyle w:val="43"/>
              <w:pBdr>
                <w:bottom w:val="none" w:color="auto" w:sz="0" w:space="0"/>
              </w:pBdr>
              <w:tabs>
                <w:tab w:val="clear" w:pos="4153"/>
                <w:tab w:val="clear" w:pos="8306"/>
              </w:tabs>
              <w:adjustRightInd/>
              <w:spacing w:line="360" w:lineRule="auto"/>
              <w:textAlignment w:val="auto"/>
              <w:rPr>
                <w:rFonts w:ascii="宋体" w:hAnsi="宋体" w:eastAsia="宋体"/>
                <w:bCs/>
                <w:kern w:val="2"/>
                <w:highlight w:val="yellow"/>
              </w:rPr>
            </w:pPr>
            <w:r>
              <w:rPr>
                <w:rFonts w:hint="eastAsia" w:ascii="宋体" w:hAnsi="宋体" w:eastAsia="宋体"/>
                <w:bCs/>
                <w:kern w:val="2"/>
              </w:rPr>
              <w:t>24</w:t>
            </w:r>
            <w:r>
              <w:rPr>
                <w:rFonts w:ascii="宋体" w:hAnsi="宋体" w:eastAsia="宋体"/>
                <w:bCs/>
                <w:kern w:val="2"/>
              </w:rPr>
              <w:t>.1</w:t>
            </w:r>
          </w:p>
        </w:tc>
        <w:tc>
          <w:tcPr>
            <w:tcW w:w="1160" w:type="pct"/>
            <w:vAlign w:val="center"/>
          </w:tcPr>
          <w:p w14:paraId="727072B8">
            <w:pPr>
              <w:pStyle w:val="4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告知磋商结果的形式</w:t>
            </w:r>
          </w:p>
        </w:tc>
        <w:tc>
          <w:tcPr>
            <w:tcW w:w="3267" w:type="pct"/>
            <w:vAlign w:val="center"/>
          </w:tcPr>
          <w:p w14:paraId="2E2E0202">
            <w:pPr>
              <w:pStyle w:val="42"/>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bCs w:val="0"/>
                <w:sz w:val="24"/>
                <w:szCs w:val="24"/>
              </w:rPr>
              <w:sym w:font="Wingdings" w:char="00FE"/>
            </w:r>
            <w:r>
              <w:rPr>
                <w:rFonts w:hint="eastAsia" w:ascii="宋体" w:hAnsi="宋体" w:eastAsia="宋体"/>
                <w:b w:val="0"/>
                <w:bCs w:val="0"/>
                <w:sz w:val="24"/>
                <w:szCs w:val="24"/>
              </w:rPr>
              <w:t>供应商自行登录电子</w:t>
            </w:r>
            <w:r>
              <w:rPr>
                <w:rFonts w:hint="eastAsia" w:ascii="宋体" w:hAnsi="宋体" w:eastAsia="宋体" w:cs="宋体"/>
                <w:b w:val="0"/>
                <w:bCs w:val="0"/>
                <w:sz w:val="24"/>
                <w:szCs w:val="24"/>
              </w:rPr>
              <w:t>交易</w:t>
            </w:r>
            <w:r>
              <w:rPr>
                <w:rFonts w:hint="eastAsia" w:ascii="宋体" w:hAnsi="宋体" w:eastAsia="宋体"/>
                <w:b w:val="0"/>
                <w:bCs w:val="0"/>
                <w:sz w:val="24"/>
                <w:szCs w:val="24"/>
              </w:rPr>
              <w:t>系统查看</w:t>
            </w:r>
          </w:p>
          <w:p w14:paraId="6DF382B1">
            <w:pPr>
              <w:pStyle w:val="4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□磋商现场告知</w:t>
            </w:r>
          </w:p>
        </w:tc>
      </w:tr>
      <w:tr w14:paraId="45621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5B02616F">
            <w:pPr>
              <w:pStyle w:val="43"/>
              <w:pBdr>
                <w:bottom w:val="none" w:color="auto" w:sz="0" w:space="0"/>
              </w:pBdr>
              <w:tabs>
                <w:tab w:val="clear" w:pos="4153"/>
                <w:tab w:val="clear" w:pos="8306"/>
              </w:tabs>
              <w:adjustRightInd/>
              <w:spacing w:line="360" w:lineRule="auto"/>
              <w:textAlignment w:val="auto"/>
              <w:rPr>
                <w:rFonts w:ascii="宋体" w:hAnsi="宋体" w:eastAsia="宋体"/>
                <w:bCs/>
                <w:kern w:val="2"/>
                <w:highlight w:val="yellow"/>
              </w:rPr>
            </w:pPr>
            <w:r>
              <w:rPr>
                <w:rFonts w:hint="eastAsia" w:ascii="宋体" w:hAnsi="宋体" w:eastAsia="宋体"/>
                <w:bCs/>
                <w:kern w:val="2"/>
              </w:rPr>
              <w:t>25</w:t>
            </w:r>
            <w:r>
              <w:rPr>
                <w:rFonts w:ascii="宋体" w:hAnsi="宋体" w:eastAsia="宋体"/>
                <w:bCs/>
                <w:kern w:val="2"/>
              </w:rPr>
              <w:t>.1</w:t>
            </w:r>
          </w:p>
        </w:tc>
        <w:tc>
          <w:tcPr>
            <w:tcW w:w="1160" w:type="pct"/>
            <w:vAlign w:val="center"/>
          </w:tcPr>
          <w:p w14:paraId="6614CF28">
            <w:pPr>
              <w:pStyle w:val="4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履约保证金</w:t>
            </w:r>
          </w:p>
        </w:tc>
        <w:tc>
          <w:tcPr>
            <w:tcW w:w="3267" w:type="pct"/>
          </w:tcPr>
          <w:p w14:paraId="5288A2FC">
            <w:pPr>
              <w:spacing w:line="360" w:lineRule="auto"/>
              <w:rPr>
                <w:rFonts w:ascii="宋体" w:hAnsi="宋体" w:eastAsia="宋体"/>
                <w:bCs/>
                <w:kern w:val="0"/>
                <w:sz w:val="24"/>
                <w:szCs w:val="28"/>
              </w:rPr>
            </w:pPr>
            <w:r>
              <w:rPr>
                <w:rFonts w:hint="eastAsia" w:ascii="宋体" w:hAnsi="宋体" w:eastAsia="宋体"/>
                <w:bCs/>
                <w:kern w:val="0"/>
                <w:sz w:val="24"/>
                <w:szCs w:val="28"/>
              </w:rPr>
              <w:t>（1）金额：</w:t>
            </w:r>
          </w:p>
          <w:p w14:paraId="78E95157">
            <w:pPr>
              <w:spacing w:line="360" w:lineRule="auto"/>
              <w:rPr>
                <w:rFonts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免收</w:t>
            </w:r>
          </w:p>
          <w:p w14:paraId="2E29418E">
            <w:pPr>
              <w:spacing w:line="360" w:lineRule="auto"/>
              <w:rPr>
                <w:rFonts w:ascii="宋体" w:hAnsi="宋体" w:eastAsia="宋体"/>
                <w:bCs/>
                <w:kern w:val="0"/>
                <w:sz w:val="24"/>
                <w:szCs w:val="28"/>
              </w:rPr>
            </w:pPr>
            <w:r>
              <w:rPr>
                <w:rFonts w:hint="eastAsia" w:ascii="宋体" w:hAnsi="宋体" w:eastAsia="宋体"/>
                <w:bCs/>
                <w:kern w:val="0"/>
                <w:sz w:val="24"/>
                <w:szCs w:val="28"/>
              </w:rPr>
              <w:t>☑合同价的</w:t>
            </w:r>
            <w:r>
              <w:rPr>
                <w:rFonts w:hint="eastAsia" w:ascii="宋体" w:hAnsi="宋体" w:eastAsia="宋体"/>
                <w:bCs/>
                <w:kern w:val="0"/>
                <w:sz w:val="24"/>
                <w:szCs w:val="28"/>
                <w:u w:val="single"/>
              </w:rPr>
              <w:t>2.5</w:t>
            </w:r>
            <w:r>
              <w:rPr>
                <w:rFonts w:ascii="宋体" w:hAnsi="宋体" w:eastAsia="宋体"/>
                <w:bCs/>
                <w:kern w:val="0"/>
                <w:sz w:val="24"/>
                <w:szCs w:val="28"/>
              </w:rPr>
              <w:t>%</w:t>
            </w:r>
          </w:p>
          <w:p w14:paraId="4BE857FB">
            <w:pPr>
              <w:spacing w:line="360" w:lineRule="auto"/>
              <w:rPr>
                <w:rFonts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定额收取：人民币元</w:t>
            </w:r>
          </w:p>
          <w:p w14:paraId="7BF77FA9">
            <w:pPr>
              <w:spacing w:line="360" w:lineRule="auto"/>
              <w:rPr>
                <w:rFonts w:ascii="宋体" w:hAnsi="宋体" w:eastAsia="宋体"/>
                <w:bCs/>
                <w:kern w:val="0"/>
                <w:sz w:val="24"/>
                <w:szCs w:val="28"/>
              </w:rPr>
            </w:pPr>
            <w:r>
              <w:rPr>
                <w:rFonts w:hint="eastAsia" w:ascii="宋体" w:hAnsi="宋体" w:eastAsia="宋体"/>
                <w:bCs/>
                <w:kern w:val="0"/>
                <w:sz w:val="24"/>
                <w:szCs w:val="28"/>
              </w:rPr>
              <w:t>（2）支付方式：</w:t>
            </w:r>
          </w:p>
          <w:p w14:paraId="790AAD3E">
            <w:pPr>
              <w:spacing w:line="360" w:lineRule="auto"/>
              <w:rPr>
                <w:rFonts w:ascii="宋体" w:hAnsi="宋体" w:eastAsia="宋体"/>
                <w:bCs/>
                <w:kern w:val="0"/>
                <w:sz w:val="24"/>
                <w:szCs w:val="28"/>
              </w:rPr>
            </w:pPr>
            <w:r>
              <w:rPr>
                <w:rFonts w:hint="eastAsia" w:ascii="宋体" w:hAnsi="宋体" w:eastAsia="宋体"/>
                <w:bCs/>
                <w:kern w:val="0"/>
                <w:sz w:val="24"/>
                <w:szCs w:val="28"/>
              </w:rPr>
              <w:sym w:font="Wingdings" w:char="00FE"/>
            </w:r>
            <w:r>
              <w:rPr>
                <w:rFonts w:ascii="宋体" w:hAnsi="宋体" w:eastAsia="宋体"/>
                <w:bCs/>
                <w:kern w:val="0"/>
                <w:sz w:val="24"/>
                <w:szCs w:val="28"/>
              </w:rPr>
              <w:t>转账/电汇</w:t>
            </w:r>
            <w:r>
              <w:rPr>
                <w:rFonts w:hint="eastAsia" w:ascii="宋体" w:hAnsi="宋体" w:eastAsia="宋体"/>
                <w:bCs/>
                <w:kern w:val="0"/>
                <w:sz w:val="24"/>
                <w:szCs w:val="28"/>
              </w:rPr>
              <w:sym w:font="Wingdings" w:char="00FE"/>
            </w:r>
            <w:r>
              <w:rPr>
                <w:rFonts w:ascii="宋体" w:hAnsi="宋体" w:eastAsia="宋体"/>
                <w:bCs/>
                <w:kern w:val="0"/>
                <w:sz w:val="24"/>
                <w:szCs w:val="28"/>
              </w:rPr>
              <w:t xml:space="preserve">支票 </w:t>
            </w:r>
            <w:r>
              <w:rPr>
                <w:rFonts w:hint="eastAsia" w:ascii="宋体" w:hAnsi="宋体" w:eastAsia="宋体"/>
                <w:bCs/>
                <w:kern w:val="0"/>
                <w:sz w:val="24"/>
                <w:szCs w:val="28"/>
              </w:rPr>
              <w:sym w:font="Wingdings" w:char="00FE"/>
            </w:r>
            <w:r>
              <w:rPr>
                <w:rFonts w:ascii="宋体" w:hAnsi="宋体" w:eastAsia="宋体"/>
                <w:bCs/>
                <w:kern w:val="0"/>
                <w:sz w:val="24"/>
                <w:szCs w:val="28"/>
              </w:rPr>
              <w:t>汇票</w:t>
            </w:r>
            <w:r>
              <w:rPr>
                <w:rFonts w:hint="eastAsia" w:ascii="宋体" w:hAnsi="宋体" w:eastAsia="宋体"/>
                <w:bCs/>
                <w:kern w:val="0"/>
                <w:sz w:val="24"/>
                <w:szCs w:val="28"/>
              </w:rPr>
              <w:sym w:font="Wingdings" w:char="00FE"/>
            </w:r>
            <w:r>
              <w:rPr>
                <w:rFonts w:hint="eastAsia" w:ascii="宋体" w:hAnsi="宋体" w:eastAsia="宋体"/>
                <w:bCs/>
                <w:kern w:val="0"/>
                <w:sz w:val="24"/>
                <w:szCs w:val="28"/>
              </w:rPr>
              <w:t xml:space="preserve">本票 </w:t>
            </w:r>
            <w:r>
              <w:rPr>
                <w:rFonts w:hint="eastAsia" w:ascii="宋体" w:hAnsi="宋体" w:eastAsia="宋体"/>
                <w:bCs/>
                <w:kern w:val="0"/>
                <w:sz w:val="24"/>
                <w:szCs w:val="28"/>
              </w:rPr>
              <w:sym w:font="Wingdings" w:char="00FE"/>
            </w:r>
            <w:r>
              <w:rPr>
                <w:rFonts w:ascii="宋体" w:hAnsi="宋体" w:eastAsia="宋体"/>
                <w:bCs/>
                <w:kern w:val="0"/>
                <w:sz w:val="24"/>
                <w:szCs w:val="28"/>
              </w:rPr>
              <w:t>保</w:t>
            </w:r>
            <w:r>
              <w:rPr>
                <w:rFonts w:hint="eastAsia" w:ascii="宋体" w:hAnsi="宋体" w:eastAsia="宋体"/>
                <w:bCs/>
                <w:kern w:val="0"/>
                <w:sz w:val="24"/>
                <w:szCs w:val="28"/>
              </w:rPr>
              <w:t xml:space="preserve">险 </w:t>
            </w:r>
            <w:r>
              <w:rPr>
                <w:rFonts w:hint="eastAsia" w:ascii="宋体" w:hAnsi="宋体" w:eastAsia="宋体"/>
                <w:bCs/>
                <w:kern w:val="0"/>
                <w:sz w:val="24"/>
                <w:szCs w:val="28"/>
              </w:rPr>
              <w:sym w:font="Wingdings" w:char="00FE"/>
            </w:r>
            <w:r>
              <w:rPr>
                <w:rFonts w:hint="eastAsia" w:ascii="宋体" w:hAnsi="宋体" w:eastAsia="宋体"/>
                <w:bCs/>
                <w:kern w:val="0"/>
                <w:sz w:val="24"/>
                <w:szCs w:val="28"/>
              </w:rPr>
              <w:t>保</w:t>
            </w:r>
            <w:r>
              <w:rPr>
                <w:rFonts w:ascii="宋体" w:hAnsi="宋体" w:eastAsia="宋体"/>
                <w:bCs/>
                <w:kern w:val="0"/>
                <w:sz w:val="24"/>
                <w:szCs w:val="28"/>
              </w:rPr>
              <w:t>函</w:t>
            </w:r>
          </w:p>
          <w:p w14:paraId="08A7ECF1">
            <w:pPr>
              <w:spacing w:line="360" w:lineRule="auto"/>
              <w:rPr>
                <w:rFonts w:ascii="宋体" w:hAnsi="宋体" w:eastAsia="宋体"/>
                <w:bCs/>
                <w:kern w:val="0"/>
                <w:sz w:val="24"/>
                <w:szCs w:val="28"/>
              </w:rPr>
            </w:pPr>
            <w:r>
              <w:rPr>
                <w:rFonts w:hint="eastAsia" w:ascii="宋体" w:hAnsi="宋体" w:eastAsia="宋体"/>
                <w:bCs/>
                <w:kern w:val="0"/>
                <w:sz w:val="24"/>
                <w:szCs w:val="28"/>
              </w:rPr>
              <w:t>（3）收取单位：</w:t>
            </w:r>
            <w:r>
              <w:rPr>
                <w:rFonts w:hint="eastAsia" w:ascii="宋体" w:hAnsi="宋体" w:eastAsia="宋体"/>
                <w:bCs/>
                <w:kern w:val="0"/>
                <w:sz w:val="24"/>
                <w:szCs w:val="28"/>
                <w:u w:val="single"/>
              </w:rPr>
              <w:t>安徽省怀洪新河河道管理局（安徽省淮水北调工程管理中心）</w:t>
            </w:r>
          </w:p>
          <w:p w14:paraId="76297C87">
            <w:pPr>
              <w:spacing w:line="360" w:lineRule="auto"/>
              <w:rPr>
                <w:rFonts w:ascii="宋体" w:hAnsi="宋体" w:eastAsia="宋体"/>
                <w:bCs/>
                <w:kern w:val="0"/>
                <w:sz w:val="24"/>
                <w:szCs w:val="28"/>
              </w:rPr>
            </w:pPr>
            <w:r>
              <w:rPr>
                <w:rFonts w:hint="eastAsia" w:ascii="宋体" w:hAnsi="宋体" w:eastAsia="宋体"/>
                <w:bCs/>
                <w:kern w:val="0"/>
                <w:sz w:val="24"/>
                <w:szCs w:val="28"/>
              </w:rPr>
              <w:t>（4）收取账号：</w:t>
            </w:r>
            <w:r>
              <w:rPr>
                <w:rFonts w:hint="eastAsia" w:ascii="宋体" w:hAnsi="宋体" w:eastAsia="宋体"/>
                <w:bCs/>
                <w:kern w:val="0"/>
                <w:sz w:val="24"/>
                <w:szCs w:val="28"/>
                <w:u w:val="single"/>
              </w:rPr>
              <w:t>12190001040002576农业银行蚌埠淮河支行</w:t>
            </w:r>
          </w:p>
          <w:p w14:paraId="63E13050">
            <w:pPr>
              <w:spacing w:line="360" w:lineRule="auto"/>
              <w:rPr>
                <w:rFonts w:ascii="宋体" w:hAnsi="宋体" w:eastAsia="宋体"/>
                <w:sz w:val="24"/>
              </w:rPr>
            </w:pPr>
            <w:r>
              <w:rPr>
                <w:rFonts w:hint="eastAsia" w:ascii="宋体" w:hAnsi="宋体" w:eastAsia="宋体"/>
                <w:bCs/>
                <w:kern w:val="0"/>
                <w:sz w:val="24"/>
                <w:szCs w:val="28"/>
              </w:rPr>
              <w:t>（5）</w:t>
            </w:r>
            <w:r>
              <w:rPr>
                <w:rFonts w:hint="eastAsia" w:ascii="宋体" w:hAnsi="宋体" w:eastAsia="宋体"/>
                <w:sz w:val="24"/>
              </w:rPr>
              <w:t>退还时间：</w:t>
            </w:r>
            <w:r>
              <w:rPr>
                <w:rFonts w:hint="eastAsia" w:ascii="宋体" w:hAnsi="宋体" w:eastAsia="宋体"/>
                <w:bCs/>
                <w:kern w:val="0"/>
                <w:sz w:val="24"/>
                <w:szCs w:val="28"/>
                <w:u w:val="single"/>
              </w:rPr>
              <w:t>服务期满后退还。</w:t>
            </w:r>
          </w:p>
          <w:p w14:paraId="02F48FC0">
            <w:pPr>
              <w:spacing w:line="360" w:lineRule="auto"/>
              <w:rPr>
                <w:rFonts w:ascii="宋体" w:hAnsi="宋体" w:eastAsia="宋体"/>
                <w:b/>
                <w:bCs/>
                <w:kern w:val="0"/>
                <w:sz w:val="24"/>
                <w:szCs w:val="24"/>
              </w:rPr>
            </w:pPr>
            <w:r>
              <w:rPr>
                <w:rFonts w:hint="eastAsia" w:ascii="宋体" w:hAnsi="宋体" w:eastAsia="宋体"/>
                <w:b/>
                <w:bCs/>
                <w:kern w:val="0"/>
                <w:sz w:val="24"/>
                <w:szCs w:val="24"/>
              </w:rPr>
              <w:t>注意事项：</w:t>
            </w:r>
          </w:p>
          <w:p w14:paraId="44EDDDD2">
            <w:pPr>
              <w:spacing w:line="360" w:lineRule="auto"/>
              <w:rPr>
                <w:rFonts w:ascii="宋体" w:hAnsi="宋体" w:eastAsia="宋体"/>
                <w:b/>
                <w:bCs/>
                <w:kern w:val="0"/>
                <w:sz w:val="24"/>
                <w:szCs w:val="24"/>
              </w:rPr>
            </w:pPr>
            <w:r>
              <w:rPr>
                <w:rFonts w:hint="eastAsia" w:ascii="宋体" w:hAnsi="宋体" w:eastAsia="宋体"/>
                <w:b/>
                <w:bCs/>
                <w:kern w:val="0"/>
                <w:sz w:val="24"/>
                <w:szCs w:val="24"/>
              </w:rPr>
              <w:t>（1）以上各类机构出具的以担保函、保证保险承担责任的方式均须满足无条件见索即付条件。</w:t>
            </w:r>
          </w:p>
          <w:p w14:paraId="3BAE0798">
            <w:pPr>
              <w:pStyle w:val="42"/>
              <w:widowControl w:val="0"/>
              <w:spacing w:before="0" w:beforeAutospacing="0" w:after="0" w:afterAutospacing="0" w:line="360" w:lineRule="auto"/>
              <w:jc w:val="both"/>
              <w:rPr>
                <w:rFonts w:ascii="宋体" w:hAnsi="宋体" w:eastAsia="宋体"/>
                <w:sz w:val="24"/>
              </w:rPr>
            </w:pPr>
            <w:r>
              <w:rPr>
                <w:rFonts w:hint="eastAsia" w:ascii="宋体" w:hAnsi="宋体" w:eastAsia="宋体"/>
                <w:bCs w:val="0"/>
                <w:sz w:val="24"/>
                <w:szCs w:val="24"/>
              </w:rPr>
              <w:t>（2）以担保函、保证保险形式缴纳履约保证金的，受益人和收取单位须为采购人。</w:t>
            </w:r>
          </w:p>
        </w:tc>
      </w:tr>
      <w:tr w14:paraId="2BEFA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25C06478">
            <w:pPr>
              <w:pStyle w:val="43"/>
              <w:pBdr>
                <w:bottom w:val="none" w:color="auto" w:sz="0" w:space="0"/>
              </w:pBdr>
              <w:tabs>
                <w:tab w:val="clear" w:pos="4153"/>
                <w:tab w:val="clear" w:pos="8306"/>
              </w:tabs>
              <w:adjustRightInd/>
              <w:spacing w:line="360" w:lineRule="auto"/>
              <w:textAlignment w:val="auto"/>
              <w:rPr>
                <w:rFonts w:ascii="宋体" w:hAnsi="宋体" w:eastAsia="宋体"/>
                <w:bCs/>
                <w:kern w:val="2"/>
                <w:highlight w:val="yellow"/>
              </w:rPr>
            </w:pPr>
            <w:r>
              <w:rPr>
                <w:rFonts w:hint="eastAsia" w:ascii="宋体" w:hAnsi="宋体" w:eastAsia="宋体"/>
                <w:bCs/>
                <w:kern w:val="2"/>
              </w:rPr>
              <w:t>26</w:t>
            </w:r>
            <w:r>
              <w:rPr>
                <w:rFonts w:ascii="宋体" w:hAnsi="宋体" w:eastAsia="宋体"/>
                <w:bCs/>
                <w:kern w:val="2"/>
              </w:rPr>
              <w:t>.1</w:t>
            </w:r>
          </w:p>
        </w:tc>
        <w:tc>
          <w:tcPr>
            <w:tcW w:w="1160" w:type="pct"/>
            <w:vAlign w:val="center"/>
          </w:tcPr>
          <w:p w14:paraId="4919B5A5">
            <w:pPr>
              <w:pStyle w:val="4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代理费用</w:t>
            </w:r>
          </w:p>
        </w:tc>
        <w:tc>
          <w:tcPr>
            <w:tcW w:w="3267" w:type="pct"/>
            <w:vAlign w:val="center"/>
          </w:tcPr>
          <w:p w14:paraId="4E472F62">
            <w:pPr>
              <w:pStyle w:val="4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（1）收费对象：</w:t>
            </w:r>
            <w:r>
              <w:rPr>
                <w:rFonts w:hint="eastAsia" w:ascii="宋体" w:hAnsi="宋体" w:eastAsia="宋体"/>
                <w:b w:val="0"/>
                <w:sz w:val="24"/>
              </w:rPr>
              <w:sym w:font="Wingdings" w:char="F0A8"/>
            </w:r>
            <w:r>
              <w:rPr>
                <w:rFonts w:ascii="宋体" w:hAnsi="宋体" w:eastAsia="宋体" w:cs="宋体"/>
                <w:b w:val="0"/>
                <w:spacing w:val="14"/>
                <w:sz w:val="24"/>
                <w:szCs w:val="24"/>
              </w:rPr>
              <w:t>采购人</w:t>
            </w:r>
            <w:r>
              <w:rPr>
                <w:rFonts w:hint="eastAsia" w:ascii="宋体" w:hAnsi="宋体" w:eastAsia="宋体"/>
                <w:b w:val="0"/>
                <w:sz w:val="24"/>
              </w:rPr>
              <w:sym w:font="Wingdings" w:char="00FE"/>
            </w:r>
            <w:r>
              <w:rPr>
                <w:rFonts w:hint="eastAsia" w:ascii="宋体" w:hAnsi="宋体" w:eastAsia="宋体"/>
                <w:b w:val="0"/>
                <w:sz w:val="24"/>
              </w:rPr>
              <w:t>成交</w:t>
            </w:r>
            <w:r>
              <w:rPr>
                <w:rFonts w:hint="eastAsia" w:ascii="宋体" w:hAnsi="宋体" w:eastAsia="宋体" w:cs="宋体"/>
                <w:b w:val="0"/>
                <w:spacing w:val="14"/>
                <w:sz w:val="24"/>
                <w:szCs w:val="24"/>
              </w:rPr>
              <w:t>供应商</w:t>
            </w:r>
          </w:p>
          <w:p w14:paraId="4DD75814">
            <w:pPr>
              <w:pStyle w:val="4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（2）收取方式：转账/电汇</w:t>
            </w:r>
          </w:p>
          <w:p w14:paraId="0AC6A6CD">
            <w:pPr>
              <w:pStyle w:val="4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（3）收费标准：金额2.9万元。</w:t>
            </w:r>
          </w:p>
          <w:p w14:paraId="390FB933">
            <w:pPr>
              <w:pStyle w:val="4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（4）账户名：安徽英才建设工程管理有限公司</w:t>
            </w:r>
          </w:p>
          <w:p w14:paraId="119E8CAB">
            <w:pPr>
              <w:pStyle w:val="4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账号：34050162660800000546</w:t>
            </w:r>
          </w:p>
          <w:p w14:paraId="1DFD7401">
            <w:pPr>
              <w:pStyle w:val="4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开户行：中国建设银行股份有限公司蚌埠铁路支行（或铁路专业支行）</w:t>
            </w:r>
          </w:p>
        </w:tc>
      </w:tr>
      <w:tr w14:paraId="1F2D7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33305F08">
            <w:pPr>
              <w:pStyle w:val="43"/>
              <w:pBdr>
                <w:bottom w:val="none" w:color="auto" w:sz="0" w:space="0"/>
              </w:pBdr>
              <w:tabs>
                <w:tab w:val="clear" w:pos="4153"/>
                <w:tab w:val="clear" w:pos="8306"/>
              </w:tabs>
              <w:adjustRightInd/>
              <w:spacing w:line="360" w:lineRule="auto"/>
              <w:textAlignment w:val="auto"/>
              <w:rPr>
                <w:rFonts w:ascii="宋体" w:hAnsi="宋体" w:eastAsia="宋体"/>
                <w:bCs/>
                <w:kern w:val="2"/>
                <w:highlight w:val="yellow"/>
              </w:rPr>
            </w:pPr>
            <w:r>
              <w:rPr>
                <w:rFonts w:hint="eastAsia" w:ascii="宋体" w:hAnsi="宋体" w:eastAsia="宋体"/>
                <w:bCs/>
                <w:kern w:val="2"/>
              </w:rPr>
              <w:t>27.1</w:t>
            </w:r>
          </w:p>
        </w:tc>
        <w:tc>
          <w:tcPr>
            <w:tcW w:w="1160" w:type="pct"/>
            <w:vAlign w:val="center"/>
          </w:tcPr>
          <w:p w14:paraId="3FD03019">
            <w:pPr>
              <w:pStyle w:val="4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签订合同和合同公告时间</w:t>
            </w:r>
          </w:p>
        </w:tc>
        <w:tc>
          <w:tcPr>
            <w:tcW w:w="3267" w:type="pct"/>
            <w:vAlign w:val="center"/>
          </w:tcPr>
          <w:p w14:paraId="0CD13B62">
            <w:pPr>
              <w:pStyle w:val="42"/>
              <w:widowControl w:val="0"/>
              <w:spacing w:before="0" w:beforeAutospacing="0" w:after="0" w:afterAutospacing="0" w:line="360" w:lineRule="auto"/>
              <w:jc w:val="both"/>
              <w:rPr>
                <w:rFonts w:ascii="宋体" w:hAnsi="宋体" w:eastAsia="宋体"/>
                <w:bCs w:val="0"/>
                <w:sz w:val="24"/>
              </w:rPr>
            </w:pPr>
            <w:r>
              <w:rPr>
                <w:rFonts w:hint="eastAsia" w:ascii="宋体" w:hAnsi="宋体" w:eastAsia="宋体"/>
                <w:bCs w:val="0"/>
                <w:sz w:val="24"/>
              </w:rPr>
              <w:t>（1）采购人与成交供应商应当自发出成交通知书之日起7个工作日内签订合同，采购合同签订之日起2个工作日内完成政府采购合同公开。</w:t>
            </w:r>
          </w:p>
          <w:p w14:paraId="50B4A9CB">
            <w:pPr>
              <w:pStyle w:val="42"/>
              <w:widowControl w:val="0"/>
              <w:spacing w:before="0" w:beforeAutospacing="0" w:after="0" w:afterAutospacing="0" w:line="360" w:lineRule="auto"/>
              <w:jc w:val="both"/>
              <w:rPr>
                <w:rFonts w:ascii="宋体" w:hAnsi="宋体" w:eastAsia="宋体"/>
                <w:b w:val="0"/>
                <w:sz w:val="24"/>
              </w:rPr>
            </w:pPr>
            <w:r>
              <w:rPr>
                <w:rFonts w:ascii="宋体" w:hAnsi="宋体" w:eastAsia="宋体" w:cs="宋体"/>
                <w:bCs w:val="0"/>
                <w:sz w:val="24"/>
                <w:szCs w:val="24"/>
              </w:rPr>
              <w:t>（2）采购人与</w:t>
            </w:r>
            <w:r>
              <w:rPr>
                <w:rFonts w:hint="eastAsia" w:ascii="宋体" w:hAnsi="宋体" w:eastAsia="宋体"/>
                <w:bCs w:val="0"/>
                <w:sz w:val="24"/>
              </w:rPr>
              <w:t>成交供应商</w:t>
            </w:r>
            <w:r>
              <w:rPr>
                <w:rFonts w:ascii="宋体" w:hAnsi="宋体" w:eastAsia="宋体" w:cs="宋体"/>
                <w:sz w:val="24"/>
                <w:szCs w:val="24"/>
              </w:rPr>
              <w:t>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tc>
      </w:tr>
      <w:tr w14:paraId="7E23F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558EEAAF">
            <w:pPr>
              <w:pStyle w:val="43"/>
              <w:pBdr>
                <w:bottom w:val="none" w:color="auto" w:sz="0" w:space="0"/>
              </w:pBdr>
              <w:tabs>
                <w:tab w:val="clear" w:pos="4153"/>
                <w:tab w:val="clear" w:pos="8306"/>
              </w:tabs>
              <w:adjustRightInd/>
              <w:spacing w:line="360" w:lineRule="auto"/>
              <w:textAlignment w:val="auto"/>
              <w:rPr>
                <w:rFonts w:ascii="宋体" w:hAnsi="宋体" w:eastAsia="宋体"/>
                <w:bCs/>
                <w:kern w:val="2"/>
                <w:highlight w:val="yellow"/>
              </w:rPr>
            </w:pPr>
            <w:r>
              <w:rPr>
                <w:rFonts w:hint="eastAsia" w:ascii="宋体" w:hAnsi="宋体" w:eastAsia="宋体"/>
                <w:bCs/>
                <w:kern w:val="2"/>
              </w:rPr>
              <w:t>29.3</w:t>
            </w:r>
          </w:p>
        </w:tc>
        <w:tc>
          <w:tcPr>
            <w:tcW w:w="1160" w:type="pct"/>
            <w:vAlign w:val="center"/>
          </w:tcPr>
          <w:p w14:paraId="26CB8333">
            <w:pPr>
              <w:pStyle w:val="4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质疑函递交方式、接收部门、联系电话和通讯地址</w:t>
            </w:r>
          </w:p>
        </w:tc>
        <w:tc>
          <w:tcPr>
            <w:tcW w:w="3267" w:type="pct"/>
            <w:vAlign w:val="center"/>
          </w:tcPr>
          <w:p w14:paraId="73F635B0">
            <w:pPr>
              <w:spacing w:line="360" w:lineRule="auto"/>
              <w:rPr>
                <w:rFonts w:ascii="宋体" w:hAnsi="宋体" w:eastAsia="宋体"/>
                <w:bCs/>
                <w:kern w:val="0"/>
                <w:sz w:val="24"/>
                <w:szCs w:val="28"/>
                <w:u w:val="single"/>
              </w:rPr>
            </w:pPr>
            <w:r>
              <w:rPr>
                <w:rFonts w:hint="eastAsia" w:ascii="宋体" w:hAnsi="宋体" w:eastAsia="宋体"/>
                <w:sz w:val="24"/>
              </w:rPr>
              <w:t>递交方式：</w:t>
            </w:r>
            <w:r>
              <w:rPr>
                <w:rFonts w:hint="eastAsia" w:ascii="宋体" w:hAnsi="宋体" w:eastAsia="宋体"/>
                <w:bCs/>
                <w:kern w:val="0"/>
                <w:sz w:val="24"/>
                <w:szCs w:val="28"/>
                <w:u w:val="single"/>
              </w:rPr>
              <w:t>递交方式：（任选其一）</w:t>
            </w:r>
          </w:p>
          <w:p w14:paraId="66CE521A">
            <w:pPr>
              <w:spacing w:line="360" w:lineRule="auto"/>
              <w:rPr>
                <w:rFonts w:ascii="宋体" w:hAnsi="宋体" w:eastAsia="宋体"/>
                <w:bCs/>
                <w:kern w:val="0"/>
                <w:sz w:val="24"/>
                <w:szCs w:val="28"/>
                <w:u w:val="single"/>
              </w:rPr>
            </w:pPr>
            <w:r>
              <w:rPr>
                <w:rFonts w:hint="eastAsia" w:ascii="宋体" w:hAnsi="宋体" w:eastAsia="宋体"/>
                <w:bCs/>
                <w:kern w:val="0"/>
                <w:sz w:val="24"/>
                <w:szCs w:val="28"/>
                <w:u w:val="single"/>
              </w:rPr>
              <w:t>（1）书面形式加盖电子印章后通过“徽采云”电子交易系统在线提交。</w:t>
            </w:r>
          </w:p>
          <w:p w14:paraId="6A9FE51C">
            <w:pPr>
              <w:spacing w:line="360" w:lineRule="auto"/>
              <w:rPr>
                <w:rFonts w:ascii="宋体" w:hAnsi="宋体" w:eastAsia="宋体"/>
                <w:bCs/>
                <w:kern w:val="0"/>
                <w:sz w:val="24"/>
                <w:szCs w:val="28"/>
                <w:u w:val="single"/>
              </w:rPr>
            </w:pPr>
            <w:r>
              <w:rPr>
                <w:rFonts w:hint="eastAsia" w:ascii="宋体" w:hAnsi="宋体" w:eastAsia="宋体"/>
                <w:bCs/>
                <w:kern w:val="0"/>
                <w:sz w:val="24"/>
                <w:szCs w:val="28"/>
                <w:u w:val="single"/>
              </w:rPr>
              <w:t>（2）书面形式递交。按采购公告载明的采购人或采购代理机构信息，向其提出。”</w:t>
            </w:r>
          </w:p>
          <w:p w14:paraId="12704ECC">
            <w:pPr>
              <w:pStyle w:val="4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接收部门：</w:t>
            </w:r>
            <w:r>
              <w:rPr>
                <w:rFonts w:hint="eastAsia" w:ascii="宋体" w:hAnsi="宋体" w:eastAsia="宋体"/>
                <w:b w:val="0"/>
                <w:sz w:val="24"/>
                <w:u w:val="single"/>
              </w:rPr>
              <w:t>安徽省怀洪新河河道管理局（安徽省淮水北调工程管理中心）</w:t>
            </w:r>
          </w:p>
          <w:p w14:paraId="08D54465">
            <w:pPr>
              <w:pStyle w:val="42"/>
              <w:widowControl w:val="0"/>
              <w:spacing w:before="0" w:beforeAutospacing="0" w:after="0" w:afterAutospacing="0" w:line="360" w:lineRule="auto"/>
              <w:jc w:val="both"/>
              <w:rPr>
                <w:rFonts w:ascii="宋体" w:hAnsi="宋体" w:eastAsia="宋体"/>
                <w:b w:val="0"/>
                <w:bCs w:val="0"/>
                <w:sz w:val="24"/>
                <w:szCs w:val="18"/>
              </w:rPr>
            </w:pPr>
            <w:r>
              <w:rPr>
                <w:rFonts w:ascii="宋体" w:hAnsi="宋体" w:eastAsia="宋体"/>
                <w:b w:val="0"/>
                <w:sz w:val="24"/>
              </w:rPr>
              <w:t>联系电话：</w:t>
            </w:r>
            <w:r>
              <w:rPr>
                <w:rFonts w:hint="eastAsia" w:ascii="宋体" w:hAnsi="宋体" w:eastAsia="宋体"/>
                <w:b w:val="0"/>
                <w:sz w:val="24"/>
                <w:u w:val="single"/>
              </w:rPr>
              <w:t>0552-3918715</w:t>
            </w:r>
          </w:p>
          <w:p w14:paraId="62DC77F6">
            <w:pPr>
              <w:pStyle w:val="4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通讯地址：</w:t>
            </w:r>
            <w:r>
              <w:rPr>
                <w:rFonts w:hint="eastAsia" w:ascii="宋体" w:hAnsi="宋体" w:eastAsia="宋体"/>
                <w:b w:val="0"/>
                <w:sz w:val="24"/>
                <w:u w:val="single"/>
              </w:rPr>
              <w:t>安徽省蚌埠市龙子湖区沿淮路780号</w:t>
            </w:r>
          </w:p>
        </w:tc>
      </w:tr>
      <w:tr w14:paraId="6E38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1241C61E">
            <w:pPr>
              <w:pStyle w:val="43"/>
              <w:pBdr>
                <w:bottom w:val="none" w:color="auto" w:sz="0" w:space="0"/>
              </w:pBdr>
              <w:tabs>
                <w:tab w:val="clear" w:pos="4153"/>
                <w:tab w:val="clear" w:pos="8306"/>
              </w:tabs>
              <w:adjustRightInd/>
              <w:spacing w:line="360" w:lineRule="auto"/>
              <w:textAlignment w:val="auto"/>
              <w:rPr>
                <w:rFonts w:ascii="宋体" w:hAnsi="宋体" w:eastAsia="宋体"/>
                <w:bCs/>
                <w:kern w:val="2"/>
                <w:highlight w:val="yellow"/>
              </w:rPr>
            </w:pPr>
            <w:r>
              <w:rPr>
                <w:rFonts w:hint="eastAsia" w:ascii="宋体" w:hAnsi="宋体" w:eastAsia="宋体"/>
                <w:bCs/>
                <w:kern w:val="2"/>
              </w:rPr>
              <w:t>30</w:t>
            </w:r>
          </w:p>
        </w:tc>
        <w:tc>
          <w:tcPr>
            <w:tcW w:w="1160" w:type="pct"/>
            <w:vAlign w:val="center"/>
          </w:tcPr>
          <w:p w14:paraId="1C5A93CE">
            <w:pPr>
              <w:pStyle w:val="4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其他内容</w:t>
            </w:r>
          </w:p>
        </w:tc>
        <w:tc>
          <w:tcPr>
            <w:tcW w:w="6274" w:type="dxa"/>
            <w:vAlign w:val="center"/>
          </w:tcPr>
          <w:p w14:paraId="016CEF04">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1.解释权</w:t>
            </w:r>
          </w:p>
          <w:p w14:paraId="30322153">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（1）</w:t>
            </w:r>
            <w:r>
              <w:rPr>
                <w:rFonts w:asciiTheme="minorEastAsia" w:hAnsiTheme="minorEastAsia" w:eastAsiaTheme="minorEastAsia"/>
                <w:bCs/>
                <w:sz w:val="24"/>
                <w:szCs w:val="24"/>
              </w:rPr>
              <w:t>构成本</w:t>
            </w:r>
            <w:r>
              <w:rPr>
                <w:rFonts w:hint="eastAsia" w:asciiTheme="minorEastAsia" w:hAnsiTheme="minorEastAsia" w:eastAsiaTheme="minorEastAsia"/>
                <w:bCs/>
                <w:sz w:val="24"/>
                <w:szCs w:val="24"/>
              </w:rPr>
              <w:t>磋商</w:t>
            </w:r>
            <w:r>
              <w:rPr>
                <w:rFonts w:asciiTheme="minorEastAsia" w:hAnsiTheme="minorEastAsia" w:eastAsiaTheme="minorEastAsia"/>
                <w:bCs/>
                <w:sz w:val="24"/>
                <w:szCs w:val="24"/>
              </w:rPr>
              <w:t>文件的各个组成文件应互为解释，互为说明；</w:t>
            </w:r>
          </w:p>
          <w:p w14:paraId="1C735F78">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同一组成文件中就同一事项的规定或约定不一致的，以编排顺序在后者为准；</w:t>
            </w:r>
          </w:p>
          <w:p w14:paraId="1E3527C8">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（3）</w:t>
            </w:r>
            <w:r>
              <w:rPr>
                <w:rFonts w:asciiTheme="minorEastAsia" w:hAnsiTheme="minorEastAsia" w:eastAsiaTheme="minorEastAsia"/>
                <w:bCs/>
                <w:sz w:val="24"/>
                <w:szCs w:val="24"/>
              </w:rPr>
              <w:t>如有不明确或不一致，构成合同文件组成内容的，以合同文件约定内容为准，且以专用合同条款约定的合同文件优先顺序解释；</w:t>
            </w:r>
          </w:p>
          <w:p w14:paraId="202C8F4F">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（4）</w:t>
            </w:r>
            <w:r>
              <w:rPr>
                <w:rFonts w:asciiTheme="minorEastAsia" w:hAnsiTheme="minorEastAsia" w:eastAsiaTheme="minorEastAsia"/>
                <w:bCs/>
                <w:sz w:val="24"/>
                <w:szCs w:val="24"/>
              </w:rPr>
              <w:t>除</w:t>
            </w:r>
            <w:r>
              <w:rPr>
                <w:rFonts w:hint="eastAsia" w:asciiTheme="minorEastAsia" w:hAnsiTheme="minorEastAsia" w:eastAsiaTheme="minorEastAsia"/>
                <w:bCs/>
                <w:sz w:val="24"/>
                <w:szCs w:val="24"/>
              </w:rPr>
              <w:t>磋商</w:t>
            </w:r>
            <w:r>
              <w:rPr>
                <w:rFonts w:asciiTheme="minorEastAsia" w:hAnsiTheme="minorEastAsia" w:eastAsiaTheme="minorEastAsia"/>
                <w:bCs/>
                <w:sz w:val="24"/>
                <w:szCs w:val="24"/>
              </w:rPr>
              <w:t>文件中有特别规定外，仅适用于</w:t>
            </w:r>
            <w:r>
              <w:rPr>
                <w:rFonts w:hint="eastAsia" w:asciiTheme="minorEastAsia" w:hAnsiTheme="minorEastAsia" w:eastAsiaTheme="minorEastAsia"/>
                <w:bCs/>
                <w:sz w:val="24"/>
                <w:szCs w:val="24"/>
              </w:rPr>
              <w:t>磋商及响应文件提交</w:t>
            </w:r>
            <w:r>
              <w:rPr>
                <w:rFonts w:asciiTheme="minorEastAsia" w:hAnsiTheme="minorEastAsia" w:eastAsiaTheme="minorEastAsia"/>
                <w:bCs/>
                <w:sz w:val="24"/>
                <w:szCs w:val="24"/>
              </w:rPr>
              <w:t>阶段的规定，按</w:t>
            </w:r>
            <w:r>
              <w:rPr>
                <w:rFonts w:hint="eastAsia" w:asciiTheme="minorEastAsia" w:hAnsiTheme="minorEastAsia" w:eastAsiaTheme="minorEastAsia"/>
                <w:bCs/>
                <w:sz w:val="24"/>
                <w:szCs w:val="24"/>
              </w:rPr>
              <w:t>竞争性磋商</w:t>
            </w:r>
            <w:r>
              <w:rPr>
                <w:rFonts w:asciiTheme="minorEastAsia" w:hAnsiTheme="minorEastAsia" w:eastAsiaTheme="minorEastAsia"/>
                <w:bCs/>
                <w:sz w:val="24"/>
                <w:szCs w:val="24"/>
              </w:rPr>
              <w:t>公告、</w:t>
            </w:r>
            <w:r>
              <w:rPr>
                <w:rFonts w:hint="eastAsia" w:asciiTheme="minorEastAsia" w:hAnsiTheme="minorEastAsia" w:eastAsiaTheme="minorEastAsia"/>
                <w:bCs/>
                <w:sz w:val="24"/>
                <w:szCs w:val="24"/>
              </w:rPr>
              <w:t>磋商邀请、供应商</w:t>
            </w:r>
            <w:r>
              <w:rPr>
                <w:rFonts w:asciiTheme="minorEastAsia" w:hAnsiTheme="minorEastAsia" w:eastAsiaTheme="minorEastAsia"/>
                <w:bCs/>
                <w:sz w:val="24"/>
                <w:szCs w:val="24"/>
              </w:rPr>
              <w:t>须知、评</w:t>
            </w:r>
            <w:r>
              <w:rPr>
                <w:rFonts w:hint="eastAsia" w:asciiTheme="minorEastAsia" w:hAnsiTheme="minorEastAsia" w:eastAsiaTheme="minorEastAsia"/>
                <w:bCs/>
                <w:sz w:val="24"/>
                <w:szCs w:val="24"/>
              </w:rPr>
              <w:t>审方</w:t>
            </w:r>
            <w:r>
              <w:rPr>
                <w:rFonts w:asciiTheme="minorEastAsia" w:hAnsiTheme="minorEastAsia" w:eastAsiaTheme="minorEastAsia"/>
                <w:bCs/>
                <w:sz w:val="24"/>
                <w:szCs w:val="24"/>
              </w:rPr>
              <w:t>法</w:t>
            </w:r>
            <w:r>
              <w:rPr>
                <w:rFonts w:hint="eastAsia" w:asciiTheme="minorEastAsia" w:hAnsiTheme="minorEastAsia" w:eastAsiaTheme="minorEastAsia"/>
                <w:bCs/>
                <w:sz w:val="24"/>
                <w:szCs w:val="24"/>
              </w:rPr>
              <w:t>和标准</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响应</w:t>
            </w:r>
            <w:r>
              <w:rPr>
                <w:rFonts w:asciiTheme="minorEastAsia" w:hAnsiTheme="minorEastAsia" w:eastAsiaTheme="minorEastAsia"/>
                <w:bCs/>
                <w:sz w:val="24"/>
                <w:szCs w:val="24"/>
              </w:rPr>
              <w:t>文件格式的先后顺序解释；</w:t>
            </w:r>
          </w:p>
          <w:p w14:paraId="43A9C7D6">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（5）</w:t>
            </w:r>
            <w:r>
              <w:rPr>
                <w:rFonts w:asciiTheme="minorEastAsia" w:hAnsiTheme="minorEastAsia" w:eastAsiaTheme="minorEastAsia"/>
                <w:bCs/>
                <w:sz w:val="24"/>
                <w:szCs w:val="24"/>
              </w:rPr>
              <w:t>按本款前述规定仍不能形成结论的，由</w:t>
            </w:r>
            <w:r>
              <w:rPr>
                <w:rFonts w:hint="eastAsia" w:asciiTheme="minorEastAsia" w:hAnsiTheme="minorEastAsia" w:eastAsiaTheme="minorEastAsia"/>
                <w:bCs/>
                <w:sz w:val="24"/>
                <w:szCs w:val="24"/>
              </w:rPr>
              <w:t>采购</w:t>
            </w:r>
            <w:r>
              <w:rPr>
                <w:rFonts w:asciiTheme="minorEastAsia" w:hAnsiTheme="minorEastAsia" w:eastAsiaTheme="minorEastAsia"/>
                <w:bCs/>
                <w:sz w:val="24"/>
                <w:szCs w:val="24"/>
              </w:rPr>
              <w:t>人负责解释。</w:t>
            </w:r>
          </w:p>
          <w:p w14:paraId="4880326C">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2.“政采贷”融资指引：有融资需求的</w:t>
            </w:r>
            <w:r>
              <w:rPr>
                <w:rFonts w:hint="eastAsia" w:ascii="宋体" w:hAnsi="宋体" w:eastAsia="宋体" w:cs="宋体"/>
                <w:sz w:val="24"/>
                <w:szCs w:val="24"/>
              </w:rPr>
              <w:t>供应商</w:t>
            </w:r>
            <w:r>
              <w:rPr>
                <w:rFonts w:hint="eastAsia" w:asciiTheme="minorEastAsia" w:hAnsiTheme="minorEastAsia" w:eastAsiaTheme="minorEastAsia"/>
                <w:bCs/>
                <w:sz w:val="24"/>
                <w:szCs w:val="24"/>
              </w:rPr>
              <w:t>在取得政府采购中标或成交通知书后，可访问安徽省政府采购网“政采贷”栏目，查看和联系第三方平台或者金融机构，商洽融资事项，确定融资意向。</w:t>
            </w:r>
            <w:r>
              <w:rPr>
                <w:rFonts w:hint="eastAsia" w:ascii="宋体" w:hAnsi="宋体" w:eastAsia="宋体" w:cs="宋体"/>
                <w:sz w:val="24"/>
                <w:szCs w:val="24"/>
              </w:rPr>
              <w:t>供应商</w:t>
            </w:r>
            <w:r>
              <w:rPr>
                <w:rFonts w:hint="eastAsia" w:asciiTheme="minorEastAsia" w:hAnsiTheme="minorEastAsia" w:eastAsiaTheme="minorEastAsia"/>
                <w:bCs/>
                <w:sz w:val="24"/>
                <w:szCs w:val="24"/>
              </w:rPr>
              <w:t>签署政府采购中标（成交）合同后，登录“徽采云”金融服务模块，选择意向产品进行申请，并填写相关信息，“徽采云”金融服务模块将</w:t>
            </w:r>
            <w:r>
              <w:rPr>
                <w:rFonts w:hint="eastAsia" w:ascii="宋体" w:hAnsi="宋体" w:eastAsia="宋体" w:cs="宋体"/>
                <w:sz w:val="24"/>
                <w:szCs w:val="24"/>
              </w:rPr>
              <w:t>成交供应商</w:t>
            </w:r>
            <w:r>
              <w:rPr>
                <w:rFonts w:hint="eastAsia" w:asciiTheme="minorEastAsia" w:hAnsiTheme="minorEastAsia" w:eastAsiaTheme="minorEastAsia"/>
                <w:bCs/>
                <w:sz w:val="24"/>
                <w:szCs w:val="24"/>
              </w:rPr>
              <w:t>融资申请信息推送第三方平台、意向金融机构。</w:t>
            </w:r>
          </w:p>
          <w:p w14:paraId="5A606232">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3.电子保函指引：成交供应商可访问安徽省政府采购网“融资/保函”栏目，申请办理电子保函（包括：履约保函、预付款保函）。</w:t>
            </w:r>
          </w:p>
        </w:tc>
      </w:tr>
    </w:tbl>
    <w:p w14:paraId="7F507B83">
      <w:pPr>
        <w:spacing w:line="360" w:lineRule="auto"/>
        <w:jc w:val="center"/>
        <w:outlineLvl w:val="1"/>
        <w:rPr>
          <w:rFonts w:asciiTheme="minorEastAsia" w:hAnsiTheme="minorEastAsia" w:eastAsiaTheme="minorEastAsia"/>
          <w:b/>
          <w:sz w:val="24"/>
        </w:rPr>
      </w:pPr>
      <w:r>
        <w:rPr>
          <w:rFonts w:asciiTheme="minorEastAsia" w:hAnsiTheme="minorEastAsia" w:eastAsiaTheme="minorEastAsia"/>
          <w:b/>
          <w:sz w:val="28"/>
        </w:rPr>
        <w:br w:type="page"/>
      </w:r>
      <w:bookmarkStart w:id="52" w:name="_Toc27470"/>
      <w:bookmarkStart w:id="53" w:name="_Toc14293"/>
      <w:r>
        <w:rPr>
          <w:rFonts w:hint="eastAsia" w:asciiTheme="minorEastAsia" w:hAnsiTheme="minorEastAsia" w:eastAsiaTheme="minorEastAsia"/>
          <w:b/>
          <w:sz w:val="24"/>
        </w:rPr>
        <w:t>二、供应商</w:t>
      </w:r>
      <w:r>
        <w:rPr>
          <w:rFonts w:asciiTheme="minorEastAsia" w:hAnsiTheme="minorEastAsia" w:eastAsiaTheme="minorEastAsia"/>
          <w:b/>
          <w:sz w:val="24"/>
        </w:rPr>
        <w:t>须知</w:t>
      </w:r>
      <w:r>
        <w:rPr>
          <w:rFonts w:hint="eastAsia" w:asciiTheme="minorEastAsia" w:hAnsiTheme="minorEastAsia" w:eastAsiaTheme="minorEastAsia"/>
          <w:b/>
          <w:sz w:val="24"/>
        </w:rPr>
        <w:t>正文</w:t>
      </w:r>
      <w:bookmarkEnd w:id="52"/>
      <w:bookmarkEnd w:id="53"/>
    </w:p>
    <w:p w14:paraId="7B7CD55F">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w:t>
      </w:r>
      <w:r>
        <w:rPr>
          <w:rFonts w:hint="eastAsia" w:asciiTheme="minorEastAsia" w:hAnsiTheme="minorEastAsia" w:eastAsiaTheme="minorEastAsia"/>
          <w:b/>
          <w:sz w:val="24"/>
        </w:rPr>
        <w:t>采购人、采购代理机构及供应商</w:t>
      </w:r>
    </w:p>
    <w:p w14:paraId="584B996D">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.1采购人：是指依法开展政府采购活动的国家机关、事业单位、团体组织。</w:t>
      </w:r>
    </w:p>
    <w:p w14:paraId="42903120">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.2采购代理机构：是指集中采购机构或从事采购代理业务的社会中介机构。</w:t>
      </w:r>
    </w:p>
    <w:p w14:paraId="1BC6EFB3">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.3政府采购监督管理部门：</w:t>
      </w:r>
      <w:r>
        <w:rPr>
          <w:rFonts w:hint="eastAsia" w:ascii="宋体" w:hAnsi="宋体" w:eastAsia="宋体"/>
          <w:sz w:val="24"/>
        </w:rPr>
        <w:t>各级人民政府指定的有关部门依法履行与政府采购活动有关的监督管理职责</w:t>
      </w:r>
      <w:r>
        <w:rPr>
          <w:rFonts w:ascii="宋体" w:hAnsi="宋体" w:eastAsia="宋体"/>
          <w:sz w:val="24"/>
        </w:rPr>
        <w:t>。</w:t>
      </w:r>
    </w:p>
    <w:p w14:paraId="4ED297AE">
      <w:pPr>
        <w:spacing w:line="360" w:lineRule="auto"/>
        <w:ind w:firstLine="435"/>
        <w:rPr>
          <w:rFonts w:ascii="宋体" w:hAnsi="宋体" w:eastAsia="宋体"/>
          <w:sz w:val="24"/>
          <w:highlight w:val="yellow"/>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供应商</w:t>
      </w:r>
      <w:r>
        <w:rPr>
          <w:rFonts w:ascii="宋体" w:hAnsi="宋体" w:eastAsia="宋体"/>
          <w:sz w:val="24"/>
        </w:rPr>
        <w:t>：是指向采购人提供货物、工程或者服务的法人、</w:t>
      </w:r>
      <w:r>
        <w:rPr>
          <w:rFonts w:hint="eastAsia" w:ascii="宋体" w:hAnsi="宋体" w:eastAsia="宋体"/>
          <w:sz w:val="24"/>
        </w:rPr>
        <w:t>其他</w:t>
      </w:r>
      <w:r>
        <w:rPr>
          <w:rFonts w:ascii="宋体" w:hAnsi="宋体" w:eastAsia="宋体"/>
          <w:sz w:val="24"/>
        </w:rPr>
        <w:t>组织或者自然人。</w:t>
      </w:r>
      <w:r>
        <w:rPr>
          <w:rFonts w:hint="eastAsia" w:ascii="宋体" w:hAnsi="宋体" w:eastAsia="宋体"/>
          <w:sz w:val="24"/>
        </w:rPr>
        <w:t>分支机构不得参加政府采购活动，但银行、保险、石油石化、电力、电信等特殊行业除外。</w:t>
      </w:r>
      <w:r>
        <w:rPr>
          <w:rFonts w:ascii="宋体" w:hAnsi="宋体" w:eastAsia="宋体"/>
          <w:sz w:val="24"/>
        </w:rPr>
        <w:t>本项目的</w:t>
      </w:r>
      <w:r>
        <w:rPr>
          <w:rFonts w:hint="eastAsia" w:ascii="宋体" w:hAnsi="宋体" w:eastAsia="宋体"/>
          <w:sz w:val="24"/>
        </w:rPr>
        <w:t>供应商</w:t>
      </w:r>
      <w:r>
        <w:rPr>
          <w:rFonts w:ascii="宋体" w:hAnsi="宋体" w:eastAsia="宋体"/>
          <w:sz w:val="24"/>
        </w:rPr>
        <w:t>及其</w:t>
      </w:r>
      <w:r>
        <w:rPr>
          <w:rFonts w:hint="eastAsia" w:ascii="宋体" w:hAnsi="宋体" w:eastAsia="宋体"/>
          <w:sz w:val="24"/>
        </w:rPr>
        <w:t>所</w:t>
      </w:r>
      <w:r>
        <w:rPr>
          <w:rFonts w:ascii="宋体" w:hAnsi="宋体" w:eastAsia="宋体"/>
          <w:sz w:val="24"/>
        </w:rPr>
        <w:t>投货物须满足以下条件：</w:t>
      </w:r>
    </w:p>
    <w:p w14:paraId="61B1239C">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1</w:t>
      </w:r>
      <w:r>
        <w:rPr>
          <w:rFonts w:ascii="宋体" w:hAnsi="宋体" w:eastAsia="宋体"/>
          <w:sz w:val="24"/>
        </w:rPr>
        <w:t>具备《中华人民共和国政府采购法》第二十二条关于供应商条件的规定，遵守本项目采购人本级和上级财政部门政府采购的有关规定。</w:t>
      </w:r>
    </w:p>
    <w:p w14:paraId="16DD5951">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2</w:t>
      </w:r>
      <w:r>
        <w:rPr>
          <w:rFonts w:ascii="宋体" w:hAnsi="宋体" w:eastAsia="宋体"/>
          <w:sz w:val="24"/>
        </w:rPr>
        <w:t>以采购代理机构认可的方式获得了本项目的</w:t>
      </w:r>
      <w:r>
        <w:rPr>
          <w:rFonts w:hint="eastAsia" w:ascii="宋体" w:hAnsi="宋体" w:eastAsia="宋体"/>
          <w:sz w:val="24"/>
        </w:rPr>
        <w:t>磋商</w:t>
      </w:r>
      <w:r>
        <w:rPr>
          <w:rFonts w:ascii="宋体" w:hAnsi="宋体" w:eastAsia="宋体"/>
          <w:sz w:val="24"/>
        </w:rPr>
        <w:t>文件。</w:t>
      </w:r>
    </w:p>
    <w:p w14:paraId="2E0C2D83">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3</w:t>
      </w:r>
      <w:r>
        <w:rPr>
          <w:rFonts w:ascii="宋体" w:hAnsi="宋体" w:eastAsia="宋体"/>
          <w:sz w:val="24"/>
        </w:rPr>
        <w:t>若</w:t>
      </w:r>
      <w:r>
        <w:rPr>
          <w:rFonts w:hint="eastAsia" w:ascii="宋体" w:hAnsi="宋体" w:eastAsia="宋体"/>
          <w:sz w:val="24"/>
        </w:rPr>
        <w:t>采购需求</w:t>
      </w:r>
      <w:r>
        <w:rPr>
          <w:rFonts w:ascii="宋体" w:hAnsi="宋体" w:eastAsia="宋体"/>
          <w:sz w:val="24"/>
        </w:rPr>
        <w:t>中写明允许采购进口产品，</w:t>
      </w:r>
      <w:r>
        <w:rPr>
          <w:rFonts w:hint="eastAsia" w:ascii="宋体" w:hAnsi="宋体" w:eastAsia="宋体"/>
          <w:sz w:val="24"/>
        </w:rPr>
        <w:t>供应商</w:t>
      </w:r>
      <w:r>
        <w:rPr>
          <w:rFonts w:ascii="宋体" w:hAnsi="宋体" w:eastAsia="宋体"/>
          <w:sz w:val="24"/>
        </w:rPr>
        <w:t>应保证所投产品可履行合法报通关手续进入中国关境内。</w:t>
      </w:r>
    </w:p>
    <w:p w14:paraId="53A6D35E">
      <w:pPr>
        <w:spacing w:line="360" w:lineRule="auto"/>
        <w:ind w:firstLine="435"/>
        <w:rPr>
          <w:rFonts w:ascii="宋体" w:hAnsi="宋体" w:eastAsia="宋体"/>
          <w:sz w:val="24"/>
        </w:rPr>
      </w:pPr>
      <w:r>
        <w:rPr>
          <w:rFonts w:hint="eastAsia" w:ascii="宋体" w:hAnsi="宋体" w:eastAsia="宋体"/>
          <w:sz w:val="24"/>
        </w:rPr>
        <w:t>若采购需求中未写明允许采购进口产品，如供应商所投产品为进口产品，其响应文件将被认定为</w:t>
      </w:r>
      <w:r>
        <w:rPr>
          <w:rFonts w:hint="eastAsia" w:ascii="宋体" w:hAnsi="宋体" w:eastAsia="宋体"/>
          <w:b/>
          <w:sz w:val="24"/>
        </w:rPr>
        <w:t>响应无效</w:t>
      </w:r>
      <w:r>
        <w:rPr>
          <w:rFonts w:hint="eastAsia" w:ascii="宋体" w:hAnsi="宋体" w:eastAsia="宋体"/>
          <w:sz w:val="24"/>
        </w:rPr>
        <w:t>。</w:t>
      </w:r>
    </w:p>
    <w:p w14:paraId="1A77EB3F">
      <w:pPr>
        <w:spacing w:line="360" w:lineRule="auto"/>
        <w:ind w:firstLine="435"/>
        <w:rPr>
          <w:rFonts w:ascii="宋体" w:hAnsi="宋体" w:eastAsia="宋体"/>
          <w:sz w:val="24"/>
        </w:rPr>
      </w:pPr>
      <w:bookmarkStart w:id="54" w:name="_Hlk60607583"/>
      <w:r>
        <w:rPr>
          <w:rFonts w:hint="eastAsia" w:ascii="宋体" w:hAnsi="宋体" w:eastAsia="宋体"/>
          <w:bCs/>
          <w:kern w:val="0"/>
          <w:sz w:val="24"/>
          <w:szCs w:val="28"/>
        </w:rPr>
        <w:t>1</w:t>
      </w:r>
      <w:r>
        <w:rPr>
          <w:rFonts w:ascii="宋体" w:hAnsi="宋体" w:eastAsia="宋体"/>
          <w:bCs/>
          <w:kern w:val="0"/>
          <w:sz w:val="24"/>
          <w:szCs w:val="28"/>
        </w:rPr>
        <w:t>.5</w:t>
      </w:r>
      <w:r>
        <w:rPr>
          <w:rFonts w:hint="eastAsia" w:ascii="宋体" w:hAnsi="宋体" w:eastAsia="宋体"/>
          <w:bCs/>
          <w:kern w:val="0"/>
          <w:sz w:val="24"/>
          <w:szCs w:val="28"/>
        </w:rPr>
        <w:t>若竞争性磋商公告</w:t>
      </w:r>
      <w:r>
        <w:rPr>
          <w:rFonts w:ascii="宋体" w:hAnsi="宋体" w:eastAsia="宋体"/>
          <w:bCs/>
          <w:kern w:val="0"/>
          <w:sz w:val="24"/>
          <w:szCs w:val="28"/>
        </w:rPr>
        <w:t>中允许联合体</w:t>
      </w:r>
      <w:r>
        <w:rPr>
          <w:rFonts w:hint="eastAsia" w:ascii="宋体" w:hAnsi="宋体" w:eastAsia="宋体"/>
          <w:bCs/>
          <w:kern w:val="0"/>
          <w:sz w:val="24"/>
          <w:szCs w:val="28"/>
        </w:rPr>
        <w:t>参加磋商</w:t>
      </w:r>
      <w:r>
        <w:rPr>
          <w:rFonts w:ascii="宋体" w:hAnsi="宋体" w:eastAsia="宋体"/>
          <w:bCs/>
          <w:kern w:val="0"/>
          <w:sz w:val="24"/>
          <w:szCs w:val="28"/>
        </w:rPr>
        <w:t>，对联合体规定如下：</w:t>
      </w:r>
    </w:p>
    <w:bookmarkEnd w:id="54"/>
    <w:p w14:paraId="43D90D70">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rPr>
        <w:t>5</w:t>
      </w:r>
      <w:r>
        <w:rPr>
          <w:rFonts w:ascii="宋体" w:hAnsi="宋体" w:eastAsia="宋体"/>
          <w:sz w:val="24"/>
        </w:rPr>
        <w:t>.1</w:t>
      </w:r>
      <w:r>
        <w:rPr>
          <w:rFonts w:hint="eastAsia" w:ascii="宋体" w:hAnsi="宋体" w:eastAsia="宋体"/>
          <w:sz w:val="24"/>
        </w:rPr>
        <w:t>两个以上供应商可以组成一个磋商联合体，以一个供应商的身份磋商</w:t>
      </w:r>
      <w:r>
        <w:rPr>
          <w:rFonts w:ascii="宋体" w:hAnsi="宋体" w:eastAsia="宋体"/>
          <w:sz w:val="24"/>
        </w:rPr>
        <w:t>。联合体参加磋商的，</w:t>
      </w:r>
      <w:r>
        <w:rPr>
          <w:rFonts w:hint="eastAsia" w:ascii="宋体" w:hAnsi="宋体" w:eastAsia="宋体"/>
          <w:sz w:val="24"/>
        </w:rPr>
        <w:t>磋商文件获取</w:t>
      </w:r>
      <w:r>
        <w:rPr>
          <w:rFonts w:ascii="宋体" w:hAnsi="宋体" w:eastAsia="宋体"/>
          <w:sz w:val="24"/>
        </w:rPr>
        <w:t>手续由联合体</w:t>
      </w:r>
      <w:r>
        <w:rPr>
          <w:rFonts w:hint="eastAsia" w:ascii="宋体" w:hAnsi="宋体" w:eastAsia="宋体"/>
          <w:sz w:val="24"/>
        </w:rPr>
        <w:t>中</w:t>
      </w:r>
      <w:r>
        <w:rPr>
          <w:rFonts w:ascii="宋体" w:hAnsi="宋体" w:eastAsia="宋体"/>
          <w:sz w:val="24"/>
        </w:rPr>
        <w:t>任一</w:t>
      </w:r>
      <w:r>
        <w:rPr>
          <w:rFonts w:hint="eastAsia" w:ascii="宋体" w:hAnsi="宋体" w:eastAsia="宋体"/>
          <w:sz w:val="24"/>
        </w:rPr>
        <w:t>成员单位</w:t>
      </w:r>
      <w:r>
        <w:rPr>
          <w:rFonts w:ascii="宋体" w:hAnsi="宋体" w:eastAsia="宋体"/>
          <w:sz w:val="24"/>
        </w:rPr>
        <w:t>办理均可。</w:t>
      </w:r>
    </w:p>
    <w:p w14:paraId="7D43A327">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rPr>
        <w:t>5</w:t>
      </w:r>
      <w:r>
        <w:rPr>
          <w:rFonts w:ascii="宋体" w:hAnsi="宋体" w:eastAsia="宋体"/>
          <w:sz w:val="24"/>
        </w:rPr>
        <w:t>.2联合体各方均应符合《中华人民共和国政府采购法》第二十二条规定的条件。</w:t>
      </w:r>
    </w:p>
    <w:p w14:paraId="439180AE">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rPr>
        <w:t>5</w:t>
      </w:r>
      <w:r>
        <w:rPr>
          <w:rFonts w:ascii="宋体" w:hAnsi="宋体" w:eastAsia="宋体"/>
          <w:sz w:val="24"/>
        </w:rPr>
        <w:t>.3采购人根据采购项目对</w:t>
      </w:r>
      <w:r>
        <w:rPr>
          <w:rFonts w:hint="eastAsia" w:ascii="宋体" w:hAnsi="宋体" w:eastAsia="宋体"/>
          <w:sz w:val="24"/>
        </w:rPr>
        <w:t>供应商</w:t>
      </w:r>
      <w:r>
        <w:rPr>
          <w:rFonts w:ascii="宋体" w:hAnsi="宋体" w:eastAsia="宋体"/>
          <w:sz w:val="24"/>
        </w:rPr>
        <w:t>的特殊要求，联合体中至少应当有一方符合相关规定。</w:t>
      </w:r>
    </w:p>
    <w:p w14:paraId="14808111">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rPr>
        <w:t>5</w:t>
      </w:r>
      <w:r>
        <w:rPr>
          <w:rFonts w:ascii="宋体" w:hAnsi="宋体" w:eastAsia="宋体"/>
          <w:sz w:val="24"/>
        </w:rPr>
        <w:t>.4联合体各方应签订</w:t>
      </w:r>
      <w:r>
        <w:rPr>
          <w:rFonts w:hint="eastAsia" w:ascii="宋体" w:hAnsi="宋体" w:eastAsia="宋体"/>
          <w:sz w:val="24"/>
        </w:rPr>
        <w:t>联合协议</w:t>
      </w:r>
      <w:r>
        <w:rPr>
          <w:rFonts w:ascii="宋体" w:hAnsi="宋体" w:eastAsia="宋体"/>
          <w:sz w:val="24"/>
        </w:rPr>
        <w:t>，明确约定联合体各方承担的工作和相应的责任，并将</w:t>
      </w:r>
      <w:r>
        <w:rPr>
          <w:rFonts w:hint="eastAsia" w:ascii="宋体" w:hAnsi="宋体" w:eastAsia="宋体"/>
          <w:sz w:val="24"/>
        </w:rPr>
        <w:t>联合协议</w:t>
      </w:r>
      <w:r>
        <w:rPr>
          <w:rFonts w:ascii="宋体" w:hAnsi="宋体" w:eastAsia="宋体"/>
          <w:sz w:val="24"/>
        </w:rPr>
        <w:t>作为</w:t>
      </w:r>
      <w:r>
        <w:rPr>
          <w:rFonts w:hint="eastAsia" w:ascii="宋体" w:hAnsi="宋体" w:eastAsia="宋体"/>
          <w:sz w:val="24"/>
        </w:rPr>
        <w:t>响应</w:t>
      </w:r>
      <w:r>
        <w:rPr>
          <w:rFonts w:ascii="宋体" w:hAnsi="宋体" w:eastAsia="宋体"/>
          <w:sz w:val="24"/>
        </w:rPr>
        <w:t>文件</w:t>
      </w:r>
      <w:r>
        <w:rPr>
          <w:rFonts w:hint="eastAsia" w:ascii="宋体" w:hAnsi="宋体" w:eastAsia="宋体"/>
          <w:sz w:val="24"/>
        </w:rPr>
        <w:t>的</w:t>
      </w:r>
      <w:r>
        <w:rPr>
          <w:rFonts w:ascii="宋体" w:hAnsi="宋体" w:eastAsia="宋体"/>
          <w:sz w:val="24"/>
        </w:rPr>
        <w:t>一部分提交。</w:t>
      </w:r>
    </w:p>
    <w:p w14:paraId="133DDB68">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rPr>
        <w:t>5</w:t>
      </w:r>
      <w:r>
        <w:rPr>
          <w:rFonts w:ascii="宋体" w:hAnsi="宋体" w:eastAsia="宋体"/>
          <w:sz w:val="24"/>
        </w:rPr>
        <w:t>.5大中型企业、其他自然人、法人或者非法人组织与小型、微型企业组成联合体共同参加</w:t>
      </w:r>
      <w:r>
        <w:rPr>
          <w:rFonts w:hint="eastAsia" w:ascii="宋体" w:hAnsi="宋体" w:eastAsia="宋体"/>
          <w:sz w:val="24"/>
        </w:rPr>
        <w:t>磋商</w:t>
      </w:r>
      <w:r>
        <w:rPr>
          <w:rFonts w:ascii="宋体" w:hAnsi="宋体" w:eastAsia="宋体"/>
          <w:sz w:val="24"/>
        </w:rPr>
        <w:t>，</w:t>
      </w:r>
      <w:r>
        <w:rPr>
          <w:rFonts w:hint="eastAsia" w:ascii="宋体" w:hAnsi="宋体" w:eastAsia="宋体"/>
          <w:sz w:val="24"/>
        </w:rPr>
        <w:t>联合协议中</w:t>
      </w:r>
      <w:r>
        <w:rPr>
          <w:rFonts w:ascii="宋体" w:hAnsi="宋体" w:eastAsia="宋体"/>
          <w:sz w:val="24"/>
        </w:rPr>
        <w:t>应写明小型、微型企业的协议合同金额占到</w:t>
      </w:r>
      <w:r>
        <w:rPr>
          <w:rFonts w:hint="eastAsia" w:ascii="宋体" w:hAnsi="宋体" w:eastAsia="宋体"/>
          <w:sz w:val="24"/>
        </w:rPr>
        <w:t>联合协议合同</w:t>
      </w:r>
      <w:r>
        <w:rPr>
          <w:rFonts w:ascii="宋体" w:hAnsi="宋体" w:eastAsia="宋体"/>
          <w:sz w:val="24"/>
        </w:rPr>
        <w:t>总金额的比例。</w:t>
      </w:r>
    </w:p>
    <w:p w14:paraId="52C34F75">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.5.6</w:t>
      </w:r>
      <w:r>
        <w:rPr>
          <w:rFonts w:hint="eastAsia" w:ascii="宋体" w:hAnsi="宋体" w:eastAsia="宋体"/>
          <w:sz w:val="24"/>
        </w:rPr>
        <w:t>联合体中有同类资质的供应商按照联合体分工承担相同工作的，</w:t>
      </w:r>
      <w:r>
        <w:rPr>
          <w:rFonts w:ascii="宋体" w:hAnsi="宋体" w:eastAsia="宋体"/>
          <w:sz w:val="24"/>
        </w:rPr>
        <w:t>应当按照</w:t>
      </w:r>
      <w:r>
        <w:rPr>
          <w:rFonts w:hint="eastAsia" w:ascii="宋体" w:hAnsi="宋体" w:eastAsia="宋体"/>
          <w:sz w:val="24"/>
        </w:rPr>
        <w:t>资质等级较低的供应商确定资质等级。</w:t>
      </w:r>
    </w:p>
    <w:p w14:paraId="3722BCBB">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rPr>
        <w:t>5</w:t>
      </w:r>
      <w:r>
        <w:rPr>
          <w:rFonts w:ascii="宋体" w:hAnsi="宋体" w:eastAsia="宋体"/>
          <w:sz w:val="24"/>
        </w:rPr>
        <w:t>.7以联合体形式参加政府采购活动的，联合体各方不得再单独参加或者与其他供应商另外组成联合体参加本项目</w:t>
      </w:r>
      <w:r>
        <w:rPr>
          <w:rFonts w:hint="eastAsia" w:ascii="宋体" w:hAnsi="宋体" w:eastAsia="宋体"/>
          <w:sz w:val="24"/>
        </w:rPr>
        <w:t>磋商</w:t>
      </w:r>
      <w:r>
        <w:rPr>
          <w:rFonts w:ascii="宋体" w:hAnsi="宋体" w:eastAsia="宋体"/>
          <w:sz w:val="24"/>
        </w:rPr>
        <w:t>，否则相关</w:t>
      </w:r>
      <w:r>
        <w:rPr>
          <w:rFonts w:hint="eastAsia" w:ascii="宋体" w:hAnsi="宋体" w:eastAsia="宋体"/>
          <w:sz w:val="24"/>
        </w:rPr>
        <w:t>响应文件将被认定为</w:t>
      </w:r>
      <w:r>
        <w:rPr>
          <w:rFonts w:hint="eastAsia" w:ascii="宋体" w:hAnsi="宋体" w:eastAsia="宋体"/>
          <w:b/>
          <w:sz w:val="24"/>
        </w:rPr>
        <w:t>响应无效</w:t>
      </w:r>
      <w:r>
        <w:rPr>
          <w:rFonts w:ascii="宋体" w:hAnsi="宋体" w:eastAsia="宋体"/>
          <w:sz w:val="24"/>
        </w:rPr>
        <w:t>。</w:t>
      </w:r>
    </w:p>
    <w:p w14:paraId="08A5FE09">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rPr>
        <w:t>5</w:t>
      </w:r>
      <w:r>
        <w:rPr>
          <w:rFonts w:ascii="宋体" w:hAnsi="宋体" w:eastAsia="宋体"/>
          <w:sz w:val="24"/>
        </w:rPr>
        <w:t>.8对联合体参加磋商的其他资格要求见</w:t>
      </w:r>
      <w:r>
        <w:rPr>
          <w:rFonts w:hint="eastAsia" w:ascii="宋体" w:hAnsi="宋体" w:eastAsia="宋体"/>
          <w:sz w:val="24"/>
        </w:rPr>
        <w:t>申请人的资格要求</w:t>
      </w:r>
      <w:r>
        <w:rPr>
          <w:rFonts w:ascii="宋体" w:hAnsi="宋体" w:eastAsia="宋体"/>
          <w:sz w:val="24"/>
        </w:rPr>
        <w:t>。</w:t>
      </w:r>
    </w:p>
    <w:p w14:paraId="4943E8A7">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w:t>
      </w:r>
      <w:r>
        <w:rPr>
          <w:rFonts w:asciiTheme="minorEastAsia" w:hAnsiTheme="minorEastAsia" w:eastAsiaTheme="minorEastAsia"/>
          <w:b/>
          <w:sz w:val="24"/>
        </w:rPr>
        <w:t>.</w:t>
      </w:r>
      <w:r>
        <w:rPr>
          <w:rFonts w:hint="eastAsia" w:asciiTheme="minorEastAsia" w:hAnsiTheme="minorEastAsia" w:eastAsiaTheme="minorEastAsia"/>
          <w:b/>
          <w:sz w:val="24"/>
        </w:rPr>
        <w:t>资金落实情况</w:t>
      </w:r>
    </w:p>
    <w:p w14:paraId="4E79E1F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.1本项目的采购人已获得足以支付本次磋商后所签订的合同项下的资金。</w:t>
      </w:r>
    </w:p>
    <w:p w14:paraId="7F643701">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3</w:t>
      </w:r>
      <w:r>
        <w:rPr>
          <w:rFonts w:asciiTheme="minorEastAsia" w:hAnsiTheme="minorEastAsia" w:eastAsiaTheme="minorEastAsia"/>
          <w:b/>
          <w:sz w:val="24"/>
        </w:rPr>
        <w:t>.</w:t>
      </w:r>
      <w:r>
        <w:rPr>
          <w:rFonts w:hint="eastAsia" w:asciiTheme="minorEastAsia" w:hAnsiTheme="minorEastAsia" w:eastAsiaTheme="minorEastAsia"/>
          <w:b/>
          <w:sz w:val="24"/>
        </w:rPr>
        <w:t>磋商费用</w:t>
      </w:r>
    </w:p>
    <w:p w14:paraId="2EE1F161">
      <w:pPr>
        <w:spacing w:line="360" w:lineRule="auto"/>
        <w:ind w:firstLine="480" w:firstLineChars="200"/>
        <w:outlineLvl w:val="2"/>
        <w:rPr>
          <w:rFonts w:ascii="宋体" w:hAnsi="宋体" w:eastAsia="宋体"/>
          <w:sz w:val="24"/>
        </w:rPr>
      </w:pPr>
      <w:r>
        <w:rPr>
          <w:rFonts w:hint="eastAsia" w:ascii="宋体" w:hAnsi="宋体" w:eastAsia="宋体"/>
          <w:sz w:val="24"/>
        </w:rPr>
        <w:t>不论磋商的结果如何，供应商应承担其所有与准备和参加磋商有关的费用</w:t>
      </w:r>
    </w:p>
    <w:p w14:paraId="3CCA94BA">
      <w:pPr>
        <w:spacing w:line="360" w:lineRule="auto"/>
        <w:ind w:firstLine="482" w:firstLineChars="200"/>
        <w:outlineLvl w:val="2"/>
        <w:rPr>
          <w:rFonts w:asciiTheme="minorEastAsia" w:hAnsiTheme="minorEastAsia" w:eastAsiaTheme="minorEastAsia"/>
          <w:b/>
          <w:sz w:val="24"/>
        </w:rPr>
      </w:pPr>
      <w:r>
        <w:rPr>
          <w:rFonts w:hint="eastAsia" w:asciiTheme="minorEastAsia" w:hAnsiTheme="minorEastAsia" w:eastAsiaTheme="minorEastAsia"/>
          <w:b/>
          <w:sz w:val="24"/>
        </w:rPr>
        <w:t>4.适用法律</w:t>
      </w:r>
    </w:p>
    <w:p w14:paraId="5E0416AE">
      <w:pPr>
        <w:spacing w:line="360" w:lineRule="auto"/>
        <w:ind w:firstLine="480" w:firstLineChars="200"/>
        <w:outlineLvl w:val="2"/>
        <w:rPr>
          <w:rFonts w:ascii="宋体" w:hAnsi="宋体" w:eastAsia="宋体"/>
          <w:sz w:val="24"/>
        </w:rPr>
      </w:pPr>
      <w:r>
        <w:rPr>
          <w:rFonts w:hint="eastAsia" w:ascii="宋体" w:hAnsi="宋体" w:eastAsia="宋体"/>
          <w:sz w:val="24"/>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3C632845">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5</w:t>
      </w:r>
      <w:r>
        <w:rPr>
          <w:rFonts w:asciiTheme="minorEastAsia" w:hAnsiTheme="minorEastAsia" w:eastAsiaTheme="minorEastAsia"/>
          <w:b/>
          <w:sz w:val="24"/>
        </w:rPr>
        <w:t>.</w:t>
      </w:r>
      <w:r>
        <w:rPr>
          <w:rFonts w:hint="eastAsia" w:asciiTheme="minorEastAsia" w:hAnsiTheme="minorEastAsia" w:eastAsiaTheme="minorEastAsia"/>
          <w:b/>
          <w:sz w:val="24"/>
        </w:rPr>
        <w:t>磋商文件构成</w:t>
      </w:r>
    </w:p>
    <w:p w14:paraId="4F5A9FAD">
      <w:pPr>
        <w:spacing w:line="360" w:lineRule="auto"/>
        <w:ind w:firstLine="435"/>
        <w:rPr>
          <w:rFonts w:ascii="宋体" w:hAnsi="宋体" w:eastAsia="宋体"/>
          <w:sz w:val="24"/>
        </w:rPr>
      </w:pPr>
      <w:r>
        <w:rPr>
          <w:rFonts w:hint="eastAsia" w:ascii="宋体" w:hAnsi="宋体" w:eastAsia="宋体"/>
          <w:sz w:val="24"/>
        </w:rPr>
        <w:t>5.1磋商文件包括下列内容：</w:t>
      </w:r>
    </w:p>
    <w:p w14:paraId="3B3B2EA0">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第一章磋商邀请</w:t>
      </w:r>
    </w:p>
    <w:p w14:paraId="6BA8025B">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第二章供应商</w:t>
      </w:r>
      <w:r>
        <w:rPr>
          <w:rFonts w:asciiTheme="minorEastAsia" w:hAnsiTheme="minorEastAsia" w:eastAsiaTheme="minorEastAsia"/>
          <w:sz w:val="24"/>
        </w:rPr>
        <w:t>须知</w:t>
      </w:r>
    </w:p>
    <w:p w14:paraId="441159A9">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14:paraId="12682244">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第四章评审方法</w:t>
      </w:r>
      <w:r>
        <w:rPr>
          <w:rFonts w:asciiTheme="minorEastAsia" w:hAnsiTheme="minorEastAsia" w:eastAsiaTheme="minorEastAsia"/>
          <w:sz w:val="24"/>
        </w:rPr>
        <w:t>和标准</w:t>
      </w:r>
    </w:p>
    <w:p w14:paraId="0412CC32">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政府采购合同</w:t>
      </w:r>
    </w:p>
    <w:p w14:paraId="3E2E0CD7">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第六章响应</w:t>
      </w:r>
      <w:r>
        <w:rPr>
          <w:rFonts w:asciiTheme="minorEastAsia" w:hAnsiTheme="minorEastAsia" w:eastAsiaTheme="minorEastAsia"/>
          <w:sz w:val="24"/>
        </w:rPr>
        <w:t>文件格式</w:t>
      </w:r>
    </w:p>
    <w:p w14:paraId="1571AF3F">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第七章</w:t>
      </w:r>
      <w:r>
        <w:rPr>
          <w:rFonts w:asciiTheme="minorEastAsia" w:hAnsiTheme="minorEastAsia" w:eastAsiaTheme="minorEastAsia"/>
          <w:sz w:val="24"/>
        </w:rPr>
        <w:t xml:space="preserve">  政府采购供应商</w:t>
      </w:r>
      <w:r>
        <w:rPr>
          <w:rFonts w:hint="eastAsia" w:asciiTheme="minorEastAsia" w:hAnsiTheme="minorEastAsia" w:eastAsiaTheme="minorEastAsia"/>
          <w:sz w:val="24"/>
        </w:rPr>
        <w:t>询问函和</w:t>
      </w:r>
      <w:r>
        <w:rPr>
          <w:rFonts w:asciiTheme="minorEastAsia" w:hAnsiTheme="minorEastAsia" w:eastAsiaTheme="minorEastAsia"/>
          <w:sz w:val="24"/>
        </w:rPr>
        <w:t>质疑函范本</w:t>
      </w:r>
    </w:p>
    <w:p w14:paraId="51EC09C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现场</w:t>
      </w:r>
      <w:r>
        <w:rPr>
          <w:rFonts w:hint="eastAsia" w:asciiTheme="minorEastAsia" w:hAnsiTheme="minorEastAsia" w:eastAsiaTheme="minorEastAsia"/>
          <w:sz w:val="24"/>
        </w:rPr>
        <w:t>考察</w:t>
      </w:r>
      <w:r>
        <w:rPr>
          <w:rFonts w:asciiTheme="minorEastAsia" w:hAnsiTheme="minorEastAsia" w:eastAsiaTheme="minorEastAsia"/>
          <w:sz w:val="24"/>
        </w:rPr>
        <w:t>及相关事项见</w:t>
      </w:r>
      <w:r>
        <w:rPr>
          <w:rFonts w:asciiTheme="minorEastAsia" w:hAnsiTheme="minorEastAsia" w:eastAsiaTheme="minorEastAsia"/>
          <w:sz w:val="24"/>
          <w:u w:val="single"/>
        </w:rPr>
        <w:t>供应商须知前附表</w:t>
      </w:r>
      <w:r>
        <w:rPr>
          <w:rFonts w:asciiTheme="minorEastAsia" w:hAnsiTheme="minorEastAsia" w:eastAsiaTheme="minorEastAsia"/>
          <w:sz w:val="24"/>
        </w:rPr>
        <w:t>。</w:t>
      </w:r>
    </w:p>
    <w:p w14:paraId="52C0324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3供应商</w:t>
      </w:r>
      <w:r>
        <w:rPr>
          <w:rFonts w:asciiTheme="minorEastAsia" w:hAnsiTheme="minorEastAsia" w:eastAsiaTheme="minorEastAsia"/>
          <w:sz w:val="24"/>
        </w:rPr>
        <w:t>应认真阅读</w:t>
      </w:r>
      <w:r>
        <w:rPr>
          <w:rFonts w:hint="eastAsia" w:asciiTheme="minorEastAsia" w:hAnsiTheme="minorEastAsia" w:eastAsiaTheme="minorEastAsia"/>
          <w:sz w:val="24"/>
        </w:rPr>
        <w:t>磋商</w:t>
      </w:r>
      <w:r>
        <w:rPr>
          <w:rFonts w:asciiTheme="minorEastAsia" w:hAnsiTheme="minorEastAsia" w:eastAsiaTheme="minorEastAsia"/>
          <w:sz w:val="24"/>
        </w:rPr>
        <w:t>文件所有的事项、格式、条款和技术规范等。</w:t>
      </w:r>
    </w:p>
    <w:p w14:paraId="10B599B2">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6</w:t>
      </w:r>
      <w:r>
        <w:rPr>
          <w:rFonts w:asciiTheme="minorEastAsia" w:hAnsiTheme="minorEastAsia" w:eastAsiaTheme="minorEastAsia"/>
          <w:b/>
          <w:sz w:val="24"/>
        </w:rPr>
        <w:t>.</w:t>
      </w:r>
      <w:r>
        <w:rPr>
          <w:rFonts w:hint="eastAsia" w:asciiTheme="minorEastAsia" w:hAnsiTheme="minorEastAsia" w:eastAsiaTheme="minorEastAsia"/>
          <w:b/>
          <w:sz w:val="24"/>
        </w:rPr>
        <w:t>磋商文件的澄清与修改</w:t>
      </w:r>
    </w:p>
    <w:p w14:paraId="3553015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1供应商</w:t>
      </w:r>
      <w:r>
        <w:rPr>
          <w:rFonts w:asciiTheme="minorEastAsia" w:hAnsiTheme="minorEastAsia" w:eastAsiaTheme="minorEastAsia"/>
          <w:sz w:val="24"/>
        </w:rPr>
        <w:t>如对</w:t>
      </w:r>
      <w:r>
        <w:rPr>
          <w:rFonts w:hint="eastAsia" w:asciiTheme="minorEastAsia" w:hAnsiTheme="minorEastAsia" w:eastAsiaTheme="minorEastAsia"/>
          <w:sz w:val="24"/>
        </w:rPr>
        <w:t>磋商</w:t>
      </w:r>
      <w:r>
        <w:rPr>
          <w:rFonts w:asciiTheme="minorEastAsia" w:hAnsiTheme="minorEastAsia" w:eastAsiaTheme="minorEastAsia"/>
          <w:sz w:val="24"/>
        </w:rPr>
        <w:t>文件内容有疑问，必须在</w:t>
      </w:r>
      <w:r>
        <w:rPr>
          <w:rFonts w:ascii="宋体" w:hAnsi="宋体" w:eastAsia="宋体"/>
          <w:sz w:val="24"/>
          <w:u w:val="single"/>
        </w:rPr>
        <w:t>供应商须知前附表</w:t>
      </w:r>
      <w:r>
        <w:rPr>
          <w:rFonts w:asciiTheme="minorEastAsia" w:hAnsiTheme="minorEastAsia" w:eastAsiaTheme="minorEastAsia"/>
          <w:sz w:val="24"/>
        </w:rPr>
        <w:t>规定的</w:t>
      </w:r>
      <w:r>
        <w:rPr>
          <w:rFonts w:hint="eastAsia" w:asciiTheme="minorEastAsia" w:hAnsiTheme="minorEastAsia" w:eastAsiaTheme="minorEastAsia"/>
          <w:sz w:val="24"/>
        </w:rPr>
        <w:t>网上询问</w:t>
      </w:r>
      <w:r>
        <w:rPr>
          <w:rFonts w:asciiTheme="minorEastAsia" w:hAnsiTheme="minorEastAsia" w:eastAsiaTheme="minorEastAsia"/>
          <w:sz w:val="24"/>
        </w:rPr>
        <w:t>截止时间前以网上提问形式</w:t>
      </w:r>
      <w:r>
        <w:rPr>
          <w:rFonts w:hint="eastAsia" w:asciiTheme="minorEastAsia" w:hAnsiTheme="minorEastAsia" w:eastAsiaTheme="minorEastAsia"/>
          <w:sz w:val="24"/>
        </w:rPr>
        <w:t>（电子交易系统）</w:t>
      </w:r>
      <w:r>
        <w:rPr>
          <w:rFonts w:asciiTheme="minorEastAsia" w:hAnsiTheme="minorEastAsia" w:eastAsiaTheme="minorEastAsia"/>
          <w:sz w:val="24"/>
        </w:rPr>
        <w:t>提交给采购代理机构。</w:t>
      </w:r>
    </w:p>
    <w:p w14:paraId="1C86B4F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2采购人可主动地或在答复供应商提出的询问时对磋商文件进行澄清与修改。</w:t>
      </w:r>
      <w:r>
        <w:rPr>
          <w:rFonts w:asciiTheme="minorEastAsia" w:hAnsiTheme="minorEastAsia" w:eastAsiaTheme="minorEastAsia"/>
          <w:sz w:val="24"/>
        </w:rPr>
        <w:t>采购代理机构将</w:t>
      </w:r>
      <w:r>
        <w:rPr>
          <w:rFonts w:hint="eastAsia" w:asciiTheme="minorEastAsia" w:hAnsiTheme="minorEastAsia" w:eastAsiaTheme="minorEastAsia"/>
          <w:sz w:val="24"/>
        </w:rPr>
        <w:t>在</w:t>
      </w:r>
      <w:bookmarkStart w:id="55" w:name="_Hlk16458572"/>
      <w:r>
        <w:rPr>
          <w:rFonts w:hint="eastAsia" w:ascii="宋体" w:hAnsi="宋体" w:eastAsia="宋体"/>
          <w:sz w:val="24"/>
          <w:szCs w:val="18"/>
        </w:rPr>
        <w:t>安徽省政府采购网及</w:t>
      </w:r>
      <w:bookmarkEnd w:id="55"/>
      <w:r>
        <w:rPr>
          <w:rFonts w:hint="eastAsia" w:asciiTheme="minorEastAsia" w:hAnsiTheme="minorEastAsia" w:eastAsiaTheme="minorEastAsia"/>
          <w:sz w:val="24"/>
        </w:rPr>
        <w:t>以发布更正公告的方式澄清或者修改磋商文件，更正公告的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w:t>
      </w:r>
      <w:r>
        <w:rPr>
          <w:rFonts w:hint="eastAsia" w:asciiTheme="minorEastAsia" w:hAnsiTheme="minorEastAsia" w:eastAsiaTheme="minorEastAsia"/>
          <w:sz w:val="24"/>
        </w:rPr>
        <w:t>磋商</w:t>
      </w:r>
      <w:r>
        <w:rPr>
          <w:rFonts w:asciiTheme="minorEastAsia" w:hAnsiTheme="minorEastAsia" w:eastAsiaTheme="minorEastAsia"/>
          <w:sz w:val="24"/>
        </w:rPr>
        <w:t>文件</w:t>
      </w:r>
      <w:r>
        <w:rPr>
          <w:rFonts w:hint="eastAsia" w:asciiTheme="minorEastAsia" w:hAnsiTheme="minorEastAsia" w:eastAsiaTheme="minorEastAsia"/>
          <w:sz w:val="24"/>
        </w:rPr>
        <w:t>的</w:t>
      </w:r>
      <w:r>
        <w:rPr>
          <w:rFonts w:asciiTheme="minorEastAsia" w:hAnsiTheme="minorEastAsia" w:eastAsiaTheme="minorEastAsia"/>
          <w:sz w:val="24"/>
        </w:rPr>
        <w:t>组成部分，对</w:t>
      </w:r>
      <w:r>
        <w:rPr>
          <w:rFonts w:hint="eastAsia" w:asciiTheme="minorEastAsia" w:hAnsiTheme="minorEastAsia" w:eastAsiaTheme="minorEastAsia"/>
          <w:sz w:val="24"/>
        </w:rPr>
        <w:t>供应商</w:t>
      </w:r>
      <w:r>
        <w:rPr>
          <w:rFonts w:asciiTheme="minorEastAsia" w:hAnsiTheme="minorEastAsia" w:eastAsiaTheme="minorEastAsia"/>
          <w:sz w:val="24"/>
        </w:rPr>
        <w:t>起约束作用</w:t>
      </w:r>
      <w:r>
        <w:rPr>
          <w:rFonts w:hint="eastAsia" w:asciiTheme="minorEastAsia" w:hAnsiTheme="minorEastAsia" w:eastAsiaTheme="minorEastAsia"/>
          <w:sz w:val="24"/>
        </w:rPr>
        <w:t>。供应商应主动上网查询。采购代理机构不承担供应商未及时关注相关信息引发的相关责任。</w:t>
      </w:r>
    </w:p>
    <w:p w14:paraId="6BA49D53">
      <w:pPr>
        <w:spacing w:line="360" w:lineRule="auto"/>
        <w:ind w:firstLine="435"/>
        <w:rPr>
          <w:rFonts w:ascii="宋体" w:hAnsi="宋体" w:eastAsia="宋体"/>
          <w:sz w:val="24"/>
        </w:rPr>
      </w:pPr>
      <w:r>
        <w:rPr>
          <w:rFonts w:hint="eastAsia" w:ascii="宋体" w:hAnsi="宋体" w:eastAsia="宋体"/>
          <w:sz w:val="24"/>
        </w:rPr>
        <w:t>6.3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04696A02">
      <w:pPr>
        <w:spacing w:line="360" w:lineRule="auto"/>
        <w:ind w:firstLine="435"/>
        <w:rPr>
          <w:rFonts w:asciiTheme="minorEastAsia" w:hAnsiTheme="minorEastAsia" w:eastAsiaTheme="minorEastAsia"/>
          <w:iCs/>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询问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w:t>
      </w:r>
      <w:r>
        <w:rPr>
          <w:rFonts w:hint="eastAsia" w:asciiTheme="minorEastAsia" w:hAnsiTheme="minorEastAsia" w:eastAsiaTheme="minorEastAsia"/>
          <w:sz w:val="24"/>
        </w:rPr>
        <w:t>磋商</w:t>
      </w:r>
      <w:r>
        <w:rPr>
          <w:rFonts w:asciiTheme="minorEastAsia" w:hAnsiTheme="minorEastAsia" w:eastAsiaTheme="minorEastAsia"/>
          <w:sz w:val="24"/>
        </w:rPr>
        <w:t>的</w:t>
      </w:r>
      <w:r>
        <w:rPr>
          <w:rFonts w:hint="eastAsia" w:asciiTheme="minorEastAsia" w:hAnsiTheme="minorEastAsia" w:eastAsiaTheme="minorEastAsia"/>
          <w:sz w:val="24"/>
        </w:rPr>
        <w:t>供应商</w:t>
      </w:r>
      <w:r>
        <w:rPr>
          <w:rFonts w:asciiTheme="minorEastAsia" w:hAnsiTheme="minorEastAsia" w:eastAsiaTheme="minorEastAsia"/>
          <w:sz w:val="24"/>
        </w:rPr>
        <w:t>将被视为完全认同</w:t>
      </w:r>
      <w:r>
        <w:rPr>
          <w:rFonts w:hint="eastAsia" w:asciiTheme="minorEastAsia" w:hAnsiTheme="minorEastAsia" w:eastAsiaTheme="minorEastAsia"/>
          <w:sz w:val="24"/>
        </w:rPr>
        <w:t>本磋商</w:t>
      </w:r>
      <w:r>
        <w:rPr>
          <w:rFonts w:asciiTheme="minorEastAsia" w:hAnsiTheme="minorEastAsia" w:eastAsiaTheme="minorEastAsia"/>
          <w:sz w:val="24"/>
        </w:rPr>
        <w:t>文件（含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sz w:val="24"/>
        </w:rPr>
        <w:t>。</w:t>
      </w:r>
    </w:p>
    <w:p w14:paraId="6AB93D48">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7</w:t>
      </w:r>
      <w:r>
        <w:rPr>
          <w:rFonts w:asciiTheme="minorEastAsia" w:hAnsiTheme="minorEastAsia" w:eastAsiaTheme="minorEastAsia"/>
          <w:b/>
          <w:sz w:val="24"/>
        </w:rPr>
        <w:t>.</w:t>
      </w:r>
      <w:r>
        <w:rPr>
          <w:rFonts w:hint="eastAsia" w:asciiTheme="minorEastAsia" w:hAnsiTheme="minorEastAsia" w:eastAsiaTheme="minorEastAsia"/>
          <w:b/>
          <w:sz w:val="24"/>
        </w:rPr>
        <w:t>磋商范围及响应文件中标准和计量单位的使用</w:t>
      </w:r>
    </w:p>
    <w:p w14:paraId="22B0FA9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.1项目有分包的，供应商可</w:t>
      </w:r>
      <w:r>
        <w:rPr>
          <w:rFonts w:hint="eastAsia" w:asciiTheme="minorEastAsia" w:hAnsiTheme="minorEastAsia" w:eastAsiaTheme="minorEastAsia"/>
          <w:sz w:val="24"/>
        </w:rPr>
        <w:t>参与</w:t>
      </w:r>
      <w:r>
        <w:rPr>
          <w:rFonts w:asciiTheme="minorEastAsia" w:hAnsiTheme="minorEastAsia" w:eastAsiaTheme="minorEastAsia"/>
          <w:sz w:val="24"/>
        </w:rPr>
        <w:t>其中某一个或</w:t>
      </w:r>
      <w:r>
        <w:rPr>
          <w:rFonts w:hint="eastAsia" w:asciiTheme="minorEastAsia" w:hAnsiTheme="minorEastAsia" w:eastAsiaTheme="minorEastAsia"/>
          <w:sz w:val="24"/>
        </w:rPr>
        <w:t>多</w:t>
      </w:r>
      <w:r>
        <w:rPr>
          <w:rFonts w:asciiTheme="minorEastAsia" w:hAnsiTheme="minorEastAsia" w:eastAsiaTheme="minorEastAsia"/>
          <w:sz w:val="24"/>
        </w:rPr>
        <w:t>个分包</w:t>
      </w:r>
      <w:r>
        <w:rPr>
          <w:rFonts w:hint="eastAsia" w:asciiTheme="minorEastAsia" w:hAnsiTheme="minorEastAsia" w:eastAsiaTheme="minorEastAsia"/>
          <w:sz w:val="24"/>
        </w:rPr>
        <w:t>的磋商</w:t>
      </w:r>
      <w:r>
        <w:rPr>
          <w:rFonts w:asciiTheme="minorEastAsia" w:hAnsiTheme="minorEastAsia" w:eastAsiaTheme="minorEastAsia"/>
          <w:sz w:val="24"/>
        </w:rPr>
        <w:t>，</w:t>
      </w:r>
      <w:r>
        <w:rPr>
          <w:rFonts w:hint="eastAsia" w:asciiTheme="minorEastAsia" w:hAnsiTheme="minorEastAsia" w:eastAsiaTheme="minorEastAsia"/>
          <w:sz w:val="24"/>
        </w:rPr>
        <w:t>成交包数详见</w:t>
      </w:r>
      <w:r>
        <w:rPr>
          <w:rFonts w:asciiTheme="minorEastAsia" w:hAnsiTheme="minorEastAsia" w:eastAsiaTheme="minorEastAsia"/>
          <w:sz w:val="24"/>
          <w:u w:val="single"/>
        </w:rPr>
        <w:t>供应商须知前附表</w:t>
      </w:r>
      <w:r>
        <w:rPr>
          <w:rFonts w:asciiTheme="minorEastAsia" w:hAnsiTheme="minorEastAsia" w:eastAsiaTheme="minorEastAsia"/>
          <w:sz w:val="24"/>
        </w:rPr>
        <w:t>中规定。</w:t>
      </w:r>
    </w:p>
    <w:p w14:paraId="57DA0ACE">
      <w:pPr>
        <w:spacing w:line="360" w:lineRule="auto"/>
        <w:ind w:firstLine="435"/>
        <w:rPr>
          <w:rFonts w:eastAsiaTheme="minorEastAsia"/>
        </w:rPr>
      </w:pPr>
      <w:r>
        <w:rPr>
          <w:rFonts w:hint="eastAsia" w:asciiTheme="minorEastAsia" w:hAnsiTheme="minorEastAsia" w:eastAsiaTheme="minorEastAsia"/>
          <w:sz w:val="24"/>
        </w:rPr>
        <w:t>7.2 供应商</w:t>
      </w:r>
      <w:r>
        <w:rPr>
          <w:rFonts w:asciiTheme="minorEastAsia" w:hAnsiTheme="minorEastAsia" w:eastAsiaTheme="minorEastAsia"/>
          <w:sz w:val="24"/>
        </w:rPr>
        <w:t>应当对所投分包</w:t>
      </w:r>
      <w:r>
        <w:rPr>
          <w:rFonts w:hint="eastAsia" w:asciiTheme="minorEastAsia" w:hAnsiTheme="minorEastAsia" w:eastAsiaTheme="minorEastAsia"/>
          <w:sz w:val="24"/>
        </w:rPr>
        <w:t>磋商</w:t>
      </w:r>
      <w:r>
        <w:rPr>
          <w:rFonts w:asciiTheme="minorEastAsia" w:hAnsiTheme="minorEastAsia" w:eastAsiaTheme="minorEastAsia"/>
          <w:sz w:val="24"/>
        </w:rPr>
        <w:t>文件中“</w:t>
      </w:r>
      <w:r>
        <w:rPr>
          <w:rFonts w:hint="eastAsia" w:asciiTheme="minorEastAsia" w:hAnsiTheme="minorEastAsia" w:eastAsiaTheme="minorEastAsia"/>
          <w:sz w:val="24"/>
        </w:rPr>
        <w:t>采购</w:t>
      </w:r>
      <w:r>
        <w:rPr>
          <w:rFonts w:asciiTheme="minorEastAsia" w:hAnsiTheme="minorEastAsia" w:eastAsiaTheme="minorEastAsia"/>
          <w:sz w:val="24"/>
        </w:rPr>
        <w:t>需求”所列的所有内容进行</w:t>
      </w:r>
      <w:r>
        <w:rPr>
          <w:rFonts w:hint="eastAsia" w:asciiTheme="minorEastAsia" w:hAnsiTheme="minorEastAsia" w:eastAsiaTheme="minorEastAsia"/>
          <w:sz w:val="24"/>
        </w:rPr>
        <w:t>响应</w:t>
      </w:r>
      <w:r>
        <w:rPr>
          <w:rFonts w:asciiTheme="minorEastAsia" w:hAnsiTheme="minorEastAsia" w:eastAsiaTheme="minorEastAsia"/>
          <w:sz w:val="24"/>
        </w:rPr>
        <w:t>，如仅响应</w:t>
      </w:r>
      <w:r>
        <w:rPr>
          <w:rFonts w:hint="eastAsia" w:asciiTheme="minorEastAsia" w:hAnsiTheme="minorEastAsia" w:eastAsiaTheme="minorEastAsia"/>
          <w:sz w:val="24"/>
        </w:rPr>
        <w:t>所投包别</w:t>
      </w:r>
      <w:r>
        <w:rPr>
          <w:rFonts w:asciiTheme="minorEastAsia" w:hAnsiTheme="minorEastAsia" w:eastAsiaTheme="minorEastAsia"/>
          <w:sz w:val="24"/>
        </w:rPr>
        <w:t>中的部分内容，其</w:t>
      </w:r>
      <w:r>
        <w:rPr>
          <w:rFonts w:hint="eastAsia" w:asciiTheme="minorEastAsia" w:hAnsiTheme="minorEastAsia" w:eastAsiaTheme="minorEastAsia"/>
          <w:sz w:val="24"/>
        </w:rPr>
        <w:t>所投包别的响应</w:t>
      </w:r>
      <w:r>
        <w:rPr>
          <w:rFonts w:asciiTheme="minorEastAsia" w:hAnsiTheme="minorEastAsia" w:eastAsiaTheme="minorEastAsia"/>
          <w:sz w:val="24"/>
        </w:rPr>
        <w:t>将被认定为</w:t>
      </w:r>
      <w:r>
        <w:rPr>
          <w:rFonts w:hint="eastAsia" w:asciiTheme="minorEastAsia" w:hAnsiTheme="minorEastAsia" w:eastAsiaTheme="minorEastAsia"/>
          <w:b/>
          <w:sz w:val="24"/>
        </w:rPr>
        <w:t>响应</w:t>
      </w:r>
      <w:r>
        <w:rPr>
          <w:rFonts w:asciiTheme="minorEastAsia" w:hAnsiTheme="minorEastAsia" w:eastAsiaTheme="minorEastAsia"/>
          <w:b/>
          <w:sz w:val="24"/>
        </w:rPr>
        <w:t>无效</w:t>
      </w:r>
      <w:r>
        <w:rPr>
          <w:rFonts w:asciiTheme="minorEastAsia" w:hAnsiTheme="minorEastAsia" w:eastAsiaTheme="minorEastAsia"/>
          <w:sz w:val="24"/>
        </w:rPr>
        <w:t>。</w:t>
      </w:r>
    </w:p>
    <w:p w14:paraId="6F26387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3</w:t>
      </w:r>
      <w:r>
        <w:rPr>
          <w:rFonts w:asciiTheme="minorEastAsia" w:hAnsiTheme="minorEastAsia" w:eastAsiaTheme="minorEastAsia"/>
          <w:sz w:val="24"/>
        </w:rPr>
        <w:t>无论磋商文件中是否要求，供应商所投货物及伴随的服务和工程均应符合国家强制性标准。</w:t>
      </w:r>
    </w:p>
    <w:p w14:paraId="2001A77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14:paraId="3F8DDCE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除磋商文件中有特殊要求外，响应文件中所使用的计量单位，应采用中华人民共和国法定计量单位。</w:t>
      </w:r>
    </w:p>
    <w:p w14:paraId="0A600DC3">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响应文件构成</w:t>
      </w:r>
    </w:p>
    <w:p w14:paraId="36FFBA8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.1</w:t>
      </w:r>
      <w:r>
        <w:rPr>
          <w:rFonts w:hint="eastAsia" w:ascii="宋体" w:hAnsi="宋体" w:eastAsia="宋体"/>
          <w:sz w:val="24"/>
        </w:rPr>
        <w:t>供应商</w:t>
      </w:r>
      <w:r>
        <w:rPr>
          <w:rFonts w:asciiTheme="minorEastAsia" w:hAnsiTheme="minorEastAsia" w:eastAsiaTheme="minorEastAsia"/>
          <w:sz w:val="24"/>
        </w:rPr>
        <w:t>应完整地按</w:t>
      </w:r>
      <w:r>
        <w:rPr>
          <w:rFonts w:hint="eastAsia" w:asciiTheme="minorEastAsia" w:hAnsiTheme="minorEastAsia" w:eastAsiaTheme="minorEastAsia"/>
          <w:sz w:val="24"/>
        </w:rPr>
        <w:t>磋商</w:t>
      </w:r>
      <w:r>
        <w:rPr>
          <w:rFonts w:asciiTheme="minorEastAsia" w:hAnsiTheme="minorEastAsia" w:eastAsiaTheme="minorEastAsia"/>
          <w:sz w:val="24"/>
        </w:rPr>
        <w:t>文件提供的</w:t>
      </w:r>
      <w:r>
        <w:rPr>
          <w:rFonts w:hint="eastAsia" w:asciiTheme="minorEastAsia" w:hAnsiTheme="minorEastAsia" w:eastAsiaTheme="minorEastAsia"/>
          <w:sz w:val="24"/>
        </w:rPr>
        <w:t>响应</w:t>
      </w:r>
      <w:r>
        <w:rPr>
          <w:rFonts w:asciiTheme="minorEastAsia" w:hAnsiTheme="minorEastAsia" w:eastAsiaTheme="minorEastAsia"/>
          <w:sz w:val="24"/>
        </w:rPr>
        <w:t>文件格式及要求</w:t>
      </w:r>
      <w:r>
        <w:rPr>
          <w:rFonts w:hint="eastAsia" w:asciiTheme="minorEastAsia" w:hAnsiTheme="minorEastAsia" w:eastAsiaTheme="minorEastAsia"/>
          <w:sz w:val="24"/>
        </w:rPr>
        <w:t>编</w:t>
      </w:r>
      <w:r>
        <w:rPr>
          <w:rFonts w:asciiTheme="minorEastAsia" w:hAnsiTheme="minorEastAsia" w:eastAsiaTheme="minorEastAsia"/>
          <w:sz w:val="24"/>
        </w:rPr>
        <w:t>写</w:t>
      </w:r>
      <w:r>
        <w:rPr>
          <w:rFonts w:hint="eastAsia" w:asciiTheme="minorEastAsia" w:hAnsiTheme="minorEastAsia" w:eastAsiaTheme="minorEastAsia"/>
          <w:sz w:val="24"/>
        </w:rPr>
        <w:t>响应</w:t>
      </w:r>
      <w:r>
        <w:rPr>
          <w:rFonts w:asciiTheme="minorEastAsia" w:hAnsiTheme="minorEastAsia" w:eastAsiaTheme="minorEastAsia"/>
          <w:sz w:val="24"/>
        </w:rPr>
        <w:t>文件，</w:t>
      </w:r>
      <w:r>
        <w:rPr>
          <w:rFonts w:hint="eastAsia" w:asciiTheme="minorEastAsia" w:hAnsiTheme="minorEastAsia" w:eastAsiaTheme="minorEastAsia"/>
          <w:sz w:val="24"/>
        </w:rPr>
        <w:t>具体内容详见本项目响应文件格式的相关内容。</w:t>
      </w:r>
    </w:p>
    <w:p w14:paraId="0D27203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8.2</w:t>
      </w:r>
      <w:r>
        <w:rPr>
          <w:rFonts w:hint="eastAsia" w:ascii="宋体" w:hAnsi="宋体" w:eastAsia="宋体"/>
          <w:sz w:val="24"/>
        </w:rPr>
        <w:t>供应商</w:t>
      </w:r>
      <w:r>
        <w:rPr>
          <w:rFonts w:asciiTheme="minorEastAsia" w:hAnsiTheme="minorEastAsia" w:eastAsiaTheme="minorEastAsia"/>
          <w:sz w:val="24"/>
        </w:rPr>
        <w:t>应提交</w:t>
      </w:r>
      <w:r>
        <w:rPr>
          <w:rFonts w:hint="eastAsia" w:asciiTheme="minorEastAsia" w:hAnsiTheme="minorEastAsia" w:eastAsiaTheme="minorEastAsia"/>
          <w:sz w:val="24"/>
        </w:rPr>
        <w:t>磋商文件要求的</w:t>
      </w:r>
      <w:r>
        <w:rPr>
          <w:rFonts w:asciiTheme="minorEastAsia" w:hAnsiTheme="minorEastAsia" w:eastAsiaTheme="minorEastAsia"/>
          <w:sz w:val="24"/>
        </w:rPr>
        <w:t>证明文件，证明其</w:t>
      </w:r>
      <w:r>
        <w:rPr>
          <w:rFonts w:hint="eastAsia" w:asciiTheme="minorEastAsia" w:hAnsiTheme="minorEastAsia" w:eastAsiaTheme="minorEastAsia"/>
          <w:sz w:val="24"/>
        </w:rPr>
        <w:t>响应</w:t>
      </w:r>
      <w:r>
        <w:rPr>
          <w:rFonts w:asciiTheme="minorEastAsia" w:hAnsiTheme="minorEastAsia" w:eastAsiaTheme="minorEastAsia"/>
          <w:sz w:val="24"/>
        </w:rPr>
        <w:t>内容符合</w:t>
      </w:r>
      <w:r>
        <w:rPr>
          <w:rFonts w:hint="eastAsia" w:asciiTheme="minorEastAsia" w:hAnsiTheme="minorEastAsia" w:eastAsiaTheme="minorEastAsia"/>
          <w:sz w:val="24"/>
        </w:rPr>
        <w:t>磋商</w:t>
      </w:r>
      <w:r>
        <w:rPr>
          <w:rFonts w:asciiTheme="minorEastAsia" w:hAnsiTheme="minorEastAsia" w:eastAsiaTheme="minorEastAsia"/>
          <w:sz w:val="24"/>
        </w:rPr>
        <w:t>文件规定</w:t>
      </w:r>
      <w:r>
        <w:rPr>
          <w:rFonts w:hint="eastAsia" w:asciiTheme="minorEastAsia" w:hAnsiTheme="minorEastAsia" w:eastAsiaTheme="minorEastAsia"/>
          <w:sz w:val="24"/>
        </w:rPr>
        <w:t>，</w:t>
      </w:r>
      <w:r>
        <w:rPr>
          <w:rFonts w:asciiTheme="minorEastAsia" w:hAnsiTheme="minorEastAsia" w:eastAsiaTheme="minorEastAsia"/>
          <w:sz w:val="24"/>
        </w:rPr>
        <w:t>该证明文件是</w:t>
      </w:r>
      <w:r>
        <w:rPr>
          <w:rFonts w:hint="eastAsia" w:asciiTheme="minorEastAsia" w:hAnsiTheme="minorEastAsia" w:eastAsiaTheme="minorEastAsia"/>
          <w:sz w:val="24"/>
        </w:rPr>
        <w:t>响应</w:t>
      </w:r>
      <w:r>
        <w:rPr>
          <w:rFonts w:asciiTheme="minorEastAsia" w:hAnsiTheme="minorEastAsia" w:eastAsiaTheme="minorEastAsia"/>
          <w:sz w:val="24"/>
        </w:rPr>
        <w:t>文件的一部分</w:t>
      </w:r>
      <w:r>
        <w:rPr>
          <w:rFonts w:hint="eastAsia" w:asciiTheme="minorEastAsia" w:hAnsiTheme="minorEastAsia" w:eastAsiaTheme="minorEastAsia"/>
          <w:sz w:val="24"/>
        </w:rPr>
        <w:t>。</w:t>
      </w:r>
      <w:r>
        <w:rPr>
          <w:rFonts w:asciiTheme="minorEastAsia" w:hAnsiTheme="minorEastAsia" w:eastAsiaTheme="minorEastAsia"/>
          <w:sz w:val="24"/>
        </w:rPr>
        <w:t>证明文件</w:t>
      </w:r>
      <w:r>
        <w:rPr>
          <w:rFonts w:hint="eastAsia" w:asciiTheme="minorEastAsia" w:hAnsiTheme="minorEastAsia" w:eastAsiaTheme="minorEastAsia"/>
          <w:sz w:val="24"/>
        </w:rPr>
        <w:t>形式</w:t>
      </w:r>
      <w:r>
        <w:rPr>
          <w:rFonts w:asciiTheme="minorEastAsia" w:hAnsiTheme="minorEastAsia" w:eastAsiaTheme="minorEastAsia"/>
          <w:sz w:val="24"/>
        </w:rPr>
        <w:t>可以是文字资料、图纸和数据</w:t>
      </w:r>
      <w:r>
        <w:rPr>
          <w:rFonts w:hint="eastAsia" w:asciiTheme="minorEastAsia" w:hAnsiTheme="minorEastAsia" w:eastAsiaTheme="minorEastAsia"/>
          <w:sz w:val="24"/>
        </w:rPr>
        <w:t>等。</w:t>
      </w:r>
    </w:p>
    <w:p w14:paraId="687AF996">
      <w:pPr>
        <w:spacing w:line="360" w:lineRule="auto"/>
        <w:ind w:firstLine="435"/>
        <w:rPr>
          <w:rFonts w:asciiTheme="minorEastAsia" w:hAnsiTheme="minorEastAsia" w:eastAsiaTheme="minorEastAsia"/>
          <w:sz w:val="24"/>
          <w:highlight w:val="yellow"/>
        </w:rPr>
      </w:pPr>
      <w:r>
        <w:rPr>
          <w:rFonts w:hint="eastAsia" w:asciiTheme="minorEastAsia" w:hAnsiTheme="minorEastAsia" w:eastAsiaTheme="minorEastAsia"/>
          <w:sz w:val="24"/>
        </w:rPr>
        <w:t>8.3</w:t>
      </w:r>
      <w:r>
        <w:rPr>
          <w:rFonts w:asciiTheme="minorEastAsia" w:hAnsiTheme="minorEastAsia" w:eastAsiaTheme="minorEastAsia"/>
          <w:sz w:val="24"/>
        </w:rPr>
        <w:t>为保证</w:t>
      </w:r>
      <w:r>
        <w:rPr>
          <w:rFonts w:ascii="宋体" w:hAnsi="宋体" w:eastAsia="宋体"/>
          <w:sz w:val="24"/>
        </w:rPr>
        <w:t>公平</w:t>
      </w:r>
      <w:r>
        <w:rPr>
          <w:rFonts w:asciiTheme="minorEastAsia" w:hAnsiTheme="minorEastAsia" w:eastAsiaTheme="minorEastAsia"/>
          <w:sz w:val="24"/>
        </w:rPr>
        <w:t>公正，除非另有规定或说明，</w:t>
      </w:r>
      <w:r>
        <w:rPr>
          <w:rFonts w:hint="eastAsia" w:asciiTheme="minorEastAsia" w:hAnsiTheme="minorEastAsia" w:eastAsiaTheme="minorEastAsia"/>
          <w:sz w:val="24"/>
        </w:rPr>
        <w:t>供应商</w:t>
      </w:r>
      <w:r>
        <w:rPr>
          <w:rFonts w:asciiTheme="minorEastAsia" w:hAnsiTheme="minorEastAsia" w:eastAsiaTheme="minorEastAsia"/>
          <w:sz w:val="24"/>
        </w:rPr>
        <w:t>对同一项目</w:t>
      </w:r>
      <w:r>
        <w:rPr>
          <w:rFonts w:hint="eastAsia" w:asciiTheme="minorEastAsia" w:hAnsiTheme="minorEastAsia" w:eastAsiaTheme="minorEastAsia"/>
          <w:sz w:val="24"/>
        </w:rPr>
        <w:t>磋商</w:t>
      </w:r>
      <w:r>
        <w:rPr>
          <w:rFonts w:asciiTheme="minorEastAsia" w:hAnsiTheme="minorEastAsia" w:eastAsiaTheme="minorEastAsia"/>
          <w:sz w:val="24"/>
        </w:rPr>
        <w:t>时，不得同时提供</w:t>
      </w:r>
      <w:r>
        <w:rPr>
          <w:rFonts w:hint="eastAsia" w:asciiTheme="minorEastAsia" w:hAnsiTheme="minorEastAsia" w:eastAsiaTheme="minorEastAsia"/>
          <w:sz w:val="24"/>
        </w:rPr>
        <w:t>备选磋商</w:t>
      </w:r>
      <w:r>
        <w:rPr>
          <w:rFonts w:asciiTheme="minorEastAsia" w:hAnsiTheme="minorEastAsia" w:eastAsiaTheme="minorEastAsia"/>
          <w:sz w:val="24"/>
        </w:rPr>
        <w:t>方案。</w:t>
      </w:r>
    </w:p>
    <w:p w14:paraId="2F0FF231">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9</w:t>
      </w:r>
      <w:r>
        <w:rPr>
          <w:rFonts w:asciiTheme="minorEastAsia" w:hAnsiTheme="minorEastAsia" w:eastAsiaTheme="minorEastAsia"/>
          <w:b/>
          <w:sz w:val="24"/>
        </w:rPr>
        <w:t>.</w:t>
      </w:r>
      <w:r>
        <w:rPr>
          <w:rFonts w:hint="eastAsia" w:asciiTheme="minorEastAsia" w:hAnsiTheme="minorEastAsia" w:eastAsiaTheme="minorEastAsia"/>
          <w:b/>
          <w:sz w:val="24"/>
        </w:rPr>
        <w:t>报价</w:t>
      </w:r>
    </w:p>
    <w:p w14:paraId="35C75E0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.1</w:t>
      </w:r>
      <w:r>
        <w:rPr>
          <w:rFonts w:hint="eastAsia" w:asciiTheme="minorEastAsia" w:hAnsiTheme="minorEastAsia" w:eastAsiaTheme="minorEastAsia"/>
          <w:sz w:val="24"/>
        </w:rPr>
        <w:t>供应商</w:t>
      </w:r>
      <w:r>
        <w:rPr>
          <w:rFonts w:asciiTheme="minorEastAsia" w:hAnsiTheme="minorEastAsia" w:eastAsiaTheme="minorEastAsia"/>
          <w:sz w:val="24"/>
        </w:rPr>
        <w:t>的报价应当包括满足本次</w:t>
      </w:r>
      <w:r>
        <w:rPr>
          <w:rFonts w:hint="eastAsia" w:asciiTheme="minorEastAsia" w:hAnsiTheme="minorEastAsia" w:eastAsiaTheme="minorEastAsia"/>
          <w:sz w:val="24"/>
        </w:rPr>
        <w:t>磋商</w:t>
      </w:r>
      <w:r>
        <w:rPr>
          <w:rFonts w:asciiTheme="minorEastAsia" w:hAnsiTheme="minorEastAsia" w:eastAsiaTheme="minorEastAsia"/>
          <w:sz w:val="24"/>
        </w:rPr>
        <w:t>全部采购需求所应提供的</w:t>
      </w:r>
      <w:r>
        <w:rPr>
          <w:rFonts w:hint="eastAsia" w:asciiTheme="minorEastAsia" w:hAnsiTheme="minorEastAsia" w:eastAsiaTheme="minorEastAsia"/>
          <w:sz w:val="24"/>
        </w:rPr>
        <w:t>货物，</w:t>
      </w:r>
      <w:r>
        <w:rPr>
          <w:rFonts w:asciiTheme="minorEastAsia" w:hAnsiTheme="minorEastAsia" w:eastAsiaTheme="minorEastAsia"/>
          <w:sz w:val="24"/>
        </w:rPr>
        <w:t>以及伴随的</w:t>
      </w:r>
      <w:r>
        <w:rPr>
          <w:rFonts w:hint="eastAsia" w:asciiTheme="minorEastAsia" w:hAnsiTheme="minorEastAsia" w:eastAsiaTheme="minorEastAsia"/>
          <w:sz w:val="24"/>
        </w:rPr>
        <w:t>服务</w:t>
      </w:r>
      <w:r>
        <w:rPr>
          <w:rFonts w:asciiTheme="minorEastAsia" w:hAnsiTheme="minorEastAsia" w:eastAsiaTheme="minorEastAsia"/>
          <w:sz w:val="24"/>
        </w:rPr>
        <w:t>和工程</w:t>
      </w:r>
      <w:r>
        <w:rPr>
          <w:rFonts w:hint="eastAsia" w:asciiTheme="minorEastAsia" w:hAnsiTheme="minorEastAsia" w:eastAsiaTheme="minorEastAsia"/>
          <w:sz w:val="24"/>
        </w:rPr>
        <w:t>。除磋商文件另有规定外，所有内容均应以人民币报价，供应商的磋商报价应遵守《中华人民共和国价格法》。</w:t>
      </w:r>
    </w:p>
    <w:p w14:paraId="07D63A6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除非磋商文件另有规定或经采购人同意支付的，最后报价均不得高于磋商文件（公告）列明的项目预算，否则其响应文件将被认定为</w:t>
      </w:r>
      <w:r>
        <w:rPr>
          <w:rFonts w:asciiTheme="minorEastAsia" w:hAnsiTheme="minorEastAsia" w:eastAsiaTheme="minorEastAsia"/>
          <w:b/>
          <w:sz w:val="24"/>
        </w:rPr>
        <w:t>响应无效</w:t>
      </w:r>
      <w:r>
        <w:rPr>
          <w:rFonts w:asciiTheme="minorEastAsia" w:hAnsiTheme="minorEastAsia" w:eastAsiaTheme="minorEastAsia"/>
          <w:sz w:val="24"/>
        </w:rPr>
        <w:t>。</w:t>
      </w:r>
    </w:p>
    <w:p w14:paraId="420DB98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3报价</w:t>
      </w:r>
      <w:r>
        <w:rPr>
          <w:rFonts w:asciiTheme="minorEastAsia" w:hAnsiTheme="minorEastAsia" w:eastAsiaTheme="minorEastAsia"/>
          <w:sz w:val="24"/>
        </w:rPr>
        <w:t>在合同履行过程中是固定不变的，不得以任何理由予以变更。任何包含价格调整要求的</w:t>
      </w:r>
      <w:r>
        <w:rPr>
          <w:rFonts w:hint="eastAsia" w:asciiTheme="minorEastAsia" w:hAnsiTheme="minorEastAsia" w:eastAsiaTheme="minorEastAsia"/>
          <w:sz w:val="24"/>
        </w:rPr>
        <w:t>磋商</w:t>
      </w:r>
      <w:r>
        <w:rPr>
          <w:rFonts w:asciiTheme="minorEastAsia" w:hAnsiTheme="minorEastAsia" w:eastAsiaTheme="minorEastAsia"/>
          <w:sz w:val="24"/>
        </w:rPr>
        <w:t>，其</w:t>
      </w:r>
      <w:r>
        <w:rPr>
          <w:rFonts w:hint="eastAsia" w:asciiTheme="minorEastAsia" w:hAnsiTheme="minorEastAsia" w:eastAsiaTheme="minorEastAsia"/>
          <w:sz w:val="24"/>
        </w:rPr>
        <w:t>响应文件将被认定为</w:t>
      </w:r>
      <w:r>
        <w:rPr>
          <w:rFonts w:hint="eastAsia" w:asciiTheme="minorEastAsia" w:hAnsiTheme="minorEastAsia" w:eastAsiaTheme="minorEastAsia"/>
          <w:b/>
          <w:sz w:val="24"/>
        </w:rPr>
        <w:t>响应无效</w:t>
      </w:r>
      <w:r>
        <w:rPr>
          <w:rFonts w:asciiTheme="minorEastAsia" w:hAnsiTheme="minorEastAsia" w:eastAsiaTheme="minorEastAsia"/>
          <w:sz w:val="24"/>
        </w:rPr>
        <w:t>。</w:t>
      </w:r>
    </w:p>
    <w:p w14:paraId="2F0F3E2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采购人不接受具有附加条件的报价。</w:t>
      </w:r>
    </w:p>
    <w:p w14:paraId="6A1FA12D">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10</w:t>
      </w:r>
      <w:r>
        <w:rPr>
          <w:rFonts w:asciiTheme="minorEastAsia" w:hAnsiTheme="minorEastAsia" w:eastAsiaTheme="minorEastAsia"/>
          <w:b/>
          <w:sz w:val="24"/>
        </w:rPr>
        <w:t>.</w:t>
      </w:r>
      <w:r>
        <w:rPr>
          <w:rFonts w:hint="eastAsia" w:asciiTheme="minorEastAsia" w:hAnsiTheme="minorEastAsia" w:eastAsiaTheme="minorEastAsia"/>
          <w:b/>
          <w:sz w:val="24"/>
        </w:rPr>
        <w:t>磋商保证金</w:t>
      </w:r>
    </w:p>
    <w:p w14:paraId="2145350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10.1本项目不收取磋商保证金。</w:t>
      </w:r>
    </w:p>
    <w:p w14:paraId="1327C03B">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11</w:t>
      </w:r>
      <w:r>
        <w:rPr>
          <w:rFonts w:asciiTheme="minorEastAsia" w:hAnsiTheme="minorEastAsia" w:eastAsiaTheme="minorEastAsia"/>
          <w:b/>
          <w:sz w:val="24"/>
        </w:rPr>
        <w:t>.</w:t>
      </w:r>
      <w:r>
        <w:rPr>
          <w:rFonts w:hint="eastAsia" w:asciiTheme="minorEastAsia" w:hAnsiTheme="minorEastAsia" w:eastAsiaTheme="minorEastAsia"/>
          <w:b/>
          <w:sz w:val="24"/>
        </w:rPr>
        <w:t>磋商有效期</w:t>
      </w:r>
    </w:p>
    <w:p w14:paraId="592D82B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11</w:t>
      </w:r>
      <w:r>
        <w:rPr>
          <w:rFonts w:asciiTheme="minorEastAsia" w:hAnsiTheme="minorEastAsia" w:eastAsiaTheme="minorEastAsia"/>
          <w:sz w:val="24"/>
        </w:rPr>
        <w:t>.1磋商有效期为从响应文件提交截止之日算起的日历天数，磋商有效期详见</w:t>
      </w:r>
      <w:r>
        <w:rPr>
          <w:rFonts w:asciiTheme="minorEastAsia" w:hAnsiTheme="minorEastAsia" w:eastAsiaTheme="minorEastAsia"/>
          <w:sz w:val="24"/>
          <w:u w:val="single"/>
        </w:rPr>
        <w:t>供应商须知前附表</w:t>
      </w:r>
      <w:r>
        <w:rPr>
          <w:rFonts w:asciiTheme="minorEastAsia" w:hAnsiTheme="minorEastAsia" w:eastAsiaTheme="minorEastAsia"/>
          <w:sz w:val="24"/>
        </w:rPr>
        <w:t>。</w:t>
      </w:r>
    </w:p>
    <w:p w14:paraId="20D51CE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11</w:t>
      </w:r>
      <w:r>
        <w:rPr>
          <w:rFonts w:asciiTheme="minorEastAsia" w:hAnsiTheme="minorEastAsia" w:eastAsiaTheme="minorEastAsia"/>
          <w:sz w:val="24"/>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sz w:val="24"/>
        </w:rPr>
        <w:t>响应无效</w:t>
      </w:r>
      <w:r>
        <w:rPr>
          <w:rFonts w:asciiTheme="minorEastAsia" w:hAnsiTheme="minorEastAsia" w:eastAsiaTheme="minorEastAsia"/>
          <w:sz w:val="24"/>
        </w:rPr>
        <w:t>。</w:t>
      </w:r>
    </w:p>
    <w:p w14:paraId="17BC3A3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11</w:t>
      </w:r>
      <w:r>
        <w:rPr>
          <w:rFonts w:asciiTheme="minorEastAsia" w:hAnsiTheme="minorEastAsia" w:eastAsiaTheme="minorEastAsia"/>
          <w:sz w:val="24"/>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00756F6F">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12</w:t>
      </w:r>
      <w:r>
        <w:rPr>
          <w:rFonts w:asciiTheme="minorEastAsia" w:hAnsiTheme="minorEastAsia" w:eastAsiaTheme="minorEastAsia"/>
          <w:b/>
          <w:sz w:val="24"/>
        </w:rPr>
        <w:t>.</w:t>
      </w:r>
      <w:r>
        <w:rPr>
          <w:rFonts w:hint="eastAsia" w:asciiTheme="minorEastAsia" w:hAnsiTheme="minorEastAsia" w:eastAsiaTheme="minorEastAsia"/>
          <w:b/>
          <w:sz w:val="24"/>
        </w:rPr>
        <w:t>响应文件的提交、修改与撤回</w:t>
      </w:r>
    </w:p>
    <w:p w14:paraId="616C39F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12.1供应商应当在第一章竞争性磋商公告规定的响应文件提交截止时间前</w:t>
      </w:r>
      <w:r>
        <w:rPr>
          <w:rFonts w:asciiTheme="minorEastAsia" w:hAnsiTheme="minorEastAsia" w:eastAsiaTheme="minorEastAsia"/>
          <w:sz w:val="24"/>
        </w:rPr>
        <w:t>，将加密的</w:t>
      </w:r>
      <w:r>
        <w:rPr>
          <w:rFonts w:hint="eastAsia" w:asciiTheme="minorEastAsia" w:hAnsiTheme="minorEastAsia" w:eastAsiaTheme="minorEastAsia"/>
          <w:sz w:val="24"/>
        </w:rPr>
        <w:t>响应</w:t>
      </w:r>
      <w:r>
        <w:rPr>
          <w:rFonts w:asciiTheme="minorEastAsia" w:hAnsiTheme="minorEastAsia" w:eastAsiaTheme="minorEastAsia"/>
          <w:sz w:val="24"/>
        </w:rPr>
        <w:t>文件</w:t>
      </w:r>
      <w:r>
        <w:rPr>
          <w:rFonts w:hint="eastAsia" w:asciiTheme="minorEastAsia" w:hAnsiTheme="minorEastAsia" w:eastAsiaTheme="minorEastAsia"/>
          <w:sz w:val="24"/>
        </w:rPr>
        <w:t>在电子交易系统</w:t>
      </w:r>
      <w:r>
        <w:rPr>
          <w:rFonts w:asciiTheme="minorEastAsia" w:hAnsiTheme="minorEastAsia" w:eastAsiaTheme="minorEastAsia"/>
          <w:sz w:val="24"/>
        </w:rPr>
        <w:t>上传。</w:t>
      </w:r>
    </w:p>
    <w:p w14:paraId="4D2E979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12.2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5C629C0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12.</w:t>
      </w:r>
      <w:r>
        <w:rPr>
          <w:rFonts w:asciiTheme="minorEastAsia" w:hAnsiTheme="minorEastAsia" w:eastAsiaTheme="minorEastAsia"/>
          <w:sz w:val="24"/>
        </w:rPr>
        <w:t>3</w:t>
      </w:r>
      <w:r>
        <w:rPr>
          <w:rFonts w:hint="eastAsia" w:asciiTheme="minorEastAsia" w:hAnsiTheme="minorEastAsia" w:eastAsiaTheme="minorEastAsia"/>
          <w:sz w:val="24"/>
        </w:rPr>
        <w:t>供应商应在</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规定的解密时间前对其响应文件进行解密。未在规定时间内进行解密的，</w:t>
      </w:r>
      <w:r>
        <w:rPr>
          <w:rFonts w:hint="eastAsia" w:asciiTheme="minorEastAsia" w:hAnsiTheme="minorEastAsia" w:eastAsiaTheme="minorEastAsia"/>
          <w:b/>
          <w:bCs/>
          <w:sz w:val="24"/>
        </w:rPr>
        <w:t>响应无效。</w:t>
      </w:r>
    </w:p>
    <w:p w14:paraId="586A09AC">
      <w:pPr>
        <w:spacing w:line="360" w:lineRule="auto"/>
        <w:ind w:firstLine="435"/>
        <w:rPr>
          <w:rFonts w:ascii="宋体" w:hAnsi="宋体" w:eastAsia="宋体"/>
          <w:sz w:val="24"/>
        </w:rPr>
      </w:pPr>
      <w:r>
        <w:rPr>
          <w:rFonts w:hint="eastAsia" w:asciiTheme="minorEastAsia" w:hAnsiTheme="minorEastAsia" w:eastAsiaTheme="minorEastAsia"/>
          <w:sz w:val="24"/>
        </w:rPr>
        <w:t>12.4在响应文件提交截止时间之后，供应商不得对其响应文件做任何修改。</w:t>
      </w:r>
      <w:r>
        <w:rPr>
          <w:rFonts w:hint="eastAsia" w:ascii="宋体" w:hAnsi="宋体" w:eastAsia="宋体"/>
          <w:sz w:val="24"/>
        </w:rPr>
        <w:t>但属于磋商小组在评审中发现的计算错误并进行核实的修改、按照磋商文件的变动情况和磋商小组的要求重新提交响应文件的，不在此列。</w:t>
      </w:r>
    </w:p>
    <w:p w14:paraId="5B1F8FFD">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13</w:t>
      </w:r>
      <w:r>
        <w:rPr>
          <w:rFonts w:asciiTheme="minorEastAsia" w:hAnsiTheme="minorEastAsia" w:eastAsiaTheme="minorEastAsia"/>
          <w:b/>
          <w:sz w:val="24"/>
        </w:rPr>
        <w:t>.</w:t>
      </w:r>
      <w:r>
        <w:rPr>
          <w:rFonts w:hint="eastAsia" w:asciiTheme="minorEastAsia" w:hAnsiTheme="minorEastAsia" w:eastAsiaTheme="minorEastAsia"/>
          <w:b/>
          <w:sz w:val="24"/>
        </w:rPr>
        <w:t>磋商小组</w:t>
      </w:r>
    </w:p>
    <w:p w14:paraId="16DFBBD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.1本项目将依法组建磋商小组，磋商小组成员由3人以上</w:t>
      </w:r>
      <w:r>
        <w:rPr>
          <w:rFonts w:hint="eastAsia" w:asciiTheme="minorEastAsia" w:hAnsiTheme="minorEastAsia" w:eastAsiaTheme="minorEastAsia"/>
          <w:sz w:val="24"/>
        </w:rPr>
        <w:t>（含）</w:t>
      </w:r>
      <w:r>
        <w:rPr>
          <w:rFonts w:asciiTheme="minorEastAsia" w:hAnsiTheme="minorEastAsia" w:eastAsiaTheme="minorEastAsia"/>
          <w:sz w:val="24"/>
        </w:rPr>
        <w:t>单数组成，磋商小组及其成员应当依照政府采购的有关规定履行相关职责和义务。</w:t>
      </w:r>
    </w:p>
    <w:p w14:paraId="6BC5ECE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.2磋商小组依法对响应文件进行评审，并根据磋商文件规定的程序、评定成交的标准等事项与实质性响应磋商文件要求的供应商进行磋商。</w:t>
      </w:r>
    </w:p>
    <w:p w14:paraId="562D674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.3磋商小组应当从质量和服务均能满足磋商文件实质性响应要求的供应商中，按照评审方法和标准</w:t>
      </w:r>
      <w:r>
        <w:rPr>
          <w:rFonts w:hint="eastAsia" w:asciiTheme="minorEastAsia" w:hAnsiTheme="minorEastAsia" w:eastAsiaTheme="minorEastAsia"/>
          <w:sz w:val="24"/>
        </w:rPr>
        <w:t>推荐</w:t>
      </w:r>
      <w:r>
        <w:rPr>
          <w:rFonts w:asciiTheme="minorEastAsia" w:hAnsiTheme="minorEastAsia" w:eastAsiaTheme="minorEastAsia"/>
          <w:sz w:val="24"/>
        </w:rPr>
        <w:t>成交候选供应商，并编写</w:t>
      </w:r>
      <w:r>
        <w:rPr>
          <w:rFonts w:hint="eastAsia" w:asciiTheme="minorEastAsia" w:hAnsiTheme="minorEastAsia" w:eastAsiaTheme="minorEastAsia"/>
          <w:sz w:val="24"/>
        </w:rPr>
        <w:t>评审</w:t>
      </w:r>
      <w:r>
        <w:rPr>
          <w:rFonts w:asciiTheme="minorEastAsia" w:hAnsiTheme="minorEastAsia" w:eastAsiaTheme="minorEastAsia"/>
          <w:sz w:val="24"/>
        </w:rPr>
        <w:t>报告。</w:t>
      </w:r>
    </w:p>
    <w:p w14:paraId="0A61A5C7">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14</w:t>
      </w:r>
      <w:r>
        <w:rPr>
          <w:rFonts w:asciiTheme="minorEastAsia" w:hAnsiTheme="minorEastAsia" w:eastAsiaTheme="minorEastAsia"/>
          <w:b/>
          <w:sz w:val="24"/>
        </w:rPr>
        <w:t>.响应文件的评审与磋商</w:t>
      </w:r>
    </w:p>
    <w:p w14:paraId="0DABEF7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w:t>
      </w:r>
      <w:r>
        <w:rPr>
          <w:rFonts w:asciiTheme="minorEastAsia" w:hAnsiTheme="minorEastAsia" w:eastAsiaTheme="minorEastAsia"/>
          <w:sz w:val="24"/>
        </w:rPr>
        <w:t>.</w:t>
      </w:r>
      <w:r>
        <w:rPr>
          <w:rFonts w:hint="eastAsia" w:asciiTheme="minorEastAsia" w:hAnsiTheme="minorEastAsia" w:eastAsiaTheme="minorEastAsia"/>
          <w:sz w:val="24"/>
        </w:rPr>
        <w:t>1采购人和采购代理机构将在竞争性磋商公告规定的时间和地点组织磋商。</w:t>
      </w:r>
    </w:p>
    <w:p w14:paraId="7156636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14.2竞争性磋商活动采用综合评分法评审。</w:t>
      </w:r>
    </w:p>
    <w:p w14:paraId="7E9E0B0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综合评分法，是指响应文件满足磋商文件全部实质性要求且按评审因素的量化指标评审得分最高的供应商为成交候选供应商的评审方法。</w:t>
      </w:r>
    </w:p>
    <w:p w14:paraId="05FEC21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14.3磋商小组将按照磋商文件规定的评审方法和标准对供应商独立进行评审。评审程序如下：</w:t>
      </w:r>
    </w:p>
    <w:p w14:paraId="6064420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14.3.1</w:t>
      </w:r>
      <w:r>
        <w:rPr>
          <w:rFonts w:hint="eastAsia" w:asciiTheme="minorEastAsia" w:hAnsiTheme="minorEastAsia" w:eastAsiaTheme="minorEastAsia"/>
          <w:b/>
          <w:sz w:val="24"/>
        </w:rPr>
        <w:t>初审</w:t>
      </w:r>
      <w:r>
        <w:rPr>
          <w:rFonts w:hint="eastAsia" w:asciiTheme="minorEastAsia" w:hAnsiTheme="minorEastAsia" w:eastAsiaTheme="minorEastAsia"/>
          <w:sz w:val="24"/>
        </w:rPr>
        <w:t>。磋商小组对供应商必须满足和实质性响应的内容进行评审，供应商未实质性响应磋商文件要求导致响应无效的，磋商小组将以书面询标的方式告知有关供应商。</w:t>
      </w:r>
    </w:p>
    <w:p w14:paraId="3A20C883">
      <w:pPr>
        <w:spacing w:line="360" w:lineRule="auto"/>
        <w:ind w:firstLine="435"/>
        <w:rPr>
          <w:rFonts w:ascii="宋体" w:hAnsi="宋体" w:eastAsia="宋体" w:cs="宋体"/>
          <w:sz w:val="24"/>
          <w:szCs w:val="24"/>
        </w:rPr>
      </w:pPr>
      <w:r>
        <w:rPr>
          <w:rFonts w:hint="eastAsia" w:ascii="宋体" w:hAnsi="宋体" w:eastAsia="宋体" w:cs="宋体"/>
          <w:sz w:val="24"/>
          <w:szCs w:val="24"/>
        </w:rPr>
        <w:t>采购人或采购代理机构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sz w:val="24"/>
          <w:szCs w:val="24"/>
        </w:rPr>
        <w:t>响应无效</w:t>
      </w:r>
      <w:r>
        <w:rPr>
          <w:rFonts w:hint="eastAsia" w:ascii="宋体" w:hAnsi="宋体" w:eastAsia="宋体" w:cs="宋体"/>
          <w:sz w:val="24"/>
          <w:szCs w:val="24"/>
        </w:rPr>
        <w:t>。</w:t>
      </w:r>
    </w:p>
    <w:p w14:paraId="1901E866">
      <w:pPr>
        <w:spacing w:line="360" w:lineRule="auto"/>
        <w:ind w:firstLine="435"/>
        <w:rPr>
          <w:rFonts w:ascii="宋体" w:hAnsi="宋体" w:eastAsia="宋体" w:cs="宋体"/>
          <w:sz w:val="24"/>
          <w:szCs w:val="24"/>
        </w:rPr>
      </w:pPr>
      <w:r>
        <w:rPr>
          <w:rFonts w:hint="eastAsia" w:ascii="宋体" w:hAnsi="宋体" w:eastAsia="宋体" w:cs="宋体"/>
          <w:sz w:val="24"/>
          <w:szCs w:val="24"/>
        </w:rPr>
        <w:t>以联合体形式参加磋商的，联合体成员存在以上不良信用记录的，联合体磋商将被认定为</w:t>
      </w:r>
      <w:r>
        <w:rPr>
          <w:rFonts w:hint="eastAsia" w:ascii="宋体" w:hAnsi="宋体" w:eastAsia="宋体" w:cs="宋体"/>
          <w:b/>
          <w:sz w:val="24"/>
          <w:szCs w:val="24"/>
        </w:rPr>
        <w:t>响应无效</w:t>
      </w:r>
      <w:r>
        <w:rPr>
          <w:rFonts w:hint="eastAsia" w:ascii="宋体" w:hAnsi="宋体" w:eastAsia="宋体" w:cs="宋体"/>
          <w:sz w:val="24"/>
          <w:szCs w:val="24"/>
        </w:rPr>
        <w:t>。</w:t>
      </w:r>
    </w:p>
    <w:p w14:paraId="27E66C89">
      <w:pPr>
        <w:spacing w:line="360" w:lineRule="auto"/>
        <w:ind w:firstLine="435"/>
        <w:rPr>
          <w:rFonts w:asciiTheme="minorEastAsia" w:hAnsiTheme="minorEastAsia" w:eastAsiaTheme="minorEastAsia"/>
          <w:sz w:val="24"/>
        </w:rPr>
      </w:pPr>
      <w:r>
        <w:rPr>
          <w:rFonts w:hint="eastAsia" w:ascii="宋体" w:hAnsi="宋体" w:eastAsia="宋体" w:cs="宋体"/>
          <w:sz w:val="24"/>
          <w:szCs w:val="24"/>
        </w:rPr>
        <w:t>以上信用查询记录，采购人或采购代理机构将下载查询结果页面后与其他采购文件一并保存。供应商不良信用记录以采购人或采购代理机构查询结果为准。在本采购文件规定的查询时间之外，网站信息发生的任何变更均不作为初审依据。供应商自行提供的与网站信息不一致的其他证明材料亦不作为初审依据。</w:t>
      </w:r>
    </w:p>
    <w:p w14:paraId="0D9CF0F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14.3.2</w:t>
      </w:r>
      <w:r>
        <w:rPr>
          <w:rFonts w:hint="eastAsia" w:asciiTheme="minorEastAsia" w:hAnsiTheme="minorEastAsia" w:eastAsiaTheme="minorEastAsia"/>
          <w:b/>
          <w:sz w:val="24"/>
        </w:rPr>
        <w:t>磋商</w:t>
      </w:r>
      <w:r>
        <w:rPr>
          <w:rFonts w:hint="eastAsia" w:asciiTheme="minorEastAsia" w:hAnsiTheme="minorEastAsia" w:eastAsiaTheme="minorEastAsia"/>
          <w:sz w:val="24"/>
        </w:rPr>
        <w:t>。初审合格后，磋商小组将按网上加密电子响应文件提交顺序集中与单一供应商分别进行磋商，并给予所有参加磋商的供应商平等的磋商机会。</w:t>
      </w:r>
    </w:p>
    <w:p w14:paraId="65686C6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14.3.3</w:t>
      </w:r>
      <w:r>
        <w:rPr>
          <w:rFonts w:asciiTheme="minorEastAsia" w:hAnsiTheme="minorEastAsia" w:eastAsiaTheme="minorEastAsia"/>
          <w:b/>
          <w:sz w:val="24"/>
        </w:rPr>
        <w:t>报价</w:t>
      </w:r>
      <w:r>
        <w:rPr>
          <w:rFonts w:hint="eastAsia" w:asciiTheme="minorEastAsia" w:hAnsiTheme="minorEastAsia" w:eastAsiaTheme="minorEastAsia"/>
          <w:sz w:val="24"/>
        </w:rPr>
        <w:t>。</w:t>
      </w:r>
      <w:r>
        <w:rPr>
          <w:rFonts w:asciiTheme="minorEastAsia" w:hAnsiTheme="minorEastAsia" w:eastAsiaTheme="minorEastAsia"/>
          <w:sz w:val="24"/>
        </w:rPr>
        <w:t>磋商结束后，磋商小组应当要求所有</w:t>
      </w:r>
      <w:r>
        <w:rPr>
          <w:rFonts w:hint="eastAsia" w:asciiTheme="minorEastAsia" w:hAnsiTheme="minorEastAsia" w:eastAsiaTheme="minorEastAsia"/>
          <w:sz w:val="24"/>
        </w:rPr>
        <w:t>实质性响应</w:t>
      </w:r>
      <w:r>
        <w:rPr>
          <w:rFonts w:asciiTheme="minorEastAsia" w:hAnsiTheme="minorEastAsia" w:eastAsiaTheme="minorEastAsia"/>
          <w:sz w:val="24"/>
        </w:rPr>
        <w:t>的供应商在规定时间内提交最后报价</w:t>
      </w:r>
      <w:r>
        <w:rPr>
          <w:rFonts w:hint="eastAsia" w:ascii="宋体" w:hAnsi="宋体" w:eastAsia="宋体"/>
          <w:sz w:val="24"/>
        </w:rPr>
        <w:t>。</w:t>
      </w:r>
    </w:p>
    <w:p w14:paraId="0A127EE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14.3.4</w:t>
      </w:r>
      <w:r>
        <w:rPr>
          <w:rFonts w:hint="eastAsia" w:asciiTheme="minorEastAsia" w:hAnsiTheme="minorEastAsia" w:eastAsiaTheme="minorEastAsia"/>
          <w:b/>
          <w:sz w:val="24"/>
        </w:rPr>
        <w:t>综合评分</w:t>
      </w:r>
      <w:r>
        <w:rPr>
          <w:rFonts w:hint="eastAsia" w:asciiTheme="minorEastAsia" w:hAnsiTheme="minorEastAsia" w:eastAsiaTheme="minorEastAsia"/>
          <w:sz w:val="24"/>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14:paraId="628B93B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14.4相关说明。</w:t>
      </w:r>
    </w:p>
    <w:p w14:paraId="63A2330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 xml:space="preserve">14.4.1为保证磋商活动顺利进行，供应商可派相关技术人员进行网上答疑； </w:t>
      </w:r>
    </w:p>
    <w:p w14:paraId="24CFDAC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14.4.2磋</w:t>
      </w:r>
      <w:r>
        <w:rPr>
          <w:rFonts w:asciiTheme="minorEastAsia" w:hAnsiTheme="minorEastAsia" w:eastAsiaTheme="minorEastAsia"/>
          <w:sz w:val="24"/>
        </w:rPr>
        <w:t>商小组根据与</w:t>
      </w:r>
      <w:r>
        <w:rPr>
          <w:rFonts w:hint="eastAsia" w:asciiTheme="minorEastAsia" w:hAnsiTheme="minorEastAsia" w:eastAsiaTheme="minorEastAsia"/>
          <w:sz w:val="24"/>
        </w:rPr>
        <w:t>供应商</w:t>
      </w:r>
      <w:r>
        <w:rPr>
          <w:rFonts w:asciiTheme="minorEastAsia" w:hAnsiTheme="minorEastAsia" w:eastAsiaTheme="minorEastAsia"/>
          <w:sz w:val="24"/>
        </w:rPr>
        <w:t>磋商情况可能实质性变动</w:t>
      </w:r>
      <w:r>
        <w:rPr>
          <w:rFonts w:hint="eastAsia" w:asciiTheme="minorEastAsia" w:hAnsiTheme="minorEastAsia" w:eastAsiaTheme="minorEastAsia"/>
          <w:sz w:val="24"/>
        </w:rPr>
        <w:t>磋商文件</w:t>
      </w:r>
      <w:r>
        <w:rPr>
          <w:rFonts w:asciiTheme="minorEastAsia" w:hAnsiTheme="minorEastAsia" w:eastAsiaTheme="minorEastAsia"/>
          <w:sz w:val="24"/>
        </w:rPr>
        <w:t>的内容，包括采购需求中的技术、服务要求以及合同草案条款。磋商文件有实质性变动的，</w:t>
      </w:r>
      <w:r>
        <w:rPr>
          <w:rFonts w:hint="eastAsia" w:asciiTheme="minorEastAsia" w:hAnsiTheme="minorEastAsia" w:eastAsiaTheme="minorEastAsia"/>
          <w:sz w:val="24"/>
        </w:rPr>
        <w:t>经采购人代表确认作为磋商文件的有效组成部分，</w:t>
      </w:r>
      <w:r>
        <w:rPr>
          <w:rFonts w:asciiTheme="minorEastAsia" w:hAnsiTheme="minorEastAsia" w:eastAsiaTheme="minorEastAsia"/>
          <w:sz w:val="24"/>
        </w:rPr>
        <w:t>磋商小组</w:t>
      </w:r>
      <w:r>
        <w:rPr>
          <w:rFonts w:hint="eastAsia" w:asciiTheme="minorEastAsia" w:hAnsiTheme="minorEastAsia" w:eastAsiaTheme="minorEastAsia"/>
          <w:sz w:val="24"/>
        </w:rPr>
        <w:t>将</w:t>
      </w:r>
      <w:r>
        <w:rPr>
          <w:rFonts w:asciiTheme="minorEastAsia" w:hAnsiTheme="minorEastAsia" w:eastAsiaTheme="minorEastAsia"/>
          <w:sz w:val="24"/>
        </w:rPr>
        <w:t>以书面形式通知所有参加磋商的供应商。</w:t>
      </w:r>
    </w:p>
    <w:p w14:paraId="6BCA28E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Theme="minorEastAsia" w:hAnsiTheme="minorEastAsia" w:eastAsiaTheme="minorEastAsia"/>
          <w:b/>
          <w:sz w:val="24"/>
        </w:rPr>
        <w:t>响应无效</w:t>
      </w:r>
      <w:r>
        <w:rPr>
          <w:rFonts w:hint="eastAsia" w:asciiTheme="minorEastAsia" w:hAnsiTheme="minorEastAsia" w:eastAsiaTheme="minorEastAsia"/>
          <w:sz w:val="24"/>
        </w:rPr>
        <w:t>。</w:t>
      </w:r>
    </w:p>
    <w:p w14:paraId="57A18E3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14.4.4</w:t>
      </w:r>
      <w:r>
        <w:rPr>
          <w:rFonts w:asciiTheme="minorEastAsia" w:hAnsiTheme="minorEastAsia" w:eastAsiaTheme="minorEastAsia"/>
          <w:sz w:val="24"/>
        </w:rPr>
        <w:t>无论何种原因，即使供应商</w:t>
      </w:r>
      <w:r>
        <w:rPr>
          <w:rFonts w:hint="eastAsia" w:asciiTheme="minorEastAsia" w:hAnsiTheme="minorEastAsia" w:eastAsiaTheme="minorEastAsia"/>
          <w:sz w:val="24"/>
        </w:rPr>
        <w:t>磋商</w:t>
      </w:r>
      <w:r>
        <w:rPr>
          <w:rFonts w:asciiTheme="minorEastAsia" w:hAnsiTheme="minorEastAsia" w:eastAsiaTheme="minorEastAsia"/>
          <w:sz w:val="24"/>
        </w:rPr>
        <w:t>时携带了证书材料的原件，但响应文件中未提供与之内容完全一致的</w:t>
      </w:r>
      <w:r>
        <w:rPr>
          <w:rFonts w:hint="eastAsia" w:asciiTheme="minorEastAsia" w:hAnsiTheme="minorEastAsia" w:eastAsiaTheme="minorEastAsia"/>
          <w:sz w:val="24"/>
        </w:rPr>
        <w:t>扫描件</w:t>
      </w:r>
      <w:r>
        <w:rPr>
          <w:rFonts w:asciiTheme="minorEastAsia" w:hAnsiTheme="minorEastAsia" w:eastAsiaTheme="minorEastAsia"/>
          <w:sz w:val="24"/>
        </w:rPr>
        <w:t>的，</w:t>
      </w:r>
      <w:r>
        <w:rPr>
          <w:rFonts w:hint="eastAsia" w:asciiTheme="minorEastAsia" w:hAnsiTheme="minorEastAsia" w:eastAsiaTheme="minorEastAsia"/>
          <w:sz w:val="24"/>
        </w:rPr>
        <w:t>磋商</w:t>
      </w:r>
      <w:r>
        <w:rPr>
          <w:rFonts w:asciiTheme="minorEastAsia" w:hAnsiTheme="minorEastAsia" w:eastAsiaTheme="minorEastAsia"/>
          <w:sz w:val="24"/>
        </w:rPr>
        <w:t>小组可以视同其未提供。</w:t>
      </w:r>
    </w:p>
    <w:p w14:paraId="1ECE0FA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14.4.5磋商</w:t>
      </w:r>
      <w:r>
        <w:rPr>
          <w:rFonts w:asciiTheme="minorEastAsia" w:hAnsiTheme="minorEastAsia" w:eastAsiaTheme="minorEastAsia"/>
          <w:sz w:val="24"/>
        </w:rPr>
        <w:t>小组决定响应文件的响应性及符合性只根据响应文件本身的内容，而不寻求其他外部证据。</w:t>
      </w:r>
    </w:p>
    <w:p w14:paraId="6F674B7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供应商</w:t>
      </w:r>
      <w:r>
        <w:rPr>
          <w:rFonts w:hint="eastAsia" w:asciiTheme="minorEastAsia" w:hAnsiTheme="minorEastAsia" w:eastAsiaTheme="minorEastAsia"/>
          <w:sz w:val="24"/>
        </w:rPr>
        <w:t>授权</w:t>
      </w:r>
      <w:r>
        <w:rPr>
          <w:rFonts w:asciiTheme="minorEastAsia" w:hAnsiTheme="minorEastAsia" w:eastAsiaTheme="minorEastAsia"/>
          <w:sz w:val="24"/>
        </w:rPr>
        <w:t>代表对</w:t>
      </w:r>
      <w:r>
        <w:rPr>
          <w:rFonts w:hint="eastAsia" w:asciiTheme="minorEastAsia" w:hAnsiTheme="minorEastAsia" w:eastAsiaTheme="minorEastAsia"/>
          <w:sz w:val="24"/>
        </w:rPr>
        <w:t>磋商过程</w:t>
      </w:r>
      <w:r>
        <w:rPr>
          <w:rFonts w:asciiTheme="minorEastAsia" w:hAnsiTheme="minorEastAsia" w:eastAsiaTheme="minorEastAsia"/>
          <w:sz w:val="24"/>
        </w:rPr>
        <w:t>有疑义，以及认为采购人、采购代理机构相关工作人员有需要回避的情形的，应当场提出询问或者回避申请</w:t>
      </w:r>
      <w:r>
        <w:rPr>
          <w:rFonts w:hint="eastAsia" w:asciiTheme="minorEastAsia" w:hAnsiTheme="minorEastAsia" w:eastAsiaTheme="minorEastAsia"/>
          <w:sz w:val="24"/>
        </w:rPr>
        <w:t>，并说明理由。</w:t>
      </w:r>
    </w:p>
    <w:p w14:paraId="1B386373">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15</w:t>
      </w:r>
      <w:r>
        <w:rPr>
          <w:rFonts w:asciiTheme="minorEastAsia" w:hAnsiTheme="minorEastAsia" w:eastAsiaTheme="minorEastAsia"/>
          <w:b/>
          <w:sz w:val="24"/>
        </w:rPr>
        <w:t>.终止竞争性磋商</w:t>
      </w:r>
    </w:p>
    <w:p w14:paraId="5DBE20B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15.1出现下列情况之一时，采购人和采购代理机构有权宣布终止竞争性磋商采购，并将理由通知所有供应商：</w:t>
      </w:r>
    </w:p>
    <w:p w14:paraId="6CBD1B7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（1）有效供应商数量不足，导致本次磋商缺乏竞争的；</w:t>
      </w:r>
    </w:p>
    <w:p w14:paraId="0535F29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（2）出现影响采购公正的违法、违规行为的；</w:t>
      </w:r>
    </w:p>
    <w:p w14:paraId="51BD308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（3）因重大变故，采购任务取消的；</w:t>
      </w:r>
    </w:p>
    <w:p w14:paraId="7179924E">
      <w:pPr>
        <w:spacing w:line="360" w:lineRule="auto"/>
        <w:ind w:firstLine="437"/>
        <w:outlineLvl w:val="2"/>
        <w:rPr>
          <w:rFonts w:asciiTheme="minorEastAsia" w:hAnsiTheme="minorEastAsia" w:eastAsiaTheme="minorEastAsia"/>
          <w:sz w:val="24"/>
        </w:rPr>
      </w:pPr>
      <w:r>
        <w:rPr>
          <w:rFonts w:hint="eastAsia" w:asciiTheme="minorEastAsia" w:hAnsiTheme="minorEastAsia" w:eastAsiaTheme="minorEastAsia"/>
          <w:sz w:val="24"/>
        </w:rPr>
        <w:t>（4）政府采购法律法规规定的其他情形。</w:t>
      </w:r>
    </w:p>
    <w:p w14:paraId="4BC6E34A">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16</w:t>
      </w:r>
      <w:r>
        <w:rPr>
          <w:rFonts w:asciiTheme="minorEastAsia" w:hAnsiTheme="minorEastAsia" w:eastAsiaTheme="minorEastAsia"/>
          <w:b/>
          <w:sz w:val="24"/>
        </w:rPr>
        <w:t>.响应文件的澄清、说明或</w:t>
      </w:r>
      <w:r>
        <w:rPr>
          <w:rFonts w:hint="eastAsia" w:asciiTheme="minorEastAsia" w:hAnsiTheme="minorEastAsia" w:eastAsiaTheme="minorEastAsia"/>
          <w:b/>
          <w:sz w:val="24"/>
        </w:rPr>
        <w:t>更正</w:t>
      </w:r>
    </w:p>
    <w:p w14:paraId="711DF6DB">
      <w:pPr>
        <w:spacing w:line="360" w:lineRule="auto"/>
        <w:ind w:firstLine="470" w:firstLineChars="196"/>
        <w:rPr>
          <w:rFonts w:ascii="宋体" w:hAnsi="宋体" w:eastAsia="宋体"/>
          <w:sz w:val="24"/>
        </w:rPr>
      </w:pPr>
      <w:r>
        <w:rPr>
          <w:rFonts w:hint="eastAsia" w:ascii="宋体" w:hAnsi="宋体" w:eastAsia="宋体"/>
          <w:sz w:val="24"/>
        </w:rPr>
        <w:t>16.1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66620ACB">
      <w:pPr>
        <w:spacing w:line="360" w:lineRule="auto"/>
        <w:ind w:firstLine="470" w:firstLineChars="196"/>
        <w:rPr>
          <w:rFonts w:ascii="宋体" w:hAnsi="宋体" w:eastAsia="宋体"/>
          <w:sz w:val="24"/>
        </w:rPr>
      </w:pPr>
      <w:r>
        <w:rPr>
          <w:rFonts w:hint="eastAsia" w:ascii="宋体" w:hAnsi="宋体" w:eastAsia="宋体"/>
          <w:sz w:val="24"/>
        </w:rPr>
        <w:t>16.2磋商小组要求供应商澄清、说明或者更正响应文件应当以书面形式（询标）作出。供应商的澄清、说明或者更正应当由法定代表人或其授权代表签字或者加盖公章（电子签章）。</w:t>
      </w:r>
    </w:p>
    <w:p w14:paraId="5B445A80">
      <w:pPr>
        <w:spacing w:line="360" w:lineRule="auto"/>
        <w:ind w:firstLine="435"/>
        <w:rPr>
          <w:rFonts w:ascii="宋体" w:hAnsi="宋体" w:eastAsia="宋体"/>
          <w:sz w:val="24"/>
        </w:rPr>
      </w:pPr>
      <w:r>
        <w:rPr>
          <w:rFonts w:hint="eastAsia" w:ascii="宋体" w:hAnsi="宋体" w:eastAsia="宋体"/>
          <w:b/>
          <w:sz w:val="24"/>
        </w:rPr>
        <w:t>如有询标，授权代表（或法定代表人）可通过远程登录的方式接受网上询标，也可凭本人有效身份证明参加询标。因授权代表联系不上</w:t>
      </w:r>
      <w:r>
        <w:rPr>
          <w:rFonts w:hint="eastAsia" w:ascii="宋体" w:hAnsi="宋体" w:eastAsia="宋体"/>
          <w:b/>
          <w:bCs/>
          <w:sz w:val="24"/>
        </w:rPr>
        <w:t>、没有及时登录系统等情形</w:t>
      </w:r>
      <w:r>
        <w:rPr>
          <w:rFonts w:hint="eastAsia" w:ascii="宋体" w:hAnsi="宋体" w:eastAsia="宋体"/>
          <w:b/>
          <w:sz w:val="24"/>
        </w:rPr>
        <w:t>而无法接受磋商小组询标的，供应商自行承担相关风险。</w:t>
      </w:r>
    </w:p>
    <w:p w14:paraId="7CFC75D1">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17</w:t>
      </w:r>
      <w:r>
        <w:rPr>
          <w:rFonts w:asciiTheme="minorEastAsia" w:hAnsiTheme="minorEastAsia" w:eastAsiaTheme="minorEastAsia"/>
          <w:b/>
          <w:sz w:val="24"/>
        </w:rPr>
        <w:t>.最后报价</w:t>
      </w:r>
    </w:p>
    <w:p w14:paraId="1AED2B4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17.1</w:t>
      </w:r>
      <w:r>
        <w:rPr>
          <w:rFonts w:asciiTheme="minorEastAsia" w:hAnsiTheme="minorEastAsia" w:eastAsiaTheme="minorEastAsia"/>
          <w:sz w:val="24"/>
        </w:rPr>
        <w:t>磋商并不限定只进行二轮报价，如果磋商小组认为有必要，可以要求供应商进行多轮报价。</w:t>
      </w:r>
    </w:p>
    <w:p w14:paraId="5D47F16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17.2</w:t>
      </w:r>
      <w:r>
        <w:rPr>
          <w:rFonts w:asciiTheme="minorEastAsia" w:hAnsiTheme="minorEastAsia" w:eastAsiaTheme="minorEastAsia"/>
          <w:sz w:val="24"/>
        </w:rPr>
        <w:t>在磋商内容不做实质性变更或重大调整的前提下，供应商下轮报价不得高于上一轮报价</w:t>
      </w:r>
      <w:r>
        <w:rPr>
          <w:rFonts w:hint="eastAsia" w:asciiTheme="minorEastAsia" w:hAnsiTheme="minorEastAsia" w:eastAsiaTheme="minorEastAsia"/>
          <w:sz w:val="24"/>
        </w:rPr>
        <w:t>。</w:t>
      </w:r>
    </w:p>
    <w:p w14:paraId="4E257FA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17.3</w:t>
      </w:r>
      <w:r>
        <w:rPr>
          <w:rFonts w:asciiTheme="minorEastAsia" w:hAnsiTheme="minorEastAsia" w:eastAsiaTheme="minorEastAsia"/>
          <w:sz w:val="24"/>
        </w:rPr>
        <w:t>最后报价是供应商响应文件的有效组成部分，最后报价也是签订合同的依据。</w:t>
      </w:r>
    </w:p>
    <w:p w14:paraId="0F349453">
      <w:pPr>
        <w:spacing w:line="360" w:lineRule="auto"/>
        <w:ind w:firstLine="435"/>
        <w:rPr>
          <w:rFonts w:asciiTheme="majorEastAsia" w:hAnsiTheme="majorEastAsia" w:eastAsiaTheme="majorEastAsia"/>
          <w:sz w:val="24"/>
        </w:rPr>
      </w:pPr>
      <w:bookmarkStart w:id="56" w:name="_Hlk60607655"/>
      <w:bookmarkStart w:id="57" w:name="_Hlk60607673"/>
      <w:r>
        <w:rPr>
          <w:rFonts w:hint="eastAsia" w:asciiTheme="majorEastAsia" w:hAnsiTheme="majorEastAsia" w:eastAsiaTheme="majorEastAsia"/>
          <w:sz w:val="24"/>
        </w:rPr>
        <w:t>17.</w:t>
      </w:r>
      <w:r>
        <w:rPr>
          <w:rFonts w:asciiTheme="majorEastAsia" w:hAnsiTheme="majorEastAsia" w:eastAsiaTheme="majorEastAsia"/>
          <w:sz w:val="24"/>
        </w:rPr>
        <w:t>4</w:t>
      </w:r>
      <w:r>
        <w:rPr>
          <w:rFonts w:hint="eastAsia" w:asciiTheme="majorEastAsia" w:hAnsiTheme="majorEastAsia" w:eastAsiaTheme="majorEastAsia"/>
          <w:sz w:val="24"/>
        </w:rPr>
        <w:t>根据《政府采购促进中小企业发展管理办法》（财库〔</w:t>
      </w:r>
      <w:r>
        <w:rPr>
          <w:rFonts w:asciiTheme="majorEastAsia" w:hAnsiTheme="majorEastAsia" w:eastAsiaTheme="majorEastAsia"/>
          <w:sz w:val="24"/>
        </w:rPr>
        <w:t>2020〕46号</w:t>
      </w:r>
      <w:r>
        <w:rPr>
          <w:rFonts w:hint="eastAsia" w:asciiTheme="majorEastAsia" w:hAnsiTheme="majorEastAsia" w:eastAsiaTheme="majorEastAsia"/>
          <w:sz w:val="24"/>
        </w:rPr>
        <w:t>）、《三部门联合发布关于促进残疾人就业政府采购政策的通知》（财库〔2017〕141号）和《</w:t>
      </w:r>
      <w:r>
        <w:rPr>
          <w:rFonts w:asciiTheme="majorEastAsia" w:hAnsiTheme="majorEastAsia" w:eastAsiaTheme="majorEastAsia"/>
          <w:sz w:val="24"/>
        </w:rPr>
        <w:t>财政部 司法部关于政府采购支持监狱企业发展有关问题的通知</w:t>
      </w:r>
      <w:r>
        <w:rPr>
          <w:rFonts w:hint="eastAsia" w:asciiTheme="majorEastAsia" w:hAnsiTheme="majorEastAsia" w:eastAsiaTheme="majorEastAsia"/>
          <w:sz w:val="24"/>
        </w:rPr>
        <w:t>》（财库〔2014〕68号）的规定，对满足价格扣除条件且在响应文件中提交了</w:t>
      </w:r>
      <w:r>
        <w:rPr>
          <w:rFonts w:asciiTheme="majorEastAsia" w:hAnsiTheme="majorEastAsia" w:eastAsiaTheme="majorEastAsia"/>
          <w:sz w:val="24"/>
        </w:rPr>
        <w:t>《中小企业声明函》</w:t>
      </w:r>
      <w:r>
        <w:rPr>
          <w:rFonts w:hint="eastAsia" w:asciiTheme="majorEastAsia" w:hAnsiTheme="majorEastAsia" w:eastAsiaTheme="majorEastAsia"/>
          <w:sz w:val="24"/>
        </w:rPr>
        <w:t>、</w:t>
      </w:r>
      <w:r>
        <w:rPr>
          <w:rFonts w:asciiTheme="majorEastAsia" w:hAnsiTheme="majorEastAsia" w:eastAsiaTheme="majorEastAsia"/>
          <w:sz w:val="24"/>
        </w:rPr>
        <w:t>《残疾人福利性单位声明函》</w:t>
      </w:r>
      <w:r>
        <w:rPr>
          <w:rFonts w:hint="eastAsia" w:asciiTheme="majorEastAsia" w:hAnsiTheme="majorEastAsia" w:eastAsiaTheme="majorEastAsia"/>
          <w:sz w:val="24"/>
        </w:rPr>
        <w:t>或省级以上监狱管理局、戒毒管理局（含新疆生产建设兵团）出具的属于监狱企业的证明文件的供应商，其最后报价按照</w:t>
      </w:r>
      <w:r>
        <w:rPr>
          <w:rFonts w:hint="eastAsia" w:asciiTheme="majorEastAsia" w:hAnsiTheme="majorEastAsia" w:eastAsiaTheme="majorEastAsia"/>
          <w:sz w:val="24"/>
          <w:u w:val="single"/>
        </w:rPr>
        <w:t>供应商须知前附表</w:t>
      </w:r>
      <w:r>
        <w:rPr>
          <w:rFonts w:hint="eastAsia" w:asciiTheme="majorEastAsia" w:hAnsiTheme="majorEastAsia" w:eastAsiaTheme="majorEastAsia"/>
          <w:sz w:val="24"/>
        </w:rPr>
        <w:t>中规定的标准扣除后的价格参与评审。对于同时属于小微企业、监狱企业或残疾人福利性单位的，不重复进行最后报价扣除。</w:t>
      </w:r>
    </w:p>
    <w:p w14:paraId="7219D1D7">
      <w:pPr>
        <w:spacing w:line="360" w:lineRule="auto"/>
        <w:ind w:firstLine="435"/>
        <w:rPr>
          <w:rFonts w:asciiTheme="majorEastAsia" w:hAnsiTheme="majorEastAsia" w:eastAsiaTheme="majorEastAsia"/>
          <w:sz w:val="24"/>
        </w:rPr>
      </w:pPr>
      <w:r>
        <w:rPr>
          <w:rFonts w:hint="eastAsia" w:asciiTheme="majorEastAsia" w:hAnsiTheme="majorEastAsia" w:eastAsiaTheme="majorEastAsia"/>
          <w:sz w:val="24"/>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sz w:val="24"/>
        </w:rPr>
        <w:t>30%以上的，可给予联合体或者大中型企业的</w:t>
      </w:r>
      <w:r>
        <w:rPr>
          <w:rFonts w:hint="eastAsia" w:asciiTheme="majorEastAsia" w:hAnsiTheme="majorEastAsia" w:eastAsiaTheme="majorEastAsia"/>
          <w:sz w:val="24"/>
        </w:rPr>
        <w:t>最后报价按照</w:t>
      </w:r>
      <w:r>
        <w:rPr>
          <w:rFonts w:hint="eastAsia" w:asciiTheme="majorEastAsia" w:hAnsiTheme="majorEastAsia" w:eastAsiaTheme="majorEastAsia"/>
          <w:sz w:val="24"/>
          <w:u w:val="single"/>
        </w:rPr>
        <w:t>供应商须知前附表</w:t>
      </w:r>
      <w:r>
        <w:rPr>
          <w:rFonts w:hint="eastAsia" w:asciiTheme="majorEastAsia" w:hAnsiTheme="majorEastAsia" w:eastAsiaTheme="majorEastAsia"/>
          <w:sz w:val="24"/>
        </w:rPr>
        <w:t>中规定的标准扣除后的价格参与评审</w:t>
      </w:r>
      <w:r>
        <w:rPr>
          <w:rFonts w:asciiTheme="majorEastAsia" w:hAnsiTheme="majorEastAsia" w:eastAsiaTheme="majorEastAsia"/>
          <w:sz w:val="24"/>
        </w:rPr>
        <w:t>。</w:t>
      </w:r>
      <w:r>
        <w:rPr>
          <w:rFonts w:hint="eastAsia" w:asciiTheme="majorEastAsia" w:hAnsiTheme="majorEastAsia" w:eastAsiaTheme="majorEastAsia"/>
          <w:sz w:val="24"/>
        </w:rPr>
        <w:t>组成联合体或者接受分包的小微企业与联合体内其他企业、分包企业之间存在直接控股、管理关系的，不享受价格扣除优惠政策。</w:t>
      </w:r>
    </w:p>
    <w:p w14:paraId="0A195C0E">
      <w:pPr>
        <w:spacing w:line="360" w:lineRule="auto"/>
        <w:ind w:firstLine="435"/>
        <w:rPr>
          <w:rFonts w:asciiTheme="minorEastAsia" w:hAnsiTheme="minorEastAsia" w:eastAsiaTheme="minorEastAsia"/>
          <w:sz w:val="24"/>
        </w:rPr>
      </w:pPr>
      <w:r>
        <w:rPr>
          <w:rFonts w:hint="eastAsia" w:asciiTheme="majorEastAsia" w:hAnsiTheme="majorEastAsia" w:eastAsiaTheme="majorEastAsia"/>
          <w:sz w:val="24"/>
        </w:rPr>
        <w:t>以联合体形式参加政府采购活动，联合体各方均为中小企业的，联合体视同中小企业。其中，联合体各方均为小微企业的，联合体视同小微企业。</w:t>
      </w:r>
      <w:bookmarkEnd w:id="56"/>
    </w:p>
    <w:bookmarkEnd w:id="57"/>
    <w:p w14:paraId="72511F89">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18</w:t>
      </w:r>
      <w:r>
        <w:rPr>
          <w:rFonts w:asciiTheme="minorEastAsia" w:hAnsiTheme="minorEastAsia" w:eastAsiaTheme="minorEastAsia"/>
          <w:b/>
          <w:sz w:val="24"/>
        </w:rPr>
        <w:t>.</w:t>
      </w:r>
      <w:r>
        <w:rPr>
          <w:rFonts w:hint="eastAsia" w:asciiTheme="minorEastAsia" w:hAnsiTheme="minorEastAsia" w:eastAsiaTheme="minorEastAsia"/>
          <w:b/>
          <w:sz w:val="24"/>
        </w:rPr>
        <w:t>成交候选供应商的推荐原则及标准</w:t>
      </w:r>
    </w:p>
    <w:p w14:paraId="6E2CC34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18</w:t>
      </w:r>
      <w:r>
        <w:rPr>
          <w:rFonts w:asciiTheme="minorEastAsia" w:hAnsiTheme="minorEastAsia" w:eastAsiaTheme="minorEastAsia"/>
          <w:sz w:val="24"/>
        </w:rPr>
        <w:t>.</w:t>
      </w:r>
      <w:r>
        <w:rPr>
          <w:rFonts w:hint="eastAsia" w:asciiTheme="minorEastAsia" w:hAnsiTheme="minorEastAsia" w:eastAsiaTheme="minorEastAsia"/>
          <w:sz w:val="24"/>
        </w:rPr>
        <w:t>1磋商小组</w:t>
      </w:r>
      <w:r>
        <w:rPr>
          <w:rFonts w:asciiTheme="minorEastAsia" w:hAnsiTheme="minorEastAsia" w:eastAsiaTheme="minorEastAsia"/>
          <w:sz w:val="24"/>
        </w:rPr>
        <w:t>依据本项目</w:t>
      </w:r>
      <w:r>
        <w:rPr>
          <w:rFonts w:hint="eastAsia" w:asciiTheme="minorEastAsia" w:hAnsiTheme="minorEastAsia" w:eastAsiaTheme="minorEastAsia"/>
          <w:sz w:val="24"/>
        </w:rPr>
        <w:t>磋商</w:t>
      </w:r>
      <w:r>
        <w:rPr>
          <w:rFonts w:asciiTheme="minorEastAsia" w:hAnsiTheme="minorEastAsia" w:eastAsiaTheme="minorEastAsia"/>
          <w:sz w:val="24"/>
        </w:rPr>
        <w:t>文件所约定的</w:t>
      </w:r>
      <w:r>
        <w:rPr>
          <w:rFonts w:hint="eastAsia" w:asciiTheme="minorEastAsia" w:hAnsiTheme="minorEastAsia" w:eastAsiaTheme="minorEastAsia"/>
          <w:sz w:val="24"/>
        </w:rPr>
        <w:t>评审</w:t>
      </w:r>
      <w:r>
        <w:rPr>
          <w:rFonts w:asciiTheme="minorEastAsia" w:hAnsiTheme="minorEastAsia" w:eastAsiaTheme="minorEastAsia"/>
          <w:sz w:val="24"/>
        </w:rPr>
        <w:t>方法</w:t>
      </w:r>
      <w:r>
        <w:rPr>
          <w:rFonts w:hint="eastAsia" w:asciiTheme="minorEastAsia" w:hAnsiTheme="minorEastAsia" w:eastAsiaTheme="minorEastAsia"/>
          <w:sz w:val="24"/>
        </w:rPr>
        <w:t>和标准</w:t>
      </w:r>
      <w:r>
        <w:rPr>
          <w:rFonts w:asciiTheme="minorEastAsia" w:hAnsiTheme="minorEastAsia" w:eastAsiaTheme="minorEastAsia"/>
          <w:sz w:val="24"/>
        </w:rPr>
        <w:t>，</w:t>
      </w:r>
      <w:r>
        <w:rPr>
          <w:rFonts w:hint="eastAsia" w:asciiTheme="minorEastAsia" w:hAnsiTheme="minorEastAsia" w:eastAsiaTheme="minorEastAsia"/>
          <w:sz w:val="24"/>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016FB432">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19</w:t>
      </w:r>
      <w:r>
        <w:rPr>
          <w:rFonts w:asciiTheme="minorEastAsia" w:hAnsiTheme="minorEastAsia" w:eastAsiaTheme="minorEastAsia"/>
          <w:b/>
          <w:sz w:val="24"/>
        </w:rPr>
        <w:t>.</w:t>
      </w:r>
      <w:r>
        <w:rPr>
          <w:rFonts w:hint="eastAsia" w:asciiTheme="minorEastAsia" w:hAnsiTheme="minorEastAsia" w:eastAsiaTheme="minorEastAsia"/>
          <w:b/>
          <w:sz w:val="24"/>
        </w:rPr>
        <w:t>确定成交候选供应商和成交供应商</w:t>
      </w:r>
    </w:p>
    <w:p w14:paraId="7E90F205">
      <w:pPr>
        <w:spacing w:line="360" w:lineRule="auto"/>
        <w:ind w:firstLine="435"/>
        <w:rPr>
          <w:rFonts w:asciiTheme="minorEastAsia" w:hAnsiTheme="minorEastAsia" w:eastAsiaTheme="minorEastAsia"/>
          <w:sz w:val="24"/>
        </w:rPr>
      </w:pPr>
      <w:r>
        <w:rPr>
          <w:rFonts w:hint="eastAsia" w:ascii="宋体" w:hAnsi="宋体" w:eastAsia="宋体"/>
          <w:sz w:val="24"/>
        </w:rPr>
        <w:t>19.1磋商小组根据综合评分的结果和</w:t>
      </w:r>
      <w:r>
        <w:rPr>
          <w:rFonts w:hint="eastAsia" w:asciiTheme="minorEastAsia" w:hAnsiTheme="minorEastAsia" w:eastAsiaTheme="minorEastAsia"/>
          <w:sz w:val="24"/>
          <w:u w:val="single"/>
        </w:rPr>
        <w:t>供应商</w:t>
      </w:r>
      <w:r>
        <w:rPr>
          <w:rFonts w:asciiTheme="minorEastAsia" w:hAnsiTheme="minorEastAsia" w:eastAsiaTheme="minorEastAsia"/>
          <w:sz w:val="24"/>
          <w:u w:val="single"/>
        </w:rPr>
        <w:t>须知前附表</w:t>
      </w:r>
      <w:r>
        <w:rPr>
          <w:rFonts w:asciiTheme="minorEastAsia" w:hAnsiTheme="minorEastAsia" w:eastAsiaTheme="minorEastAsia"/>
          <w:sz w:val="24"/>
        </w:rPr>
        <w:t>中规定</w:t>
      </w:r>
      <w:r>
        <w:rPr>
          <w:rFonts w:hint="eastAsia" w:ascii="宋体" w:hAnsi="宋体" w:eastAsia="宋体"/>
          <w:sz w:val="24"/>
        </w:rPr>
        <w:t>确定成交候选供应商，并标明排列顺序。</w:t>
      </w:r>
      <w:r>
        <w:rPr>
          <w:rFonts w:hint="eastAsia" w:asciiTheme="minorEastAsia" w:hAnsiTheme="minorEastAsia" w:eastAsiaTheme="minorEastAsia"/>
          <w:sz w:val="24"/>
        </w:rPr>
        <w:t>按</w:t>
      </w:r>
      <w:r>
        <w:rPr>
          <w:rFonts w:hint="eastAsia" w:asciiTheme="minorEastAsia" w:hAnsiTheme="minorEastAsia" w:eastAsiaTheme="minorEastAsia"/>
          <w:sz w:val="24"/>
          <w:u w:val="single"/>
        </w:rPr>
        <w:t>供应商</w:t>
      </w:r>
      <w:r>
        <w:rPr>
          <w:rFonts w:asciiTheme="minorEastAsia" w:hAnsiTheme="minorEastAsia" w:eastAsiaTheme="minorEastAsia"/>
          <w:sz w:val="24"/>
          <w:u w:val="single"/>
        </w:rPr>
        <w:t>须知前附表</w:t>
      </w:r>
      <w:r>
        <w:rPr>
          <w:rFonts w:hint="eastAsia" w:asciiTheme="minorEastAsia" w:hAnsiTheme="minorEastAsia" w:eastAsiaTheme="minorEastAsia"/>
          <w:sz w:val="24"/>
        </w:rPr>
        <w:t>中规定，</w:t>
      </w:r>
      <w:r>
        <w:rPr>
          <w:rFonts w:asciiTheme="minorEastAsia" w:hAnsiTheme="minorEastAsia" w:eastAsiaTheme="minorEastAsia"/>
          <w:sz w:val="24"/>
        </w:rPr>
        <w:t>由</w:t>
      </w:r>
      <w:r>
        <w:rPr>
          <w:rFonts w:hint="eastAsia" w:asciiTheme="minorEastAsia" w:hAnsiTheme="minorEastAsia" w:eastAsiaTheme="minorEastAsia"/>
          <w:sz w:val="24"/>
        </w:rPr>
        <w:t>磋商小组</w:t>
      </w:r>
      <w:r>
        <w:rPr>
          <w:rFonts w:asciiTheme="minorEastAsia" w:hAnsiTheme="minorEastAsia" w:eastAsiaTheme="minorEastAsia"/>
          <w:sz w:val="24"/>
        </w:rPr>
        <w:t>或采购人确定</w:t>
      </w:r>
      <w:r>
        <w:rPr>
          <w:rFonts w:hint="eastAsia" w:asciiTheme="minorEastAsia" w:hAnsiTheme="minorEastAsia" w:eastAsiaTheme="minorEastAsia"/>
          <w:sz w:val="24"/>
        </w:rPr>
        <w:t>成交供应商</w:t>
      </w:r>
      <w:r>
        <w:rPr>
          <w:rFonts w:asciiTheme="minorEastAsia" w:hAnsiTheme="minorEastAsia" w:eastAsiaTheme="minorEastAsia"/>
          <w:sz w:val="24"/>
        </w:rPr>
        <w:t>。</w:t>
      </w:r>
    </w:p>
    <w:p w14:paraId="4CE4B4AB">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20</w:t>
      </w:r>
      <w:r>
        <w:rPr>
          <w:rFonts w:asciiTheme="minorEastAsia" w:hAnsiTheme="minorEastAsia" w:eastAsiaTheme="minorEastAsia"/>
          <w:b/>
          <w:sz w:val="24"/>
        </w:rPr>
        <w:t>.编写评审报告</w:t>
      </w:r>
    </w:p>
    <w:p w14:paraId="7D10F96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20.1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506821FB">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21</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14:paraId="0999E54E">
      <w:pPr>
        <w:spacing w:line="360" w:lineRule="auto"/>
        <w:ind w:firstLine="435"/>
        <w:rPr>
          <w:rFonts w:ascii="宋体" w:hAnsi="宋体" w:eastAsia="宋体"/>
          <w:sz w:val="24"/>
        </w:rPr>
      </w:pPr>
      <w:r>
        <w:rPr>
          <w:rFonts w:hint="eastAsia" w:ascii="宋体" w:hAnsi="宋体" w:eastAsia="宋体"/>
          <w:sz w:val="24"/>
        </w:rPr>
        <w:t>21.1评审将在严格保密的情况下进行。</w:t>
      </w:r>
    </w:p>
    <w:p w14:paraId="049F4120">
      <w:pPr>
        <w:spacing w:line="360" w:lineRule="auto"/>
        <w:ind w:firstLine="435"/>
        <w:rPr>
          <w:rFonts w:ascii="宋体" w:hAnsi="宋体" w:eastAsia="宋体"/>
          <w:sz w:val="24"/>
        </w:rPr>
      </w:pPr>
      <w:r>
        <w:rPr>
          <w:rFonts w:hint="eastAsia" w:ascii="宋体" w:hAnsi="宋体" w:eastAsia="宋体"/>
          <w:sz w:val="24"/>
        </w:rPr>
        <w:t>21.2有关人员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w:t>
      </w:r>
      <w:r>
        <w:rPr>
          <w:rFonts w:hint="eastAsia" w:ascii="宋体" w:hAnsi="宋体" w:eastAsia="宋体"/>
          <w:sz w:val="24"/>
        </w:rPr>
        <w:t>评审</w:t>
      </w:r>
      <w:r>
        <w:rPr>
          <w:rFonts w:ascii="宋体" w:hAnsi="宋体" w:eastAsia="宋体"/>
          <w:sz w:val="24"/>
        </w:rPr>
        <w:t>工作纪律，不得</w:t>
      </w:r>
      <w:r>
        <w:rPr>
          <w:rFonts w:hint="eastAsia" w:ascii="宋体" w:hAnsi="宋体" w:eastAsia="宋体"/>
          <w:sz w:val="24"/>
        </w:rPr>
        <w:t>泄露评审文件</w:t>
      </w:r>
      <w:r>
        <w:rPr>
          <w:rFonts w:ascii="宋体" w:hAnsi="宋体" w:eastAsia="宋体"/>
          <w:sz w:val="24"/>
        </w:rPr>
        <w:t>、</w:t>
      </w:r>
      <w:r>
        <w:rPr>
          <w:rFonts w:hint="eastAsia" w:ascii="宋体" w:hAnsi="宋体" w:eastAsia="宋体"/>
          <w:sz w:val="24"/>
        </w:rPr>
        <w:t>评审</w:t>
      </w:r>
      <w:r>
        <w:rPr>
          <w:rFonts w:ascii="宋体" w:hAnsi="宋体" w:eastAsia="宋体"/>
          <w:sz w:val="24"/>
        </w:rPr>
        <w:t>情况和</w:t>
      </w:r>
      <w:r>
        <w:rPr>
          <w:rFonts w:hint="eastAsia" w:ascii="宋体" w:hAnsi="宋体" w:eastAsia="宋体"/>
          <w:sz w:val="24"/>
        </w:rPr>
        <w:t>评审</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14:paraId="6A57B9C3">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22</w:t>
      </w:r>
      <w:r>
        <w:rPr>
          <w:rFonts w:asciiTheme="minorEastAsia" w:hAnsiTheme="minorEastAsia" w:eastAsiaTheme="minorEastAsia"/>
          <w:b/>
          <w:sz w:val="24"/>
        </w:rPr>
        <w:t>.成交结果公告</w:t>
      </w:r>
    </w:p>
    <w:p w14:paraId="69DFD6E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22</w:t>
      </w:r>
      <w:r>
        <w:rPr>
          <w:rFonts w:asciiTheme="minorEastAsia" w:hAnsiTheme="minorEastAsia" w:eastAsiaTheme="minorEastAsia"/>
          <w:sz w:val="24"/>
        </w:rPr>
        <w:t>.1为体现“公开、公平、公正”的原则，磋商结束后，</w:t>
      </w:r>
      <w:r>
        <w:rPr>
          <w:rFonts w:hint="eastAsia" w:ascii="宋体" w:hAnsi="宋体" w:eastAsia="宋体"/>
          <w:sz w:val="24"/>
          <w:szCs w:val="18"/>
        </w:rPr>
        <w:t>采购代理机构将在安徽省政府采购网（www.ccgp-anhui.gov.cn）</w:t>
      </w:r>
      <w:r>
        <w:rPr>
          <w:rFonts w:asciiTheme="minorEastAsia" w:hAnsiTheme="minorEastAsia" w:eastAsiaTheme="minorEastAsia"/>
          <w:sz w:val="24"/>
        </w:rPr>
        <w:t>上发布成交结果公告。</w:t>
      </w:r>
    </w:p>
    <w:p w14:paraId="0C77CCA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22</w:t>
      </w:r>
      <w:r>
        <w:rPr>
          <w:rFonts w:asciiTheme="minorEastAsia" w:hAnsiTheme="minorEastAsia" w:eastAsiaTheme="minorEastAsia"/>
          <w:sz w:val="24"/>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sz w:val="24"/>
          <w:u w:val="single"/>
        </w:rPr>
        <w:t>供应商须知前附表</w:t>
      </w:r>
      <w:r>
        <w:rPr>
          <w:rFonts w:asciiTheme="minorEastAsia" w:hAnsiTheme="minorEastAsia" w:eastAsiaTheme="minorEastAsia"/>
          <w:sz w:val="24"/>
        </w:rPr>
        <w:t>中约定进行公告的内容。</w:t>
      </w:r>
    </w:p>
    <w:p w14:paraId="113A50EC">
      <w:pPr>
        <w:spacing w:line="360" w:lineRule="auto"/>
        <w:ind w:firstLine="437"/>
        <w:outlineLvl w:val="2"/>
        <w:rPr>
          <w:rFonts w:ascii="宋体" w:hAnsi="宋体" w:eastAsia="宋体"/>
          <w:b/>
          <w:sz w:val="24"/>
        </w:rPr>
      </w:pPr>
      <w:r>
        <w:rPr>
          <w:rFonts w:hint="eastAsia" w:ascii="宋体" w:hAnsi="宋体" w:eastAsia="宋体"/>
          <w:b/>
          <w:sz w:val="24"/>
        </w:rPr>
        <w:t>23</w:t>
      </w:r>
      <w:r>
        <w:rPr>
          <w:rFonts w:ascii="宋体" w:hAnsi="宋体" w:eastAsia="宋体"/>
          <w:b/>
          <w:sz w:val="24"/>
        </w:rPr>
        <w:t>.成交</w:t>
      </w:r>
      <w:r>
        <w:rPr>
          <w:rFonts w:asciiTheme="minorEastAsia" w:hAnsiTheme="minorEastAsia" w:eastAsiaTheme="minorEastAsia"/>
          <w:b/>
          <w:sz w:val="24"/>
        </w:rPr>
        <w:t>通知书</w:t>
      </w:r>
    </w:p>
    <w:p w14:paraId="0AB79291">
      <w:pPr>
        <w:spacing w:line="360" w:lineRule="auto"/>
        <w:ind w:firstLine="435"/>
        <w:rPr>
          <w:rFonts w:ascii="宋体" w:hAnsi="宋体" w:eastAsia="宋体"/>
          <w:sz w:val="24"/>
        </w:rPr>
      </w:pPr>
      <w:r>
        <w:rPr>
          <w:rFonts w:hint="eastAsia" w:ascii="宋体" w:hAnsi="宋体" w:eastAsia="宋体"/>
          <w:sz w:val="24"/>
        </w:rPr>
        <w:t>23</w:t>
      </w:r>
      <w:r>
        <w:rPr>
          <w:rFonts w:ascii="宋体" w:hAnsi="宋体" w:eastAsia="宋体"/>
          <w:sz w:val="24"/>
        </w:rPr>
        <w:t>.1采购代理机构发布成交结果公告的同时</w:t>
      </w:r>
      <w:r>
        <w:rPr>
          <w:rFonts w:asciiTheme="minorEastAsia" w:hAnsiTheme="minorEastAsia" w:eastAsiaTheme="minorEastAsia"/>
          <w:sz w:val="24"/>
        </w:rPr>
        <w:t>以</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w:t>
      </w:r>
      <w:r>
        <w:rPr>
          <w:rFonts w:ascii="宋体" w:hAnsi="宋体" w:eastAsia="宋体"/>
          <w:sz w:val="24"/>
        </w:rPr>
        <w:t>向成交供应商发出成交通知书。</w:t>
      </w:r>
    </w:p>
    <w:p w14:paraId="5124C026">
      <w:pPr>
        <w:spacing w:line="360" w:lineRule="auto"/>
        <w:ind w:firstLine="435"/>
        <w:rPr>
          <w:rFonts w:ascii="宋体" w:hAnsi="宋体" w:eastAsia="宋体"/>
          <w:sz w:val="24"/>
        </w:rPr>
      </w:pPr>
      <w:r>
        <w:rPr>
          <w:rFonts w:hint="eastAsia" w:ascii="宋体" w:hAnsi="宋体" w:eastAsia="宋体"/>
          <w:sz w:val="24"/>
        </w:rPr>
        <w:t>23</w:t>
      </w:r>
      <w:r>
        <w:rPr>
          <w:rFonts w:ascii="宋体" w:hAnsi="宋体" w:eastAsia="宋体"/>
          <w:sz w:val="24"/>
        </w:rPr>
        <w:t>.2成交通知书对采购人和成交供应商具有同等法律效力。成交通知书发出以后，采购人改变成交结果或者成交供应商放弃成交资格，应当承担相应的法律责任。</w:t>
      </w:r>
    </w:p>
    <w:p w14:paraId="4DA6964C">
      <w:pPr>
        <w:spacing w:line="360" w:lineRule="auto"/>
        <w:ind w:firstLine="435"/>
        <w:rPr>
          <w:rFonts w:ascii="宋体" w:hAnsi="宋体" w:eastAsia="宋体"/>
          <w:sz w:val="24"/>
        </w:rPr>
      </w:pPr>
      <w:r>
        <w:rPr>
          <w:rFonts w:hint="eastAsia" w:ascii="宋体" w:hAnsi="宋体" w:eastAsia="宋体"/>
          <w:sz w:val="24"/>
        </w:rPr>
        <w:t>23</w:t>
      </w:r>
      <w:r>
        <w:rPr>
          <w:rFonts w:ascii="宋体" w:hAnsi="宋体" w:eastAsia="宋体"/>
          <w:sz w:val="24"/>
        </w:rPr>
        <w:t>.3成交通知书是合同的组成部分。</w:t>
      </w:r>
    </w:p>
    <w:p w14:paraId="4F6866C8">
      <w:pPr>
        <w:spacing w:line="360" w:lineRule="auto"/>
        <w:ind w:firstLine="437"/>
        <w:outlineLvl w:val="2"/>
        <w:rPr>
          <w:rFonts w:ascii="宋体" w:hAnsi="宋体" w:eastAsia="宋体"/>
          <w:b/>
          <w:sz w:val="24"/>
        </w:rPr>
      </w:pPr>
      <w:r>
        <w:rPr>
          <w:rFonts w:hint="eastAsia" w:ascii="宋体" w:hAnsi="宋体" w:eastAsia="宋体"/>
          <w:b/>
          <w:sz w:val="24"/>
        </w:rPr>
        <w:t>24</w:t>
      </w:r>
      <w:r>
        <w:rPr>
          <w:rFonts w:ascii="宋体" w:hAnsi="宋体" w:eastAsia="宋体"/>
          <w:b/>
          <w:sz w:val="24"/>
        </w:rPr>
        <w:t>.告知</w:t>
      </w:r>
      <w:r>
        <w:rPr>
          <w:rFonts w:hint="eastAsia" w:ascii="宋体" w:hAnsi="宋体" w:eastAsia="宋体"/>
          <w:b/>
          <w:sz w:val="24"/>
        </w:rPr>
        <w:t>磋商</w:t>
      </w:r>
      <w:r>
        <w:rPr>
          <w:rFonts w:ascii="宋体" w:hAnsi="宋体" w:eastAsia="宋体"/>
          <w:b/>
          <w:sz w:val="24"/>
        </w:rPr>
        <w:t>结果</w:t>
      </w:r>
    </w:p>
    <w:p w14:paraId="3CAC83CC">
      <w:pPr>
        <w:spacing w:line="360" w:lineRule="auto"/>
        <w:ind w:firstLine="435"/>
        <w:rPr>
          <w:rFonts w:ascii="宋体" w:hAnsi="宋体" w:eastAsia="宋体"/>
          <w:sz w:val="24"/>
        </w:rPr>
      </w:pPr>
      <w:r>
        <w:rPr>
          <w:rFonts w:hint="eastAsia" w:ascii="宋体" w:hAnsi="宋体" w:eastAsia="宋体"/>
          <w:sz w:val="24"/>
        </w:rPr>
        <w:t>24</w:t>
      </w:r>
      <w:r>
        <w:rPr>
          <w:rFonts w:ascii="宋体" w:hAnsi="宋体" w:eastAsia="宋体"/>
          <w:sz w:val="24"/>
        </w:rPr>
        <w:t>.1在公告</w:t>
      </w:r>
      <w:r>
        <w:rPr>
          <w:rFonts w:hint="eastAsia" w:ascii="宋体" w:hAnsi="宋体" w:eastAsia="宋体"/>
          <w:sz w:val="24"/>
        </w:rPr>
        <w:t>成交</w:t>
      </w:r>
      <w:r>
        <w:rPr>
          <w:rFonts w:ascii="宋体" w:hAnsi="宋体" w:eastAsia="宋体"/>
          <w:sz w:val="24"/>
        </w:rPr>
        <w:t>结果的同时，采购代理机构同时以</w:t>
      </w:r>
      <w:r>
        <w:rPr>
          <w:rFonts w:hint="eastAsia" w:ascii="宋体" w:hAnsi="宋体" w:eastAsia="宋体"/>
          <w:sz w:val="24"/>
          <w:u w:val="single"/>
        </w:rPr>
        <w:t>供应商</w:t>
      </w:r>
      <w:r>
        <w:rPr>
          <w:rFonts w:ascii="宋体" w:hAnsi="宋体" w:eastAsia="宋体"/>
          <w:sz w:val="24"/>
          <w:u w:val="single"/>
        </w:rPr>
        <w:t>须知前附表</w:t>
      </w:r>
      <w:r>
        <w:rPr>
          <w:rFonts w:ascii="宋体" w:hAnsi="宋体" w:eastAsia="宋体"/>
          <w:sz w:val="24"/>
        </w:rPr>
        <w:t>规定的形式告知未</w:t>
      </w:r>
      <w:r>
        <w:rPr>
          <w:rFonts w:hint="eastAsia" w:ascii="宋体" w:hAnsi="宋体" w:eastAsia="宋体"/>
          <w:sz w:val="24"/>
        </w:rPr>
        <w:t>成交供应商</w:t>
      </w:r>
      <w:r>
        <w:rPr>
          <w:rFonts w:ascii="宋体" w:hAnsi="宋体" w:eastAsia="宋体"/>
          <w:sz w:val="24"/>
        </w:rPr>
        <w:t>本人的评审得分和排序。</w:t>
      </w:r>
    </w:p>
    <w:p w14:paraId="63C933CC">
      <w:pPr>
        <w:spacing w:line="360" w:lineRule="auto"/>
        <w:ind w:firstLine="480" w:firstLineChars="200"/>
        <w:rPr>
          <w:rFonts w:ascii="宋体" w:hAnsi="宋体" w:eastAsia="宋体"/>
          <w:sz w:val="24"/>
        </w:rPr>
      </w:pPr>
      <w:r>
        <w:rPr>
          <w:rFonts w:hint="eastAsia" w:ascii="宋体" w:hAnsi="宋体" w:eastAsia="宋体"/>
          <w:sz w:val="24"/>
        </w:rPr>
        <w:t>24</w:t>
      </w:r>
      <w:r>
        <w:rPr>
          <w:rFonts w:ascii="宋体" w:hAnsi="宋体" w:eastAsia="宋体"/>
          <w:sz w:val="24"/>
        </w:rPr>
        <w:t>.</w:t>
      </w:r>
      <w:r>
        <w:rPr>
          <w:rFonts w:hint="eastAsia" w:ascii="宋体" w:hAnsi="宋体" w:eastAsia="宋体"/>
          <w:sz w:val="24"/>
        </w:rPr>
        <w:t>2</w:t>
      </w:r>
      <w:r>
        <w:rPr>
          <w:rFonts w:ascii="宋体" w:hAnsi="宋体" w:eastAsia="宋体"/>
          <w:sz w:val="24"/>
        </w:rPr>
        <w:t>采购代理机构对未成交的供应商不做未成交原因的解释。</w:t>
      </w:r>
    </w:p>
    <w:p w14:paraId="540A11D3">
      <w:pPr>
        <w:spacing w:line="360" w:lineRule="auto"/>
        <w:ind w:firstLine="437"/>
        <w:outlineLvl w:val="2"/>
        <w:rPr>
          <w:rFonts w:ascii="宋体" w:hAnsi="宋体" w:eastAsia="宋体"/>
          <w:b/>
          <w:sz w:val="24"/>
        </w:rPr>
      </w:pPr>
      <w:r>
        <w:rPr>
          <w:rFonts w:hint="eastAsia" w:ascii="宋体" w:hAnsi="宋体" w:eastAsia="宋体"/>
          <w:b/>
          <w:sz w:val="24"/>
        </w:rPr>
        <w:t>25</w:t>
      </w:r>
      <w:r>
        <w:rPr>
          <w:rFonts w:ascii="宋体" w:hAnsi="宋体" w:eastAsia="宋体"/>
          <w:b/>
          <w:sz w:val="24"/>
        </w:rPr>
        <w:t>.履约保证金</w:t>
      </w:r>
    </w:p>
    <w:p w14:paraId="3ACC7E2E">
      <w:pPr>
        <w:spacing w:line="360" w:lineRule="auto"/>
        <w:ind w:firstLine="435"/>
        <w:rPr>
          <w:rFonts w:ascii="宋体" w:hAnsi="宋体" w:eastAsia="宋体"/>
          <w:sz w:val="24"/>
        </w:rPr>
      </w:pPr>
      <w:r>
        <w:rPr>
          <w:rFonts w:hint="eastAsia" w:ascii="宋体" w:hAnsi="宋体" w:eastAsia="宋体"/>
          <w:sz w:val="24"/>
        </w:rPr>
        <w:t>25</w:t>
      </w:r>
      <w:r>
        <w:rPr>
          <w:rFonts w:ascii="宋体" w:hAnsi="宋体" w:eastAsia="宋体"/>
          <w:sz w:val="24"/>
        </w:rPr>
        <w:t>.1成交供应商应按照</w:t>
      </w:r>
      <w:r>
        <w:rPr>
          <w:rFonts w:ascii="宋体" w:hAnsi="宋体" w:eastAsia="宋体"/>
          <w:sz w:val="24"/>
          <w:u w:val="single"/>
        </w:rPr>
        <w:t>供应商须知前附表</w:t>
      </w:r>
      <w:r>
        <w:rPr>
          <w:rFonts w:ascii="宋体" w:hAnsi="宋体" w:eastAsia="宋体"/>
          <w:sz w:val="24"/>
        </w:rPr>
        <w:t>规定</w:t>
      </w:r>
      <w:r>
        <w:rPr>
          <w:rFonts w:hint="eastAsia" w:ascii="宋体" w:hAnsi="宋体" w:eastAsia="宋体"/>
          <w:sz w:val="24"/>
        </w:rPr>
        <w:t>缴纳</w:t>
      </w:r>
      <w:r>
        <w:rPr>
          <w:rFonts w:ascii="宋体" w:hAnsi="宋体" w:eastAsia="宋体"/>
          <w:sz w:val="24"/>
        </w:rPr>
        <w:t>履约保证金。</w:t>
      </w:r>
    </w:p>
    <w:p w14:paraId="6AE985D2">
      <w:pPr>
        <w:spacing w:line="360" w:lineRule="auto"/>
        <w:ind w:firstLine="435"/>
        <w:rPr>
          <w:rFonts w:ascii="宋体" w:hAnsi="宋体" w:eastAsia="宋体"/>
          <w:sz w:val="24"/>
        </w:rPr>
      </w:pPr>
      <w:r>
        <w:rPr>
          <w:rFonts w:hint="eastAsia" w:ascii="宋体" w:hAnsi="宋体" w:eastAsia="宋体"/>
          <w:sz w:val="24"/>
        </w:rPr>
        <w:t>25</w:t>
      </w:r>
      <w:r>
        <w:rPr>
          <w:rFonts w:ascii="宋体" w:hAnsi="宋体" w:eastAsia="宋体"/>
          <w:sz w:val="24"/>
        </w:rPr>
        <w:t>.2如果成交供应商没有按照上述履约保证金的规定执行，将视为放弃成交资格。在此情况下，采购人可确定下一成交候选供应商为成交供应商，也可以重新开展采购活动。</w:t>
      </w:r>
    </w:p>
    <w:p w14:paraId="7578CA31">
      <w:pPr>
        <w:spacing w:line="360" w:lineRule="auto"/>
        <w:ind w:firstLine="437"/>
        <w:outlineLvl w:val="2"/>
        <w:rPr>
          <w:rFonts w:ascii="宋体" w:hAnsi="宋体" w:eastAsia="宋体"/>
          <w:b/>
          <w:sz w:val="24"/>
        </w:rPr>
      </w:pPr>
      <w:r>
        <w:rPr>
          <w:rFonts w:hint="eastAsia" w:ascii="宋体" w:hAnsi="宋体" w:eastAsia="宋体"/>
          <w:b/>
          <w:sz w:val="24"/>
        </w:rPr>
        <w:t>26</w:t>
      </w:r>
      <w:r>
        <w:rPr>
          <w:rFonts w:ascii="宋体" w:hAnsi="宋体" w:eastAsia="宋体"/>
          <w:b/>
          <w:sz w:val="24"/>
        </w:rPr>
        <w:t>.</w:t>
      </w:r>
      <w:r>
        <w:rPr>
          <w:rFonts w:hint="eastAsia" w:ascii="宋体" w:hAnsi="宋体" w:eastAsia="宋体"/>
          <w:b/>
          <w:sz w:val="24"/>
        </w:rPr>
        <w:t>代理费用</w:t>
      </w:r>
    </w:p>
    <w:p w14:paraId="61038B80">
      <w:pPr>
        <w:spacing w:line="360" w:lineRule="auto"/>
        <w:ind w:firstLine="435"/>
        <w:rPr>
          <w:rFonts w:ascii="宋体" w:hAnsi="宋体" w:eastAsia="宋体"/>
          <w:sz w:val="24"/>
        </w:rPr>
      </w:pPr>
      <w:r>
        <w:rPr>
          <w:rFonts w:hint="eastAsia" w:ascii="宋体" w:hAnsi="宋体" w:eastAsia="宋体"/>
          <w:sz w:val="24"/>
        </w:rPr>
        <w:t>26</w:t>
      </w:r>
      <w:r>
        <w:rPr>
          <w:rFonts w:ascii="宋体" w:hAnsi="宋体" w:eastAsia="宋体"/>
          <w:sz w:val="24"/>
        </w:rPr>
        <w:t>.1本项目</w:t>
      </w:r>
      <w:r>
        <w:rPr>
          <w:rFonts w:hint="eastAsia" w:ascii="宋体" w:hAnsi="宋体" w:eastAsia="宋体"/>
          <w:sz w:val="24"/>
        </w:rPr>
        <w:t>代理费用</w:t>
      </w:r>
      <w:r>
        <w:rPr>
          <w:rFonts w:ascii="宋体" w:hAnsi="宋体" w:eastAsia="宋体"/>
          <w:sz w:val="24"/>
        </w:rPr>
        <w:t>的收取按</w:t>
      </w:r>
      <w:r>
        <w:rPr>
          <w:rFonts w:hint="eastAsia" w:ascii="宋体" w:hAnsi="宋体" w:eastAsia="宋体"/>
          <w:sz w:val="24"/>
          <w:u w:val="single"/>
        </w:rPr>
        <w:t>供应商</w:t>
      </w:r>
      <w:r>
        <w:rPr>
          <w:rFonts w:ascii="宋体" w:hAnsi="宋体" w:eastAsia="宋体"/>
          <w:sz w:val="24"/>
          <w:u w:val="single"/>
        </w:rPr>
        <w:t>须知前附表</w:t>
      </w:r>
      <w:r>
        <w:rPr>
          <w:rFonts w:ascii="宋体" w:hAnsi="宋体" w:eastAsia="宋体"/>
          <w:sz w:val="24"/>
        </w:rPr>
        <w:t>的规定执行。</w:t>
      </w:r>
    </w:p>
    <w:p w14:paraId="60D06B60">
      <w:pPr>
        <w:spacing w:line="360" w:lineRule="auto"/>
        <w:ind w:firstLine="437"/>
        <w:outlineLvl w:val="2"/>
        <w:rPr>
          <w:rFonts w:ascii="宋体" w:hAnsi="宋体" w:eastAsia="宋体"/>
          <w:b/>
          <w:sz w:val="24"/>
        </w:rPr>
      </w:pPr>
      <w:r>
        <w:rPr>
          <w:rFonts w:hint="eastAsia" w:ascii="宋体" w:hAnsi="宋体" w:eastAsia="宋体"/>
          <w:b/>
          <w:sz w:val="24"/>
        </w:rPr>
        <w:t>27</w:t>
      </w:r>
      <w:r>
        <w:rPr>
          <w:rFonts w:ascii="宋体" w:hAnsi="宋体" w:eastAsia="宋体"/>
          <w:b/>
          <w:sz w:val="24"/>
        </w:rPr>
        <w:t>.签订</w:t>
      </w:r>
      <w:r>
        <w:rPr>
          <w:rFonts w:asciiTheme="minorEastAsia" w:hAnsiTheme="minorEastAsia" w:eastAsiaTheme="minorEastAsia"/>
          <w:b/>
          <w:sz w:val="24"/>
        </w:rPr>
        <w:t>合同</w:t>
      </w:r>
    </w:p>
    <w:p w14:paraId="3C5D314C">
      <w:pPr>
        <w:spacing w:line="360" w:lineRule="auto"/>
        <w:ind w:firstLine="435"/>
        <w:rPr>
          <w:rFonts w:ascii="宋体" w:hAnsi="宋体" w:eastAsia="宋体"/>
          <w:sz w:val="24"/>
        </w:rPr>
      </w:pPr>
      <w:r>
        <w:rPr>
          <w:rFonts w:hint="eastAsia" w:ascii="宋体" w:hAnsi="宋体" w:eastAsia="宋体"/>
          <w:sz w:val="24"/>
        </w:rPr>
        <w:t>27</w:t>
      </w:r>
      <w:r>
        <w:rPr>
          <w:rFonts w:ascii="宋体" w:hAnsi="宋体" w:eastAsia="宋体"/>
          <w:sz w:val="24"/>
        </w:rPr>
        <w:t>.1</w:t>
      </w:r>
      <w:r>
        <w:rPr>
          <w:rFonts w:hint="eastAsia" w:ascii="宋体" w:hAnsi="宋体" w:eastAsia="宋体" w:cs="宋体"/>
          <w:sz w:val="24"/>
          <w:szCs w:val="24"/>
        </w:rPr>
        <w:t>采购人与成交供应商应当按照</w:t>
      </w:r>
      <w:r>
        <w:rPr>
          <w:rFonts w:hint="eastAsia" w:ascii="宋体" w:hAnsi="宋体" w:eastAsia="宋体" w:cs="宋体"/>
          <w:sz w:val="24"/>
          <w:szCs w:val="24"/>
          <w:u w:val="single"/>
        </w:rPr>
        <w:t>供应商须知前附表</w:t>
      </w:r>
      <w:r>
        <w:rPr>
          <w:rFonts w:hint="eastAsia" w:ascii="宋体" w:hAnsi="宋体" w:eastAsia="宋体" w:cs="宋体"/>
          <w:sz w:val="24"/>
          <w:szCs w:val="24"/>
        </w:rPr>
        <w:t>规定的时间内完成政府采购合同签订及合同公告。</w:t>
      </w:r>
    </w:p>
    <w:p w14:paraId="314A90D2">
      <w:pPr>
        <w:spacing w:line="360" w:lineRule="auto"/>
        <w:ind w:firstLine="480" w:firstLineChars="200"/>
        <w:rPr>
          <w:rFonts w:ascii="宋体" w:hAnsi="宋体" w:eastAsia="宋体"/>
          <w:sz w:val="24"/>
        </w:rPr>
      </w:pPr>
      <w:r>
        <w:rPr>
          <w:rFonts w:hint="eastAsia" w:ascii="宋体" w:hAnsi="宋体" w:eastAsia="宋体"/>
          <w:sz w:val="24"/>
        </w:rPr>
        <w:t>27</w:t>
      </w:r>
      <w:r>
        <w:rPr>
          <w:rFonts w:ascii="宋体" w:hAnsi="宋体" w:eastAsia="宋体"/>
          <w:sz w:val="24"/>
        </w:rPr>
        <w:t>.2磋商文件、成交供应商的响应文件及其澄清文件等，均为签订合同的依据。</w:t>
      </w:r>
    </w:p>
    <w:p w14:paraId="3B6BC23D">
      <w:pPr>
        <w:spacing w:line="360" w:lineRule="auto"/>
        <w:ind w:firstLine="480" w:firstLineChars="200"/>
        <w:rPr>
          <w:rFonts w:ascii="宋体" w:hAnsi="宋体" w:eastAsia="宋体"/>
          <w:sz w:val="24"/>
        </w:rPr>
      </w:pPr>
      <w:r>
        <w:rPr>
          <w:rFonts w:hint="eastAsia" w:ascii="宋体" w:hAnsi="宋体" w:eastAsia="宋体"/>
          <w:sz w:val="24"/>
        </w:rPr>
        <w:t>27</w:t>
      </w:r>
      <w:r>
        <w:rPr>
          <w:rFonts w:ascii="宋体" w:hAnsi="宋体" w:eastAsia="宋体"/>
          <w:sz w:val="24"/>
        </w:rPr>
        <w:t>.3成交供应商拒绝与采购人签订合同的，采购人可以按照评审报告推荐的成交候选供应商名单排序，确定下一成交候选供应商为成交供应商，也可以重新开展采购活动。</w:t>
      </w:r>
      <w:r>
        <w:rPr>
          <w:rFonts w:hint="eastAsia" w:ascii="宋体" w:hAnsi="宋体" w:eastAsia="宋体"/>
          <w:sz w:val="24"/>
        </w:rPr>
        <w:t>成交供应商拒绝签订政府采购合同的不得参加对该项目重新开展的采购活动。</w:t>
      </w:r>
    </w:p>
    <w:p w14:paraId="484FC011">
      <w:pPr>
        <w:spacing w:line="360" w:lineRule="auto"/>
        <w:ind w:firstLine="470" w:firstLineChars="196"/>
        <w:rPr>
          <w:rFonts w:ascii="宋体" w:hAnsi="宋体" w:eastAsia="宋体"/>
          <w:sz w:val="24"/>
        </w:rPr>
      </w:pPr>
      <w:bookmarkStart w:id="58" w:name="_Hlk60264926"/>
      <w:r>
        <w:rPr>
          <w:rFonts w:hint="eastAsia" w:ascii="宋体" w:hAnsi="宋体" w:eastAsia="宋体"/>
          <w:sz w:val="24"/>
        </w:rPr>
        <w:t>27.</w:t>
      </w:r>
      <w:r>
        <w:rPr>
          <w:rFonts w:ascii="宋体" w:hAnsi="宋体" w:eastAsia="宋体"/>
          <w:sz w:val="24"/>
        </w:rPr>
        <w:t>4</w:t>
      </w:r>
      <w:r>
        <w:rPr>
          <w:rFonts w:hint="eastAsia" w:ascii="宋体" w:hAnsi="宋体" w:eastAsia="宋体"/>
          <w:sz w:val="24"/>
        </w:rPr>
        <w:t>依据《政府采购促进中小企业发展管理办法》（财库〔</w:t>
      </w:r>
      <w:r>
        <w:rPr>
          <w:rFonts w:ascii="宋体" w:hAnsi="宋体" w:eastAsia="宋体"/>
          <w:sz w:val="24"/>
        </w:rPr>
        <w:t>2020〕46号</w:t>
      </w:r>
      <w:r>
        <w:rPr>
          <w:rFonts w:hint="eastAsia" w:ascii="宋体" w:hAnsi="宋体" w:eastAsia="宋体"/>
          <w:sz w:val="24"/>
        </w:rPr>
        <w:t>）规定享受扶持政策获得政府采购合同的，小微企业不得将合同分包给大中型企业，中型企业不得将合同分包给大型企业。</w:t>
      </w:r>
      <w:bookmarkEnd w:id="58"/>
    </w:p>
    <w:p w14:paraId="1B7EE077">
      <w:pPr>
        <w:spacing w:line="360" w:lineRule="auto"/>
        <w:ind w:firstLine="437"/>
        <w:outlineLvl w:val="2"/>
        <w:rPr>
          <w:rFonts w:ascii="宋体" w:hAnsi="宋体" w:eastAsia="宋体"/>
          <w:b/>
          <w:sz w:val="24"/>
        </w:rPr>
      </w:pPr>
      <w:r>
        <w:rPr>
          <w:rFonts w:hint="eastAsia" w:ascii="宋体" w:hAnsi="宋体" w:eastAsia="宋体"/>
          <w:b/>
          <w:sz w:val="24"/>
        </w:rPr>
        <w:t>28</w:t>
      </w:r>
      <w:r>
        <w:rPr>
          <w:rFonts w:ascii="宋体" w:hAnsi="宋体" w:eastAsia="宋体"/>
          <w:b/>
          <w:sz w:val="24"/>
        </w:rPr>
        <w:t>.廉洁</w:t>
      </w:r>
      <w:r>
        <w:rPr>
          <w:rFonts w:asciiTheme="minorEastAsia" w:hAnsiTheme="minorEastAsia" w:eastAsiaTheme="minorEastAsia"/>
          <w:b/>
          <w:sz w:val="24"/>
        </w:rPr>
        <w:t>自律</w:t>
      </w:r>
      <w:r>
        <w:rPr>
          <w:rFonts w:ascii="宋体" w:hAnsi="宋体" w:eastAsia="宋体"/>
          <w:b/>
          <w:sz w:val="24"/>
        </w:rPr>
        <w:t>规定</w:t>
      </w:r>
    </w:p>
    <w:p w14:paraId="375D323E">
      <w:pPr>
        <w:spacing w:line="360" w:lineRule="auto"/>
        <w:ind w:firstLine="435"/>
        <w:rPr>
          <w:rFonts w:ascii="宋体" w:hAnsi="宋体" w:eastAsia="宋体"/>
          <w:sz w:val="24"/>
        </w:rPr>
      </w:pPr>
      <w:r>
        <w:rPr>
          <w:rFonts w:hint="eastAsia" w:ascii="宋体" w:hAnsi="宋体" w:eastAsia="宋体"/>
          <w:sz w:val="24"/>
        </w:rPr>
        <w:t>28</w:t>
      </w:r>
      <w:r>
        <w:rPr>
          <w:rFonts w:ascii="宋体" w:hAnsi="宋体" w:eastAsia="宋体"/>
          <w:sz w:val="24"/>
        </w:rPr>
        <w:t>.1采购代理机构工作人员不得以不正当手段获取政府采购代理业务，不得与采购人、供应商恶意串通。</w:t>
      </w:r>
    </w:p>
    <w:p w14:paraId="5CE7A49D">
      <w:pPr>
        <w:spacing w:line="360" w:lineRule="auto"/>
        <w:ind w:firstLine="435"/>
        <w:rPr>
          <w:rFonts w:ascii="宋体" w:hAnsi="宋体" w:eastAsia="宋体"/>
          <w:sz w:val="24"/>
        </w:rPr>
      </w:pPr>
      <w:r>
        <w:rPr>
          <w:rFonts w:hint="eastAsia" w:ascii="宋体" w:hAnsi="宋体" w:eastAsia="宋体"/>
          <w:sz w:val="24"/>
        </w:rPr>
        <w:t>28</w:t>
      </w:r>
      <w:r>
        <w:rPr>
          <w:rFonts w:ascii="宋体" w:hAnsi="宋体" w:eastAsia="宋体"/>
          <w:sz w:val="24"/>
        </w:rPr>
        <w:t>.2采购代理机构工作人员不得接受采购人或者供应商组织的宴请、旅游、娱乐，不得收受礼品、现金、有价证券等，不得向采购人或者供应商报销应当由个人承担的费用。</w:t>
      </w:r>
    </w:p>
    <w:p w14:paraId="313798F4">
      <w:pPr>
        <w:spacing w:line="360" w:lineRule="auto"/>
        <w:ind w:firstLine="437"/>
        <w:outlineLvl w:val="2"/>
        <w:rPr>
          <w:rFonts w:ascii="宋体" w:hAnsi="宋体" w:eastAsia="宋体"/>
          <w:b/>
          <w:sz w:val="24"/>
        </w:rPr>
      </w:pPr>
      <w:r>
        <w:rPr>
          <w:rFonts w:hint="eastAsia" w:ascii="宋体" w:hAnsi="宋体" w:eastAsia="宋体"/>
          <w:b/>
          <w:sz w:val="24"/>
        </w:rPr>
        <w:t>29</w:t>
      </w:r>
      <w:r>
        <w:rPr>
          <w:rFonts w:ascii="宋体" w:hAnsi="宋体" w:eastAsia="宋体"/>
          <w:b/>
          <w:sz w:val="24"/>
        </w:rPr>
        <w:t>.质疑的</w:t>
      </w:r>
      <w:r>
        <w:rPr>
          <w:rFonts w:asciiTheme="minorEastAsia" w:hAnsiTheme="minorEastAsia" w:eastAsiaTheme="minorEastAsia"/>
          <w:b/>
          <w:sz w:val="24"/>
        </w:rPr>
        <w:t>提出</w:t>
      </w:r>
      <w:r>
        <w:rPr>
          <w:rFonts w:ascii="宋体" w:hAnsi="宋体" w:eastAsia="宋体"/>
          <w:b/>
          <w:sz w:val="24"/>
        </w:rPr>
        <w:t>与接收</w:t>
      </w:r>
    </w:p>
    <w:p w14:paraId="4815E25E">
      <w:pPr>
        <w:spacing w:line="360" w:lineRule="auto"/>
        <w:ind w:firstLine="435"/>
        <w:rPr>
          <w:rFonts w:ascii="宋体" w:hAnsi="宋体" w:eastAsia="宋体"/>
          <w:sz w:val="24"/>
        </w:rPr>
      </w:pPr>
      <w:r>
        <w:rPr>
          <w:rFonts w:hint="eastAsia" w:ascii="宋体" w:hAnsi="宋体" w:eastAsia="宋体"/>
          <w:sz w:val="24"/>
        </w:rPr>
        <w:t>29.1供应商认为磋商文件、采购过程和成交结果使自己的权益受到损害的，可以在知道或者应知其权益受到损害之日起七个工作日内，以书面形式向采购人或其委托的采购代理机构提出质疑。</w:t>
      </w:r>
    </w:p>
    <w:p w14:paraId="744173A3">
      <w:pPr>
        <w:spacing w:line="360" w:lineRule="auto"/>
        <w:ind w:firstLine="435"/>
        <w:rPr>
          <w:rFonts w:ascii="宋体" w:hAnsi="宋体" w:eastAsia="宋体"/>
          <w:sz w:val="24"/>
        </w:rPr>
      </w:pPr>
      <w:r>
        <w:rPr>
          <w:rFonts w:hint="eastAsia" w:ascii="宋体" w:hAnsi="宋体" w:eastAsia="宋体"/>
          <w:sz w:val="24"/>
        </w:rPr>
        <w:t>29.2质疑供应商应按照财政部制定的《政府采购质疑函范本》格式（详见磋商文件）和《政府采购质疑和投诉办法》的要求，在法定质疑期内以书面形式提出质疑，超出法定质疑期提交的质疑将被拒绝。针对同一采购程序环节的质疑应一次性提出。</w:t>
      </w:r>
    </w:p>
    <w:p w14:paraId="5B7769D8">
      <w:pPr>
        <w:spacing w:line="360" w:lineRule="auto"/>
        <w:ind w:firstLine="435"/>
        <w:rPr>
          <w:rFonts w:ascii="宋体" w:hAnsi="宋体" w:eastAsia="宋体"/>
          <w:sz w:val="24"/>
        </w:rPr>
      </w:pPr>
      <w:r>
        <w:rPr>
          <w:rFonts w:hint="eastAsia" w:ascii="宋体" w:hAnsi="宋体" w:eastAsia="宋体"/>
          <w:sz w:val="24"/>
        </w:rPr>
        <w:t>29.3采购代理机构质疑函接收部门、联系电话和通讯地址，见</w:t>
      </w:r>
      <w:r>
        <w:rPr>
          <w:rFonts w:hint="eastAsia" w:ascii="宋体" w:hAnsi="宋体" w:eastAsia="宋体"/>
          <w:sz w:val="24"/>
          <w:u w:val="single"/>
        </w:rPr>
        <w:t>供应商须知前附表</w:t>
      </w:r>
      <w:r>
        <w:rPr>
          <w:rFonts w:hint="eastAsia" w:ascii="宋体" w:hAnsi="宋体" w:eastAsia="宋体"/>
          <w:sz w:val="24"/>
        </w:rPr>
        <w:t>。</w:t>
      </w:r>
    </w:p>
    <w:p w14:paraId="75495013">
      <w:pPr>
        <w:spacing w:line="360" w:lineRule="auto"/>
        <w:ind w:firstLine="435"/>
        <w:rPr>
          <w:rFonts w:ascii="宋体" w:hAnsi="宋体" w:eastAsia="宋体"/>
          <w:sz w:val="24"/>
        </w:rPr>
      </w:pPr>
      <w:r>
        <w:rPr>
          <w:rFonts w:hint="eastAsia" w:ascii="宋体" w:hAnsi="宋体" w:eastAsia="宋体"/>
          <w:sz w:val="24"/>
        </w:rPr>
        <w:t>注：上述条款中所要求的书面形式包含通过电子交易系统递交方式。</w:t>
      </w:r>
    </w:p>
    <w:p w14:paraId="15C4E3AE">
      <w:pPr>
        <w:spacing w:line="360" w:lineRule="auto"/>
        <w:ind w:firstLine="437"/>
        <w:outlineLvl w:val="2"/>
        <w:rPr>
          <w:rFonts w:ascii="宋体" w:hAnsi="宋体" w:eastAsia="宋体"/>
          <w:b/>
          <w:sz w:val="24"/>
        </w:rPr>
      </w:pPr>
      <w:r>
        <w:rPr>
          <w:rFonts w:hint="eastAsia" w:ascii="宋体" w:hAnsi="宋体" w:eastAsia="宋体"/>
          <w:b/>
          <w:sz w:val="24"/>
        </w:rPr>
        <w:t>30</w:t>
      </w:r>
      <w:r>
        <w:rPr>
          <w:rFonts w:ascii="宋体" w:hAnsi="宋体" w:eastAsia="宋体"/>
          <w:b/>
          <w:sz w:val="24"/>
        </w:rPr>
        <w:t>.需要</w:t>
      </w:r>
      <w:r>
        <w:rPr>
          <w:rFonts w:asciiTheme="minorEastAsia" w:hAnsiTheme="minorEastAsia" w:eastAsiaTheme="minorEastAsia"/>
          <w:b/>
          <w:sz w:val="24"/>
        </w:rPr>
        <w:t>补充</w:t>
      </w:r>
      <w:r>
        <w:rPr>
          <w:rFonts w:ascii="宋体" w:hAnsi="宋体" w:eastAsia="宋体"/>
          <w:b/>
          <w:sz w:val="24"/>
        </w:rPr>
        <w:t>的其他内容</w:t>
      </w:r>
    </w:p>
    <w:p w14:paraId="735C828E">
      <w:pPr>
        <w:spacing w:line="360" w:lineRule="auto"/>
        <w:ind w:firstLine="437"/>
        <w:outlineLvl w:val="2"/>
        <w:rPr>
          <w:rFonts w:asciiTheme="minorEastAsia" w:hAnsiTheme="minorEastAsia" w:eastAsiaTheme="minorEastAsia"/>
          <w:b/>
          <w:sz w:val="28"/>
        </w:rPr>
      </w:pPr>
      <w:r>
        <w:rPr>
          <w:rFonts w:hint="eastAsia" w:ascii="宋体" w:hAnsi="宋体" w:eastAsia="宋体"/>
          <w:sz w:val="24"/>
        </w:rPr>
        <w:t>需要补充的其他内容，见</w:t>
      </w:r>
      <w:r>
        <w:rPr>
          <w:rFonts w:hint="eastAsia" w:ascii="宋体" w:hAnsi="宋体" w:eastAsia="宋体"/>
          <w:sz w:val="24"/>
          <w:u w:val="single"/>
        </w:rPr>
        <w:t>供应商须知前附表</w:t>
      </w:r>
      <w:r>
        <w:rPr>
          <w:rFonts w:hint="eastAsia" w:ascii="宋体" w:hAnsi="宋体" w:eastAsia="宋体"/>
          <w:sz w:val="24"/>
        </w:rPr>
        <w:t>。</w:t>
      </w:r>
      <w:r>
        <w:rPr>
          <w:rFonts w:asciiTheme="minorEastAsia" w:hAnsiTheme="minorEastAsia" w:eastAsiaTheme="minorEastAsia"/>
          <w:sz w:val="24"/>
        </w:rPr>
        <w:br w:type="page"/>
      </w:r>
    </w:p>
    <w:p w14:paraId="15060971">
      <w:pPr>
        <w:spacing w:line="360" w:lineRule="auto"/>
        <w:jc w:val="center"/>
        <w:outlineLvl w:val="0"/>
        <w:rPr>
          <w:rFonts w:asciiTheme="minorEastAsia" w:hAnsiTheme="minorEastAsia" w:eastAsiaTheme="minorEastAsia"/>
          <w:b/>
          <w:sz w:val="28"/>
        </w:rPr>
      </w:pPr>
      <w:bookmarkStart w:id="59" w:name="_Toc19440"/>
      <w:r>
        <w:rPr>
          <w:rFonts w:hint="eastAsia" w:asciiTheme="minorEastAsia" w:hAnsiTheme="minorEastAsia" w:eastAsiaTheme="minorEastAsia"/>
          <w:b/>
          <w:sz w:val="28"/>
        </w:rPr>
        <w:t>第三章  采购需求</w:t>
      </w:r>
      <w:bookmarkEnd w:id="59"/>
    </w:p>
    <w:p w14:paraId="504DA8CE">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前注：</w:t>
      </w:r>
    </w:p>
    <w:p w14:paraId="37E96A9A">
      <w:pPr>
        <w:spacing w:line="360" w:lineRule="auto"/>
        <w:ind w:firstLine="435"/>
        <w:rPr>
          <w:rFonts w:ascii="宋体" w:hAnsi="宋体" w:eastAsia="宋体" w:cs="宋体"/>
          <w:sz w:val="24"/>
          <w:szCs w:val="24"/>
        </w:rPr>
      </w:pPr>
      <w:r>
        <w:rPr>
          <w:rFonts w:hint="eastAsia" w:ascii="宋体" w:hAnsi="宋体" w:eastAsia="宋体" w:cs="宋体"/>
          <w:sz w:val="24"/>
          <w:szCs w:val="24"/>
        </w:rPr>
        <w:t>1.本采购需求中提出的服务方案仅为参考，如无明确限制，供应商可以进行优化，提供满足采购人实际需要的更优（或者性能实质上不低于的）服务方案，且此方案须经磋商小组评审认可。</w:t>
      </w:r>
    </w:p>
    <w:p w14:paraId="27F6D92C">
      <w:pPr>
        <w:spacing w:line="360" w:lineRule="auto"/>
        <w:ind w:firstLine="435"/>
        <w:rPr>
          <w:rFonts w:ascii="宋体" w:hAnsi="宋体" w:eastAsia="宋体"/>
          <w:sz w:val="24"/>
          <w:szCs w:val="18"/>
        </w:rPr>
      </w:pPr>
      <w:r>
        <w:rPr>
          <w:rFonts w:hint="eastAsia" w:ascii="宋体" w:hAnsi="宋体" w:eastAsia="宋体"/>
          <w:sz w:val="24"/>
          <w:szCs w:val="18"/>
        </w:rPr>
        <w:t>2.下列采购需求中</w:t>
      </w:r>
      <w:r>
        <w:rPr>
          <w:rFonts w:ascii="宋体" w:hAnsi="宋体" w:eastAsia="宋体" w:cs="宋体"/>
          <w:sz w:val="24"/>
          <w:szCs w:val="24"/>
        </w:rPr>
        <w:t>（包括但不限于下列具体政策要求</w:t>
      </w:r>
      <w:r>
        <w:rPr>
          <w:rFonts w:hint="eastAsia" w:ascii="宋体" w:hAnsi="宋体" w:eastAsia="宋体" w:cs="宋体"/>
          <w:sz w:val="24"/>
          <w:szCs w:val="24"/>
        </w:rPr>
        <w:t>）</w:t>
      </w:r>
      <w:r>
        <w:rPr>
          <w:rFonts w:hint="eastAsia" w:ascii="宋体" w:hAnsi="宋体" w:eastAsia="宋体"/>
          <w:sz w:val="24"/>
          <w:szCs w:val="18"/>
        </w:rPr>
        <w:t>：</w:t>
      </w:r>
    </w:p>
    <w:p w14:paraId="6EE10D50">
      <w:pPr>
        <w:spacing w:line="360" w:lineRule="auto"/>
        <w:ind w:firstLine="435"/>
        <w:rPr>
          <w:rFonts w:ascii="宋体" w:hAnsi="宋体" w:eastAsia="宋体" w:cs="宋体"/>
          <w:sz w:val="24"/>
          <w:szCs w:val="24"/>
        </w:rPr>
      </w:pPr>
      <w:r>
        <w:rPr>
          <w:rFonts w:hint="eastAsia" w:ascii="宋体" w:hAnsi="宋体" w:eastAsia="宋体" w:cs="宋体"/>
          <w:sz w:val="24"/>
          <w:szCs w:val="24"/>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30CD8BF7">
      <w:pPr>
        <w:spacing w:line="360" w:lineRule="auto"/>
        <w:ind w:firstLine="435"/>
        <w:rPr>
          <w:rFonts w:ascii="宋体" w:hAnsi="宋体" w:eastAsia="宋体" w:cs="宋体"/>
          <w:sz w:val="24"/>
          <w:szCs w:val="24"/>
        </w:rPr>
      </w:pPr>
      <w:r>
        <w:rPr>
          <w:rFonts w:hint="eastAsia" w:ascii="宋体" w:hAnsi="宋体" w:eastAsia="宋体" w:cs="宋体"/>
          <w:sz w:val="24"/>
          <w:szCs w:val="24"/>
        </w:rPr>
        <w:t>（2）如涉及商品包装和快递包装，供应商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61483EAE">
      <w:pPr>
        <w:spacing w:line="360" w:lineRule="auto"/>
        <w:ind w:firstLine="435"/>
        <w:rPr>
          <w:rFonts w:asciiTheme="minorEastAsia" w:hAnsiTheme="minorEastAsia" w:eastAsiaTheme="minorEastAsia"/>
          <w:sz w:val="24"/>
        </w:rPr>
      </w:pPr>
      <w:r>
        <w:rPr>
          <w:rFonts w:hint="eastAsia" w:ascii="宋体" w:hAnsi="宋体" w:eastAsia="宋体"/>
          <w:sz w:val="24"/>
          <w:szCs w:val="18"/>
        </w:rPr>
        <w:t>3.如采购人允许采用分包方式履行合同的，应当明确可以分包履行的相关内容。</w:t>
      </w:r>
    </w:p>
    <w:p w14:paraId="5968168C">
      <w:pPr>
        <w:spacing w:line="360" w:lineRule="auto"/>
        <w:ind w:firstLine="437"/>
        <w:outlineLvl w:val="1"/>
        <w:rPr>
          <w:rFonts w:ascii="宋体" w:hAnsi="宋体" w:eastAsia="宋体"/>
          <w:b/>
          <w:sz w:val="24"/>
          <w:szCs w:val="18"/>
        </w:rPr>
      </w:pPr>
      <w:bookmarkStart w:id="60" w:name="_Toc26349"/>
      <w:bookmarkStart w:id="61" w:name="_Toc7699"/>
      <w:r>
        <w:rPr>
          <w:rFonts w:hint="eastAsia" w:ascii="宋体" w:hAnsi="宋体" w:eastAsia="宋体"/>
          <w:b/>
          <w:sz w:val="24"/>
          <w:szCs w:val="18"/>
        </w:rPr>
        <w:t>一、采购需求前附表</w:t>
      </w:r>
      <w:bookmarkEnd w:id="60"/>
      <w:bookmarkEnd w:id="61"/>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4F85F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F98A24D">
            <w:pPr>
              <w:pStyle w:val="43"/>
              <w:pBdr>
                <w:bottom w:val="none" w:color="auto" w:sz="0" w:space="0"/>
              </w:pBdr>
              <w:tabs>
                <w:tab w:val="clear" w:pos="4153"/>
                <w:tab w:val="clear" w:pos="8306"/>
              </w:tabs>
              <w:adjustRightInd/>
              <w:spacing w:line="240" w:lineRule="auto"/>
              <w:textAlignment w:val="auto"/>
              <w:rPr>
                <w:rFonts w:ascii="宋体" w:hAnsi="宋体" w:eastAsia="宋体"/>
                <w:b/>
                <w:kern w:val="2"/>
              </w:rPr>
            </w:pPr>
            <w:bookmarkStart w:id="62" w:name="_Hlk16461016"/>
            <w:r>
              <w:rPr>
                <w:rFonts w:hint="eastAsia" w:ascii="宋体" w:hAnsi="宋体" w:eastAsia="宋体"/>
                <w:b/>
                <w:kern w:val="2"/>
              </w:rPr>
              <w:t>序号</w:t>
            </w:r>
          </w:p>
        </w:tc>
        <w:tc>
          <w:tcPr>
            <w:tcW w:w="1192" w:type="pct"/>
            <w:vAlign w:val="center"/>
          </w:tcPr>
          <w:p w14:paraId="275B5136">
            <w:pPr>
              <w:pStyle w:val="42"/>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3217" w:type="pct"/>
            <w:vAlign w:val="center"/>
          </w:tcPr>
          <w:p w14:paraId="3EDF3E83">
            <w:pPr>
              <w:pStyle w:val="42"/>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14:paraId="02851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403325B">
            <w:pPr>
              <w:pStyle w:val="43"/>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1192" w:type="pct"/>
            <w:vAlign w:val="center"/>
          </w:tcPr>
          <w:p w14:paraId="7BD8080D">
            <w:pPr>
              <w:pStyle w:val="42"/>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3217" w:type="pct"/>
            <w:vAlign w:val="center"/>
          </w:tcPr>
          <w:p w14:paraId="705CBC34">
            <w:pPr>
              <w:pStyle w:val="4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每季度末根据考核结果结算该季度运维服务费，同时预付下一季度运维服务费的70%（第四季度除外），在收到供应商开具的发票7个工作日内支付。</w:t>
            </w:r>
          </w:p>
        </w:tc>
      </w:tr>
      <w:tr w14:paraId="2A5F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218209C">
            <w:pPr>
              <w:pStyle w:val="43"/>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1192" w:type="pct"/>
            <w:vAlign w:val="center"/>
          </w:tcPr>
          <w:p w14:paraId="5D778B9B">
            <w:pPr>
              <w:pStyle w:val="42"/>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服务地点</w:t>
            </w:r>
          </w:p>
        </w:tc>
        <w:tc>
          <w:tcPr>
            <w:tcW w:w="3217" w:type="pct"/>
            <w:vAlign w:val="center"/>
          </w:tcPr>
          <w:p w14:paraId="2C0E282F">
            <w:pPr>
              <w:pStyle w:val="4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安徽省蚌埠市、宿州市、淮北市境内。</w:t>
            </w:r>
          </w:p>
        </w:tc>
      </w:tr>
      <w:tr w14:paraId="593E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9CCD1BC">
            <w:pPr>
              <w:pStyle w:val="43"/>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1192" w:type="pct"/>
            <w:vAlign w:val="center"/>
          </w:tcPr>
          <w:p w14:paraId="4238436E">
            <w:pPr>
              <w:pStyle w:val="42"/>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服务期限</w:t>
            </w:r>
          </w:p>
        </w:tc>
        <w:tc>
          <w:tcPr>
            <w:tcW w:w="3217" w:type="pct"/>
            <w:vAlign w:val="center"/>
          </w:tcPr>
          <w:p w14:paraId="267BE622">
            <w:pPr>
              <w:pStyle w:val="4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自合同签订之日至2026年12月。</w:t>
            </w:r>
          </w:p>
        </w:tc>
      </w:tr>
      <w:tr w14:paraId="7E1AD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807CA26">
            <w:pPr>
              <w:pStyle w:val="43"/>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4</w:t>
            </w:r>
          </w:p>
        </w:tc>
        <w:tc>
          <w:tcPr>
            <w:tcW w:w="1192" w:type="pct"/>
            <w:vAlign w:val="center"/>
          </w:tcPr>
          <w:p w14:paraId="5AACB1A8">
            <w:pPr>
              <w:pStyle w:val="42"/>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本项目采购标的名称及所属行业</w:t>
            </w:r>
          </w:p>
        </w:tc>
        <w:tc>
          <w:tcPr>
            <w:tcW w:w="3217" w:type="pct"/>
            <w:vAlign w:val="center"/>
          </w:tcPr>
          <w:p w14:paraId="29E1E5C5">
            <w:pPr>
              <w:rPr>
                <w:rFonts w:ascii="宋体" w:hAnsi="宋体" w:eastAsia="宋体"/>
                <w:sz w:val="24"/>
              </w:rPr>
            </w:pPr>
            <w:r>
              <w:rPr>
                <w:rFonts w:hint="eastAsia" w:ascii="宋体" w:hAnsi="宋体" w:eastAsia="宋体"/>
                <w:sz w:val="24"/>
              </w:rPr>
              <w:t>标的名称：安徽省淮水北调工程2026年度调度管理设施设备运行维护项目</w:t>
            </w:r>
          </w:p>
          <w:p w14:paraId="69690361">
            <w:pPr>
              <w:rPr>
                <w:rFonts w:ascii="宋体" w:hAnsi="宋体" w:eastAsia="宋体"/>
                <w:sz w:val="24"/>
              </w:rPr>
            </w:pPr>
            <w:r>
              <w:rPr>
                <w:rFonts w:hint="eastAsia" w:ascii="宋体" w:hAnsi="宋体" w:eastAsia="宋体"/>
                <w:sz w:val="24"/>
              </w:rPr>
              <w:t>所属行业：其他未列明行业</w:t>
            </w:r>
          </w:p>
        </w:tc>
      </w:tr>
      <w:bookmarkEnd w:id="62"/>
    </w:tbl>
    <w:p w14:paraId="59A333BE">
      <w:pPr>
        <w:spacing w:line="360" w:lineRule="auto"/>
        <w:ind w:firstLine="480"/>
        <w:outlineLvl w:val="1"/>
        <w:rPr>
          <w:rFonts w:ascii="Times New Roman" w:hAnsi="Times New Roman" w:cs="Times New Roman" w:eastAsiaTheme="minorEastAsia"/>
          <w:sz w:val="24"/>
        </w:rPr>
      </w:pPr>
      <w:bookmarkStart w:id="63" w:name="_Toc25144"/>
      <w:bookmarkStart w:id="64" w:name="_Toc23116"/>
      <w:r>
        <w:rPr>
          <w:rFonts w:ascii="Times New Roman" w:cs="Times New Roman" w:hAnsiTheme="minorEastAsia" w:eastAsiaTheme="minorEastAsia"/>
          <w:sz w:val="24"/>
        </w:rPr>
        <w:t>二、</w:t>
      </w:r>
      <w:r>
        <w:rPr>
          <w:rFonts w:ascii="Times New Roman" w:hAnsi="宋体" w:eastAsia="宋体" w:cs="Times New Roman"/>
          <w:b/>
          <w:sz w:val="24"/>
          <w:szCs w:val="18"/>
        </w:rPr>
        <w:t>项目概况</w:t>
      </w:r>
      <w:bookmarkEnd w:id="63"/>
      <w:bookmarkEnd w:id="64"/>
    </w:p>
    <w:p w14:paraId="453094C0">
      <w:pPr>
        <w:spacing w:line="380" w:lineRule="exact"/>
        <w:ind w:firstLine="480"/>
        <w:outlineLvl w:val="1"/>
        <w:rPr>
          <w:rFonts w:ascii="Times New Roman" w:hAnsi="Times New Roman" w:cs="Times New Roman" w:eastAsiaTheme="minorEastAsia"/>
          <w:sz w:val="24"/>
        </w:rPr>
      </w:pPr>
      <w:r>
        <w:rPr>
          <w:rFonts w:ascii="Times New Roman" w:cs="Times New Roman" w:hAnsiTheme="minorEastAsia" w:eastAsiaTheme="minorEastAsia"/>
          <w:sz w:val="24"/>
        </w:rPr>
        <w:t>安徽省淮水北调工程是国务院确定的</w:t>
      </w:r>
      <w:r>
        <w:rPr>
          <w:rFonts w:ascii="Times New Roman" w:hAnsi="Times New Roman" w:cs="Times New Roman" w:eastAsiaTheme="minorEastAsia"/>
          <w:sz w:val="24"/>
        </w:rPr>
        <w:t>172</w:t>
      </w:r>
      <w:r>
        <w:rPr>
          <w:rFonts w:ascii="Times New Roman" w:cs="Times New Roman" w:hAnsiTheme="minorEastAsia" w:eastAsiaTheme="minorEastAsia"/>
          <w:sz w:val="24"/>
        </w:rPr>
        <w:t>项节水供水重大水利工程之一，是安徽省</w:t>
      </w:r>
      <w:r>
        <w:rPr>
          <w:rFonts w:ascii="Times New Roman" w:hAnsi="Times New Roman" w:cs="Times New Roman" w:eastAsiaTheme="minorEastAsia"/>
          <w:sz w:val="24"/>
        </w:rPr>
        <w:t>“</w:t>
      </w:r>
      <w:r>
        <w:rPr>
          <w:rFonts w:ascii="Times New Roman" w:cs="Times New Roman" w:hAnsiTheme="minorEastAsia" w:eastAsiaTheme="minorEastAsia"/>
          <w:sz w:val="24"/>
        </w:rPr>
        <w:t>三横三纵</w:t>
      </w:r>
      <w:r>
        <w:rPr>
          <w:rFonts w:ascii="Times New Roman" w:hAnsi="Times New Roman" w:cs="Times New Roman" w:eastAsiaTheme="minorEastAsia"/>
          <w:sz w:val="24"/>
        </w:rPr>
        <w:t>”</w:t>
      </w:r>
      <w:r>
        <w:rPr>
          <w:rFonts w:ascii="Times New Roman" w:cs="Times New Roman" w:hAnsiTheme="minorEastAsia" w:eastAsiaTheme="minorEastAsia"/>
          <w:sz w:val="24"/>
        </w:rPr>
        <w:t>水资源配置体系的跨区域骨干调水工程，是支撑和保障皖北地区加快发展的重大基础设施，也是国家南水北调东线配水工程和安徽省引江济淮工程的延伸工程。工程主要建设内容包括疏浚河道，新建压力箱涵，新建扩建泵站、节制闸（涵）、沟口涵闸、桥梁，防污导污控污、挖压占地拆迁、调度信息系统、工程管理设施等，批复总投资</w:t>
      </w:r>
      <w:r>
        <w:rPr>
          <w:rFonts w:ascii="Times New Roman" w:hAnsi="Times New Roman" w:cs="Times New Roman" w:eastAsiaTheme="minorEastAsia"/>
          <w:sz w:val="24"/>
        </w:rPr>
        <w:t>13.66</w:t>
      </w:r>
      <w:r>
        <w:rPr>
          <w:rFonts w:ascii="Times New Roman" w:cs="Times New Roman" w:hAnsiTheme="minorEastAsia" w:eastAsiaTheme="minorEastAsia"/>
          <w:sz w:val="24"/>
        </w:rPr>
        <w:t>亿元。工程于</w:t>
      </w:r>
      <w:r>
        <w:rPr>
          <w:rFonts w:ascii="Times New Roman" w:hAnsi="Times New Roman" w:cs="Times New Roman" w:eastAsiaTheme="minorEastAsia"/>
          <w:sz w:val="24"/>
        </w:rPr>
        <w:t>2012</w:t>
      </w:r>
      <w:r>
        <w:rPr>
          <w:rFonts w:ascii="Times New Roman" w:cs="Times New Roman" w:hAnsiTheme="minorEastAsia" w:eastAsiaTheme="minorEastAsia"/>
          <w:sz w:val="24"/>
        </w:rPr>
        <w:t>年</w:t>
      </w:r>
      <w:r>
        <w:rPr>
          <w:rFonts w:ascii="Times New Roman" w:hAnsi="Times New Roman" w:cs="Times New Roman" w:eastAsiaTheme="minorEastAsia"/>
          <w:sz w:val="24"/>
        </w:rPr>
        <w:t>11</w:t>
      </w:r>
      <w:r>
        <w:rPr>
          <w:rFonts w:ascii="Times New Roman" w:cs="Times New Roman" w:hAnsiTheme="minorEastAsia" w:eastAsiaTheme="minorEastAsia"/>
          <w:sz w:val="24"/>
        </w:rPr>
        <w:t>月开工，</w:t>
      </w:r>
      <w:r>
        <w:rPr>
          <w:rFonts w:ascii="Times New Roman" w:hAnsi="Times New Roman" w:cs="Times New Roman" w:eastAsiaTheme="minorEastAsia"/>
          <w:sz w:val="24"/>
        </w:rPr>
        <w:t>2017</w:t>
      </w:r>
      <w:r>
        <w:rPr>
          <w:rFonts w:ascii="Times New Roman" w:cs="Times New Roman" w:hAnsiTheme="minorEastAsia" w:eastAsiaTheme="minorEastAsia"/>
          <w:sz w:val="24"/>
        </w:rPr>
        <w:t>年</w:t>
      </w:r>
      <w:r>
        <w:rPr>
          <w:rFonts w:ascii="Times New Roman" w:hAnsi="Times New Roman" w:cs="Times New Roman" w:eastAsiaTheme="minorEastAsia"/>
          <w:sz w:val="24"/>
        </w:rPr>
        <w:t>1</w:t>
      </w:r>
      <w:r>
        <w:rPr>
          <w:rFonts w:ascii="Times New Roman" w:cs="Times New Roman" w:hAnsiTheme="minorEastAsia" w:eastAsiaTheme="minorEastAsia"/>
          <w:sz w:val="24"/>
        </w:rPr>
        <w:t>月通过投入使用验收，</w:t>
      </w:r>
      <w:r>
        <w:rPr>
          <w:rFonts w:ascii="Times New Roman" w:hAnsi="Times New Roman" w:cs="Times New Roman" w:eastAsiaTheme="minorEastAsia"/>
          <w:sz w:val="24"/>
        </w:rPr>
        <w:t>2017</w:t>
      </w:r>
      <w:r>
        <w:rPr>
          <w:rFonts w:ascii="Times New Roman" w:cs="Times New Roman" w:hAnsiTheme="minorEastAsia" w:eastAsiaTheme="minorEastAsia"/>
          <w:sz w:val="24"/>
        </w:rPr>
        <w:t>年底全面建成。其中水质监测系统集成安装工程于</w:t>
      </w:r>
      <w:r>
        <w:rPr>
          <w:rFonts w:ascii="Times New Roman" w:hAnsi="Times New Roman" w:cs="Times New Roman" w:eastAsiaTheme="minorEastAsia"/>
          <w:sz w:val="24"/>
        </w:rPr>
        <w:t>2017</w:t>
      </w:r>
      <w:r>
        <w:rPr>
          <w:rFonts w:ascii="Times New Roman" w:cs="Times New Roman" w:hAnsiTheme="minorEastAsia" w:eastAsiaTheme="minorEastAsia"/>
          <w:sz w:val="24"/>
        </w:rPr>
        <w:t>年</w:t>
      </w:r>
      <w:r>
        <w:rPr>
          <w:rFonts w:ascii="Times New Roman" w:hAnsi="Times New Roman" w:cs="Times New Roman" w:eastAsiaTheme="minorEastAsia"/>
          <w:sz w:val="24"/>
        </w:rPr>
        <w:t>11</w:t>
      </w:r>
      <w:r>
        <w:rPr>
          <w:rFonts w:ascii="Times New Roman" w:cs="Times New Roman" w:hAnsiTheme="minorEastAsia" w:eastAsiaTheme="minorEastAsia"/>
          <w:sz w:val="24"/>
        </w:rPr>
        <w:t>月通过单位工程验收，调度运行信息化系统集成与安装工程于</w:t>
      </w:r>
      <w:r>
        <w:rPr>
          <w:rFonts w:ascii="Times New Roman" w:hAnsi="Times New Roman" w:cs="Times New Roman" w:eastAsiaTheme="minorEastAsia"/>
          <w:sz w:val="24"/>
        </w:rPr>
        <w:t>2017</w:t>
      </w:r>
      <w:r>
        <w:rPr>
          <w:rFonts w:ascii="Times New Roman" w:cs="Times New Roman" w:hAnsiTheme="minorEastAsia" w:eastAsiaTheme="minorEastAsia"/>
          <w:sz w:val="24"/>
        </w:rPr>
        <w:t>年</w:t>
      </w:r>
      <w:r>
        <w:rPr>
          <w:rFonts w:ascii="Times New Roman" w:hAnsi="Times New Roman" w:cs="Times New Roman" w:eastAsiaTheme="minorEastAsia"/>
          <w:sz w:val="24"/>
        </w:rPr>
        <w:t>12</w:t>
      </w:r>
      <w:r>
        <w:rPr>
          <w:rFonts w:ascii="Times New Roman" w:cs="Times New Roman" w:hAnsiTheme="minorEastAsia" w:eastAsiaTheme="minorEastAsia"/>
          <w:sz w:val="24"/>
        </w:rPr>
        <w:t>月通过单位工程验收。</w:t>
      </w:r>
    </w:p>
    <w:p w14:paraId="71368FB9">
      <w:pPr>
        <w:spacing w:line="380" w:lineRule="exact"/>
        <w:ind w:firstLine="480"/>
        <w:outlineLvl w:val="1"/>
        <w:rPr>
          <w:rFonts w:ascii="Times New Roman" w:hAnsi="Times New Roman" w:cs="Times New Roman" w:eastAsiaTheme="minorEastAsia"/>
          <w:sz w:val="24"/>
        </w:rPr>
      </w:pPr>
      <w:r>
        <w:rPr>
          <w:rFonts w:ascii="Times New Roman" w:cs="Times New Roman" w:hAnsiTheme="minorEastAsia" w:eastAsiaTheme="minorEastAsia"/>
          <w:sz w:val="24"/>
        </w:rPr>
        <w:t>本项目采购需求主要包括以下内容：（</w:t>
      </w:r>
      <w:r>
        <w:rPr>
          <w:rFonts w:ascii="Times New Roman" w:hAnsi="Times New Roman" w:cs="Times New Roman" w:eastAsiaTheme="minorEastAsia"/>
          <w:sz w:val="24"/>
        </w:rPr>
        <w:t>1</w:t>
      </w:r>
      <w:r>
        <w:rPr>
          <w:rFonts w:ascii="Times New Roman" w:cs="Times New Roman" w:hAnsiTheme="minorEastAsia" w:eastAsiaTheme="minorEastAsia"/>
          <w:sz w:val="24"/>
        </w:rPr>
        <w:t>）安徽省淮水北调工程调度运行中心设施设备运维服务；（</w:t>
      </w:r>
      <w:r>
        <w:rPr>
          <w:rFonts w:ascii="Times New Roman" w:hAnsi="Times New Roman" w:cs="Times New Roman" w:eastAsiaTheme="minorEastAsia"/>
          <w:sz w:val="24"/>
        </w:rPr>
        <w:t>2</w:t>
      </w:r>
      <w:r>
        <w:rPr>
          <w:rFonts w:ascii="Times New Roman" w:cs="Times New Roman" w:hAnsiTheme="minorEastAsia" w:eastAsiaTheme="minorEastAsia"/>
          <w:sz w:val="24"/>
        </w:rPr>
        <w:t>）安徽省淮水北调工程省管固镇泵站、五河泵站和四铺泵站中控室设施设备运维服务；（</w:t>
      </w:r>
      <w:r>
        <w:rPr>
          <w:rFonts w:ascii="Times New Roman" w:hAnsi="Times New Roman" w:cs="Times New Roman" w:eastAsiaTheme="minorEastAsia"/>
          <w:sz w:val="24"/>
        </w:rPr>
        <w:t>3</w:t>
      </w:r>
      <w:r>
        <w:rPr>
          <w:rFonts w:ascii="Times New Roman" w:cs="Times New Roman" w:hAnsiTheme="minorEastAsia" w:eastAsiaTheme="minorEastAsia"/>
          <w:sz w:val="24"/>
        </w:rPr>
        <w:t>）安徽省淮水北调工程水质监测站点（主要为沿线</w:t>
      </w:r>
      <w:r>
        <w:rPr>
          <w:rFonts w:ascii="Times New Roman" w:hAnsi="Times New Roman" w:cs="Times New Roman" w:eastAsiaTheme="minorEastAsia"/>
          <w:sz w:val="24"/>
        </w:rPr>
        <w:t>6</w:t>
      </w:r>
      <w:r>
        <w:rPr>
          <w:rFonts w:ascii="Times New Roman" w:cs="Times New Roman" w:hAnsiTheme="minorEastAsia" w:eastAsiaTheme="minorEastAsia"/>
          <w:sz w:val="24"/>
        </w:rPr>
        <w:t>个水质自动在线监测站）运行维护服务；（</w:t>
      </w:r>
      <w:r>
        <w:rPr>
          <w:rFonts w:ascii="Times New Roman" w:hAnsi="Times New Roman" w:cs="Times New Roman" w:eastAsiaTheme="minorEastAsia"/>
          <w:sz w:val="24"/>
        </w:rPr>
        <w:t>4</w:t>
      </w:r>
      <w:r>
        <w:rPr>
          <w:rFonts w:ascii="Times New Roman" w:cs="Times New Roman" w:hAnsiTheme="minorEastAsia" w:eastAsiaTheme="minorEastAsia"/>
          <w:sz w:val="24"/>
        </w:rPr>
        <w:t>）安徽省淮水北调工程调度运行及水质监测的通信网络服务。服务期</w:t>
      </w:r>
      <w:r>
        <w:rPr>
          <w:rFonts w:hint="eastAsia" w:ascii="宋体" w:hAnsi="宋体" w:eastAsia="宋体" w:cs="宋体"/>
          <w:sz w:val="24"/>
          <w:szCs w:val="24"/>
        </w:rPr>
        <w:t>自合同签订之日至2026年12月。</w:t>
      </w:r>
      <w:r>
        <w:rPr>
          <w:rFonts w:ascii="Times New Roman" w:cs="Times New Roman" w:hAnsiTheme="minorEastAsia" w:eastAsiaTheme="minorEastAsia"/>
          <w:sz w:val="24"/>
        </w:rPr>
        <w:t>。</w:t>
      </w:r>
    </w:p>
    <w:p w14:paraId="022D2FA1">
      <w:pPr>
        <w:spacing w:line="380" w:lineRule="exact"/>
        <w:ind w:firstLine="480"/>
        <w:outlineLvl w:val="1"/>
        <w:rPr>
          <w:rFonts w:ascii="Times New Roman" w:hAnsi="Times New Roman" w:cs="Times New Roman" w:eastAsiaTheme="minorEastAsia"/>
          <w:sz w:val="24"/>
        </w:rPr>
      </w:pPr>
      <w:r>
        <w:rPr>
          <w:rFonts w:ascii="Times New Roman" w:cs="Times New Roman" w:hAnsiTheme="minorEastAsia" w:eastAsiaTheme="minorEastAsia"/>
          <w:sz w:val="24"/>
        </w:rPr>
        <w:t>淮水北调工程调度运行信息化系统在应用支撑平台和数据资源管理平台的基础上，构建面向省（市）管理中心、现地站多级的泵闸站监测与管理系统、视频监控系统、水质信息管理系统、综合信息服务系统等，实现调水全线主要泵闸站的统一调度管理。</w:t>
      </w:r>
    </w:p>
    <w:p w14:paraId="2E454196">
      <w:pPr>
        <w:spacing w:line="380" w:lineRule="exact"/>
        <w:ind w:firstLine="480" w:firstLineChars="200"/>
        <w:jc w:val="left"/>
        <w:rPr>
          <w:rFonts w:ascii="Times New Roman" w:hAnsi="Times New Roman" w:cs="Times New Roman" w:eastAsiaTheme="minorEastAsia"/>
          <w:sz w:val="24"/>
        </w:rPr>
      </w:pPr>
      <w:r>
        <w:rPr>
          <w:rFonts w:ascii="Times New Roman" w:cs="Times New Roman" w:hAnsiTheme="minorEastAsia" w:eastAsiaTheme="minorEastAsia"/>
          <w:sz w:val="24"/>
        </w:rPr>
        <w:t>省管固镇泵站、五河泵站和四铺泵站的运行均采用自动化监控系统，包括计算机监控系统、工业电视系统、微机保护等。用于泵站运行数据采集与处理，安全运行监视，实时控制和调整等，保障泵站安全高效的运行。</w:t>
      </w:r>
    </w:p>
    <w:p w14:paraId="777287EF">
      <w:pPr>
        <w:spacing w:line="360" w:lineRule="auto"/>
        <w:ind w:firstLine="482" w:firstLineChars="200"/>
        <w:outlineLvl w:val="1"/>
        <w:rPr>
          <w:rFonts w:ascii="Times New Roman" w:hAnsi="Times New Roman" w:cs="Times New Roman" w:eastAsiaTheme="minorEastAsia"/>
          <w:b/>
          <w:bCs/>
          <w:kern w:val="0"/>
          <w:sz w:val="24"/>
          <w:szCs w:val="24"/>
          <w:lang w:val="zh-CN"/>
        </w:rPr>
      </w:pPr>
      <w:bookmarkStart w:id="65" w:name="_Toc8586"/>
      <w:bookmarkStart w:id="66" w:name="_Toc21757"/>
      <w:r>
        <w:rPr>
          <w:rFonts w:ascii="Times New Roman" w:cs="Times New Roman" w:hAnsiTheme="minorEastAsia" w:eastAsiaTheme="minorEastAsia"/>
          <w:b/>
          <w:bCs/>
          <w:kern w:val="0"/>
          <w:sz w:val="24"/>
          <w:szCs w:val="24"/>
          <w:lang w:val="zh-CN"/>
        </w:rPr>
        <w:t>三、</w:t>
      </w:r>
      <w:r>
        <w:rPr>
          <w:rFonts w:ascii="Times New Roman" w:hAnsi="宋体" w:eastAsia="宋体" w:cs="Times New Roman"/>
          <w:b/>
          <w:sz w:val="24"/>
          <w:szCs w:val="18"/>
        </w:rPr>
        <w:t>服务需求</w:t>
      </w:r>
      <w:bookmarkEnd w:id="65"/>
      <w:bookmarkEnd w:id="66"/>
    </w:p>
    <w:p w14:paraId="09FBF776">
      <w:pPr>
        <w:spacing w:line="360" w:lineRule="auto"/>
        <w:ind w:firstLine="482" w:firstLineChars="200"/>
        <w:jc w:val="center"/>
        <w:outlineLvl w:val="1"/>
        <w:rPr>
          <w:rFonts w:ascii="Times New Roman" w:hAnsi="Times New Roman" w:cs="Times New Roman" w:eastAsiaTheme="minorEastAsia"/>
          <w:b/>
          <w:bCs/>
          <w:kern w:val="0"/>
          <w:sz w:val="24"/>
          <w:szCs w:val="24"/>
        </w:rPr>
      </w:pPr>
      <w:r>
        <w:rPr>
          <w:rFonts w:ascii="Times New Roman" w:cs="Times New Roman" w:hAnsiTheme="minorEastAsia" w:eastAsiaTheme="minorEastAsia"/>
          <w:b/>
          <w:bCs/>
          <w:kern w:val="0"/>
          <w:sz w:val="24"/>
          <w:szCs w:val="24"/>
        </w:rPr>
        <w:t>（一）安徽省淮水北调工程调度运行中心及省管泵站中控室运维服务</w:t>
      </w:r>
    </w:p>
    <w:p w14:paraId="5A405D23">
      <w:pPr>
        <w:spacing w:line="380" w:lineRule="exact"/>
        <w:ind w:firstLine="482" w:firstLineChars="200"/>
        <w:outlineLvl w:val="1"/>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ascii="Times New Roman" w:cs="Times New Roman" w:hAnsiTheme="minorEastAsia" w:eastAsiaTheme="minorEastAsia"/>
          <w:b/>
          <w:sz w:val="24"/>
        </w:rPr>
        <w:t>项目概况与服务内容</w:t>
      </w:r>
    </w:p>
    <w:p w14:paraId="7EB3E790">
      <w:pPr>
        <w:spacing w:line="380" w:lineRule="exact"/>
        <w:ind w:firstLine="482" w:firstLineChars="200"/>
        <w:outlineLvl w:val="1"/>
        <w:rPr>
          <w:rFonts w:ascii="Times New Roman" w:hAnsi="Times New Roman" w:cs="Times New Roman" w:eastAsiaTheme="minorEastAsia"/>
          <w:b/>
          <w:sz w:val="24"/>
        </w:rPr>
      </w:pPr>
      <w:r>
        <w:rPr>
          <w:rFonts w:ascii="Times New Roman" w:hAnsi="Times New Roman" w:cs="Times New Roman" w:eastAsiaTheme="minorEastAsia"/>
          <w:b/>
          <w:sz w:val="24"/>
        </w:rPr>
        <w:t>1.1</w:t>
      </w:r>
      <w:r>
        <w:rPr>
          <w:rFonts w:ascii="Times New Roman" w:cs="Times New Roman" w:hAnsiTheme="minorEastAsia" w:eastAsiaTheme="minorEastAsia"/>
          <w:b/>
          <w:sz w:val="24"/>
        </w:rPr>
        <w:t>项目概况</w:t>
      </w:r>
    </w:p>
    <w:p w14:paraId="7DC4E068">
      <w:pPr>
        <w:spacing w:line="380" w:lineRule="exact"/>
        <w:ind w:firstLine="480" w:firstLineChars="200"/>
        <w:outlineLvl w:val="1"/>
        <w:rPr>
          <w:rFonts w:ascii="Times New Roman" w:hAnsi="Times New Roman" w:cs="Times New Roman" w:eastAsiaTheme="minorEastAsia"/>
          <w:sz w:val="24"/>
        </w:rPr>
      </w:pPr>
      <w:r>
        <w:rPr>
          <w:rFonts w:ascii="Times New Roman" w:cs="Times New Roman" w:hAnsiTheme="minorEastAsia" w:eastAsiaTheme="minorEastAsia"/>
          <w:sz w:val="24"/>
        </w:rPr>
        <w:t>淮水北调工程调度运行信息化系统在应用支撑平台和数据资源管理平台的基础上，构建面向省（市）管理中心、现地站多级的泵闸站监测与管理系统、视频监控系统、水质信息管理系统、综合信息服务系统等，实现调水全线主要泵闸站的统一调度管理。调度中心硬件维护内容包括位于省管理中心六楼的调度会商室和精密机房淮水北调设施设备。</w:t>
      </w:r>
    </w:p>
    <w:p w14:paraId="48356B30">
      <w:pPr>
        <w:spacing w:line="380" w:lineRule="exact"/>
        <w:ind w:firstLine="480" w:firstLineChars="200"/>
        <w:outlineLvl w:val="1"/>
        <w:rPr>
          <w:rFonts w:ascii="Times New Roman" w:hAnsi="Times New Roman" w:cs="Times New Roman" w:eastAsiaTheme="minorEastAsia"/>
          <w:sz w:val="24"/>
        </w:rPr>
      </w:pPr>
      <w:r>
        <w:rPr>
          <w:rFonts w:ascii="Times New Roman" w:cs="Times New Roman" w:hAnsiTheme="minorEastAsia" w:eastAsiaTheme="minorEastAsia"/>
          <w:sz w:val="24"/>
        </w:rPr>
        <w:t>省管固镇泵站、五河泵站和四铺泵站的运行均采用自动化监控系统，包括计算机监控系统、工业电视系统、微机保护等。用于泵站运行数据采集与处理，安全运行监视，实时控制和调整等，保障泵站安全高效的运行。</w:t>
      </w:r>
    </w:p>
    <w:p w14:paraId="16E1F839">
      <w:pPr>
        <w:spacing w:line="380" w:lineRule="exact"/>
        <w:ind w:firstLine="482" w:firstLineChars="200"/>
        <w:outlineLvl w:val="1"/>
        <w:rPr>
          <w:rFonts w:ascii="Times New Roman" w:hAnsi="Times New Roman" w:cs="Times New Roman" w:eastAsiaTheme="minorEastAsia"/>
          <w:b/>
          <w:bCs/>
          <w:kern w:val="0"/>
          <w:sz w:val="24"/>
          <w:szCs w:val="24"/>
          <w:lang w:val="zh-CN"/>
        </w:rPr>
      </w:pPr>
      <w:r>
        <w:rPr>
          <w:rFonts w:ascii="Times New Roman" w:hAnsi="Times New Roman" w:cs="Times New Roman" w:eastAsiaTheme="minorEastAsia"/>
          <w:b/>
          <w:bCs/>
          <w:kern w:val="0"/>
          <w:sz w:val="24"/>
          <w:szCs w:val="24"/>
        </w:rPr>
        <w:t>1.2</w:t>
      </w:r>
      <w:r>
        <w:rPr>
          <w:rFonts w:ascii="Times New Roman" w:cs="Times New Roman" w:hAnsiTheme="minorEastAsia" w:eastAsiaTheme="minorEastAsia"/>
          <w:b/>
          <w:bCs/>
          <w:kern w:val="0"/>
          <w:sz w:val="24"/>
          <w:szCs w:val="24"/>
          <w:lang w:val="zh-CN"/>
        </w:rPr>
        <w:t>项目地点</w:t>
      </w:r>
    </w:p>
    <w:p w14:paraId="312E1B35">
      <w:pPr>
        <w:spacing w:line="380" w:lineRule="exact"/>
        <w:ind w:firstLine="482"/>
        <w:jc w:val="center"/>
        <w:rPr>
          <w:rFonts w:ascii="Times New Roman" w:hAnsi="Times New Roman" w:cs="Times New Roman" w:eastAsiaTheme="minorEastAsia"/>
          <w:b/>
          <w:sz w:val="24"/>
          <w:szCs w:val="24"/>
        </w:rPr>
      </w:pPr>
      <w:r>
        <w:rPr>
          <w:rFonts w:ascii="Times New Roman" w:cs="Times New Roman" w:hAnsiTheme="minorEastAsia" w:eastAsiaTheme="minorEastAsia"/>
          <w:b/>
          <w:sz w:val="24"/>
          <w:szCs w:val="24"/>
        </w:rPr>
        <w:t>信息化及泵站自动化监控系统项目地理位置明细表</w:t>
      </w:r>
    </w:p>
    <w:tbl>
      <w:tblPr>
        <w:tblStyle w:val="24"/>
        <w:tblW w:w="8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6"/>
        <w:gridCol w:w="1560"/>
        <w:gridCol w:w="3290"/>
        <w:gridCol w:w="1373"/>
      </w:tblGrid>
      <w:tr w14:paraId="58FD8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26" w:type="dxa"/>
            <w:vAlign w:val="center"/>
          </w:tcPr>
          <w:p w14:paraId="6A0F2CDD">
            <w:pPr>
              <w:spacing w:line="240" w:lineRule="exact"/>
              <w:contextualSpacing/>
              <w:jc w:val="center"/>
              <w:rPr>
                <w:rFonts w:ascii="Times New Roman" w:hAnsi="Times New Roman" w:cs="Times New Roman" w:eastAsiaTheme="minorEastAsia"/>
                <w:b/>
                <w:szCs w:val="21"/>
              </w:rPr>
            </w:pPr>
            <w:r>
              <w:rPr>
                <w:rFonts w:ascii="Times New Roman" w:cs="Times New Roman" w:hAnsiTheme="minorEastAsia" w:eastAsiaTheme="minorEastAsia"/>
                <w:b/>
                <w:szCs w:val="21"/>
              </w:rPr>
              <w:t>项目名称</w:t>
            </w:r>
          </w:p>
        </w:tc>
        <w:tc>
          <w:tcPr>
            <w:tcW w:w="1560" w:type="dxa"/>
            <w:vAlign w:val="center"/>
          </w:tcPr>
          <w:p w14:paraId="4B003051">
            <w:pPr>
              <w:spacing w:line="240" w:lineRule="exact"/>
              <w:contextualSpacing/>
              <w:jc w:val="center"/>
              <w:rPr>
                <w:rFonts w:ascii="Times New Roman" w:hAnsi="Times New Roman" w:cs="Times New Roman" w:eastAsiaTheme="minorEastAsia"/>
                <w:b/>
                <w:szCs w:val="21"/>
              </w:rPr>
            </w:pPr>
            <w:r>
              <w:rPr>
                <w:rFonts w:ascii="Times New Roman" w:cs="Times New Roman" w:hAnsiTheme="minorEastAsia" w:eastAsiaTheme="minorEastAsia"/>
                <w:b/>
                <w:szCs w:val="21"/>
              </w:rPr>
              <w:t>所在工程</w:t>
            </w:r>
          </w:p>
        </w:tc>
        <w:tc>
          <w:tcPr>
            <w:tcW w:w="3290" w:type="dxa"/>
            <w:vAlign w:val="center"/>
          </w:tcPr>
          <w:p w14:paraId="7816E66A">
            <w:pPr>
              <w:spacing w:line="240" w:lineRule="exact"/>
              <w:contextualSpacing/>
              <w:jc w:val="center"/>
              <w:rPr>
                <w:rFonts w:ascii="Times New Roman" w:hAnsi="Times New Roman" w:cs="Times New Roman" w:eastAsiaTheme="minorEastAsia"/>
                <w:b/>
                <w:szCs w:val="21"/>
              </w:rPr>
            </w:pPr>
            <w:r>
              <w:rPr>
                <w:rFonts w:ascii="Times New Roman" w:cs="Times New Roman" w:hAnsiTheme="minorEastAsia" w:eastAsiaTheme="minorEastAsia"/>
                <w:b/>
                <w:szCs w:val="21"/>
              </w:rPr>
              <w:t>地理位置</w:t>
            </w:r>
          </w:p>
        </w:tc>
        <w:tc>
          <w:tcPr>
            <w:tcW w:w="1373" w:type="dxa"/>
            <w:vAlign w:val="center"/>
          </w:tcPr>
          <w:p w14:paraId="6C16714B">
            <w:pPr>
              <w:spacing w:line="240" w:lineRule="exact"/>
              <w:contextualSpacing/>
              <w:jc w:val="center"/>
              <w:rPr>
                <w:rFonts w:ascii="Times New Roman" w:hAnsi="Times New Roman" w:cs="Times New Roman" w:eastAsiaTheme="minorEastAsia"/>
                <w:b/>
                <w:szCs w:val="21"/>
              </w:rPr>
            </w:pPr>
            <w:r>
              <w:rPr>
                <w:rFonts w:ascii="Times New Roman" w:cs="Times New Roman" w:hAnsiTheme="minorEastAsia" w:eastAsiaTheme="minorEastAsia"/>
                <w:b/>
                <w:szCs w:val="21"/>
              </w:rPr>
              <w:t>备注</w:t>
            </w:r>
          </w:p>
        </w:tc>
      </w:tr>
      <w:tr w14:paraId="6A369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826" w:type="dxa"/>
            <w:vAlign w:val="center"/>
          </w:tcPr>
          <w:p w14:paraId="6A991F34">
            <w:pPr>
              <w:spacing w:line="240" w:lineRule="exact"/>
              <w:contextualSpacing/>
              <w:rPr>
                <w:rFonts w:ascii="Times New Roman" w:hAnsi="Times New Roman" w:cs="Times New Roman" w:eastAsiaTheme="minorEastAsia"/>
                <w:szCs w:val="21"/>
              </w:rPr>
            </w:pPr>
            <w:r>
              <w:rPr>
                <w:rFonts w:ascii="Times New Roman" w:cs="Times New Roman" w:hAnsiTheme="minorEastAsia" w:eastAsiaTheme="minorEastAsia"/>
                <w:szCs w:val="21"/>
              </w:rPr>
              <w:t>调度运行中心</w:t>
            </w:r>
          </w:p>
        </w:tc>
        <w:tc>
          <w:tcPr>
            <w:tcW w:w="1560" w:type="dxa"/>
            <w:vAlign w:val="center"/>
          </w:tcPr>
          <w:p w14:paraId="4A96873B">
            <w:pPr>
              <w:spacing w:line="240" w:lineRule="exact"/>
              <w:contextualSpacing/>
              <w:rPr>
                <w:rFonts w:ascii="Times New Roman" w:hAnsi="Times New Roman" w:cs="Times New Roman" w:eastAsiaTheme="minorEastAsia"/>
                <w:szCs w:val="21"/>
              </w:rPr>
            </w:pPr>
            <w:r>
              <w:rPr>
                <w:rFonts w:ascii="Times New Roman" w:cs="Times New Roman" w:hAnsiTheme="minorEastAsia" w:eastAsiaTheme="minorEastAsia"/>
                <w:szCs w:val="21"/>
              </w:rPr>
              <w:t>蚌埠市</w:t>
            </w:r>
          </w:p>
        </w:tc>
        <w:tc>
          <w:tcPr>
            <w:tcW w:w="3290" w:type="dxa"/>
            <w:vAlign w:val="center"/>
          </w:tcPr>
          <w:p w14:paraId="25BD2264">
            <w:pPr>
              <w:spacing w:line="240" w:lineRule="exact"/>
              <w:contextualSpacing/>
              <w:rPr>
                <w:rFonts w:ascii="Times New Roman" w:hAnsi="Times New Roman" w:cs="Times New Roman" w:eastAsiaTheme="minorEastAsia"/>
                <w:szCs w:val="21"/>
              </w:rPr>
            </w:pPr>
            <w:r>
              <w:rPr>
                <w:rFonts w:ascii="Times New Roman" w:cs="Times New Roman" w:hAnsiTheme="minorEastAsia" w:eastAsiaTheme="minorEastAsia"/>
                <w:szCs w:val="21"/>
              </w:rPr>
              <w:t>蚌埠市龙子湖区沿淮路</w:t>
            </w:r>
            <w:r>
              <w:rPr>
                <w:rFonts w:ascii="Times New Roman" w:hAnsi="Times New Roman" w:cs="Times New Roman" w:eastAsiaTheme="minorEastAsia"/>
                <w:szCs w:val="21"/>
              </w:rPr>
              <w:t>780</w:t>
            </w:r>
            <w:r>
              <w:rPr>
                <w:rFonts w:ascii="Times New Roman" w:cs="Times New Roman" w:hAnsiTheme="minorEastAsia" w:eastAsiaTheme="minorEastAsia"/>
                <w:szCs w:val="21"/>
              </w:rPr>
              <w:t>号</w:t>
            </w:r>
          </w:p>
        </w:tc>
        <w:tc>
          <w:tcPr>
            <w:tcW w:w="1373" w:type="dxa"/>
            <w:vAlign w:val="center"/>
          </w:tcPr>
          <w:p w14:paraId="40C10F7B">
            <w:pPr>
              <w:spacing w:line="240" w:lineRule="exact"/>
              <w:contextualSpacing/>
              <w:rPr>
                <w:rFonts w:ascii="Times New Roman" w:hAnsi="Times New Roman" w:cs="Times New Roman" w:eastAsiaTheme="minorEastAsia"/>
                <w:szCs w:val="21"/>
              </w:rPr>
            </w:pPr>
            <w:r>
              <w:rPr>
                <w:rFonts w:ascii="Times New Roman" w:cs="Times New Roman" w:hAnsiTheme="minorEastAsia" w:eastAsiaTheme="minorEastAsia"/>
                <w:szCs w:val="21"/>
              </w:rPr>
              <w:t>调度会商室和精密机房淮水北调设施设备</w:t>
            </w:r>
          </w:p>
        </w:tc>
      </w:tr>
      <w:tr w14:paraId="50887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826" w:type="dxa"/>
            <w:vMerge w:val="restart"/>
            <w:vAlign w:val="center"/>
          </w:tcPr>
          <w:p w14:paraId="71853EFB">
            <w:pPr>
              <w:spacing w:line="240" w:lineRule="exact"/>
              <w:contextualSpacing/>
              <w:rPr>
                <w:rFonts w:ascii="Times New Roman" w:hAnsi="Times New Roman" w:cs="Times New Roman" w:eastAsiaTheme="minorEastAsia"/>
                <w:szCs w:val="21"/>
              </w:rPr>
            </w:pPr>
            <w:r>
              <w:rPr>
                <w:rFonts w:ascii="Times New Roman" w:cs="Times New Roman" w:hAnsiTheme="minorEastAsia" w:eastAsiaTheme="minorEastAsia"/>
                <w:szCs w:val="21"/>
              </w:rPr>
              <w:t>省管泵站中控室</w:t>
            </w:r>
          </w:p>
        </w:tc>
        <w:tc>
          <w:tcPr>
            <w:tcW w:w="1560" w:type="dxa"/>
            <w:vAlign w:val="center"/>
          </w:tcPr>
          <w:p w14:paraId="5EEF0AC1">
            <w:pPr>
              <w:spacing w:line="240" w:lineRule="exact"/>
              <w:contextualSpacing/>
              <w:rPr>
                <w:rFonts w:ascii="Times New Roman" w:hAnsi="Times New Roman" w:cs="Times New Roman" w:eastAsiaTheme="minorEastAsia"/>
                <w:szCs w:val="21"/>
              </w:rPr>
            </w:pPr>
            <w:r>
              <w:rPr>
                <w:rFonts w:ascii="Times New Roman" w:cs="Times New Roman" w:hAnsiTheme="minorEastAsia" w:eastAsiaTheme="minorEastAsia"/>
                <w:szCs w:val="21"/>
              </w:rPr>
              <w:t>固镇站</w:t>
            </w:r>
          </w:p>
        </w:tc>
        <w:tc>
          <w:tcPr>
            <w:tcW w:w="3290" w:type="dxa"/>
            <w:vAlign w:val="center"/>
          </w:tcPr>
          <w:p w14:paraId="290A5FD9">
            <w:pPr>
              <w:spacing w:line="240" w:lineRule="exact"/>
              <w:contextualSpacing/>
              <w:rPr>
                <w:rFonts w:ascii="Times New Roman" w:hAnsi="Times New Roman" w:cs="Times New Roman" w:eastAsiaTheme="minorEastAsia"/>
                <w:szCs w:val="21"/>
              </w:rPr>
            </w:pPr>
            <w:r>
              <w:rPr>
                <w:rFonts w:ascii="Times New Roman" w:cs="Times New Roman" w:hAnsiTheme="minorEastAsia" w:eastAsiaTheme="minorEastAsia"/>
                <w:szCs w:val="21"/>
              </w:rPr>
              <w:t>蚌埠市固镇县石湖乡</w:t>
            </w:r>
          </w:p>
        </w:tc>
        <w:tc>
          <w:tcPr>
            <w:tcW w:w="1373" w:type="dxa"/>
            <w:vAlign w:val="center"/>
          </w:tcPr>
          <w:p w14:paraId="2C15627B">
            <w:pPr>
              <w:spacing w:line="240" w:lineRule="exact"/>
              <w:contextualSpacing/>
              <w:rPr>
                <w:rFonts w:ascii="Times New Roman" w:hAnsi="Times New Roman" w:cs="Times New Roman" w:eastAsiaTheme="minorEastAsia"/>
                <w:szCs w:val="21"/>
              </w:rPr>
            </w:pPr>
          </w:p>
        </w:tc>
      </w:tr>
      <w:tr w14:paraId="1B17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826" w:type="dxa"/>
            <w:vMerge w:val="continue"/>
            <w:vAlign w:val="center"/>
          </w:tcPr>
          <w:p w14:paraId="4D0C7721">
            <w:pPr>
              <w:spacing w:line="240" w:lineRule="exact"/>
              <w:contextualSpacing/>
              <w:rPr>
                <w:rFonts w:ascii="Times New Roman" w:hAnsi="Times New Roman" w:cs="Times New Roman" w:eastAsiaTheme="minorEastAsia"/>
                <w:szCs w:val="21"/>
              </w:rPr>
            </w:pPr>
          </w:p>
        </w:tc>
        <w:tc>
          <w:tcPr>
            <w:tcW w:w="1560" w:type="dxa"/>
            <w:vAlign w:val="center"/>
          </w:tcPr>
          <w:p w14:paraId="79773367">
            <w:pPr>
              <w:spacing w:line="240" w:lineRule="exact"/>
              <w:contextualSpacing/>
              <w:rPr>
                <w:rFonts w:ascii="Times New Roman" w:hAnsi="Times New Roman" w:cs="Times New Roman" w:eastAsiaTheme="minorEastAsia"/>
                <w:szCs w:val="21"/>
              </w:rPr>
            </w:pPr>
            <w:r>
              <w:rPr>
                <w:rFonts w:ascii="Times New Roman" w:cs="Times New Roman" w:hAnsiTheme="minorEastAsia" w:eastAsiaTheme="minorEastAsia"/>
                <w:szCs w:val="21"/>
              </w:rPr>
              <w:t>五河站</w:t>
            </w:r>
          </w:p>
        </w:tc>
        <w:tc>
          <w:tcPr>
            <w:tcW w:w="3290" w:type="dxa"/>
            <w:vAlign w:val="center"/>
          </w:tcPr>
          <w:p w14:paraId="153C7D69">
            <w:pPr>
              <w:spacing w:line="240" w:lineRule="exact"/>
              <w:contextualSpacing/>
              <w:rPr>
                <w:rFonts w:ascii="Times New Roman" w:hAnsi="Times New Roman" w:cs="Times New Roman" w:eastAsiaTheme="minorEastAsia"/>
                <w:szCs w:val="21"/>
              </w:rPr>
            </w:pPr>
            <w:r>
              <w:rPr>
                <w:rFonts w:ascii="Times New Roman" w:cs="Times New Roman" w:hAnsiTheme="minorEastAsia" w:eastAsiaTheme="minorEastAsia"/>
                <w:szCs w:val="21"/>
              </w:rPr>
              <w:t>蚌埠市五河县头铺镇</w:t>
            </w:r>
          </w:p>
        </w:tc>
        <w:tc>
          <w:tcPr>
            <w:tcW w:w="1373" w:type="dxa"/>
            <w:vAlign w:val="center"/>
          </w:tcPr>
          <w:p w14:paraId="012BA168">
            <w:pPr>
              <w:spacing w:line="240" w:lineRule="exact"/>
              <w:contextualSpacing/>
              <w:rPr>
                <w:rFonts w:ascii="Times New Roman" w:hAnsi="Times New Roman" w:cs="Times New Roman" w:eastAsiaTheme="minorEastAsia"/>
                <w:szCs w:val="21"/>
              </w:rPr>
            </w:pPr>
          </w:p>
        </w:tc>
      </w:tr>
      <w:tr w14:paraId="6530F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826" w:type="dxa"/>
            <w:vMerge w:val="continue"/>
            <w:vAlign w:val="center"/>
          </w:tcPr>
          <w:p w14:paraId="30580A0E">
            <w:pPr>
              <w:spacing w:line="240" w:lineRule="exact"/>
              <w:contextualSpacing/>
              <w:rPr>
                <w:rFonts w:ascii="Times New Roman" w:hAnsi="Times New Roman" w:cs="Times New Roman" w:eastAsiaTheme="minorEastAsia"/>
                <w:szCs w:val="21"/>
              </w:rPr>
            </w:pPr>
          </w:p>
        </w:tc>
        <w:tc>
          <w:tcPr>
            <w:tcW w:w="1560" w:type="dxa"/>
            <w:vAlign w:val="center"/>
          </w:tcPr>
          <w:p w14:paraId="780A836D">
            <w:pPr>
              <w:spacing w:line="240" w:lineRule="exact"/>
              <w:contextualSpacing/>
              <w:rPr>
                <w:rFonts w:ascii="Times New Roman" w:hAnsi="Times New Roman" w:cs="Times New Roman" w:eastAsiaTheme="minorEastAsia"/>
                <w:szCs w:val="21"/>
              </w:rPr>
            </w:pPr>
            <w:r>
              <w:rPr>
                <w:rFonts w:ascii="Times New Roman" w:cs="Times New Roman" w:hAnsiTheme="minorEastAsia" w:eastAsiaTheme="minorEastAsia"/>
                <w:szCs w:val="21"/>
              </w:rPr>
              <w:t>四铺站</w:t>
            </w:r>
          </w:p>
        </w:tc>
        <w:tc>
          <w:tcPr>
            <w:tcW w:w="3290" w:type="dxa"/>
            <w:vAlign w:val="center"/>
          </w:tcPr>
          <w:p w14:paraId="5B3A73AA">
            <w:pPr>
              <w:spacing w:line="240" w:lineRule="exact"/>
              <w:contextualSpacing/>
              <w:rPr>
                <w:rFonts w:ascii="Times New Roman" w:hAnsi="Times New Roman" w:cs="Times New Roman" w:eastAsiaTheme="minorEastAsia"/>
                <w:szCs w:val="21"/>
              </w:rPr>
            </w:pPr>
            <w:r>
              <w:rPr>
                <w:rFonts w:ascii="Times New Roman" w:cs="Times New Roman" w:hAnsiTheme="minorEastAsia" w:eastAsiaTheme="minorEastAsia"/>
                <w:szCs w:val="21"/>
              </w:rPr>
              <w:t>淮北市烈山区古饶镇</w:t>
            </w:r>
          </w:p>
        </w:tc>
        <w:tc>
          <w:tcPr>
            <w:tcW w:w="1373" w:type="dxa"/>
            <w:vAlign w:val="center"/>
          </w:tcPr>
          <w:p w14:paraId="459AB0C5">
            <w:pPr>
              <w:spacing w:line="240" w:lineRule="exact"/>
              <w:contextualSpacing/>
              <w:rPr>
                <w:rFonts w:ascii="Times New Roman" w:hAnsi="Times New Roman" w:cs="Times New Roman" w:eastAsiaTheme="minorEastAsia"/>
                <w:szCs w:val="21"/>
              </w:rPr>
            </w:pPr>
          </w:p>
        </w:tc>
      </w:tr>
      <w:tr w14:paraId="4C00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826" w:type="dxa"/>
            <w:vMerge w:val="restart"/>
            <w:vAlign w:val="center"/>
          </w:tcPr>
          <w:p w14:paraId="4EE26071">
            <w:pPr>
              <w:spacing w:line="240" w:lineRule="exact"/>
              <w:contextualSpacing/>
              <w:rPr>
                <w:rFonts w:ascii="Times New Roman" w:hAnsi="Times New Roman" w:cs="Times New Roman" w:eastAsiaTheme="minorEastAsia"/>
                <w:szCs w:val="21"/>
              </w:rPr>
            </w:pPr>
            <w:r>
              <w:rPr>
                <w:rFonts w:ascii="Times New Roman" w:cs="Times New Roman" w:hAnsiTheme="minorEastAsia" w:eastAsiaTheme="minorEastAsia"/>
                <w:szCs w:val="21"/>
              </w:rPr>
              <w:t>网络通信设备</w:t>
            </w:r>
          </w:p>
        </w:tc>
        <w:tc>
          <w:tcPr>
            <w:tcW w:w="1560" w:type="dxa"/>
            <w:vAlign w:val="center"/>
          </w:tcPr>
          <w:p w14:paraId="167916C8">
            <w:pPr>
              <w:spacing w:line="240" w:lineRule="exact"/>
              <w:contextualSpacing/>
              <w:rPr>
                <w:rFonts w:ascii="Times New Roman" w:hAnsi="Times New Roman" w:cs="Times New Roman" w:eastAsiaTheme="minorEastAsia"/>
                <w:szCs w:val="21"/>
              </w:rPr>
            </w:pPr>
            <w:r>
              <w:rPr>
                <w:rFonts w:ascii="Times New Roman" w:cs="Times New Roman" w:hAnsiTheme="minorEastAsia" w:eastAsiaTheme="minorEastAsia"/>
                <w:szCs w:val="21"/>
              </w:rPr>
              <w:t>五河站</w:t>
            </w:r>
          </w:p>
        </w:tc>
        <w:tc>
          <w:tcPr>
            <w:tcW w:w="3290" w:type="dxa"/>
            <w:vAlign w:val="center"/>
          </w:tcPr>
          <w:p w14:paraId="2AC7D05C">
            <w:pPr>
              <w:spacing w:line="240" w:lineRule="exact"/>
              <w:contextualSpacing/>
              <w:rPr>
                <w:rFonts w:ascii="Times New Roman" w:hAnsi="Times New Roman" w:cs="Times New Roman" w:eastAsiaTheme="minorEastAsia"/>
                <w:szCs w:val="21"/>
              </w:rPr>
            </w:pPr>
            <w:r>
              <w:rPr>
                <w:rFonts w:ascii="Times New Roman" w:cs="Times New Roman" w:hAnsiTheme="minorEastAsia" w:eastAsiaTheme="minorEastAsia"/>
                <w:szCs w:val="21"/>
              </w:rPr>
              <w:t>蚌埠市五河县头铺镇</w:t>
            </w:r>
          </w:p>
        </w:tc>
        <w:tc>
          <w:tcPr>
            <w:tcW w:w="1373" w:type="dxa"/>
            <w:vAlign w:val="center"/>
          </w:tcPr>
          <w:p w14:paraId="1CBBB07A">
            <w:pPr>
              <w:spacing w:line="240" w:lineRule="exact"/>
              <w:contextualSpacing/>
              <w:rPr>
                <w:rFonts w:ascii="Times New Roman" w:hAnsi="Times New Roman" w:cs="Times New Roman" w:eastAsiaTheme="minorEastAsia"/>
                <w:szCs w:val="21"/>
              </w:rPr>
            </w:pPr>
          </w:p>
        </w:tc>
      </w:tr>
      <w:tr w14:paraId="668F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826" w:type="dxa"/>
            <w:vMerge w:val="continue"/>
            <w:vAlign w:val="center"/>
          </w:tcPr>
          <w:p w14:paraId="3A8E7D0D">
            <w:pPr>
              <w:spacing w:line="240" w:lineRule="exact"/>
              <w:contextualSpacing/>
              <w:rPr>
                <w:rFonts w:ascii="Times New Roman" w:hAnsi="Times New Roman" w:cs="Times New Roman" w:eastAsiaTheme="minorEastAsia"/>
                <w:szCs w:val="21"/>
              </w:rPr>
            </w:pPr>
          </w:p>
        </w:tc>
        <w:tc>
          <w:tcPr>
            <w:tcW w:w="1560" w:type="dxa"/>
            <w:vAlign w:val="center"/>
          </w:tcPr>
          <w:p w14:paraId="15545F2B">
            <w:pPr>
              <w:spacing w:line="240" w:lineRule="exact"/>
              <w:contextualSpacing/>
              <w:rPr>
                <w:rFonts w:ascii="Times New Roman" w:hAnsi="Times New Roman" w:cs="Times New Roman" w:eastAsiaTheme="minorEastAsia"/>
                <w:szCs w:val="21"/>
              </w:rPr>
            </w:pPr>
            <w:r>
              <w:rPr>
                <w:rFonts w:ascii="Times New Roman" w:cs="Times New Roman" w:hAnsiTheme="minorEastAsia" w:eastAsiaTheme="minorEastAsia"/>
                <w:szCs w:val="21"/>
              </w:rPr>
              <w:t>固镇站</w:t>
            </w:r>
          </w:p>
        </w:tc>
        <w:tc>
          <w:tcPr>
            <w:tcW w:w="3290" w:type="dxa"/>
            <w:vAlign w:val="center"/>
          </w:tcPr>
          <w:p w14:paraId="4021503A">
            <w:pPr>
              <w:spacing w:line="240" w:lineRule="exact"/>
              <w:contextualSpacing/>
              <w:rPr>
                <w:rFonts w:ascii="Times New Roman" w:hAnsi="Times New Roman" w:cs="Times New Roman" w:eastAsiaTheme="minorEastAsia"/>
                <w:szCs w:val="21"/>
              </w:rPr>
            </w:pPr>
            <w:r>
              <w:rPr>
                <w:rFonts w:ascii="Times New Roman" w:cs="Times New Roman" w:hAnsiTheme="minorEastAsia" w:eastAsiaTheme="minorEastAsia"/>
                <w:szCs w:val="21"/>
              </w:rPr>
              <w:t>蚌埠市固镇县石湖乡</w:t>
            </w:r>
          </w:p>
        </w:tc>
        <w:tc>
          <w:tcPr>
            <w:tcW w:w="1373" w:type="dxa"/>
            <w:vAlign w:val="center"/>
          </w:tcPr>
          <w:p w14:paraId="0B30FC9A">
            <w:pPr>
              <w:spacing w:line="240" w:lineRule="exact"/>
              <w:contextualSpacing/>
              <w:rPr>
                <w:rFonts w:ascii="Times New Roman" w:hAnsi="Times New Roman" w:cs="Times New Roman" w:eastAsiaTheme="minorEastAsia"/>
                <w:szCs w:val="21"/>
              </w:rPr>
            </w:pPr>
          </w:p>
        </w:tc>
      </w:tr>
      <w:tr w14:paraId="1516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826" w:type="dxa"/>
            <w:vMerge w:val="continue"/>
            <w:vAlign w:val="center"/>
          </w:tcPr>
          <w:p w14:paraId="7B25CF6F">
            <w:pPr>
              <w:spacing w:line="240" w:lineRule="exact"/>
              <w:contextualSpacing/>
              <w:rPr>
                <w:rFonts w:ascii="Times New Roman" w:hAnsi="Times New Roman" w:cs="Times New Roman" w:eastAsiaTheme="minorEastAsia"/>
                <w:szCs w:val="21"/>
              </w:rPr>
            </w:pPr>
          </w:p>
        </w:tc>
        <w:tc>
          <w:tcPr>
            <w:tcW w:w="1560" w:type="dxa"/>
            <w:vAlign w:val="center"/>
          </w:tcPr>
          <w:p w14:paraId="5898F2AD">
            <w:pPr>
              <w:spacing w:line="240" w:lineRule="exact"/>
              <w:contextualSpacing/>
              <w:rPr>
                <w:rFonts w:ascii="Times New Roman" w:hAnsi="Times New Roman" w:cs="Times New Roman" w:eastAsiaTheme="minorEastAsia"/>
                <w:szCs w:val="21"/>
              </w:rPr>
            </w:pPr>
            <w:r>
              <w:rPr>
                <w:rFonts w:ascii="Times New Roman" w:cs="Times New Roman" w:hAnsiTheme="minorEastAsia" w:eastAsiaTheme="minorEastAsia"/>
                <w:szCs w:val="21"/>
              </w:rPr>
              <w:t>娄宋站</w:t>
            </w:r>
          </w:p>
        </w:tc>
        <w:tc>
          <w:tcPr>
            <w:tcW w:w="3290" w:type="dxa"/>
            <w:vAlign w:val="center"/>
          </w:tcPr>
          <w:p w14:paraId="1EA43789">
            <w:pPr>
              <w:spacing w:line="240" w:lineRule="exact"/>
              <w:contextualSpacing/>
              <w:rPr>
                <w:rFonts w:ascii="Times New Roman" w:hAnsi="Times New Roman" w:cs="Times New Roman" w:eastAsiaTheme="minorEastAsia"/>
                <w:szCs w:val="21"/>
              </w:rPr>
            </w:pPr>
            <w:r>
              <w:rPr>
                <w:rFonts w:ascii="Times New Roman" w:cs="Times New Roman" w:hAnsiTheme="minorEastAsia" w:eastAsiaTheme="minorEastAsia"/>
                <w:szCs w:val="21"/>
              </w:rPr>
              <w:t>宿州市灵璧县娄庄镇</w:t>
            </w:r>
          </w:p>
        </w:tc>
        <w:tc>
          <w:tcPr>
            <w:tcW w:w="1373" w:type="dxa"/>
            <w:vAlign w:val="center"/>
          </w:tcPr>
          <w:p w14:paraId="0813236D">
            <w:pPr>
              <w:spacing w:line="240" w:lineRule="exact"/>
              <w:contextualSpacing/>
              <w:rPr>
                <w:rFonts w:ascii="Times New Roman" w:hAnsi="Times New Roman" w:cs="Times New Roman" w:eastAsiaTheme="minorEastAsia"/>
                <w:szCs w:val="21"/>
              </w:rPr>
            </w:pPr>
          </w:p>
        </w:tc>
      </w:tr>
      <w:tr w14:paraId="7DAA8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826" w:type="dxa"/>
            <w:vMerge w:val="continue"/>
            <w:vAlign w:val="center"/>
          </w:tcPr>
          <w:p w14:paraId="2220F147">
            <w:pPr>
              <w:spacing w:line="240" w:lineRule="exact"/>
              <w:contextualSpacing/>
              <w:rPr>
                <w:rFonts w:ascii="Times New Roman" w:hAnsi="Times New Roman" w:cs="Times New Roman" w:eastAsiaTheme="minorEastAsia"/>
                <w:szCs w:val="21"/>
              </w:rPr>
            </w:pPr>
          </w:p>
        </w:tc>
        <w:tc>
          <w:tcPr>
            <w:tcW w:w="1560" w:type="dxa"/>
            <w:vAlign w:val="center"/>
          </w:tcPr>
          <w:p w14:paraId="1991D2B7">
            <w:pPr>
              <w:spacing w:line="240" w:lineRule="exact"/>
              <w:contextualSpacing/>
              <w:rPr>
                <w:rFonts w:ascii="Times New Roman" w:hAnsi="Times New Roman" w:cs="Times New Roman" w:eastAsiaTheme="minorEastAsia"/>
                <w:szCs w:val="21"/>
              </w:rPr>
            </w:pPr>
            <w:r>
              <w:rPr>
                <w:rFonts w:ascii="Times New Roman" w:cs="Times New Roman" w:hAnsiTheme="minorEastAsia" w:eastAsiaTheme="minorEastAsia"/>
                <w:szCs w:val="21"/>
              </w:rPr>
              <w:t>宿州站</w:t>
            </w:r>
          </w:p>
        </w:tc>
        <w:tc>
          <w:tcPr>
            <w:tcW w:w="3290" w:type="dxa"/>
            <w:vAlign w:val="center"/>
          </w:tcPr>
          <w:p w14:paraId="3FB21C80">
            <w:pPr>
              <w:spacing w:line="240" w:lineRule="exact"/>
              <w:contextualSpacing/>
              <w:rPr>
                <w:rFonts w:ascii="Times New Roman" w:hAnsi="Times New Roman" w:cs="Times New Roman" w:eastAsiaTheme="minorEastAsia"/>
                <w:szCs w:val="21"/>
              </w:rPr>
            </w:pPr>
            <w:r>
              <w:rPr>
                <w:rFonts w:ascii="Times New Roman" w:cs="Times New Roman" w:hAnsiTheme="minorEastAsia" w:eastAsiaTheme="minorEastAsia"/>
                <w:szCs w:val="21"/>
              </w:rPr>
              <w:t>宿州市埇桥区灰古镇</w:t>
            </w:r>
          </w:p>
        </w:tc>
        <w:tc>
          <w:tcPr>
            <w:tcW w:w="1373" w:type="dxa"/>
            <w:vAlign w:val="center"/>
          </w:tcPr>
          <w:p w14:paraId="4D7DE097">
            <w:pPr>
              <w:spacing w:line="240" w:lineRule="exact"/>
              <w:contextualSpacing/>
              <w:rPr>
                <w:rFonts w:ascii="Times New Roman" w:hAnsi="Times New Roman" w:cs="Times New Roman" w:eastAsiaTheme="minorEastAsia"/>
                <w:szCs w:val="21"/>
              </w:rPr>
            </w:pPr>
          </w:p>
        </w:tc>
      </w:tr>
      <w:tr w14:paraId="09BA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826" w:type="dxa"/>
            <w:vMerge w:val="continue"/>
            <w:vAlign w:val="center"/>
          </w:tcPr>
          <w:p w14:paraId="57E237AE">
            <w:pPr>
              <w:spacing w:line="240" w:lineRule="exact"/>
              <w:contextualSpacing/>
              <w:rPr>
                <w:rFonts w:ascii="Times New Roman" w:hAnsi="Times New Roman" w:cs="Times New Roman" w:eastAsiaTheme="minorEastAsia"/>
                <w:szCs w:val="21"/>
              </w:rPr>
            </w:pPr>
          </w:p>
        </w:tc>
        <w:tc>
          <w:tcPr>
            <w:tcW w:w="1560" w:type="dxa"/>
            <w:vAlign w:val="center"/>
          </w:tcPr>
          <w:p w14:paraId="63184004">
            <w:pPr>
              <w:spacing w:line="240" w:lineRule="exact"/>
              <w:contextualSpacing/>
              <w:rPr>
                <w:rFonts w:ascii="Times New Roman" w:hAnsi="Times New Roman" w:cs="Times New Roman" w:eastAsiaTheme="minorEastAsia"/>
                <w:szCs w:val="21"/>
              </w:rPr>
            </w:pPr>
            <w:r>
              <w:rPr>
                <w:rFonts w:ascii="Times New Roman" w:cs="Times New Roman" w:hAnsiTheme="minorEastAsia" w:eastAsiaTheme="minorEastAsia"/>
                <w:szCs w:val="21"/>
              </w:rPr>
              <w:t>四铺站</w:t>
            </w:r>
          </w:p>
        </w:tc>
        <w:tc>
          <w:tcPr>
            <w:tcW w:w="3290" w:type="dxa"/>
            <w:vAlign w:val="center"/>
          </w:tcPr>
          <w:p w14:paraId="7D182C6A">
            <w:pPr>
              <w:spacing w:line="240" w:lineRule="exact"/>
              <w:contextualSpacing/>
              <w:rPr>
                <w:rFonts w:ascii="Times New Roman" w:hAnsi="Times New Roman" w:cs="Times New Roman" w:eastAsiaTheme="minorEastAsia"/>
                <w:szCs w:val="21"/>
              </w:rPr>
            </w:pPr>
            <w:r>
              <w:rPr>
                <w:rFonts w:ascii="Times New Roman" w:cs="Times New Roman" w:hAnsiTheme="minorEastAsia" w:eastAsiaTheme="minorEastAsia"/>
                <w:szCs w:val="21"/>
              </w:rPr>
              <w:t>淮北市烈山区古饶镇</w:t>
            </w:r>
          </w:p>
        </w:tc>
        <w:tc>
          <w:tcPr>
            <w:tcW w:w="1373" w:type="dxa"/>
            <w:vAlign w:val="center"/>
          </w:tcPr>
          <w:p w14:paraId="2BFE7F6A">
            <w:pPr>
              <w:spacing w:line="240" w:lineRule="exact"/>
              <w:contextualSpacing/>
              <w:rPr>
                <w:rFonts w:ascii="Times New Roman" w:hAnsi="Times New Roman" w:cs="Times New Roman" w:eastAsiaTheme="minorEastAsia"/>
                <w:szCs w:val="21"/>
              </w:rPr>
            </w:pPr>
          </w:p>
        </w:tc>
      </w:tr>
      <w:tr w14:paraId="457F3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826" w:type="dxa"/>
            <w:vMerge w:val="continue"/>
            <w:vAlign w:val="center"/>
          </w:tcPr>
          <w:p w14:paraId="7D7DA3B0">
            <w:pPr>
              <w:spacing w:line="240" w:lineRule="exact"/>
              <w:contextualSpacing/>
              <w:rPr>
                <w:rFonts w:ascii="Times New Roman" w:hAnsi="Times New Roman" w:cs="Times New Roman" w:eastAsiaTheme="minorEastAsia"/>
                <w:szCs w:val="21"/>
              </w:rPr>
            </w:pPr>
          </w:p>
        </w:tc>
        <w:tc>
          <w:tcPr>
            <w:tcW w:w="1560" w:type="dxa"/>
            <w:vAlign w:val="center"/>
          </w:tcPr>
          <w:p w14:paraId="6C393B00">
            <w:pPr>
              <w:spacing w:line="240" w:lineRule="exact"/>
              <w:contextualSpacing/>
              <w:rPr>
                <w:rFonts w:ascii="Times New Roman" w:hAnsi="Times New Roman" w:cs="Times New Roman" w:eastAsiaTheme="minorEastAsia"/>
                <w:szCs w:val="21"/>
              </w:rPr>
            </w:pPr>
            <w:r>
              <w:rPr>
                <w:rFonts w:ascii="Times New Roman" w:cs="Times New Roman" w:hAnsiTheme="minorEastAsia" w:eastAsiaTheme="minorEastAsia"/>
                <w:szCs w:val="21"/>
              </w:rPr>
              <w:t>侯王站</w:t>
            </w:r>
          </w:p>
        </w:tc>
        <w:tc>
          <w:tcPr>
            <w:tcW w:w="3290" w:type="dxa"/>
            <w:vAlign w:val="center"/>
          </w:tcPr>
          <w:p w14:paraId="3B0AF203">
            <w:pPr>
              <w:spacing w:line="240" w:lineRule="exact"/>
              <w:contextualSpacing/>
              <w:rPr>
                <w:rFonts w:ascii="Times New Roman" w:hAnsi="Times New Roman" w:cs="Times New Roman" w:eastAsiaTheme="minorEastAsia"/>
                <w:szCs w:val="21"/>
              </w:rPr>
            </w:pPr>
            <w:r>
              <w:rPr>
                <w:rFonts w:ascii="Times New Roman" w:cs="Times New Roman" w:hAnsiTheme="minorEastAsia" w:eastAsiaTheme="minorEastAsia"/>
                <w:szCs w:val="21"/>
              </w:rPr>
              <w:t>淮北市濉溪县濉溪镇</w:t>
            </w:r>
          </w:p>
        </w:tc>
        <w:tc>
          <w:tcPr>
            <w:tcW w:w="1373" w:type="dxa"/>
            <w:vAlign w:val="center"/>
          </w:tcPr>
          <w:p w14:paraId="23CF74D7">
            <w:pPr>
              <w:spacing w:line="240" w:lineRule="exact"/>
              <w:contextualSpacing/>
              <w:rPr>
                <w:rFonts w:ascii="Times New Roman" w:hAnsi="Times New Roman" w:cs="Times New Roman" w:eastAsiaTheme="minorEastAsia"/>
                <w:szCs w:val="21"/>
              </w:rPr>
            </w:pPr>
          </w:p>
        </w:tc>
      </w:tr>
      <w:tr w14:paraId="3F097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826" w:type="dxa"/>
            <w:vMerge w:val="continue"/>
            <w:vAlign w:val="center"/>
          </w:tcPr>
          <w:p w14:paraId="0BD8D7B1">
            <w:pPr>
              <w:spacing w:line="240" w:lineRule="exact"/>
              <w:contextualSpacing/>
              <w:rPr>
                <w:rFonts w:ascii="Times New Roman" w:hAnsi="Times New Roman" w:cs="Times New Roman" w:eastAsiaTheme="minorEastAsia"/>
                <w:szCs w:val="21"/>
              </w:rPr>
            </w:pPr>
          </w:p>
        </w:tc>
        <w:tc>
          <w:tcPr>
            <w:tcW w:w="1560" w:type="dxa"/>
            <w:vAlign w:val="center"/>
          </w:tcPr>
          <w:p w14:paraId="7D40D518">
            <w:pPr>
              <w:spacing w:line="240" w:lineRule="exact"/>
              <w:contextualSpacing/>
              <w:rPr>
                <w:rFonts w:ascii="Times New Roman" w:hAnsi="Times New Roman" w:cs="Times New Roman" w:eastAsiaTheme="minorEastAsia"/>
                <w:szCs w:val="21"/>
              </w:rPr>
            </w:pPr>
            <w:r>
              <w:rPr>
                <w:rFonts w:ascii="Times New Roman" w:cs="Times New Roman" w:hAnsiTheme="minorEastAsia" w:eastAsiaTheme="minorEastAsia"/>
                <w:szCs w:val="21"/>
              </w:rPr>
              <w:t>贾窝站</w:t>
            </w:r>
          </w:p>
        </w:tc>
        <w:tc>
          <w:tcPr>
            <w:tcW w:w="3290" w:type="dxa"/>
            <w:vAlign w:val="center"/>
          </w:tcPr>
          <w:p w14:paraId="3F2AA7B0">
            <w:pPr>
              <w:spacing w:line="240" w:lineRule="exact"/>
              <w:contextualSpacing/>
              <w:rPr>
                <w:rFonts w:ascii="Times New Roman" w:hAnsi="Times New Roman" w:cs="Times New Roman" w:eastAsiaTheme="minorEastAsia"/>
                <w:szCs w:val="21"/>
              </w:rPr>
            </w:pPr>
            <w:r>
              <w:rPr>
                <w:rFonts w:ascii="Times New Roman" w:cs="Times New Roman" w:hAnsiTheme="minorEastAsia" w:eastAsiaTheme="minorEastAsia"/>
                <w:szCs w:val="21"/>
              </w:rPr>
              <w:t>宿州市萧县孙圩子乡</w:t>
            </w:r>
          </w:p>
        </w:tc>
        <w:tc>
          <w:tcPr>
            <w:tcW w:w="1373" w:type="dxa"/>
            <w:vAlign w:val="center"/>
          </w:tcPr>
          <w:p w14:paraId="1B48DE0C">
            <w:pPr>
              <w:spacing w:line="240" w:lineRule="exact"/>
              <w:contextualSpacing/>
              <w:rPr>
                <w:rFonts w:ascii="Times New Roman" w:hAnsi="Times New Roman" w:cs="Times New Roman" w:eastAsiaTheme="minorEastAsia"/>
                <w:szCs w:val="21"/>
              </w:rPr>
            </w:pPr>
          </w:p>
        </w:tc>
      </w:tr>
      <w:tr w14:paraId="0266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826" w:type="dxa"/>
            <w:vMerge w:val="continue"/>
            <w:vAlign w:val="center"/>
          </w:tcPr>
          <w:p w14:paraId="2BFE2B86">
            <w:pPr>
              <w:spacing w:line="240" w:lineRule="exact"/>
              <w:contextualSpacing/>
              <w:rPr>
                <w:rFonts w:ascii="Times New Roman" w:hAnsi="Times New Roman" w:cs="Times New Roman" w:eastAsiaTheme="minorEastAsia"/>
                <w:szCs w:val="21"/>
              </w:rPr>
            </w:pPr>
          </w:p>
        </w:tc>
        <w:tc>
          <w:tcPr>
            <w:tcW w:w="1560" w:type="dxa"/>
            <w:vAlign w:val="center"/>
          </w:tcPr>
          <w:p w14:paraId="5FE41142">
            <w:pPr>
              <w:spacing w:line="240" w:lineRule="exact"/>
              <w:contextualSpacing/>
              <w:rPr>
                <w:rFonts w:ascii="Times New Roman" w:hAnsi="Times New Roman" w:cs="Times New Roman" w:eastAsiaTheme="minorEastAsia"/>
                <w:szCs w:val="21"/>
              </w:rPr>
            </w:pPr>
            <w:r>
              <w:rPr>
                <w:rFonts w:ascii="Times New Roman" w:cs="Times New Roman" w:hAnsiTheme="minorEastAsia" w:eastAsiaTheme="minorEastAsia"/>
                <w:szCs w:val="21"/>
              </w:rPr>
              <w:t>岱山口站</w:t>
            </w:r>
          </w:p>
        </w:tc>
        <w:tc>
          <w:tcPr>
            <w:tcW w:w="3290" w:type="dxa"/>
            <w:vAlign w:val="center"/>
          </w:tcPr>
          <w:p w14:paraId="3D15F9B3">
            <w:pPr>
              <w:spacing w:line="240" w:lineRule="exact"/>
              <w:contextualSpacing/>
              <w:rPr>
                <w:rFonts w:ascii="Times New Roman" w:hAnsi="Times New Roman" w:cs="Times New Roman" w:eastAsiaTheme="minorEastAsia"/>
                <w:szCs w:val="21"/>
              </w:rPr>
            </w:pPr>
            <w:r>
              <w:rPr>
                <w:rFonts w:ascii="Times New Roman" w:cs="Times New Roman" w:hAnsiTheme="minorEastAsia" w:eastAsiaTheme="minorEastAsia"/>
                <w:szCs w:val="21"/>
              </w:rPr>
              <w:t>宿州市萧县龙城镇</w:t>
            </w:r>
          </w:p>
        </w:tc>
        <w:tc>
          <w:tcPr>
            <w:tcW w:w="1373" w:type="dxa"/>
            <w:vAlign w:val="center"/>
          </w:tcPr>
          <w:p w14:paraId="55F24A87">
            <w:pPr>
              <w:spacing w:line="240" w:lineRule="exact"/>
              <w:contextualSpacing/>
              <w:rPr>
                <w:rFonts w:ascii="Times New Roman" w:hAnsi="Times New Roman" w:cs="Times New Roman" w:eastAsiaTheme="minorEastAsia"/>
                <w:szCs w:val="21"/>
              </w:rPr>
            </w:pPr>
          </w:p>
        </w:tc>
      </w:tr>
      <w:tr w14:paraId="64E5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826" w:type="dxa"/>
            <w:vMerge w:val="continue"/>
            <w:vAlign w:val="center"/>
          </w:tcPr>
          <w:p w14:paraId="25776124">
            <w:pPr>
              <w:spacing w:line="240" w:lineRule="exact"/>
              <w:contextualSpacing/>
              <w:rPr>
                <w:rFonts w:ascii="Times New Roman" w:hAnsi="Times New Roman" w:cs="Times New Roman" w:eastAsiaTheme="minorEastAsia"/>
                <w:szCs w:val="21"/>
              </w:rPr>
            </w:pPr>
          </w:p>
        </w:tc>
        <w:tc>
          <w:tcPr>
            <w:tcW w:w="1560" w:type="dxa"/>
            <w:vAlign w:val="center"/>
          </w:tcPr>
          <w:p w14:paraId="4DF845D8">
            <w:pPr>
              <w:spacing w:line="240" w:lineRule="exact"/>
              <w:contextualSpacing/>
              <w:rPr>
                <w:rFonts w:ascii="Times New Roman" w:hAnsi="Times New Roman" w:cs="Times New Roman" w:eastAsiaTheme="minorEastAsia"/>
                <w:szCs w:val="21"/>
              </w:rPr>
            </w:pPr>
            <w:r>
              <w:rPr>
                <w:rFonts w:ascii="Times New Roman" w:cs="Times New Roman" w:hAnsiTheme="minorEastAsia" w:eastAsiaTheme="minorEastAsia"/>
                <w:szCs w:val="21"/>
              </w:rPr>
              <w:t>何巷闸</w:t>
            </w:r>
          </w:p>
        </w:tc>
        <w:tc>
          <w:tcPr>
            <w:tcW w:w="3290" w:type="dxa"/>
            <w:vAlign w:val="center"/>
          </w:tcPr>
          <w:p w14:paraId="12B22B0F">
            <w:pPr>
              <w:spacing w:line="240" w:lineRule="exact"/>
              <w:contextualSpacing/>
              <w:rPr>
                <w:rFonts w:ascii="Times New Roman" w:hAnsi="Times New Roman" w:cs="Times New Roman" w:eastAsiaTheme="minorEastAsia"/>
                <w:szCs w:val="21"/>
              </w:rPr>
            </w:pPr>
            <w:r>
              <w:rPr>
                <w:rFonts w:ascii="Times New Roman" w:cs="Times New Roman" w:hAnsiTheme="minorEastAsia" w:eastAsiaTheme="minorEastAsia"/>
                <w:szCs w:val="21"/>
              </w:rPr>
              <w:t>蚌埠市怀远县榴城镇</w:t>
            </w:r>
          </w:p>
        </w:tc>
        <w:tc>
          <w:tcPr>
            <w:tcW w:w="1373" w:type="dxa"/>
            <w:vAlign w:val="center"/>
          </w:tcPr>
          <w:p w14:paraId="7D871529">
            <w:pPr>
              <w:spacing w:line="240" w:lineRule="exact"/>
              <w:contextualSpacing/>
              <w:rPr>
                <w:rFonts w:ascii="Times New Roman" w:hAnsi="Times New Roman" w:cs="Times New Roman" w:eastAsiaTheme="minorEastAsia"/>
                <w:szCs w:val="21"/>
              </w:rPr>
            </w:pPr>
          </w:p>
        </w:tc>
      </w:tr>
      <w:tr w14:paraId="0FF3F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826" w:type="dxa"/>
            <w:vMerge w:val="continue"/>
            <w:vAlign w:val="center"/>
          </w:tcPr>
          <w:p w14:paraId="5DF0FF4A">
            <w:pPr>
              <w:spacing w:line="240" w:lineRule="exact"/>
              <w:contextualSpacing/>
              <w:rPr>
                <w:rFonts w:ascii="Times New Roman" w:hAnsi="Times New Roman" w:cs="Times New Roman" w:eastAsiaTheme="minorEastAsia"/>
                <w:szCs w:val="21"/>
              </w:rPr>
            </w:pPr>
          </w:p>
        </w:tc>
        <w:tc>
          <w:tcPr>
            <w:tcW w:w="1560" w:type="dxa"/>
            <w:vAlign w:val="center"/>
          </w:tcPr>
          <w:p w14:paraId="03E119E4">
            <w:pPr>
              <w:spacing w:line="240" w:lineRule="exact"/>
              <w:contextualSpacing/>
              <w:rPr>
                <w:rFonts w:ascii="Times New Roman" w:hAnsi="Times New Roman" w:cs="Times New Roman" w:eastAsiaTheme="minorEastAsia"/>
                <w:szCs w:val="21"/>
              </w:rPr>
            </w:pPr>
            <w:r>
              <w:rPr>
                <w:rFonts w:ascii="Times New Roman" w:cs="Times New Roman" w:hAnsiTheme="minorEastAsia" w:eastAsiaTheme="minorEastAsia"/>
                <w:szCs w:val="21"/>
              </w:rPr>
              <w:t>沱河地下涵</w:t>
            </w:r>
          </w:p>
        </w:tc>
        <w:tc>
          <w:tcPr>
            <w:tcW w:w="3290" w:type="dxa"/>
            <w:vAlign w:val="center"/>
          </w:tcPr>
          <w:p w14:paraId="5992A22D">
            <w:pPr>
              <w:spacing w:line="240" w:lineRule="exact"/>
              <w:contextualSpacing/>
              <w:rPr>
                <w:rFonts w:ascii="Times New Roman" w:hAnsi="Times New Roman" w:cs="Times New Roman" w:eastAsiaTheme="minorEastAsia"/>
                <w:szCs w:val="21"/>
              </w:rPr>
            </w:pPr>
            <w:r>
              <w:rPr>
                <w:rFonts w:ascii="Times New Roman" w:cs="Times New Roman" w:hAnsiTheme="minorEastAsia" w:eastAsiaTheme="minorEastAsia"/>
                <w:szCs w:val="21"/>
              </w:rPr>
              <w:t>宿州市灵璧县黄湾镇</w:t>
            </w:r>
          </w:p>
        </w:tc>
        <w:tc>
          <w:tcPr>
            <w:tcW w:w="1373" w:type="dxa"/>
            <w:vAlign w:val="center"/>
          </w:tcPr>
          <w:p w14:paraId="699D3EC0">
            <w:pPr>
              <w:spacing w:line="240" w:lineRule="exact"/>
              <w:contextualSpacing/>
              <w:rPr>
                <w:rFonts w:ascii="Times New Roman" w:hAnsi="Times New Roman" w:cs="Times New Roman" w:eastAsiaTheme="minorEastAsia"/>
                <w:szCs w:val="21"/>
              </w:rPr>
            </w:pPr>
          </w:p>
        </w:tc>
      </w:tr>
    </w:tbl>
    <w:p w14:paraId="36F39276">
      <w:pPr>
        <w:spacing w:line="380" w:lineRule="exact"/>
        <w:ind w:firstLine="482" w:firstLineChars="200"/>
        <w:outlineLvl w:val="1"/>
        <w:rPr>
          <w:rFonts w:ascii="Times New Roman" w:hAnsi="Times New Roman" w:cs="Times New Roman" w:eastAsiaTheme="minorEastAsia"/>
          <w:b/>
          <w:bCs/>
          <w:kern w:val="0"/>
          <w:sz w:val="24"/>
          <w:szCs w:val="24"/>
        </w:rPr>
      </w:pPr>
      <w:r>
        <w:rPr>
          <w:rFonts w:ascii="Times New Roman" w:hAnsi="Times New Roman" w:cs="Times New Roman" w:eastAsiaTheme="minorEastAsia"/>
          <w:b/>
          <w:bCs/>
          <w:kern w:val="0"/>
          <w:sz w:val="24"/>
          <w:szCs w:val="24"/>
        </w:rPr>
        <w:t>1.3</w:t>
      </w:r>
      <w:r>
        <w:rPr>
          <w:rFonts w:ascii="Times New Roman" w:cs="Times New Roman" w:hAnsiTheme="minorEastAsia" w:eastAsiaTheme="minorEastAsia"/>
          <w:b/>
          <w:bCs/>
          <w:kern w:val="0"/>
          <w:sz w:val="24"/>
          <w:szCs w:val="24"/>
        </w:rPr>
        <w:t>主要服务内容</w:t>
      </w:r>
    </w:p>
    <w:p w14:paraId="0BB8CEA9">
      <w:pPr>
        <w:spacing w:line="380" w:lineRule="exact"/>
        <w:ind w:firstLine="480" w:firstLineChars="200"/>
        <w:outlineLvl w:val="1"/>
        <w:rPr>
          <w:rFonts w:ascii="Times New Roman" w:hAnsi="Times New Roman" w:cs="Times New Roman" w:eastAsiaTheme="minorEastAsia"/>
          <w:sz w:val="24"/>
          <w:szCs w:val="24"/>
        </w:rPr>
      </w:pPr>
      <w:r>
        <w:rPr>
          <w:rFonts w:ascii="Times New Roman" w:cs="Times New Roman" w:hAnsiTheme="minorEastAsia" w:eastAsiaTheme="minorEastAsia"/>
          <w:sz w:val="24"/>
          <w:szCs w:val="24"/>
        </w:rPr>
        <w:t>本次采购</w:t>
      </w:r>
      <w:r>
        <w:rPr>
          <w:rFonts w:ascii="Times New Roman" w:hAnsi="Times New Roman" w:cs="Times New Roman" w:eastAsiaTheme="minorEastAsia"/>
          <w:sz w:val="24"/>
          <w:szCs w:val="24"/>
        </w:rPr>
        <w:t>2026</w:t>
      </w:r>
      <w:r>
        <w:rPr>
          <w:rFonts w:ascii="Times New Roman" w:cs="Times New Roman" w:hAnsiTheme="minorEastAsia" w:eastAsiaTheme="minorEastAsia"/>
          <w:sz w:val="24"/>
          <w:szCs w:val="24"/>
        </w:rPr>
        <w:t>年度调度运行中心及省管泵站中控室设施设备运维，范围包括：淮水北调工程调度运行中心软硬件设施设备，固镇站、五河站、四铺站自动化泵站中控室（含视频监控系统）设施设备。成交供应商负责对以上服务范围提供整体运维服务和技术支持服务，保证各现地站点数据及时、准确上传，保障系统稳定、高效运行。主要内容如下：</w:t>
      </w:r>
    </w:p>
    <w:p w14:paraId="36B980FF">
      <w:pPr>
        <w:spacing w:line="380" w:lineRule="exact"/>
        <w:ind w:firstLine="480" w:firstLineChars="200"/>
        <w:outlineLvl w:val="1"/>
        <w:rPr>
          <w:rFonts w:ascii="Times New Roman" w:hAnsi="Times New Roman" w:cs="Times New Roman" w:eastAsiaTheme="minorEastAsia"/>
          <w:sz w:val="24"/>
          <w:szCs w:val="24"/>
        </w:rPr>
      </w:pPr>
      <w:r>
        <w:rPr>
          <w:rFonts w:ascii="Times New Roman" w:hAnsi="Times New Roman" w:cs="Times New Roman" w:eastAsiaTheme="minorEastAsia"/>
          <w:sz w:val="24"/>
          <w:szCs w:val="24"/>
        </w:rPr>
        <w:t>1.</w:t>
      </w:r>
      <w:r>
        <w:rPr>
          <w:rFonts w:ascii="Times New Roman" w:cs="Times New Roman" w:hAnsiTheme="minorEastAsia" w:eastAsiaTheme="minorEastAsia"/>
          <w:sz w:val="24"/>
          <w:szCs w:val="24"/>
        </w:rPr>
        <w:t>运维期间对所有运维服务设施专业巡检每月不得少于</w:t>
      </w:r>
      <w:r>
        <w:rPr>
          <w:rFonts w:hint="eastAsia" w:ascii="Times New Roman" w:hAnsi="Times New Roman" w:cs="Times New Roman" w:eastAsiaTheme="minorEastAsia"/>
          <w:sz w:val="24"/>
          <w:szCs w:val="24"/>
        </w:rPr>
        <w:t>2</w:t>
      </w:r>
      <w:r>
        <w:rPr>
          <w:rFonts w:ascii="Times New Roman" w:cs="Times New Roman" w:hAnsiTheme="minorEastAsia" w:eastAsiaTheme="minorEastAsia"/>
          <w:sz w:val="24"/>
          <w:szCs w:val="24"/>
        </w:rPr>
        <w:t>次，并出具巡检报告；每季度需出具季度运维专业巡检报告；满一年需出具年度运维专业巡检报告，相关报告应真实，切实反映运维实际情况，供采购人参考。</w:t>
      </w:r>
    </w:p>
    <w:p w14:paraId="3699DAF0">
      <w:pPr>
        <w:spacing w:line="380" w:lineRule="exact"/>
        <w:ind w:firstLine="480" w:firstLineChars="200"/>
        <w:outlineLvl w:val="1"/>
        <w:rPr>
          <w:rFonts w:ascii="Times New Roman" w:hAnsi="Times New Roman" w:cs="Times New Roman" w:eastAsiaTheme="minorEastAsia"/>
          <w:sz w:val="24"/>
          <w:szCs w:val="24"/>
        </w:rPr>
      </w:pPr>
      <w:r>
        <w:rPr>
          <w:rFonts w:ascii="Times New Roman" w:hAnsi="Times New Roman" w:cs="Times New Roman" w:eastAsiaTheme="minorEastAsia"/>
          <w:sz w:val="24"/>
          <w:szCs w:val="24"/>
        </w:rPr>
        <w:t>2.</w:t>
      </w:r>
      <w:r>
        <w:rPr>
          <w:rFonts w:ascii="Times New Roman" w:cs="Times New Roman" w:hAnsiTheme="minorEastAsia" w:eastAsiaTheme="minorEastAsia"/>
          <w:sz w:val="24"/>
          <w:szCs w:val="24"/>
        </w:rPr>
        <w:t>委托运维服务设施的运行信息及参数巡检、记录、分析，对巡检运维服务过程中出现的问题，及时解决问题，并提出后续解决方案、预案、预算等。</w:t>
      </w:r>
    </w:p>
    <w:p w14:paraId="4BFA4AAF">
      <w:pPr>
        <w:spacing w:line="380" w:lineRule="exact"/>
        <w:ind w:firstLine="480" w:firstLineChars="200"/>
        <w:outlineLvl w:val="1"/>
        <w:rPr>
          <w:rFonts w:ascii="Times New Roman" w:hAnsi="Times New Roman" w:cs="Times New Roman" w:eastAsiaTheme="minorEastAsia"/>
          <w:sz w:val="24"/>
          <w:szCs w:val="24"/>
        </w:rPr>
      </w:pPr>
      <w:r>
        <w:rPr>
          <w:rFonts w:ascii="Times New Roman" w:hAnsi="Times New Roman" w:cs="Times New Roman" w:eastAsiaTheme="minorEastAsia"/>
          <w:sz w:val="24"/>
          <w:szCs w:val="24"/>
        </w:rPr>
        <w:t>3.</w:t>
      </w:r>
      <w:r>
        <w:rPr>
          <w:rFonts w:ascii="Times New Roman" w:cs="Times New Roman" w:hAnsiTheme="minorEastAsia" w:eastAsiaTheme="minorEastAsia"/>
          <w:sz w:val="24"/>
          <w:szCs w:val="24"/>
        </w:rPr>
        <w:t>负责运维服务软件系统及硬件设备维保（详见系统设备清单），提供损坏件更换服务，保证设备正常使用，负责设备日常维护和安全管理。</w:t>
      </w:r>
    </w:p>
    <w:p w14:paraId="7A38EBCC">
      <w:pPr>
        <w:spacing w:line="380" w:lineRule="exact"/>
        <w:ind w:firstLine="480" w:firstLineChars="200"/>
        <w:outlineLvl w:val="1"/>
        <w:rPr>
          <w:rFonts w:ascii="Times New Roman" w:hAnsi="Times New Roman" w:cs="Times New Roman" w:eastAsiaTheme="minorEastAsia"/>
          <w:sz w:val="24"/>
          <w:szCs w:val="24"/>
        </w:rPr>
      </w:pPr>
      <w:r>
        <w:rPr>
          <w:rFonts w:ascii="Times New Roman" w:hAnsi="Times New Roman" w:cs="Times New Roman" w:eastAsiaTheme="minorEastAsia"/>
          <w:sz w:val="24"/>
          <w:szCs w:val="24"/>
        </w:rPr>
        <w:t>4.</w:t>
      </w:r>
      <w:r>
        <w:rPr>
          <w:rFonts w:ascii="Times New Roman" w:cs="Times New Roman" w:hAnsiTheme="minorEastAsia" w:eastAsiaTheme="minorEastAsia"/>
          <w:sz w:val="24"/>
          <w:szCs w:val="24"/>
        </w:rPr>
        <w:t>运维期间，成交供应商运维服务人员能够随时投入运维服务。</w:t>
      </w:r>
    </w:p>
    <w:p w14:paraId="4EFC2C1D">
      <w:pPr>
        <w:spacing w:line="380" w:lineRule="exact"/>
        <w:ind w:firstLine="480" w:firstLineChars="200"/>
        <w:outlineLvl w:val="1"/>
        <w:rPr>
          <w:rFonts w:ascii="Times New Roman" w:hAnsi="Times New Roman" w:cs="Times New Roman" w:eastAsiaTheme="minorEastAsia"/>
          <w:sz w:val="24"/>
          <w:szCs w:val="24"/>
        </w:rPr>
      </w:pPr>
      <w:r>
        <w:rPr>
          <w:rFonts w:ascii="Times New Roman" w:hAnsi="Times New Roman" w:cs="Times New Roman" w:eastAsiaTheme="minorEastAsia"/>
          <w:sz w:val="24"/>
          <w:szCs w:val="24"/>
        </w:rPr>
        <w:t>5.</w:t>
      </w:r>
      <w:r>
        <w:rPr>
          <w:rFonts w:ascii="Times New Roman" w:cs="Times New Roman" w:hAnsiTheme="minorEastAsia" w:eastAsiaTheme="minorEastAsia"/>
          <w:sz w:val="24"/>
          <w:szCs w:val="24"/>
        </w:rPr>
        <w:t>建立规范化运维服务体系、规章制度，制定切合可行的《应急预案》，确保运维服务设备的安全、稳定运行，每年应举行不少于</w:t>
      </w:r>
      <w:r>
        <w:rPr>
          <w:rFonts w:ascii="Times New Roman" w:hAnsi="Times New Roman" w:cs="Times New Roman" w:eastAsiaTheme="minorEastAsia"/>
          <w:sz w:val="24"/>
          <w:szCs w:val="24"/>
        </w:rPr>
        <w:t>1</w:t>
      </w:r>
      <w:r>
        <w:rPr>
          <w:rFonts w:ascii="Times New Roman" w:cs="Times New Roman" w:hAnsiTheme="minorEastAsia" w:eastAsiaTheme="minorEastAsia"/>
          <w:sz w:val="24"/>
          <w:szCs w:val="24"/>
        </w:rPr>
        <w:t>次的应急演练。</w:t>
      </w:r>
    </w:p>
    <w:p w14:paraId="56131708">
      <w:pPr>
        <w:spacing w:line="380" w:lineRule="exact"/>
        <w:ind w:firstLine="480" w:firstLineChars="200"/>
        <w:outlineLvl w:val="1"/>
        <w:rPr>
          <w:rFonts w:ascii="Times New Roman" w:hAnsi="Times New Roman" w:cs="Times New Roman" w:eastAsiaTheme="minorEastAsia"/>
          <w:sz w:val="24"/>
          <w:szCs w:val="24"/>
        </w:rPr>
      </w:pPr>
      <w:r>
        <w:rPr>
          <w:rFonts w:ascii="Times New Roman" w:hAnsi="Times New Roman" w:cs="Times New Roman" w:eastAsiaTheme="minorEastAsia"/>
          <w:sz w:val="24"/>
          <w:szCs w:val="24"/>
        </w:rPr>
        <w:t>6.</w:t>
      </w:r>
      <w:r>
        <w:rPr>
          <w:rFonts w:ascii="Times New Roman" w:cs="Times New Roman" w:hAnsiTheme="minorEastAsia" w:eastAsiaTheme="minorEastAsia"/>
          <w:sz w:val="24"/>
          <w:szCs w:val="24"/>
        </w:rPr>
        <w:t>根据系统运行情况和预期任务，为采购人提供设备资源优化建议。</w:t>
      </w:r>
    </w:p>
    <w:p w14:paraId="1A677FEF">
      <w:pPr>
        <w:spacing w:line="380" w:lineRule="exact"/>
        <w:ind w:firstLine="480" w:firstLineChars="200"/>
        <w:outlineLvl w:val="1"/>
        <w:rPr>
          <w:rFonts w:ascii="Times New Roman" w:hAnsi="Times New Roman" w:cs="Times New Roman" w:eastAsiaTheme="minorEastAsia"/>
          <w:sz w:val="24"/>
          <w:szCs w:val="24"/>
        </w:rPr>
      </w:pPr>
      <w:r>
        <w:rPr>
          <w:rFonts w:ascii="Times New Roman" w:hAnsi="Times New Roman" w:cs="Times New Roman" w:eastAsiaTheme="minorEastAsia"/>
          <w:sz w:val="24"/>
          <w:szCs w:val="24"/>
        </w:rPr>
        <w:t>7.</w:t>
      </w:r>
      <w:r>
        <w:rPr>
          <w:rFonts w:ascii="Times New Roman" w:cs="Times New Roman" w:hAnsiTheme="minorEastAsia" w:eastAsiaTheme="minorEastAsia"/>
          <w:sz w:val="24"/>
          <w:szCs w:val="24"/>
        </w:rPr>
        <w:t>运维期内，成交供应商为调度运行中心及省管泵站中控室设施设备提供规范化的日常维护和修复性服务，保证系统的可靠性、稳定性及可用性；</w:t>
      </w:r>
    </w:p>
    <w:p w14:paraId="6B7AF02A">
      <w:pPr>
        <w:spacing w:line="380" w:lineRule="exact"/>
        <w:ind w:firstLine="480" w:firstLineChars="200"/>
        <w:outlineLvl w:val="1"/>
        <w:rPr>
          <w:rFonts w:ascii="Times New Roman" w:hAnsi="Times New Roman" w:cs="Times New Roman" w:eastAsiaTheme="minorEastAsia"/>
          <w:sz w:val="24"/>
          <w:szCs w:val="24"/>
        </w:rPr>
      </w:pPr>
      <w:r>
        <w:rPr>
          <w:rFonts w:ascii="Times New Roman" w:hAnsi="Times New Roman" w:cs="Times New Roman" w:eastAsiaTheme="minorEastAsia"/>
          <w:sz w:val="24"/>
          <w:szCs w:val="24"/>
        </w:rPr>
        <w:t>8.</w:t>
      </w:r>
      <w:r>
        <w:rPr>
          <w:rFonts w:ascii="Times New Roman" w:cs="Times New Roman" w:hAnsiTheme="minorEastAsia" w:eastAsiaTheme="minorEastAsia"/>
          <w:sz w:val="24"/>
          <w:szCs w:val="24"/>
        </w:rPr>
        <w:t>对系统存在的问题及突发故障提供及时高效的技术支持服务、完善的解决方案和事后防范机制，最大程度上减低故障对业务系统的影响，使系统设备保持或迅速恢复其良好的工作状态，消除产生故障的薄弱环节，使本项目的系统更趋于稳定、安全、合理和高效；</w:t>
      </w:r>
    </w:p>
    <w:p w14:paraId="74C3EC93">
      <w:pPr>
        <w:spacing w:line="380" w:lineRule="exact"/>
        <w:ind w:firstLine="480" w:firstLineChars="200"/>
        <w:outlineLvl w:val="1"/>
        <w:rPr>
          <w:rFonts w:ascii="Times New Roman" w:hAnsi="Times New Roman" w:cs="Times New Roman" w:eastAsiaTheme="minorEastAsia"/>
          <w:sz w:val="24"/>
          <w:szCs w:val="24"/>
        </w:rPr>
      </w:pPr>
      <w:r>
        <w:rPr>
          <w:rFonts w:ascii="Times New Roman" w:hAnsi="Times New Roman" w:cs="Times New Roman" w:eastAsiaTheme="minorEastAsia"/>
          <w:sz w:val="24"/>
          <w:szCs w:val="24"/>
        </w:rPr>
        <w:t>9.</w:t>
      </w:r>
      <w:r>
        <w:rPr>
          <w:rFonts w:ascii="Times New Roman" w:cs="Times New Roman" w:hAnsiTheme="minorEastAsia" w:eastAsiaTheme="minorEastAsia"/>
          <w:sz w:val="24"/>
          <w:szCs w:val="24"/>
        </w:rPr>
        <w:t>为采购人提供流程化、规范化的服务，服务内容明确，操作步骤标准，服务日志可循；</w:t>
      </w:r>
    </w:p>
    <w:p w14:paraId="062CD43F">
      <w:pPr>
        <w:spacing w:line="380" w:lineRule="exact"/>
        <w:ind w:firstLine="480" w:firstLineChars="200"/>
        <w:outlineLvl w:val="1"/>
        <w:rPr>
          <w:rFonts w:ascii="Times New Roman" w:hAnsi="Times New Roman" w:cs="Times New Roman" w:eastAsiaTheme="minorEastAsia"/>
          <w:sz w:val="24"/>
          <w:szCs w:val="24"/>
        </w:rPr>
      </w:pPr>
      <w:r>
        <w:rPr>
          <w:rFonts w:ascii="Times New Roman" w:hAnsi="Times New Roman" w:cs="Times New Roman" w:eastAsiaTheme="minorEastAsia"/>
          <w:sz w:val="24"/>
          <w:szCs w:val="24"/>
        </w:rPr>
        <w:t>10.</w:t>
      </w:r>
      <w:r>
        <w:rPr>
          <w:rFonts w:ascii="Times New Roman" w:cs="Times New Roman" w:hAnsiTheme="minorEastAsia" w:eastAsiaTheme="minorEastAsia"/>
          <w:sz w:val="24"/>
          <w:szCs w:val="24"/>
        </w:rPr>
        <w:t>为采购人提供咨询服务、运维能力服务和培训服务。</w:t>
      </w:r>
    </w:p>
    <w:p w14:paraId="7DD738DE">
      <w:pPr>
        <w:spacing w:line="380" w:lineRule="exact"/>
        <w:jc w:val="center"/>
        <w:rPr>
          <w:rFonts w:ascii="Times New Roman" w:hAnsi="Times New Roman" w:cs="Times New Roman" w:eastAsiaTheme="minorEastAsia"/>
          <w:b/>
          <w:bCs/>
          <w:sz w:val="24"/>
          <w:szCs w:val="24"/>
        </w:rPr>
      </w:pPr>
      <w:r>
        <w:rPr>
          <w:rFonts w:ascii="Times New Roman" w:cs="Times New Roman" w:hAnsiTheme="minorEastAsia" w:eastAsiaTheme="minorEastAsia"/>
          <w:b/>
          <w:bCs/>
          <w:sz w:val="24"/>
          <w:szCs w:val="24"/>
        </w:rPr>
        <w:t>系统设备清单</w:t>
      </w:r>
    </w:p>
    <w:tbl>
      <w:tblPr>
        <w:tblStyle w:val="24"/>
        <w:tblW w:w="8790" w:type="dxa"/>
        <w:jc w:val="center"/>
        <w:tblLayout w:type="autofit"/>
        <w:tblCellMar>
          <w:top w:w="0" w:type="dxa"/>
          <w:left w:w="0" w:type="dxa"/>
          <w:bottom w:w="0" w:type="dxa"/>
          <w:right w:w="0" w:type="dxa"/>
        </w:tblCellMar>
      </w:tblPr>
      <w:tblGrid>
        <w:gridCol w:w="663"/>
        <w:gridCol w:w="3407"/>
        <w:gridCol w:w="3260"/>
        <w:gridCol w:w="6"/>
        <w:gridCol w:w="702"/>
        <w:gridCol w:w="752"/>
      </w:tblGrid>
      <w:tr w14:paraId="19E77D2F">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A9A6BB">
            <w:pPr>
              <w:widowControl/>
              <w:spacing w:line="240" w:lineRule="exact"/>
              <w:jc w:val="center"/>
              <w:textAlignment w:val="center"/>
              <w:rPr>
                <w:rFonts w:ascii="Times New Roman" w:hAnsi="Times New Roman" w:cs="Times New Roman" w:eastAsiaTheme="minorEastAsia"/>
                <w:b/>
                <w:color w:val="000000"/>
                <w:szCs w:val="21"/>
              </w:rPr>
            </w:pPr>
            <w:r>
              <w:rPr>
                <w:rFonts w:ascii="Times New Roman" w:hAnsi="Times New Roman" w:cs="Times New Roman" w:eastAsiaTheme="minorEastAsia"/>
                <w:b/>
                <w:color w:val="000000"/>
                <w:kern w:val="0"/>
                <w:szCs w:val="21"/>
              </w:rPr>
              <w:t>序号</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2629DF">
            <w:pPr>
              <w:widowControl/>
              <w:spacing w:line="240" w:lineRule="exact"/>
              <w:jc w:val="center"/>
              <w:textAlignment w:val="center"/>
              <w:rPr>
                <w:rFonts w:ascii="Times New Roman" w:hAnsi="Times New Roman" w:cs="Times New Roman" w:eastAsiaTheme="minorEastAsia"/>
                <w:b/>
                <w:color w:val="000000"/>
                <w:szCs w:val="21"/>
              </w:rPr>
            </w:pPr>
            <w:r>
              <w:rPr>
                <w:rFonts w:ascii="Times New Roman" w:hAnsi="Times New Roman" w:cs="Times New Roman" w:eastAsiaTheme="minorEastAsia"/>
                <w:b/>
                <w:color w:val="000000"/>
                <w:kern w:val="0"/>
                <w:szCs w:val="21"/>
              </w:rPr>
              <w:t>名称</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355310">
            <w:pPr>
              <w:widowControl/>
              <w:spacing w:line="240" w:lineRule="exact"/>
              <w:jc w:val="center"/>
              <w:textAlignment w:val="center"/>
              <w:rPr>
                <w:rFonts w:ascii="Times New Roman" w:hAnsi="Times New Roman" w:cs="Times New Roman" w:eastAsiaTheme="minorEastAsia"/>
                <w:b/>
                <w:color w:val="000000"/>
                <w:szCs w:val="21"/>
              </w:rPr>
            </w:pPr>
            <w:r>
              <w:rPr>
                <w:rFonts w:ascii="Times New Roman" w:hAnsi="Times New Roman" w:cs="Times New Roman" w:eastAsiaTheme="minorEastAsia"/>
                <w:b/>
                <w:color w:val="000000"/>
                <w:kern w:val="0"/>
                <w:szCs w:val="21"/>
              </w:rPr>
              <w:t>规格与型号</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5B3227">
            <w:pPr>
              <w:widowControl/>
              <w:spacing w:line="240" w:lineRule="exact"/>
              <w:jc w:val="center"/>
              <w:textAlignment w:val="center"/>
              <w:rPr>
                <w:rFonts w:ascii="Times New Roman" w:hAnsi="Times New Roman" w:cs="Times New Roman" w:eastAsiaTheme="minorEastAsia"/>
                <w:b/>
                <w:color w:val="000000"/>
                <w:szCs w:val="21"/>
              </w:rPr>
            </w:pPr>
            <w:r>
              <w:rPr>
                <w:rFonts w:ascii="Times New Roman" w:hAnsi="Times New Roman" w:cs="Times New Roman" w:eastAsiaTheme="minorEastAsia"/>
                <w:b/>
                <w:color w:val="000000"/>
                <w:kern w:val="0"/>
                <w:szCs w:val="21"/>
              </w:rPr>
              <w:t>单位</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249EF0">
            <w:pPr>
              <w:widowControl/>
              <w:spacing w:line="240" w:lineRule="exact"/>
              <w:jc w:val="center"/>
              <w:textAlignment w:val="center"/>
              <w:rPr>
                <w:rFonts w:ascii="Times New Roman" w:hAnsi="Times New Roman" w:cs="Times New Roman" w:eastAsiaTheme="minorEastAsia"/>
                <w:b/>
                <w:color w:val="000000"/>
                <w:szCs w:val="21"/>
              </w:rPr>
            </w:pPr>
            <w:r>
              <w:rPr>
                <w:rFonts w:ascii="Times New Roman" w:hAnsi="Times New Roman" w:cs="Times New Roman" w:eastAsiaTheme="minorEastAsia"/>
                <w:b/>
                <w:color w:val="000000"/>
                <w:kern w:val="0"/>
                <w:szCs w:val="21"/>
              </w:rPr>
              <w:t>数量</w:t>
            </w:r>
          </w:p>
        </w:tc>
      </w:tr>
      <w:tr w14:paraId="17197099">
        <w:tblPrEx>
          <w:tblCellMar>
            <w:top w:w="0" w:type="dxa"/>
            <w:left w:w="0" w:type="dxa"/>
            <w:bottom w:w="0" w:type="dxa"/>
            <w:right w:w="0" w:type="dxa"/>
          </w:tblCellMar>
        </w:tblPrEx>
        <w:trPr>
          <w:trHeight w:val="360" w:hRule="atLeast"/>
          <w:jc w:val="center"/>
        </w:trPr>
        <w:tc>
          <w:tcPr>
            <w:tcW w:w="8790"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D4288C">
            <w:pPr>
              <w:widowControl/>
              <w:spacing w:line="240" w:lineRule="exact"/>
              <w:jc w:val="center"/>
              <w:textAlignment w:val="center"/>
              <w:rPr>
                <w:rFonts w:ascii="Times New Roman" w:hAnsi="Times New Roman" w:cs="Times New Roman" w:eastAsiaTheme="minorEastAsia"/>
                <w:b/>
                <w:color w:val="000000"/>
                <w:szCs w:val="21"/>
              </w:rPr>
            </w:pPr>
            <w:r>
              <w:rPr>
                <w:rFonts w:ascii="Times New Roman" w:hAnsi="Times New Roman" w:cs="Times New Roman" w:eastAsiaTheme="minorEastAsia"/>
                <w:b/>
                <w:color w:val="000000"/>
                <w:kern w:val="0"/>
                <w:szCs w:val="21"/>
              </w:rPr>
              <w:t>一、调度运行中心设施设备</w:t>
            </w:r>
          </w:p>
        </w:tc>
      </w:tr>
      <w:tr w14:paraId="2003F1B2">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5A31BB">
            <w:pPr>
              <w:widowControl/>
              <w:spacing w:line="240" w:lineRule="exact"/>
              <w:jc w:val="center"/>
              <w:textAlignment w:val="center"/>
              <w:rPr>
                <w:rFonts w:ascii="Times New Roman" w:hAnsi="Times New Roman" w:cs="Times New Roman" w:eastAsiaTheme="minorEastAsia"/>
                <w:b/>
                <w:color w:val="000000"/>
                <w:szCs w:val="21"/>
              </w:rPr>
            </w:pPr>
            <w:r>
              <w:rPr>
                <w:rFonts w:ascii="Times New Roman" w:hAnsi="Times New Roman" w:cs="Times New Roman" w:eastAsiaTheme="minorEastAsia"/>
                <w:b/>
                <w:color w:val="000000"/>
                <w:kern w:val="0"/>
                <w:szCs w:val="21"/>
              </w:rPr>
              <w:t>（一）</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3F6D04">
            <w:pPr>
              <w:widowControl/>
              <w:spacing w:line="240" w:lineRule="exact"/>
              <w:textAlignment w:val="center"/>
              <w:rPr>
                <w:rFonts w:ascii="Times New Roman" w:hAnsi="Times New Roman" w:cs="Times New Roman" w:eastAsiaTheme="minorEastAsia"/>
                <w:b/>
                <w:color w:val="000000"/>
                <w:szCs w:val="21"/>
              </w:rPr>
            </w:pPr>
            <w:r>
              <w:rPr>
                <w:rFonts w:ascii="Times New Roman" w:hAnsi="Times New Roman" w:cs="Times New Roman" w:eastAsiaTheme="minorEastAsia"/>
                <w:b/>
                <w:color w:val="000000"/>
                <w:kern w:val="0"/>
                <w:szCs w:val="21"/>
              </w:rPr>
              <w:t>泵闸站监测与管理系统</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D0DCED">
            <w:pPr>
              <w:spacing w:line="240" w:lineRule="exact"/>
              <w:rPr>
                <w:rFonts w:ascii="Times New Roman" w:hAnsi="Times New Roman" w:cs="Times New Roman" w:eastAsiaTheme="minorEastAsia"/>
                <w:b/>
                <w:color w:val="00000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68D4F0">
            <w:pPr>
              <w:spacing w:line="240" w:lineRule="exact"/>
              <w:rPr>
                <w:rFonts w:ascii="Times New Roman" w:hAnsi="Times New Roman" w:cs="Times New Roman" w:eastAsiaTheme="minorEastAsia"/>
                <w:b/>
                <w:color w:val="000000"/>
                <w:szCs w:val="21"/>
              </w:rPr>
            </w:pP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9E12DF">
            <w:pPr>
              <w:spacing w:line="240" w:lineRule="exact"/>
              <w:rPr>
                <w:rFonts w:ascii="Times New Roman" w:hAnsi="Times New Roman" w:cs="Times New Roman" w:eastAsiaTheme="minorEastAsia"/>
                <w:b/>
                <w:color w:val="000000"/>
                <w:szCs w:val="21"/>
              </w:rPr>
            </w:pPr>
          </w:p>
        </w:tc>
      </w:tr>
      <w:tr w14:paraId="19A02003">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03236D">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516AD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监控平台软件（服务端）</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D63E0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定制软件</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1C2B4D">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420C2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005CB397">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32B939">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FCAA0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现地闸站信息采集客户端软件</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A589C8">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定制软件</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32FD9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21653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460FB197">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5345C2">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3</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EC2E1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网闸</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E41CA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天融信</w:t>
            </w:r>
            <w:r>
              <w:rPr>
                <w:rFonts w:ascii="Times New Roman" w:hAnsi="Times New Roman" w:cs="Times New Roman" w:eastAsiaTheme="minorEastAsia"/>
                <w:color w:val="000000"/>
                <w:szCs w:val="21"/>
              </w:rPr>
              <w:t>TR-81144</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F3530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AE98B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8</w:t>
            </w:r>
          </w:p>
        </w:tc>
      </w:tr>
      <w:tr w14:paraId="2DD50536">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521062">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4</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5AB17E">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必要的线缆(含电力电缆和通信电缆)</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FC15E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远东电缆</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3F96A5">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F3673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8</w:t>
            </w:r>
          </w:p>
        </w:tc>
      </w:tr>
      <w:tr w14:paraId="4D6B641A">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46EC72">
            <w:pPr>
              <w:widowControl/>
              <w:spacing w:line="240" w:lineRule="exact"/>
              <w:jc w:val="center"/>
              <w:textAlignment w:val="center"/>
              <w:rPr>
                <w:rFonts w:ascii="Times New Roman" w:hAnsi="Times New Roman" w:cs="Times New Roman" w:eastAsiaTheme="minorEastAsia"/>
                <w:b/>
                <w:color w:val="000000"/>
                <w:szCs w:val="21"/>
              </w:rPr>
            </w:pPr>
            <w:r>
              <w:rPr>
                <w:rFonts w:ascii="Times New Roman" w:hAnsi="Times New Roman" w:cs="Times New Roman" w:eastAsiaTheme="minorEastAsia"/>
                <w:b/>
                <w:color w:val="000000"/>
                <w:kern w:val="0"/>
                <w:szCs w:val="21"/>
              </w:rPr>
              <w:t>（二）</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4BB0B8">
            <w:pPr>
              <w:widowControl/>
              <w:spacing w:line="240" w:lineRule="exact"/>
              <w:textAlignment w:val="center"/>
              <w:rPr>
                <w:rFonts w:ascii="Times New Roman" w:hAnsi="Times New Roman" w:cs="Times New Roman" w:eastAsiaTheme="minorEastAsia"/>
                <w:b/>
                <w:color w:val="000000"/>
                <w:szCs w:val="21"/>
              </w:rPr>
            </w:pPr>
            <w:r>
              <w:rPr>
                <w:rFonts w:ascii="Times New Roman" w:hAnsi="Times New Roman" w:cs="Times New Roman" w:eastAsiaTheme="minorEastAsia"/>
                <w:b/>
                <w:color w:val="000000"/>
                <w:kern w:val="0"/>
                <w:szCs w:val="21"/>
              </w:rPr>
              <w:t>水质管理系统</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1560F8">
            <w:pPr>
              <w:spacing w:line="240" w:lineRule="exact"/>
              <w:rPr>
                <w:rFonts w:ascii="Times New Roman" w:hAnsi="Times New Roman" w:cs="Times New Roman" w:eastAsiaTheme="minorEastAsia"/>
                <w:color w:val="00000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C9253E">
            <w:pPr>
              <w:spacing w:line="240" w:lineRule="exact"/>
              <w:rPr>
                <w:rFonts w:ascii="Times New Roman" w:hAnsi="Times New Roman" w:cs="Times New Roman" w:eastAsiaTheme="minorEastAsia"/>
                <w:color w:val="000000"/>
                <w:szCs w:val="21"/>
              </w:rPr>
            </w:pP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2F309B">
            <w:pPr>
              <w:spacing w:line="240" w:lineRule="exact"/>
              <w:rPr>
                <w:rFonts w:ascii="Times New Roman" w:hAnsi="Times New Roman" w:cs="Times New Roman" w:eastAsiaTheme="minorEastAsia"/>
                <w:color w:val="000000"/>
                <w:szCs w:val="21"/>
              </w:rPr>
            </w:pPr>
          </w:p>
        </w:tc>
      </w:tr>
      <w:tr w14:paraId="069E8179">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FF7D8A">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4B2365">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监测数据管理及评价系统</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82368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定制软件</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DC568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F55B1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6EEDB410">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45C625">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57F4D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整汇编系统</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72692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定制软件</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E584C7">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81A525">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722378B6">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E3DFFB">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3</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608B08">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信息查询系统</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1BF9CD">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定制软件</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354D4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766525">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70F5129C">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F7C72A">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4</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6D938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水质信息发布系统</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7ED2A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定制软件</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AE15F5">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798F55">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1C6B2483">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64C65C">
            <w:pPr>
              <w:widowControl/>
              <w:spacing w:line="240" w:lineRule="exact"/>
              <w:jc w:val="center"/>
              <w:textAlignment w:val="center"/>
              <w:rPr>
                <w:rFonts w:ascii="Times New Roman" w:hAnsi="Times New Roman" w:cs="Times New Roman" w:eastAsiaTheme="minorEastAsia"/>
                <w:b/>
                <w:color w:val="000000"/>
                <w:szCs w:val="21"/>
              </w:rPr>
            </w:pPr>
            <w:r>
              <w:rPr>
                <w:rFonts w:ascii="Times New Roman" w:hAnsi="Times New Roman" w:cs="Times New Roman" w:eastAsiaTheme="minorEastAsia"/>
                <w:b/>
                <w:color w:val="000000"/>
                <w:kern w:val="0"/>
                <w:szCs w:val="21"/>
              </w:rPr>
              <w:t>（三）</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4DDC6C">
            <w:pPr>
              <w:widowControl/>
              <w:spacing w:line="240" w:lineRule="exact"/>
              <w:textAlignment w:val="center"/>
              <w:rPr>
                <w:rFonts w:ascii="Times New Roman" w:hAnsi="Times New Roman" w:cs="Times New Roman" w:eastAsiaTheme="minorEastAsia"/>
                <w:b/>
                <w:color w:val="000000"/>
                <w:szCs w:val="21"/>
              </w:rPr>
            </w:pPr>
            <w:r>
              <w:rPr>
                <w:rFonts w:ascii="Times New Roman" w:hAnsi="Times New Roman" w:cs="Times New Roman" w:eastAsiaTheme="minorEastAsia"/>
                <w:b/>
                <w:color w:val="000000"/>
                <w:kern w:val="0"/>
                <w:szCs w:val="21"/>
              </w:rPr>
              <w:t>视频监控系统</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F9DD5D">
            <w:pPr>
              <w:spacing w:line="240" w:lineRule="exact"/>
              <w:rPr>
                <w:rFonts w:ascii="Times New Roman" w:hAnsi="Times New Roman" w:cs="Times New Roman" w:eastAsiaTheme="minorEastAsia"/>
                <w:color w:val="00000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6FEC8E">
            <w:pPr>
              <w:spacing w:line="240" w:lineRule="exact"/>
              <w:rPr>
                <w:rFonts w:ascii="Times New Roman" w:hAnsi="Times New Roman" w:cs="Times New Roman" w:eastAsiaTheme="minorEastAsia"/>
                <w:color w:val="000000"/>
                <w:szCs w:val="21"/>
              </w:rPr>
            </w:pP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CA120B">
            <w:pPr>
              <w:spacing w:line="240" w:lineRule="exact"/>
              <w:rPr>
                <w:rFonts w:ascii="Times New Roman" w:hAnsi="Times New Roman" w:cs="Times New Roman" w:eastAsiaTheme="minorEastAsia"/>
                <w:color w:val="000000"/>
                <w:szCs w:val="21"/>
              </w:rPr>
            </w:pPr>
          </w:p>
        </w:tc>
      </w:tr>
      <w:tr w14:paraId="731E082D">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1890D0">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06C65E">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视频服务器应用软件</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7BD91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定制软件</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4C0A6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D6D507">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7596E8DB">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FB8B61">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A076E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流媒体转发服务器软件</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55053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定制软件</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CAD47C">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6715D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3612EFFC">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B5B36D">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3</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73E408">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视频解码器</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D72CA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海康威视</w:t>
            </w:r>
            <w:r>
              <w:rPr>
                <w:rFonts w:ascii="Times New Roman" w:hAnsi="Times New Roman" w:cs="Times New Roman" w:eastAsiaTheme="minorEastAsia"/>
                <w:color w:val="000000"/>
                <w:szCs w:val="21"/>
              </w:rPr>
              <w:t>DS-6404HD-T</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D1B40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56693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4</w:t>
            </w:r>
          </w:p>
        </w:tc>
      </w:tr>
      <w:tr w14:paraId="1E66F458">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A1139D">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4</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49914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视频管理平台</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E9BD1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海康威视iVMS-8800C,IS-VSE2326B-BBC</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3DB3A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A1BCB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535A39D1">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DAD244">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5</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135F58">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视频质量诊断服务器</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03BC7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海康威视iVMS-6200E-D</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C6CD09">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5DE7DE">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701F947B">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06DC76">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6</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D9F74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视频存储磁盘阵列</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91799D">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海康威视DS-A81016S</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89638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C77BE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06C8660B">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7FEDCA">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7</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5A4969">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企业级硬盘</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92459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WD3000FYYZ,3TB　</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E94D3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DB2548">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8</w:t>
            </w:r>
          </w:p>
        </w:tc>
      </w:tr>
      <w:tr w14:paraId="44B94BE6">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8F3628">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8</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53755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视频监控工作站</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F89D75">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曙光W360-G20</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4ECD1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07B1F5">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0D7617C1">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86279F">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9</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56489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必要的线缆(含电力电缆和通信电缆)</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8912E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远东电缆</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E3B665">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265CE7">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68AC1945">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2270A8">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10</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4B8F8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户外网络高清球机</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AA1DA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海康威视DS-2DF8223HF-SL</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D928CD">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5F252D">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w:t>
            </w:r>
          </w:p>
        </w:tc>
      </w:tr>
      <w:tr w14:paraId="67C57782">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C18876">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11</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24A137">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户内网络高清半球机</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70D177">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海康威视DS-2CD2125F-IS</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D9DE0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25210D">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w:t>
            </w:r>
          </w:p>
        </w:tc>
      </w:tr>
      <w:tr w14:paraId="3C3B6D72">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789D3F">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12</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5EC79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网络硬盘录像机</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4CB86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海康威视DS-8632N-I8</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7713D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5BD86C">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w:t>
            </w:r>
          </w:p>
        </w:tc>
      </w:tr>
      <w:tr w14:paraId="301FA731">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8EFC61">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13</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AD6357">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摄像机立柱</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4EFBA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Q235钢 5米高</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162E09">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根</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F8623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w:t>
            </w:r>
          </w:p>
        </w:tc>
      </w:tr>
      <w:tr w14:paraId="2DC49DC2">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C5A193">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14</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09549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五类线</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4590E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爱谱华顿CATE5</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2C2CF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米</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0DE9BD">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100</w:t>
            </w:r>
          </w:p>
        </w:tc>
      </w:tr>
      <w:tr w14:paraId="4D695F08">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CFEA3C">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15</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9B7CC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摄像机电源线</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C0821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远东RVVP-2×1.0</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DEF7CC">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米</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6E67C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100</w:t>
            </w:r>
          </w:p>
        </w:tc>
      </w:tr>
      <w:tr w14:paraId="4D380858">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6B4713">
            <w:pPr>
              <w:widowControl/>
              <w:spacing w:line="240" w:lineRule="exact"/>
              <w:jc w:val="center"/>
              <w:textAlignment w:val="center"/>
              <w:rPr>
                <w:rFonts w:ascii="Times New Roman" w:hAnsi="Times New Roman" w:cs="Times New Roman" w:eastAsiaTheme="minorEastAsia"/>
                <w:b/>
                <w:color w:val="000000"/>
                <w:szCs w:val="21"/>
              </w:rPr>
            </w:pPr>
            <w:r>
              <w:rPr>
                <w:rFonts w:ascii="Times New Roman" w:hAnsi="Times New Roman" w:cs="Times New Roman" w:eastAsiaTheme="minorEastAsia"/>
                <w:b/>
                <w:color w:val="000000"/>
                <w:kern w:val="0"/>
                <w:szCs w:val="21"/>
              </w:rPr>
              <w:t>（四）</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74FFFA">
            <w:pPr>
              <w:widowControl/>
              <w:spacing w:line="240" w:lineRule="exact"/>
              <w:textAlignment w:val="center"/>
              <w:rPr>
                <w:rFonts w:ascii="Times New Roman" w:hAnsi="Times New Roman" w:cs="Times New Roman" w:eastAsiaTheme="minorEastAsia"/>
                <w:b/>
                <w:color w:val="000000"/>
                <w:szCs w:val="21"/>
              </w:rPr>
            </w:pPr>
            <w:r>
              <w:rPr>
                <w:rFonts w:ascii="Times New Roman" w:hAnsi="Times New Roman" w:cs="Times New Roman" w:eastAsiaTheme="minorEastAsia"/>
                <w:b/>
                <w:color w:val="000000"/>
                <w:kern w:val="0"/>
                <w:szCs w:val="21"/>
              </w:rPr>
              <w:t>综合信息服务系统</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71820E">
            <w:pPr>
              <w:spacing w:line="240" w:lineRule="exact"/>
              <w:rPr>
                <w:rFonts w:ascii="Times New Roman" w:hAnsi="Times New Roman" w:cs="Times New Roman" w:eastAsiaTheme="minorEastAsia"/>
                <w:color w:val="000000"/>
                <w:szCs w:val="21"/>
              </w:rPr>
            </w:pPr>
            <w:r>
              <w:rPr>
                <w:rFonts w:ascii="Times New Roman" w:hAnsi="Times New Roman" w:cs="Times New Roman" w:eastAsiaTheme="minorEastAsia"/>
                <w:bCs/>
                <w:color w:val="000000"/>
                <w:kern w:val="0"/>
                <w:szCs w:val="21"/>
              </w:rPr>
              <w:t>“一张图”运维服务</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D876BA">
            <w:pPr>
              <w:spacing w:line="240" w:lineRule="exact"/>
              <w:rPr>
                <w:rFonts w:ascii="Times New Roman" w:hAnsi="Times New Roman" w:cs="Times New Roman" w:eastAsiaTheme="minorEastAsia"/>
                <w:color w:val="000000"/>
                <w:szCs w:val="21"/>
              </w:rPr>
            </w:pP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F30F22">
            <w:pPr>
              <w:spacing w:line="240" w:lineRule="exact"/>
              <w:rPr>
                <w:rFonts w:ascii="Times New Roman" w:hAnsi="Times New Roman" w:cs="Times New Roman" w:eastAsiaTheme="minorEastAsia"/>
                <w:color w:val="000000"/>
                <w:szCs w:val="21"/>
              </w:rPr>
            </w:pPr>
          </w:p>
        </w:tc>
      </w:tr>
      <w:tr w14:paraId="4999DF08">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95A57D">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3A13EC">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工程概要信息服务</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A06199">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定制软件</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0A0E8D">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11B62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68213D8C">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AAFEE6">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057855">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水量调度信息服务</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50A9B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定制软件</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B364AD">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7D2AC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2D59C256">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285E31">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3</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74A83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闸泵站监控信息服务</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0056A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定制软件</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02480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E6F7D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6A15DBAC">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2D3E7D">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4</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88AEB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视频监视信息服务</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2EE7A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定制软件</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0B535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EF30FD">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220BAAFF">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FB0AF9">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5</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8B66BC">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水质信息服务</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5C8E3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定制软件</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F3136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7BC3B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12CA9501">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C0DC0B">
            <w:pPr>
              <w:widowControl/>
              <w:spacing w:line="240" w:lineRule="exact"/>
              <w:jc w:val="center"/>
              <w:textAlignment w:val="center"/>
              <w:rPr>
                <w:rFonts w:ascii="Times New Roman" w:hAnsi="Times New Roman" w:cs="Times New Roman" w:eastAsiaTheme="minorEastAsia"/>
                <w:b/>
                <w:color w:val="000000"/>
                <w:szCs w:val="21"/>
              </w:rPr>
            </w:pPr>
            <w:r>
              <w:rPr>
                <w:rFonts w:ascii="Times New Roman" w:hAnsi="Times New Roman" w:cs="Times New Roman" w:eastAsiaTheme="minorEastAsia"/>
                <w:b/>
                <w:color w:val="000000"/>
                <w:kern w:val="0"/>
                <w:szCs w:val="21"/>
              </w:rPr>
              <w:t>（五）</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6EF89A">
            <w:pPr>
              <w:widowControl/>
              <w:spacing w:line="240" w:lineRule="exact"/>
              <w:textAlignment w:val="center"/>
              <w:rPr>
                <w:rFonts w:ascii="Times New Roman" w:hAnsi="Times New Roman" w:cs="Times New Roman" w:eastAsiaTheme="minorEastAsia"/>
                <w:b/>
                <w:color w:val="000000"/>
                <w:szCs w:val="21"/>
              </w:rPr>
            </w:pPr>
            <w:r>
              <w:rPr>
                <w:rFonts w:ascii="Times New Roman" w:hAnsi="Times New Roman" w:cs="Times New Roman" w:eastAsiaTheme="minorEastAsia"/>
                <w:b/>
                <w:color w:val="000000"/>
                <w:kern w:val="0"/>
                <w:szCs w:val="21"/>
              </w:rPr>
              <w:t>数据资源管理平台</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BA70B7">
            <w:pPr>
              <w:spacing w:line="240" w:lineRule="exact"/>
              <w:rPr>
                <w:rFonts w:ascii="Times New Roman" w:hAnsi="Times New Roman" w:cs="Times New Roman" w:eastAsiaTheme="minorEastAsia"/>
                <w:color w:val="00000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EAE153">
            <w:pPr>
              <w:spacing w:line="240" w:lineRule="exact"/>
              <w:rPr>
                <w:rFonts w:ascii="Times New Roman" w:hAnsi="Times New Roman" w:cs="Times New Roman" w:eastAsiaTheme="minorEastAsia"/>
                <w:color w:val="000000"/>
                <w:szCs w:val="21"/>
              </w:rPr>
            </w:pP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8A93F4">
            <w:pPr>
              <w:spacing w:line="240" w:lineRule="exact"/>
              <w:rPr>
                <w:rFonts w:ascii="Times New Roman" w:hAnsi="Times New Roman" w:cs="Times New Roman" w:eastAsiaTheme="minorEastAsia"/>
                <w:color w:val="000000"/>
                <w:szCs w:val="21"/>
              </w:rPr>
            </w:pPr>
          </w:p>
        </w:tc>
      </w:tr>
      <w:tr w14:paraId="7CC069C3">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3225E3">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E3BB49">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数据库建库管理模块</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C39497">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定制软件</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3B496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7A1F1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697DC5C6">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558847">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B0110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基础数据维护管理模块(含地图文件)</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D13D3C">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定制软件</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9872AC">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6C5A9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22D1A5C7">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466728">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3</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8864AD">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数据库服务器(综合数据库服务器）</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7B6A9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曙光A840-G10</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83A65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F57A9E">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w:t>
            </w:r>
          </w:p>
        </w:tc>
      </w:tr>
      <w:tr w14:paraId="7B0057FB">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D13C93">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4</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29C15D">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数据库管理系统软件</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84C5B7">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 xml:space="preserve">oracle </w:t>
            </w:r>
            <w:r>
              <w:rPr>
                <w:rFonts w:ascii="Times New Roman" w:hAnsi="Times New Roman" w:cs="Times New Roman" w:eastAsiaTheme="minorEastAsia"/>
                <w:color w:val="000000"/>
                <w:szCs w:val="21"/>
              </w:rPr>
              <w:t>企业版</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D8D33C">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5F0ECC">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w:t>
            </w:r>
          </w:p>
        </w:tc>
      </w:tr>
      <w:tr w14:paraId="11512221">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E6A4E4">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5</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6DF68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光纤交换机</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B43FF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曙光</w:t>
            </w:r>
            <w:r>
              <w:rPr>
                <w:rFonts w:ascii="Times New Roman" w:hAnsi="Times New Roman" w:cs="Times New Roman" w:eastAsiaTheme="minorEastAsia"/>
                <w:color w:val="000000"/>
                <w:szCs w:val="21"/>
              </w:rPr>
              <w:t>340-0008-A</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86ED4D">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3EEFE7">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61E2C561">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8CBB4E">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6</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9D661E">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SAS磁盘阵列</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677D6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曙光DS800-G25</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64E1F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E6066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1E802F4C">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4BF58D">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7</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83909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备份服务器</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1C0BC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曙光DBStor100L</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D188B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883B1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7D11EA3D">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0BE562">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8</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061CAC">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必要的线缆(含电力电缆和通信电缆)</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6A88F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远东电缆</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C42209">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A5A717">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2E561769">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1085E6">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9</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927E5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SAS磁盘阵列</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C89DB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曙光DS800-G25</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E8885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979B0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282D3961">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2BA8A1">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10</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92999E">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必要的线缆(含电力电缆和通信电缆)</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16410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远东电缆</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2FAE2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EDB12E">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6DB14B86">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F6F9BB">
            <w:pPr>
              <w:widowControl/>
              <w:spacing w:line="240" w:lineRule="exact"/>
              <w:jc w:val="center"/>
              <w:textAlignment w:val="center"/>
              <w:rPr>
                <w:rFonts w:ascii="Times New Roman" w:hAnsi="Times New Roman" w:cs="Times New Roman" w:eastAsiaTheme="minorEastAsia"/>
                <w:b/>
                <w:color w:val="000000"/>
                <w:szCs w:val="21"/>
              </w:rPr>
            </w:pPr>
            <w:r>
              <w:rPr>
                <w:rFonts w:ascii="Times New Roman" w:hAnsi="Times New Roman" w:cs="Times New Roman" w:eastAsiaTheme="minorEastAsia"/>
                <w:b/>
                <w:color w:val="000000"/>
                <w:szCs w:val="21"/>
              </w:rPr>
              <w:t>（六）</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CE163E">
            <w:pPr>
              <w:widowControl/>
              <w:spacing w:line="240" w:lineRule="exact"/>
              <w:textAlignment w:val="center"/>
              <w:rPr>
                <w:rFonts w:ascii="Times New Roman" w:hAnsi="Times New Roman" w:cs="Times New Roman" w:eastAsiaTheme="minorEastAsia"/>
                <w:b/>
                <w:color w:val="000000"/>
                <w:szCs w:val="21"/>
              </w:rPr>
            </w:pPr>
            <w:r>
              <w:rPr>
                <w:rFonts w:ascii="Times New Roman" w:hAnsi="Times New Roman" w:cs="Times New Roman" w:eastAsiaTheme="minorEastAsia"/>
                <w:b/>
                <w:color w:val="000000"/>
                <w:kern w:val="0"/>
                <w:szCs w:val="21"/>
              </w:rPr>
              <w:t>应用支撑平台</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2C40F3">
            <w:pPr>
              <w:spacing w:line="240" w:lineRule="exact"/>
              <w:rPr>
                <w:rFonts w:ascii="Times New Roman" w:hAnsi="Times New Roman" w:cs="Times New Roman" w:eastAsiaTheme="minorEastAsia"/>
                <w:color w:val="00000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B69D0F">
            <w:pPr>
              <w:spacing w:line="240" w:lineRule="exact"/>
              <w:rPr>
                <w:rFonts w:ascii="Times New Roman" w:hAnsi="Times New Roman" w:cs="Times New Roman" w:eastAsiaTheme="minorEastAsia"/>
                <w:color w:val="000000"/>
                <w:szCs w:val="21"/>
              </w:rPr>
            </w:pP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782B0E">
            <w:pPr>
              <w:spacing w:line="240" w:lineRule="exact"/>
              <w:rPr>
                <w:rFonts w:ascii="Times New Roman" w:hAnsi="Times New Roman" w:cs="Times New Roman" w:eastAsiaTheme="minorEastAsia"/>
                <w:color w:val="000000"/>
                <w:szCs w:val="21"/>
              </w:rPr>
            </w:pPr>
          </w:p>
        </w:tc>
      </w:tr>
      <w:tr w14:paraId="57CBA0AD">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B5091C">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EC3ABD">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统一用户管理与身份认证子系统</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FF3619">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定制软件</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4C7B3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3A5F79">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318099AB">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0A7E85">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FFF9E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数据交换服务子系统</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8D55D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定制软件</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9D02C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86D55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794AA0C2">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E9DD0E">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3</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2743A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中端服务器</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3F7DA8">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曙光</w:t>
            </w:r>
            <w:r>
              <w:rPr>
                <w:rFonts w:ascii="Times New Roman" w:hAnsi="Times New Roman" w:cs="Times New Roman" w:eastAsiaTheme="minorEastAsia"/>
                <w:color w:val="000000"/>
                <w:szCs w:val="21"/>
              </w:rPr>
              <w:t>A840-G10</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CAC6BC">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BBC11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w:t>
            </w:r>
          </w:p>
        </w:tc>
      </w:tr>
      <w:tr w14:paraId="5B431B27">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35D683">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4</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F838B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低端服务器</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16799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曙光</w:t>
            </w:r>
            <w:r>
              <w:rPr>
                <w:rFonts w:ascii="Times New Roman" w:hAnsi="Times New Roman" w:cs="Times New Roman" w:eastAsiaTheme="minorEastAsia"/>
                <w:color w:val="000000"/>
                <w:szCs w:val="21"/>
              </w:rPr>
              <w:t>A840-G10</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933E55">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C50D3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w:t>
            </w:r>
          </w:p>
        </w:tc>
      </w:tr>
      <w:tr w14:paraId="44EEC21A">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4C1AD2">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5</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2E9F4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系统维护工作站</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4B9329">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曙光</w:t>
            </w:r>
            <w:r>
              <w:rPr>
                <w:rFonts w:ascii="Times New Roman" w:hAnsi="Times New Roman" w:cs="Times New Roman" w:eastAsiaTheme="minorEastAsia"/>
                <w:color w:val="000000"/>
                <w:szCs w:val="21"/>
              </w:rPr>
              <w:t>W360-G20</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9B00A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DBE6E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423D0B56">
        <w:tblPrEx>
          <w:tblCellMar>
            <w:top w:w="0" w:type="dxa"/>
            <w:left w:w="0" w:type="dxa"/>
            <w:bottom w:w="0" w:type="dxa"/>
            <w:right w:w="0" w:type="dxa"/>
          </w:tblCellMar>
        </w:tblPrEx>
        <w:trPr>
          <w:trHeight w:val="450"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D9EF46">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6</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E529A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服务器机柜</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F6873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图腾机柜,配KVM</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582A1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E9AA7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3</w:t>
            </w:r>
          </w:p>
        </w:tc>
      </w:tr>
      <w:tr w14:paraId="11DA9B6A">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23ADC7">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7</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98BB5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应用服务器软件</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67D1D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东方通（企业版,多应用）</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169DF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D3A16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167F8713">
        <w:tblPrEx>
          <w:tblCellMar>
            <w:top w:w="0" w:type="dxa"/>
            <w:left w:w="0" w:type="dxa"/>
            <w:bottom w:w="0" w:type="dxa"/>
            <w:right w:w="0" w:type="dxa"/>
          </w:tblCellMar>
        </w:tblPrEx>
        <w:trPr>
          <w:trHeight w:val="450"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7523F5">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8</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A31EEC">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门户服务器软件</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59F8B5">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TRS</w:t>
            </w:r>
            <w:r>
              <w:rPr>
                <w:rFonts w:ascii="Times New Roman" w:hAnsi="Times New Roman" w:cs="Times New Roman" w:eastAsiaTheme="minorEastAsia"/>
                <w:color w:val="000000"/>
                <w:szCs w:val="21"/>
              </w:rPr>
              <w:t>门户系统V6.5(TRS Portal) 、TRS身份服务器系统V4.0和内容管理服务器</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3B553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E24D1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16C1A121">
        <w:tblPrEx>
          <w:tblCellMar>
            <w:top w:w="0" w:type="dxa"/>
            <w:left w:w="0" w:type="dxa"/>
            <w:bottom w:w="0" w:type="dxa"/>
            <w:right w:w="0" w:type="dxa"/>
          </w:tblCellMar>
        </w:tblPrEx>
        <w:trPr>
          <w:trHeight w:val="450"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2269D6">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9</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3B331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消息中间件</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DCF71D">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东方通（含适配器端和前置端及中心端</w:t>
            </w:r>
            <w:r>
              <w:rPr>
                <w:rFonts w:ascii="Times New Roman" w:hAnsi="Times New Roman" w:cs="Times New Roman" w:eastAsiaTheme="minorEastAsia"/>
                <w:color w:val="000000"/>
                <w:szCs w:val="21"/>
              </w:rPr>
              <w:t>TLQ及管理中心）</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0A5E8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73FB0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29E56A96">
        <w:tblPrEx>
          <w:tblCellMar>
            <w:top w:w="0" w:type="dxa"/>
            <w:left w:w="0" w:type="dxa"/>
            <w:bottom w:w="0" w:type="dxa"/>
            <w:right w:w="0" w:type="dxa"/>
          </w:tblCellMar>
        </w:tblPrEx>
        <w:trPr>
          <w:trHeight w:val="450"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7F9AB6">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10</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6124DD">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数据交换服务器软件</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AD5FF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东方通（含适配器端,资源中心及管理中心）</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F455C">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C0820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2161EFBB">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42C456">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11</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3E3079">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内容管理服务器中间件</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A7290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TRS</w:t>
            </w:r>
            <w:r>
              <w:rPr>
                <w:rFonts w:ascii="Times New Roman" w:hAnsi="Times New Roman" w:cs="Times New Roman" w:eastAsiaTheme="minorEastAsia"/>
                <w:color w:val="000000"/>
                <w:szCs w:val="21"/>
              </w:rPr>
              <w:t>内容协作平台软件V7.0</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2FB89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85A09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52931437">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20F49B">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12</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641E2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虚拟服务器软件</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FB5A2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东方通oCloudTM V4.0</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DC107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4F9E0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w:t>
            </w:r>
          </w:p>
        </w:tc>
      </w:tr>
      <w:tr w14:paraId="174B04BF">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101B96">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13</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0A892D">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必要的线缆(含电力电缆和通信电缆)</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2F25B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远东电缆</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E2E9E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668F1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6C227EA8">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9C0B3D">
            <w:pPr>
              <w:widowControl/>
              <w:spacing w:line="240" w:lineRule="exact"/>
              <w:jc w:val="center"/>
              <w:textAlignment w:val="center"/>
              <w:rPr>
                <w:rFonts w:ascii="Times New Roman" w:hAnsi="Times New Roman" w:cs="Times New Roman" w:eastAsiaTheme="minorEastAsia"/>
                <w:b/>
                <w:color w:val="000000"/>
                <w:szCs w:val="21"/>
              </w:rPr>
            </w:pPr>
            <w:r>
              <w:rPr>
                <w:rFonts w:ascii="Times New Roman" w:hAnsi="Times New Roman" w:cs="Times New Roman" w:eastAsiaTheme="minorEastAsia"/>
                <w:b/>
                <w:color w:val="000000"/>
                <w:kern w:val="0"/>
                <w:szCs w:val="21"/>
              </w:rPr>
              <w:t>（七）</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11E888">
            <w:pPr>
              <w:widowControl/>
              <w:spacing w:line="240" w:lineRule="exact"/>
              <w:textAlignment w:val="center"/>
              <w:rPr>
                <w:rFonts w:ascii="Times New Roman" w:hAnsi="Times New Roman" w:cs="Times New Roman" w:eastAsiaTheme="minorEastAsia"/>
                <w:b/>
                <w:color w:val="000000"/>
                <w:szCs w:val="21"/>
              </w:rPr>
            </w:pPr>
            <w:r>
              <w:rPr>
                <w:rFonts w:ascii="Times New Roman" w:hAnsi="Times New Roman" w:cs="Times New Roman" w:eastAsiaTheme="minorEastAsia"/>
                <w:b/>
                <w:color w:val="000000"/>
                <w:kern w:val="0"/>
                <w:szCs w:val="21"/>
              </w:rPr>
              <w:t xml:space="preserve"> 计算机网络系统</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A2AE74">
            <w:pPr>
              <w:spacing w:line="240" w:lineRule="exact"/>
              <w:rPr>
                <w:rFonts w:ascii="Times New Roman" w:hAnsi="Times New Roman" w:cs="Times New Roman" w:eastAsiaTheme="minorEastAsia"/>
                <w:color w:val="00000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CD54A3">
            <w:pPr>
              <w:spacing w:line="240" w:lineRule="exact"/>
              <w:rPr>
                <w:rFonts w:ascii="Times New Roman" w:hAnsi="Times New Roman" w:cs="Times New Roman" w:eastAsiaTheme="minorEastAsia"/>
                <w:color w:val="000000"/>
                <w:szCs w:val="21"/>
              </w:rPr>
            </w:pP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AC3D40">
            <w:pPr>
              <w:spacing w:line="240" w:lineRule="exact"/>
              <w:rPr>
                <w:rFonts w:ascii="Times New Roman" w:hAnsi="Times New Roman" w:cs="Times New Roman" w:eastAsiaTheme="minorEastAsia"/>
                <w:color w:val="000000"/>
                <w:szCs w:val="21"/>
              </w:rPr>
            </w:pPr>
          </w:p>
        </w:tc>
      </w:tr>
      <w:tr w14:paraId="0EB26D7E">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992B9E">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42F0D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核心路由器</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81815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H3C SR6616-X</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276CF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89187D">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3F850F1A">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FB00A3">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B8C8FC">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核心交换机</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8875A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H3C ,S10500 V7</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097ED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909E2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w:t>
            </w:r>
          </w:p>
        </w:tc>
      </w:tr>
      <w:tr w14:paraId="35C5F1E1">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D6390A">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3</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05C23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三层交换机</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A433DE">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H3C, S5560-34C-EI L3</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316AB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D5E2F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w:t>
            </w:r>
          </w:p>
        </w:tc>
      </w:tr>
      <w:tr w14:paraId="4274F55F">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BA232A">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4</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67F4D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网管系统软件</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A8B35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H3C,iMC V7智能管理中心</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F4429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5EE80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48854E48">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628F0D">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5</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CD716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网管服务器</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C2B40E">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曙光I620-G10</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6DEB7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14B32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w:t>
            </w:r>
          </w:p>
        </w:tc>
      </w:tr>
      <w:tr w14:paraId="1720CC6D">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8C0030">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6</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85B26E">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认证网关</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0E6769">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H3C,LIS-SR8800</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40A7E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62D8C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1F73D707">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DEC8EF">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7</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7EF53E">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防火墙</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7F52FC">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天融信,TG-57556</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2C6F6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2BB599">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19E24C04">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1108A2">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8</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A45465">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NIDS</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844BA9">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天融信</w:t>
            </w:r>
            <w:r>
              <w:rPr>
                <w:rFonts w:ascii="Times New Roman" w:hAnsi="Times New Roman" w:cs="Times New Roman" w:eastAsiaTheme="minorEastAsia"/>
                <w:color w:val="000000"/>
                <w:szCs w:val="21"/>
              </w:rPr>
              <w:t>TopSentry 3000</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1824BD">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9C36A7">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360F1647">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FC983E">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9</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F50A6C">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防病毒服务器</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FB2EA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曙光A620R-G</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B3B75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315DC9">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07C9F931">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FAC42D">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10</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95542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标准网络机柜</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1BB61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图腾机柜</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7F049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架</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782C7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6</w:t>
            </w:r>
          </w:p>
        </w:tc>
      </w:tr>
      <w:tr w14:paraId="4F6025A4">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1E3FEF">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11</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FC82E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必要的线缆(含电力电缆和通信电缆)</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ADE3E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远东</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7B3959">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C7B6F7">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64C9A2F6">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90537A">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12</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4A9E9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核心路由器</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D649D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H3C SR6616-X</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DE33D8">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40AE7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0B9865BC">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0126C2">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13</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726E5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核心交换机</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CEAF85">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H3C, S10500 V7</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A9C7FC">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743F5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68E53BA9">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032076">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14</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8E2C8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防火墙</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ABD30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天融信,TG-57556</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0C8EA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8296D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732BC9CA">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379427">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15</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B6575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必要的线缆(含电力电缆和通信电缆)</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7891C6">
            <w:pPr>
              <w:spacing w:line="240" w:lineRule="exact"/>
              <w:rPr>
                <w:rFonts w:ascii="Times New Roman" w:hAnsi="Times New Roman" w:cs="Times New Roman" w:eastAsiaTheme="minorEastAsia"/>
                <w:color w:val="00000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0FB36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CA7E9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0A38E95E">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8AF59A">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16</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C9814C">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路由器</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5B13FD">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H3C MSR 36-20</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6AEA3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26E8C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w:t>
            </w:r>
          </w:p>
        </w:tc>
      </w:tr>
      <w:tr w14:paraId="1F1DE278">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BBD680">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17</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00542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三层交换机</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55D58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H3C, S5560-34C-EI L3</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2E5B9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5ED0F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w:t>
            </w:r>
          </w:p>
        </w:tc>
      </w:tr>
      <w:tr w14:paraId="466E6BD9">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57A05F">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18</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7CBAB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防火墙</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20455C">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天融信,TG-41108</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6D9485">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C903AC">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w:t>
            </w:r>
          </w:p>
        </w:tc>
      </w:tr>
      <w:tr w14:paraId="3E574D9C">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98C03B">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19</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3C0DCC">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网络机架</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07071E">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图腾机柜</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62D54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架</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1141F8">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w:t>
            </w:r>
          </w:p>
        </w:tc>
      </w:tr>
      <w:tr w14:paraId="3FC20E52">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CBADFD">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20</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12AFD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必要的线缆(含电力电缆和通信电缆)</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1B9A9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远东</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E5143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914C8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w:t>
            </w:r>
          </w:p>
        </w:tc>
      </w:tr>
      <w:tr w14:paraId="00458DF4">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29E7BD">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21</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5839C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防火墙</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F1EFF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天融信,TG-41108</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D5FFE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个</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63CB2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8</w:t>
            </w:r>
          </w:p>
        </w:tc>
      </w:tr>
      <w:tr w14:paraId="56171082">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7E36A3">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22</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4C67A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路由器</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9EE56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H3C MSR 36-20</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2E28B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个</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F1246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8</w:t>
            </w:r>
          </w:p>
        </w:tc>
      </w:tr>
      <w:tr w14:paraId="793C51F4">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A2235C">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23</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125FEC">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必要的线缆(含电力电缆和通信电缆)</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3734B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远东</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11A72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75779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8</w:t>
            </w:r>
          </w:p>
        </w:tc>
      </w:tr>
      <w:tr w14:paraId="113B81E4">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7DAD81">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24</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7F203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防火墙</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D04FE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天融信,TG-41108</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6D4E1C">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个</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D3F21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w:t>
            </w:r>
          </w:p>
        </w:tc>
      </w:tr>
      <w:tr w14:paraId="2C9BEC51">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48B666">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25</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FEFD0D">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路由器</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90A109">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H3C MSR 36-20</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777B9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个</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5EACC8">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w:t>
            </w:r>
          </w:p>
        </w:tc>
      </w:tr>
      <w:tr w14:paraId="1C9CD804">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0B9B9D">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26</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2708C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交换机</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BFD88C">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H3C S5110-28P</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2EAE88">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个</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7E3B5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w:t>
            </w:r>
          </w:p>
        </w:tc>
      </w:tr>
      <w:tr w14:paraId="470F7349">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07844E">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27</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7C46A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必要的线缆(含电力电缆和通信电缆)</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D009B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远东</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C30D59">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4AB4BC">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w:t>
            </w:r>
          </w:p>
        </w:tc>
      </w:tr>
      <w:tr w14:paraId="1ECB77D4">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702934">
            <w:pPr>
              <w:widowControl/>
              <w:spacing w:line="240" w:lineRule="exact"/>
              <w:jc w:val="center"/>
              <w:textAlignment w:val="center"/>
              <w:rPr>
                <w:rFonts w:ascii="Times New Roman" w:hAnsi="Times New Roman" w:cs="Times New Roman" w:eastAsiaTheme="minorEastAsia"/>
                <w:b/>
                <w:color w:val="000000"/>
                <w:szCs w:val="21"/>
              </w:rPr>
            </w:pPr>
            <w:r>
              <w:rPr>
                <w:rFonts w:ascii="Times New Roman" w:hAnsi="Times New Roman" w:cs="Times New Roman" w:eastAsiaTheme="minorEastAsia"/>
                <w:b/>
                <w:color w:val="000000"/>
                <w:kern w:val="0"/>
                <w:szCs w:val="21"/>
              </w:rPr>
              <w:t>（八）</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312E6D">
            <w:pPr>
              <w:widowControl/>
              <w:spacing w:line="240" w:lineRule="exact"/>
              <w:textAlignment w:val="center"/>
              <w:rPr>
                <w:rFonts w:ascii="Times New Roman" w:hAnsi="Times New Roman" w:cs="Times New Roman" w:eastAsiaTheme="minorEastAsia"/>
                <w:b/>
                <w:color w:val="000000"/>
                <w:szCs w:val="21"/>
              </w:rPr>
            </w:pPr>
            <w:r>
              <w:rPr>
                <w:rFonts w:ascii="Times New Roman" w:hAnsi="Times New Roman" w:cs="Times New Roman" w:eastAsiaTheme="minorEastAsia"/>
                <w:b/>
                <w:color w:val="000000"/>
                <w:kern w:val="0"/>
                <w:szCs w:val="21"/>
              </w:rPr>
              <w:t>调度会商室、精密机房</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BC8113">
            <w:pPr>
              <w:spacing w:line="240" w:lineRule="exact"/>
              <w:rPr>
                <w:rFonts w:ascii="Times New Roman" w:hAnsi="Times New Roman" w:cs="Times New Roman" w:eastAsiaTheme="minorEastAsia"/>
                <w:color w:val="00000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C4395E">
            <w:pPr>
              <w:spacing w:line="240" w:lineRule="exact"/>
              <w:rPr>
                <w:rFonts w:ascii="Times New Roman" w:hAnsi="Times New Roman" w:cs="Times New Roman" w:eastAsiaTheme="minorEastAsia"/>
                <w:color w:val="000000"/>
                <w:szCs w:val="21"/>
              </w:rPr>
            </w:pP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213AB0">
            <w:pPr>
              <w:spacing w:line="240" w:lineRule="exact"/>
              <w:rPr>
                <w:rFonts w:ascii="Times New Roman" w:hAnsi="Times New Roman" w:cs="Times New Roman" w:eastAsiaTheme="minorEastAsia"/>
                <w:color w:val="000000"/>
                <w:szCs w:val="21"/>
              </w:rPr>
            </w:pPr>
          </w:p>
        </w:tc>
      </w:tr>
      <w:tr w14:paraId="6CFC3F93">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F72814">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32872D">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大屏显示系统</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01B806">
            <w:pPr>
              <w:spacing w:line="240" w:lineRule="exact"/>
              <w:rPr>
                <w:rFonts w:ascii="Times New Roman" w:hAnsi="Times New Roman" w:cs="Times New Roman" w:eastAsiaTheme="minorEastAsia"/>
                <w:color w:val="000000"/>
                <w:kern w:val="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BC675F">
            <w:pPr>
              <w:spacing w:line="240" w:lineRule="exact"/>
              <w:rPr>
                <w:rFonts w:ascii="Times New Roman" w:hAnsi="Times New Roman" w:cs="Times New Roman" w:eastAsiaTheme="minorEastAsia"/>
                <w:color w:val="000000"/>
                <w:kern w:val="0"/>
                <w:szCs w:val="21"/>
              </w:rPr>
            </w:pP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2BF2F2">
            <w:pPr>
              <w:spacing w:line="240" w:lineRule="exact"/>
              <w:rPr>
                <w:rFonts w:ascii="Times New Roman" w:hAnsi="Times New Roman" w:cs="Times New Roman" w:eastAsiaTheme="minorEastAsia"/>
                <w:color w:val="000000"/>
                <w:kern w:val="0"/>
                <w:szCs w:val="21"/>
              </w:rPr>
            </w:pPr>
          </w:p>
        </w:tc>
      </w:tr>
      <w:tr w14:paraId="0C44646E">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652937">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1CB8C0">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kern w:val="0"/>
                <w:szCs w:val="21"/>
              </w:rPr>
              <w:t>超高清室内小间距LED显示屏</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E3B72B">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洲明科技ULWⅢ1.2</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4ABC19">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平方</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2288E9">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9.72</w:t>
            </w:r>
          </w:p>
        </w:tc>
      </w:tr>
      <w:tr w14:paraId="5EE1183D">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8E325F">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（2）</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A2A261">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kern w:val="0"/>
                <w:szCs w:val="21"/>
              </w:rPr>
              <w:t>屏体控制器(音视频综合管理平台)</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1DCD17">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洲明科技SD600E</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4C9CB4">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F05354">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4</w:t>
            </w:r>
          </w:p>
        </w:tc>
      </w:tr>
      <w:tr w14:paraId="35E58244">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D7B17B">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（3）</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F28B8A">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kern w:val="0"/>
                <w:szCs w:val="21"/>
              </w:rPr>
              <w:t>拼接控制器(音视频综合管理平台)</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D0A384">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洲明科技 UVP5000A</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4F9F41">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97B055">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w:t>
            </w:r>
          </w:p>
        </w:tc>
      </w:tr>
      <w:tr w14:paraId="1B2050F3">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B5D16C">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（4）</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D4C836">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kern w:val="0"/>
                <w:szCs w:val="21"/>
              </w:rPr>
              <w:t>定制钢结构</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450CF2">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洲明科技</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ECD3CB">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3BF7CE">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w:t>
            </w:r>
          </w:p>
        </w:tc>
      </w:tr>
      <w:tr w14:paraId="092A3E83">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BCE988">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（5）</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0A0464">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kern w:val="0"/>
                <w:szCs w:val="21"/>
              </w:rPr>
              <w:t>配套线缆及辅材</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8107AE">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洲明科技</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4FEBEC">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243A4D">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w:t>
            </w:r>
          </w:p>
        </w:tc>
      </w:tr>
      <w:tr w14:paraId="6AC54869">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3F37C4">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（6）</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FCB9CE">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kern w:val="0"/>
                <w:szCs w:val="21"/>
              </w:rPr>
              <w:t>配电箱</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C415C4">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智能控制柜</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6E749A">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CC4600">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w:t>
            </w:r>
          </w:p>
        </w:tc>
      </w:tr>
      <w:tr w14:paraId="3EAACFDC">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FAF739">
            <w:pPr>
              <w:widowControl/>
              <w:spacing w:line="240" w:lineRule="exact"/>
              <w:jc w:val="center"/>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2</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F738D3">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数字会议系统</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00C03F">
            <w:pPr>
              <w:spacing w:line="240" w:lineRule="exact"/>
              <w:rPr>
                <w:rFonts w:ascii="Times New Roman" w:hAnsi="Times New Roman" w:cs="Times New Roman" w:eastAsiaTheme="minorEastAsia"/>
                <w:kern w:val="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68872B">
            <w:pPr>
              <w:spacing w:line="240" w:lineRule="exact"/>
              <w:rPr>
                <w:rFonts w:ascii="Times New Roman" w:hAnsi="Times New Roman" w:cs="Times New Roman" w:eastAsiaTheme="minorEastAsia"/>
                <w:kern w:val="0"/>
                <w:szCs w:val="21"/>
              </w:rPr>
            </w:pP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F64837">
            <w:pPr>
              <w:spacing w:line="240" w:lineRule="exact"/>
              <w:rPr>
                <w:rFonts w:ascii="Times New Roman" w:hAnsi="Times New Roman" w:cs="Times New Roman" w:eastAsiaTheme="minorEastAsia"/>
                <w:kern w:val="0"/>
                <w:szCs w:val="21"/>
              </w:rPr>
            </w:pPr>
          </w:p>
        </w:tc>
      </w:tr>
      <w:tr w14:paraId="437B46B9">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5A3DEF">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7C30F6">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全数字会议系统主机</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064D3F">
            <w:pPr>
              <w:spacing w:line="240" w:lineRule="exac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DSPPA，D7101</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D88FA7">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B845A7">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w:t>
            </w:r>
          </w:p>
        </w:tc>
      </w:tr>
      <w:tr w14:paraId="5C6025F3">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B6201E">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（2）</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38B351">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桌面式发言表决主席单元</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7ED8BC">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DSPPA，D7323</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76D9C3">
            <w:pPr>
              <w:spacing w:line="240" w:lineRule="exac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只</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984308">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w:t>
            </w:r>
          </w:p>
        </w:tc>
      </w:tr>
      <w:tr w14:paraId="73944FC1">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40915A">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（3）</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280320">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桌面式发言表决代表单元</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26D654">
            <w:pPr>
              <w:spacing w:line="240" w:lineRule="exac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DSPPA，D7324</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A7A02A">
            <w:pPr>
              <w:spacing w:line="240" w:lineRule="exac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只</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228404">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15</w:t>
            </w:r>
          </w:p>
        </w:tc>
      </w:tr>
      <w:tr w14:paraId="50A46540">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743CFD">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（4）</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D85F0C">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会议专用线缆</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71EE0F">
            <w:pPr>
              <w:spacing w:line="240" w:lineRule="exac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迪士普配套</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84FF35">
            <w:pPr>
              <w:spacing w:line="240" w:lineRule="exac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根</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23B675">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2</w:t>
            </w:r>
          </w:p>
        </w:tc>
      </w:tr>
      <w:tr w14:paraId="6D425130">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00EF3A">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（5）</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EDCC76">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全数字会议系统PC软件包</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D33792">
            <w:pPr>
              <w:spacing w:line="240" w:lineRule="exac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DSPPA，D7100</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C03292">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ED212D">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w:t>
            </w:r>
          </w:p>
        </w:tc>
      </w:tr>
      <w:tr w14:paraId="6C7E6802">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3C8236">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（6）</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D7A041">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无源全频音箱</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F28E36">
            <w:pPr>
              <w:spacing w:line="240" w:lineRule="exac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DSPPA，D6563</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C05548">
            <w:pPr>
              <w:spacing w:line="240" w:lineRule="exac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只</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3FA87A">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6</w:t>
            </w:r>
          </w:p>
        </w:tc>
      </w:tr>
      <w:tr w14:paraId="16128031">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B74992">
            <w:pPr>
              <w:widowControl/>
              <w:spacing w:line="240" w:lineRule="exact"/>
              <w:jc w:val="center"/>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（7）</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127455">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专业立体声功放</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EB21BD">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DSPPA，MX1500II</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8D05EB">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842B34">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3</w:t>
            </w:r>
          </w:p>
        </w:tc>
      </w:tr>
      <w:tr w14:paraId="79F8C90B">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94830A">
            <w:pPr>
              <w:widowControl/>
              <w:spacing w:line="240" w:lineRule="exact"/>
              <w:jc w:val="center"/>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（8）</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06E2E5">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机架式数字调音台</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6E51A1">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DSPPA，DN20</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0C7AD2">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C70263">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w:t>
            </w:r>
          </w:p>
        </w:tc>
      </w:tr>
      <w:tr w14:paraId="3DF81B4E">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36894D">
            <w:pPr>
              <w:widowControl/>
              <w:spacing w:line="240" w:lineRule="exact"/>
              <w:jc w:val="center"/>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（9）</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511043">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数字音频处理器</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1541F6">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DSPPA，D6642HD</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08B66D">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F4ED94">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w:t>
            </w:r>
          </w:p>
        </w:tc>
      </w:tr>
      <w:tr w14:paraId="5979680E">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9100DF">
            <w:pPr>
              <w:widowControl/>
              <w:spacing w:line="240" w:lineRule="exact"/>
              <w:jc w:val="center"/>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（10）</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ED6F02">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手持型无线手持话筒</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D7A29B">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DSPPA，D5811</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AD8832">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5774B9">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2</w:t>
            </w:r>
          </w:p>
        </w:tc>
      </w:tr>
      <w:tr w14:paraId="444ED1FA">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C2D335">
            <w:pPr>
              <w:widowControl/>
              <w:spacing w:line="240" w:lineRule="exact"/>
              <w:jc w:val="center"/>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（11）</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4A1D97">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无线话筒接收器</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6DA7B7">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DSPPA，D5815</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D960F4">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82F10D">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w:t>
            </w:r>
          </w:p>
        </w:tc>
      </w:tr>
      <w:tr w14:paraId="048B406C">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605E14">
            <w:pPr>
              <w:widowControl/>
              <w:spacing w:line="240" w:lineRule="exact"/>
              <w:jc w:val="center"/>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（12）</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965AF8">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八路智能电源控制器</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53A8E1">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DSPPA，D6578</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34DF61">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88AF27">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w:t>
            </w:r>
          </w:p>
        </w:tc>
      </w:tr>
      <w:tr w14:paraId="292008E3">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43074D">
            <w:pPr>
              <w:widowControl/>
              <w:spacing w:line="240" w:lineRule="exact"/>
              <w:jc w:val="center"/>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（13）</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C95021">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中控控制主系统</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EDBF9D">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DSPPA，D6601</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489F63">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10C538">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w:t>
            </w:r>
          </w:p>
        </w:tc>
      </w:tr>
      <w:tr w14:paraId="4D18AB69">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14AAF9">
            <w:pPr>
              <w:widowControl/>
              <w:spacing w:line="240" w:lineRule="exact"/>
              <w:jc w:val="center"/>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（14）</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27496">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10寸无线彩色触摸屏</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58BDB2">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DSPPA，D6617W</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84A6D2">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0CA169">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w:t>
            </w:r>
          </w:p>
        </w:tc>
      </w:tr>
      <w:tr w14:paraId="7DE65C15">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96437F">
            <w:pPr>
              <w:widowControl/>
              <w:spacing w:line="240" w:lineRule="exact"/>
              <w:jc w:val="center"/>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（15）</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C34912">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无线路由器</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DD165F">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DSPP，D7341</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FBC026">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0E422D">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w:t>
            </w:r>
          </w:p>
        </w:tc>
      </w:tr>
      <w:tr w14:paraId="6F718396">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DEA1D3">
            <w:pPr>
              <w:widowControl/>
              <w:spacing w:line="240" w:lineRule="exact"/>
              <w:jc w:val="center"/>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（16）</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F39C50">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可编程控制软件</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ABCC37">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DSPPA，D6600</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CD363B">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93AA7F">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w:t>
            </w:r>
          </w:p>
        </w:tc>
      </w:tr>
      <w:tr w14:paraId="237F26C1">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0B3398">
            <w:pPr>
              <w:widowControl/>
              <w:spacing w:line="240" w:lineRule="exact"/>
              <w:jc w:val="center"/>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（17）</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0668EB">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网络彩色打印机</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6C094F">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CP5225N</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E9E94B">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65812A">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w:t>
            </w:r>
          </w:p>
        </w:tc>
      </w:tr>
      <w:tr w14:paraId="6D571C97">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693BF1">
            <w:pPr>
              <w:widowControl/>
              <w:spacing w:line="240" w:lineRule="exact"/>
              <w:jc w:val="center"/>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（18）</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AC665E">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网络黑白打印机</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838CF7">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CP5225N</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B48E7F">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B63306">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w:t>
            </w:r>
          </w:p>
        </w:tc>
      </w:tr>
      <w:tr w14:paraId="4F6FC8BC">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F5529F">
            <w:pPr>
              <w:widowControl/>
              <w:spacing w:line="240" w:lineRule="exact"/>
              <w:jc w:val="center"/>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3</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F5C64A">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可视对讲系统</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0D587F">
            <w:pPr>
              <w:spacing w:line="240" w:lineRule="exact"/>
              <w:rPr>
                <w:rFonts w:ascii="Times New Roman" w:hAnsi="Times New Roman" w:cs="Times New Roman" w:eastAsiaTheme="minorEastAsia"/>
                <w:kern w:val="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348FFF">
            <w:pPr>
              <w:spacing w:line="240" w:lineRule="exact"/>
              <w:rPr>
                <w:rFonts w:ascii="Times New Roman" w:hAnsi="Times New Roman" w:cs="Times New Roman" w:eastAsiaTheme="minorEastAsia"/>
                <w:kern w:val="0"/>
                <w:szCs w:val="21"/>
              </w:rPr>
            </w:pP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4B950D">
            <w:pPr>
              <w:spacing w:line="240" w:lineRule="exact"/>
              <w:rPr>
                <w:rFonts w:ascii="Times New Roman" w:hAnsi="Times New Roman" w:cs="Times New Roman" w:eastAsiaTheme="minorEastAsia"/>
                <w:kern w:val="0"/>
                <w:szCs w:val="21"/>
              </w:rPr>
            </w:pPr>
          </w:p>
        </w:tc>
      </w:tr>
      <w:tr w14:paraId="3BE791FD">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680981">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B48C53">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IP网络可视对讲主机</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8E2E50">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来邦NLV-15Z++</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D35B42">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2CC434">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w:t>
            </w:r>
          </w:p>
        </w:tc>
      </w:tr>
      <w:tr w14:paraId="5C8DE389">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BAAE43">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（2）</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8D52B8">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拨号式可视分机</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F7EB1A">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来邦NLC-S10Z+</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A3039C">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E74D49">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12</w:t>
            </w:r>
          </w:p>
        </w:tc>
      </w:tr>
      <w:tr w14:paraId="0FA5EEC8">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3A3888">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（3）</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E4FE10">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IP网络地址盒</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C8EDEC">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来邦NLV-SEZ</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2B59ED">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F23F92">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w:t>
            </w:r>
          </w:p>
        </w:tc>
      </w:tr>
      <w:tr w14:paraId="2746DC57">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AF2216">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（4）</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4C4334">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配套电缆</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595D62">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远东，信号及电源线缆</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DD1253">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40A7F6">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w:t>
            </w:r>
          </w:p>
        </w:tc>
      </w:tr>
      <w:tr w14:paraId="306E1CD5">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5835D0">
            <w:pPr>
              <w:widowControl/>
              <w:spacing w:line="240" w:lineRule="exact"/>
              <w:jc w:val="center"/>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4</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2C4FCF">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空调通风系统</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F56D47">
            <w:pPr>
              <w:spacing w:line="240" w:lineRule="exact"/>
              <w:rPr>
                <w:rFonts w:ascii="Times New Roman" w:hAnsi="Times New Roman" w:cs="Times New Roman" w:eastAsiaTheme="minorEastAsia"/>
                <w:kern w:val="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6EF5E0">
            <w:pPr>
              <w:spacing w:line="240" w:lineRule="exact"/>
              <w:rPr>
                <w:rFonts w:ascii="Times New Roman" w:hAnsi="Times New Roman" w:cs="Times New Roman" w:eastAsiaTheme="minorEastAsia"/>
                <w:kern w:val="0"/>
                <w:szCs w:val="21"/>
              </w:rPr>
            </w:pP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FA2FDA">
            <w:pPr>
              <w:spacing w:line="240" w:lineRule="exact"/>
              <w:rPr>
                <w:rFonts w:ascii="Times New Roman" w:hAnsi="Times New Roman" w:cs="Times New Roman" w:eastAsiaTheme="minorEastAsia"/>
                <w:kern w:val="0"/>
                <w:szCs w:val="21"/>
              </w:rPr>
            </w:pPr>
          </w:p>
        </w:tc>
      </w:tr>
      <w:tr w14:paraId="6D89FD50">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59A65A">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360B9D">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12.5kw精密空调</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4EEE09">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维谛，DME12M</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7B05F8">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97E8C2">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w:t>
            </w:r>
          </w:p>
        </w:tc>
      </w:tr>
      <w:tr w14:paraId="46078E69">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783C71">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（2）</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3716A1">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舒适型空调（工程机）</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AB78DC">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KFR-72LWFNhAD-B1白色、变频</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30B24C">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7432C3">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2</w:t>
            </w:r>
          </w:p>
        </w:tc>
      </w:tr>
      <w:tr w14:paraId="6DC032DA">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AA5CD7">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（3）</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0E7860">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进排水水管</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AD460F">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日丰，定制</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B21DE7">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B6A174">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w:t>
            </w:r>
          </w:p>
        </w:tc>
      </w:tr>
      <w:tr w14:paraId="526037B9">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FA88E9">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（4）</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ED9B6F">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冷凝管</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633B51">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铜管</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2EBC65">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46B3C4">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w:t>
            </w:r>
          </w:p>
        </w:tc>
      </w:tr>
      <w:tr w14:paraId="4C54E584">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8AE3C0">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（5）</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B1BC59">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配套电缆</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D9BF39">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远东</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8285DE">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3D3302">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w:t>
            </w:r>
          </w:p>
        </w:tc>
      </w:tr>
      <w:tr w14:paraId="3D2F6BCD">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47ADB0">
            <w:pPr>
              <w:widowControl/>
              <w:spacing w:line="240" w:lineRule="exact"/>
              <w:jc w:val="center"/>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5</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96C677">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气体灭火系统</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755B6F">
            <w:pPr>
              <w:spacing w:line="240" w:lineRule="exact"/>
              <w:rPr>
                <w:rFonts w:ascii="Times New Roman" w:hAnsi="Times New Roman" w:cs="Times New Roman" w:eastAsiaTheme="minorEastAsia"/>
                <w:kern w:val="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82CA9A">
            <w:pPr>
              <w:spacing w:line="240" w:lineRule="exact"/>
              <w:rPr>
                <w:rFonts w:ascii="Times New Roman" w:hAnsi="Times New Roman" w:cs="Times New Roman" w:eastAsiaTheme="minorEastAsia"/>
                <w:kern w:val="0"/>
                <w:szCs w:val="21"/>
              </w:rPr>
            </w:pP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B5CD92">
            <w:pPr>
              <w:spacing w:line="240" w:lineRule="exact"/>
              <w:rPr>
                <w:rFonts w:ascii="Times New Roman" w:hAnsi="Times New Roman" w:cs="Times New Roman" w:eastAsiaTheme="minorEastAsia"/>
                <w:kern w:val="0"/>
                <w:szCs w:val="21"/>
              </w:rPr>
            </w:pPr>
          </w:p>
        </w:tc>
      </w:tr>
      <w:tr w14:paraId="0922DCF1">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EFB9BB">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FAB6BD">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七氟丙烷药剂</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19FE29">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依爱HFC-227ea</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2C70C9">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公斤</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D9236D">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200</w:t>
            </w:r>
          </w:p>
        </w:tc>
      </w:tr>
      <w:tr w14:paraId="3E14A470">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58A45F">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（2）</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F6B5CD">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120升钢瓶</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58A59C">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依爱GQQ120/2.5-EI</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357B72">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089B6C">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2</w:t>
            </w:r>
          </w:p>
        </w:tc>
      </w:tr>
      <w:tr w14:paraId="00283C9C">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7B929C">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（3）</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8E0CEC">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泄压口装置</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1E116C">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依爱DSKJ-0.12J泄压口</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786455">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55D4F8">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w:t>
            </w:r>
          </w:p>
        </w:tc>
      </w:tr>
      <w:tr w14:paraId="637C1B26">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3D9CC7">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（4）</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9DE7B2">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消防专用排烟机</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A658ED">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定制</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400D79">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63790F">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0</w:t>
            </w:r>
          </w:p>
        </w:tc>
      </w:tr>
      <w:tr w14:paraId="3BC1378D">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8CACC4">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（5）</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0CAF00">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排烟机用电源箱</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4EB6C0">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定制</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7AFB70">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CA5A28">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0</w:t>
            </w:r>
          </w:p>
        </w:tc>
      </w:tr>
      <w:tr w14:paraId="677EF5B3">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0EC9CF">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（6）</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8B4C36">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排烟阀</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E35D65">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定制</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79E414">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C3D6DE">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0</w:t>
            </w:r>
          </w:p>
        </w:tc>
      </w:tr>
      <w:tr w14:paraId="473D32B2">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B9F7AE">
            <w:pPr>
              <w:widowControl/>
              <w:spacing w:line="240" w:lineRule="exact"/>
              <w:jc w:val="center"/>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（7）</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40E9B1">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消防排烟管道及风口配件等</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FAACD9">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定制</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017D92">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米</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91940F">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0</w:t>
            </w:r>
          </w:p>
        </w:tc>
      </w:tr>
      <w:tr w14:paraId="0663F95A">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4F2627">
            <w:pPr>
              <w:widowControl/>
              <w:spacing w:line="240" w:lineRule="exact"/>
              <w:jc w:val="center"/>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（8）</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C119CA">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消防专用呼吸面罩</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8F2F5">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现场购买</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76022B">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485B33">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3</w:t>
            </w:r>
          </w:p>
        </w:tc>
      </w:tr>
      <w:tr w14:paraId="2C657591">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B9A8C0">
            <w:pPr>
              <w:widowControl/>
              <w:spacing w:line="240" w:lineRule="exact"/>
              <w:jc w:val="center"/>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6</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778390">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消防报警系统</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AFFFAB">
            <w:pPr>
              <w:spacing w:line="240" w:lineRule="exact"/>
              <w:rPr>
                <w:rFonts w:ascii="Times New Roman" w:hAnsi="Times New Roman" w:cs="Times New Roman" w:eastAsiaTheme="minorEastAsia"/>
                <w:kern w:val="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F5FD5D">
            <w:pPr>
              <w:spacing w:line="240" w:lineRule="exact"/>
              <w:rPr>
                <w:rFonts w:ascii="Times New Roman" w:hAnsi="Times New Roman" w:cs="Times New Roman" w:eastAsiaTheme="minorEastAsia"/>
                <w:kern w:val="0"/>
                <w:szCs w:val="21"/>
              </w:rPr>
            </w:pP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87387E">
            <w:pPr>
              <w:spacing w:line="240" w:lineRule="exact"/>
              <w:rPr>
                <w:rFonts w:ascii="Times New Roman" w:hAnsi="Times New Roman" w:cs="Times New Roman" w:eastAsiaTheme="minorEastAsia"/>
                <w:kern w:val="0"/>
                <w:szCs w:val="21"/>
              </w:rPr>
            </w:pPr>
          </w:p>
        </w:tc>
      </w:tr>
      <w:tr w14:paraId="3486C885">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DC8BFF">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AC9EF9">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火灾报警控制器</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1C8431">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JB-TBL-EI8000S2/192</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35666E">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2BF194">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w:t>
            </w:r>
          </w:p>
        </w:tc>
      </w:tr>
      <w:tr w14:paraId="0753CCF3">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1DFB49">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（2）</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0D2D19">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气体灭火控制器</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5BB857">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JB-QB-EI8002QT型</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118238">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只</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A1B323">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w:t>
            </w:r>
          </w:p>
        </w:tc>
      </w:tr>
      <w:tr w14:paraId="384C85BE">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79490E">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（3）</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630B3A">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外控电源</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0D97C9">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J-EI8202/10A</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1706CC">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个</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6769AF">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w:t>
            </w:r>
          </w:p>
        </w:tc>
      </w:tr>
      <w:tr w14:paraId="16F218E0">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0C76E1">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（4）</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A1B7A4">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感烟探测器连底座</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94F79C">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JTY-GD-EI8010N型</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C96DF5">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FAA3EE">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12</w:t>
            </w:r>
          </w:p>
        </w:tc>
      </w:tr>
      <w:tr w14:paraId="22B4F50D">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B24F96">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（5）</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2156A0">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感温探测器连底座</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9BA9D4">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JTW-ZCD-EI8011</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B1DCB4">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4C60B2">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12</w:t>
            </w:r>
          </w:p>
        </w:tc>
      </w:tr>
      <w:tr w14:paraId="5EE16DBD">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7859DF">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（6）</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FA18FA">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消防警铃</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793B28">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LW5609</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2AF352">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m</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F498D6">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w:t>
            </w:r>
          </w:p>
        </w:tc>
      </w:tr>
      <w:tr w14:paraId="38C8A6E1">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85D3A6">
            <w:pPr>
              <w:widowControl/>
              <w:spacing w:line="240" w:lineRule="exact"/>
              <w:jc w:val="center"/>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（7）</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D5130E">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声光报警器</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B8C92B">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J-EIN87N型</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280921">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m</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95F27D">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w:t>
            </w:r>
          </w:p>
        </w:tc>
      </w:tr>
      <w:tr w14:paraId="060F511A">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6C374D">
            <w:pPr>
              <w:widowControl/>
              <w:spacing w:line="240" w:lineRule="exact"/>
              <w:jc w:val="center"/>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（8）</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EBC5EA">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放气指示灯</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248F90">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J-EI8067G型</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4EA628">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B3E80F">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w:t>
            </w:r>
          </w:p>
        </w:tc>
      </w:tr>
      <w:tr w14:paraId="2C1C027B">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362BA8">
            <w:pPr>
              <w:widowControl/>
              <w:spacing w:line="240" w:lineRule="exact"/>
              <w:jc w:val="center"/>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（9）</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93E478">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紧急启停按钮</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3D429E">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J-EI8066型</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564FC0">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只</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E0D0A3">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w:t>
            </w:r>
          </w:p>
        </w:tc>
      </w:tr>
      <w:tr w14:paraId="0E823552">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697D4C">
            <w:pPr>
              <w:widowControl/>
              <w:spacing w:line="240" w:lineRule="exact"/>
              <w:jc w:val="center"/>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（10）</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F4A914">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单输入/单输出模块</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79F084">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J-EI8041S型</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FCFA44">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个</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FA8471">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5</w:t>
            </w:r>
          </w:p>
        </w:tc>
      </w:tr>
      <w:tr w14:paraId="1FD8C04F">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7D6A75">
            <w:pPr>
              <w:widowControl/>
              <w:spacing w:line="240" w:lineRule="exact"/>
              <w:jc w:val="center"/>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（11）</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8C998A">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安全出口灯</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71F441">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定制</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76DEAF">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DFD4A3">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w:t>
            </w:r>
          </w:p>
        </w:tc>
      </w:tr>
      <w:tr w14:paraId="6F2FA92D">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915825">
            <w:pPr>
              <w:widowControl/>
              <w:spacing w:line="240" w:lineRule="exact"/>
              <w:jc w:val="center"/>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（12）</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461267">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应急灯</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EE1EF8">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定制</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B84B17">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AE6E36">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4</w:t>
            </w:r>
          </w:p>
        </w:tc>
      </w:tr>
      <w:tr w14:paraId="5D2AEFBF">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8D8DC0">
            <w:pPr>
              <w:widowControl/>
              <w:spacing w:line="240" w:lineRule="exact"/>
              <w:jc w:val="center"/>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（13）</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8CD8A0">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管内穿线</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130FC9">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定制</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D0D52A">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m</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47292D">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600</w:t>
            </w:r>
          </w:p>
        </w:tc>
      </w:tr>
      <w:tr w14:paraId="4B2B5FB1">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A1DFE0">
            <w:pPr>
              <w:widowControl/>
              <w:spacing w:line="240" w:lineRule="exact"/>
              <w:jc w:val="center"/>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（14）</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3A20A2">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镀锌电管</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E405D0">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定制</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E366E6">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m</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BBD80B">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100</w:t>
            </w:r>
          </w:p>
        </w:tc>
      </w:tr>
      <w:tr w14:paraId="32F3D4F6">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C753F5">
            <w:pPr>
              <w:widowControl/>
              <w:spacing w:line="240" w:lineRule="exact"/>
              <w:jc w:val="center"/>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（15）</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D61201">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金属线盒</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E4D688">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定制</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5F87AF">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个</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30AA13">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45</w:t>
            </w:r>
          </w:p>
        </w:tc>
      </w:tr>
      <w:tr w14:paraId="7F157074">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FA5FE7">
            <w:pPr>
              <w:widowControl/>
              <w:spacing w:line="240" w:lineRule="exact"/>
              <w:jc w:val="center"/>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（16）</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8D1DEF">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金属软管</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10CC3C">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定制</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E11BAA">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米</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27F2F6">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30</w:t>
            </w:r>
          </w:p>
        </w:tc>
      </w:tr>
      <w:tr w14:paraId="03EE1BD4">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20F9FA">
            <w:pPr>
              <w:widowControl/>
              <w:spacing w:line="240" w:lineRule="exact"/>
              <w:jc w:val="center"/>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7</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042E59">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供电系统</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D43F9F">
            <w:pPr>
              <w:spacing w:line="240" w:lineRule="exact"/>
              <w:rPr>
                <w:rFonts w:ascii="Times New Roman" w:hAnsi="Times New Roman" w:cs="Times New Roman" w:eastAsiaTheme="minorEastAsia"/>
                <w:kern w:val="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226FBE">
            <w:pPr>
              <w:spacing w:line="240" w:lineRule="exact"/>
              <w:rPr>
                <w:rFonts w:ascii="Times New Roman" w:hAnsi="Times New Roman" w:cs="Times New Roman" w:eastAsiaTheme="minorEastAsia"/>
                <w:kern w:val="0"/>
                <w:szCs w:val="21"/>
              </w:rPr>
            </w:pP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1E1513">
            <w:pPr>
              <w:spacing w:line="240" w:lineRule="exact"/>
              <w:rPr>
                <w:rFonts w:ascii="Times New Roman" w:hAnsi="Times New Roman" w:cs="Times New Roman" w:eastAsiaTheme="minorEastAsia"/>
                <w:kern w:val="0"/>
                <w:szCs w:val="21"/>
              </w:rPr>
            </w:pPr>
          </w:p>
        </w:tc>
      </w:tr>
      <w:tr w14:paraId="532E5663">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F267D7">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70ECD8">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机房配电箱</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B1DF3F">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定制</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C2C2FE">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项</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02E119">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w:t>
            </w:r>
          </w:p>
        </w:tc>
      </w:tr>
      <w:tr w14:paraId="3478B07C">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ABDA10">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（2）</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B41623">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机柜主电缆（40KW)</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89D834">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ZR-YJV4*16+1*10</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3112F4">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m</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43FF3F">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20</w:t>
            </w:r>
          </w:p>
        </w:tc>
      </w:tr>
      <w:tr w14:paraId="6B8297C7">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704B00">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（3）</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A40B4B">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UPS输出电缆</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E247B7">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ZR-YJV4*16+1*10</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B40E12">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m</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D8B375">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10</w:t>
            </w:r>
          </w:p>
        </w:tc>
      </w:tr>
      <w:tr w14:paraId="7775D92B">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1A5473">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（4）</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6F00D5">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空调电缆</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44187D">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ZR-YJV3*6</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EA159C">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m</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64AEDD">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30</w:t>
            </w:r>
          </w:p>
        </w:tc>
      </w:tr>
      <w:tr w14:paraId="641BA675">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484BA6">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（5）</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9F865">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机柜配电电缆</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D11195">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ZR-RVV3*2.5</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18794B">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m</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1064A3">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70</w:t>
            </w:r>
          </w:p>
        </w:tc>
      </w:tr>
      <w:tr w14:paraId="241F33FB">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02B28D">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（6）</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5F0F43">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桥架辅材</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9F76F9">
            <w:pPr>
              <w:widowControl/>
              <w:spacing w:line="240" w:lineRule="exact"/>
              <w:textAlignment w:val="center"/>
              <w:rPr>
                <w:rFonts w:ascii="Times New Roman" w:hAnsi="Times New Roman" w:cs="Times New Roman" w:eastAsiaTheme="minorEastAsia"/>
                <w:kern w:val="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3BA56D">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m</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D27214">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8</w:t>
            </w:r>
          </w:p>
        </w:tc>
      </w:tr>
      <w:tr w14:paraId="18459910">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3F37B0">
            <w:pPr>
              <w:widowControl/>
              <w:spacing w:line="240" w:lineRule="exact"/>
              <w:jc w:val="center"/>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8</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B5DF0F">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防雷接地</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28844E">
            <w:pPr>
              <w:spacing w:line="240" w:lineRule="exact"/>
              <w:rPr>
                <w:rFonts w:ascii="Times New Roman" w:hAnsi="Times New Roman" w:cs="Times New Roman" w:eastAsiaTheme="minorEastAsia"/>
                <w:kern w:val="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CFBAA5">
            <w:pPr>
              <w:spacing w:line="240" w:lineRule="exact"/>
              <w:rPr>
                <w:rFonts w:ascii="Times New Roman" w:hAnsi="Times New Roman" w:cs="Times New Roman" w:eastAsiaTheme="minorEastAsia"/>
                <w:kern w:val="0"/>
                <w:szCs w:val="21"/>
              </w:rPr>
            </w:pP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241A11">
            <w:pPr>
              <w:spacing w:line="240" w:lineRule="exact"/>
              <w:rPr>
                <w:rFonts w:ascii="Times New Roman" w:hAnsi="Times New Roman" w:cs="Times New Roman" w:eastAsiaTheme="minorEastAsia"/>
                <w:kern w:val="0"/>
                <w:szCs w:val="21"/>
              </w:rPr>
            </w:pPr>
          </w:p>
        </w:tc>
      </w:tr>
      <w:tr w14:paraId="1EACC3C5">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A3721E">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EBD345">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接地干线（接入机房柱筋）</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E9235F">
            <w:pPr>
              <w:spacing w:line="240" w:lineRule="exact"/>
              <w:rPr>
                <w:rFonts w:ascii="Times New Roman" w:hAnsi="Times New Roman" w:cs="Times New Roman" w:eastAsiaTheme="minorEastAsia"/>
                <w:kern w:val="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A65087">
            <w:pPr>
              <w:spacing w:line="240" w:lineRule="exact"/>
              <w:rPr>
                <w:rFonts w:ascii="Times New Roman" w:hAnsi="Times New Roman" w:cs="Times New Roman" w:eastAsiaTheme="minorEastAsia"/>
                <w:kern w:val="0"/>
                <w:szCs w:val="21"/>
              </w:rPr>
            </w:pP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E07C41">
            <w:pPr>
              <w:spacing w:line="240" w:lineRule="exact"/>
              <w:rPr>
                <w:rFonts w:ascii="Times New Roman" w:hAnsi="Times New Roman" w:cs="Times New Roman" w:eastAsiaTheme="minorEastAsia"/>
                <w:kern w:val="0"/>
                <w:szCs w:val="21"/>
              </w:rPr>
            </w:pPr>
          </w:p>
        </w:tc>
      </w:tr>
      <w:tr w14:paraId="557CFC0C">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631E9E">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（2）</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B1C9D0">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机柜接地线</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5CA604">
            <w:pPr>
              <w:spacing w:line="240" w:lineRule="exact"/>
              <w:rPr>
                <w:rFonts w:ascii="Times New Roman" w:hAnsi="Times New Roman" w:cs="Times New Roman" w:eastAsiaTheme="minorEastAsia"/>
                <w:kern w:val="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36A8BA">
            <w:pPr>
              <w:spacing w:line="240" w:lineRule="exact"/>
              <w:rPr>
                <w:rFonts w:ascii="Times New Roman" w:hAnsi="Times New Roman" w:cs="Times New Roman" w:eastAsiaTheme="minorEastAsia"/>
                <w:kern w:val="0"/>
                <w:szCs w:val="21"/>
              </w:rPr>
            </w:pP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B29F35">
            <w:pPr>
              <w:spacing w:line="240" w:lineRule="exact"/>
              <w:rPr>
                <w:rFonts w:ascii="Times New Roman" w:hAnsi="Times New Roman" w:cs="Times New Roman" w:eastAsiaTheme="minorEastAsia"/>
                <w:kern w:val="0"/>
                <w:szCs w:val="21"/>
              </w:rPr>
            </w:pPr>
          </w:p>
        </w:tc>
      </w:tr>
      <w:tr w14:paraId="7F290E07">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A65FF4">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（3）</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C3A460">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铜牌</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29AA74">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BVR50</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2B8D08">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m</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D63E2B">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30</w:t>
            </w:r>
          </w:p>
        </w:tc>
      </w:tr>
      <w:tr w14:paraId="51D709C5">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26DBD0">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（4）</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DAFA7B">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绝缘端子</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EE4230">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BVR10</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E82369">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m</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440295">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30</w:t>
            </w:r>
          </w:p>
        </w:tc>
      </w:tr>
      <w:tr w14:paraId="127C5091">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816BD4">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（5）</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FF3A77">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接地端子箱</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EBD73C">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30*3mm</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54919B">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m</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E55F8A">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18</w:t>
            </w:r>
          </w:p>
        </w:tc>
      </w:tr>
      <w:tr w14:paraId="0ED1903F">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ADFC49">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（6）</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96EE0F">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第一级防雷器</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0D136C">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定制</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774C8B">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9E6793">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20</w:t>
            </w:r>
          </w:p>
        </w:tc>
      </w:tr>
      <w:tr w14:paraId="5FAFA2CF">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4B14A4">
            <w:pPr>
              <w:widowControl/>
              <w:spacing w:line="240" w:lineRule="exact"/>
              <w:jc w:val="center"/>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（7）</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8E4059">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第二级防雷器</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DDCFCE">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定制</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A4CC46">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AF62B1">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w:t>
            </w:r>
          </w:p>
        </w:tc>
      </w:tr>
      <w:tr w14:paraId="535DD214">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643562">
            <w:pPr>
              <w:widowControl/>
              <w:spacing w:line="240" w:lineRule="exact"/>
              <w:jc w:val="center"/>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（8）</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86161D">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第三级防雷器</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B0770D">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科佳</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1C6995">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65D391">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w:t>
            </w:r>
          </w:p>
        </w:tc>
      </w:tr>
      <w:tr w14:paraId="5A1A3683">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931F46">
            <w:pPr>
              <w:widowControl/>
              <w:spacing w:line="240" w:lineRule="exact"/>
              <w:jc w:val="center"/>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9</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0CA74D">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动环监测系统</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E02516">
            <w:pPr>
              <w:spacing w:line="240" w:lineRule="exact"/>
              <w:rPr>
                <w:rFonts w:ascii="Times New Roman" w:hAnsi="Times New Roman" w:cs="Times New Roman" w:eastAsiaTheme="minorEastAsia"/>
                <w:kern w:val="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22D60E">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E8097E">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w:t>
            </w:r>
          </w:p>
        </w:tc>
      </w:tr>
      <w:tr w14:paraId="50F152EB">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3CEE5A">
            <w:pPr>
              <w:widowControl/>
              <w:spacing w:line="240" w:lineRule="exact"/>
              <w:jc w:val="center"/>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10</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80DF4D">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安防</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77C79F">
            <w:pPr>
              <w:spacing w:line="240" w:lineRule="exact"/>
              <w:rPr>
                <w:rFonts w:ascii="Times New Roman" w:hAnsi="Times New Roman" w:cs="Times New Roman" w:eastAsiaTheme="minorEastAsia"/>
                <w:kern w:val="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8F7D23">
            <w:pPr>
              <w:spacing w:line="240" w:lineRule="exact"/>
              <w:rPr>
                <w:rFonts w:ascii="Times New Roman" w:hAnsi="Times New Roman" w:cs="Times New Roman" w:eastAsiaTheme="minorEastAsia"/>
                <w:kern w:val="0"/>
                <w:szCs w:val="21"/>
              </w:rPr>
            </w:pP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D7A6F9">
            <w:pPr>
              <w:spacing w:line="240" w:lineRule="exact"/>
              <w:rPr>
                <w:rFonts w:ascii="Times New Roman" w:hAnsi="Times New Roman" w:cs="Times New Roman" w:eastAsiaTheme="minorEastAsia"/>
                <w:kern w:val="0"/>
                <w:szCs w:val="21"/>
              </w:rPr>
            </w:pPr>
          </w:p>
        </w:tc>
      </w:tr>
      <w:tr w14:paraId="3DE16E45">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268765">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A7E74B">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网络设备电源线</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F5084B">
            <w:pPr>
              <w:spacing w:line="240" w:lineRule="exact"/>
              <w:rPr>
                <w:rFonts w:ascii="Times New Roman" w:hAnsi="Times New Roman" w:cs="Times New Roman" w:eastAsiaTheme="minorEastAsia"/>
                <w:kern w:val="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9857CC">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条</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8A9F8A">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15</w:t>
            </w:r>
          </w:p>
        </w:tc>
      </w:tr>
      <w:tr w14:paraId="1386C28C">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641B5B">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（2）</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DE7383">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门禁主机</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A69CF7">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海康DS-K1T673M</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4D8544">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284F30">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w:t>
            </w:r>
          </w:p>
        </w:tc>
      </w:tr>
      <w:tr w14:paraId="1B3DA548">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385C4F">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（3）</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A76979">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双门磁</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C7D724">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海康DS-K4H250PDC</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983CCD">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160763">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w:t>
            </w:r>
          </w:p>
        </w:tc>
      </w:tr>
      <w:tr w14:paraId="59A17D56">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8423BE">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（4）</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F4BEE0">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人脸识别</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E93B6E">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海康DS-K1T342MF</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34280B">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A79317">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w:t>
            </w:r>
          </w:p>
        </w:tc>
      </w:tr>
      <w:tr w14:paraId="165E7D39">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2F892B">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（5）</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B691DA">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开关按钮</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F260E9">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EB29开门按钮</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938AB0">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698B91">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w:t>
            </w:r>
          </w:p>
        </w:tc>
      </w:tr>
      <w:tr w14:paraId="1F80209C">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4C91EC">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（6）</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9E34AA">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室内高清半球摄像机</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DC9D1E">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海康DS-2CD512YXM</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CFE7D4">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03123C">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2</w:t>
            </w:r>
          </w:p>
        </w:tc>
      </w:tr>
      <w:tr w14:paraId="72F03EA6">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77594D">
            <w:pPr>
              <w:widowControl/>
              <w:spacing w:line="240" w:lineRule="exact"/>
              <w:jc w:val="center"/>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11</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B08CD8">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视频会商系统</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029A92">
            <w:pPr>
              <w:spacing w:line="240" w:lineRule="exact"/>
              <w:rPr>
                <w:rFonts w:ascii="Times New Roman" w:hAnsi="Times New Roman" w:cs="Times New Roman" w:eastAsiaTheme="minorEastAsia"/>
                <w:kern w:val="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3FF600">
            <w:pPr>
              <w:spacing w:line="240" w:lineRule="exact"/>
              <w:rPr>
                <w:rFonts w:ascii="Times New Roman" w:hAnsi="Times New Roman" w:cs="Times New Roman" w:eastAsiaTheme="minorEastAsia"/>
                <w:kern w:val="0"/>
                <w:szCs w:val="21"/>
              </w:rPr>
            </w:pP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E6AF53">
            <w:pPr>
              <w:spacing w:line="240" w:lineRule="exact"/>
              <w:rPr>
                <w:rFonts w:ascii="Times New Roman" w:hAnsi="Times New Roman" w:cs="Times New Roman" w:eastAsiaTheme="minorEastAsia"/>
                <w:kern w:val="0"/>
                <w:szCs w:val="21"/>
              </w:rPr>
            </w:pPr>
          </w:p>
        </w:tc>
      </w:tr>
      <w:tr w14:paraId="51FE1165">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CE84CB">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0BA982">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视频会议终端</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9134F0">
            <w:pPr>
              <w:spacing w:line="240" w:lineRule="exact"/>
              <w:rPr>
                <w:rFonts w:ascii="Times New Roman" w:hAnsi="Times New Roman" w:cs="Times New Roman" w:eastAsiaTheme="minorEastAsia"/>
                <w:kern w:val="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277A84">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18D687">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w:t>
            </w:r>
          </w:p>
        </w:tc>
      </w:tr>
      <w:tr w14:paraId="59399C68">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B22C21">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（2）</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C7480B">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视频会议一体机</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1015E4">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ideahubS2 65</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29DE79">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421559">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w:t>
            </w:r>
          </w:p>
        </w:tc>
      </w:tr>
      <w:tr w14:paraId="10D37D0E">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00D60E">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（3）</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F9886F">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全向麦克风</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1770CF">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MIC500</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B7BC12">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C8359B">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w:t>
            </w:r>
          </w:p>
        </w:tc>
      </w:tr>
      <w:tr w14:paraId="652AF670">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75C74F">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（4）</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8D372A">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四铺泵站网络通讯设备运维</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65ED60">
            <w:pPr>
              <w:spacing w:line="240" w:lineRule="exact"/>
              <w:rPr>
                <w:rFonts w:ascii="Times New Roman" w:hAnsi="Times New Roman" w:cs="Times New Roman" w:eastAsiaTheme="minorEastAsia"/>
                <w:kern w:val="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D4E4B5">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项</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C6A12B">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w:t>
            </w:r>
          </w:p>
        </w:tc>
      </w:tr>
      <w:tr w14:paraId="5897B404">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EF74450">
            <w:pPr>
              <w:widowControl/>
              <w:spacing w:line="240" w:lineRule="exact"/>
              <w:jc w:val="center"/>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12</w:t>
            </w:r>
          </w:p>
        </w:tc>
        <w:tc>
          <w:tcPr>
            <w:tcW w:w="340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C240C08">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其它计量测量设备等</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FC4651">
            <w:pPr>
              <w:spacing w:line="240" w:lineRule="exact"/>
              <w:rPr>
                <w:rFonts w:ascii="Times New Roman" w:hAnsi="Times New Roman" w:cs="Times New Roman" w:eastAsiaTheme="minorEastAsia"/>
                <w:kern w:val="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C12851">
            <w:pPr>
              <w:spacing w:line="240" w:lineRule="exact"/>
              <w:rPr>
                <w:rFonts w:ascii="Times New Roman" w:hAnsi="Times New Roman" w:cs="Times New Roman" w:eastAsiaTheme="minorEastAsia"/>
                <w:kern w:val="0"/>
                <w:szCs w:val="21"/>
              </w:rPr>
            </w:pP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2A6C58">
            <w:pPr>
              <w:spacing w:line="240" w:lineRule="exact"/>
              <w:rPr>
                <w:rFonts w:ascii="Times New Roman" w:hAnsi="Times New Roman" w:cs="Times New Roman" w:eastAsiaTheme="minorEastAsia"/>
                <w:kern w:val="0"/>
                <w:szCs w:val="21"/>
              </w:rPr>
            </w:pPr>
          </w:p>
        </w:tc>
      </w:tr>
      <w:tr w14:paraId="46B87787">
        <w:tblPrEx>
          <w:tblCellMar>
            <w:top w:w="0" w:type="dxa"/>
            <w:left w:w="0" w:type="dxa"/>
            <w:bottom w:w="0" w:type="dxa"/>
            <w:right w:w="0" w:type="dxa"/>
          </w:tblCellMar>
        </w:tblPrEx>
        <w:trPr>
          <w:trHeight w:val="285" w:hRule="atLeast"/>
          <w:jc w:val="center"/>
        </w:trPr>
        <w:tc>
          <w:tcPr>
            <w:tcW w:w="663"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D1CFFCF">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w:t>
            </w:r>
          </w:p>
        </w:tc>
        <w:tc>
          <w:tcPr>
            <w:tcW w:w="3407"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93D73CB">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黑泥沟明渠流量计</w:t>
            </w:r>
          </w:p>
        </w:tc>
        <w:tc>
          <w:tcPr>
            <w:tcW w:w="3266" w:type="dxa"/>
            <w:gridSpan w:val="2"/>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F93BAC9">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瑞特迈尔四声道时差式超声波流量计</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0104BE">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D2A706">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w:t>
            </w:r>
          </w:p>
        </w:tc>
      </w:tr>
      <w:tr w14:paraId="5C4F8239">
        <w:tblPrEx>
          <w:tblCellMar>
            <w:top w:w="0" w:type="dxa"/>
            <w:left w:w="0" w:type="dxa"/>
            <w:bottom w:w="0" w:type="dxa"/>
            <w:right w:w="0" w:type="dxa"/>
          </w:tblCellMar>
        </w:tblPrEx>
        <w:trPr>
          <w:trHeight w:val="285" w:hRule="atLeast"/>
          <w:jc w:val="center"/>
        </w:trPr>
        <w:tc>
          <w:tcPr>
            <w:tcW w:w="663"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7311E76D">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（2）</w:t>
            </w:r>
          </w:p>
        </w:tc>
        <w:tc>
          <w:tcPr>
            <w:tcW w:w="340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39D36FC2">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雷达水位计</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D337C4">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定制</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BF4F54">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529D46">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2</w:t>
            </w:r>
          </w:p>
        </w:tc>
      </w:tr>
      <w:tr w14:paraId="6EB16B0A">
        <w:tblPrEx>
          <w:tblCellMar>
            <w:top w:w="0" w:type="dxa"/>
            <w:left w:w="0" w:type="dxa"/>
            <w:bottom w:w="0" w:type="dxa"/>
            <w:right w:w="0" w:type="dxa"/>
          </w:tblCellMar>
        </w:tblPrEx>
        <w:trPr>
          <w:trHeight w:val="285" w:hRule="atLeast"/>
          <w:jc w:val="center"/>
        </w:trPr>
        <w:tc>
          <w:tcPr>
            <w:tcW w:w="663"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2C7F1B29">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（3）</w:t>
            </w:r>
          </w:p>
        </w:tc>
        <w:tc>
          <w:tcPr>
            <w:tcW w:w="340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3962A534">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箱涵出口闸闸门开度仪</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536137">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定制</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F6C2D8">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767617">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2</w:t>
            </w:r>
          </w:p>
        </w:tc>
      </w:tr>
      <w:tr w14:paraId="1BD1EC67">
        <w:tblPrEx>
          <w:tblCellMar>
            <w:top w:w="0" w:type="dxa"/>
            <w:left w:w="0" w:type="dxa"/>
            <w:bottom w:w="0" w:type="dxa"/>
            <w:right w:w="0" w:type="dxa"/>
          </w:tblCellMar>
        </w:tblPrEx>
        <w:trPr>
          <w:trHeight w:val="285" w:hRule="atLeast"/>
          <w:jc w:val="center"/>
        </w:trPr>
        <w:tc>
          <w:tcPr>
            <w:tcW w:w="663"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681535A9">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（4）</w:t>
            </w:r>
          </w:p>
        </w:tc>
        <w:tc>
          <w:tcPr>
            <w:tcW w:w="340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21D10AD7">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省管泵站计量设施接入调度运行中心运维</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F85E6A">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定制</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8ABE07">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0A1FB2">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3</w:t>
            </w:r>
          </w:p>
        </w:tc>
      </w:tr>
      <w:tr w14:paraId="69DE2A0C">
        <w:tblPrEx>
          <w:tblCellMar>
            <w:top w:w="0" w:type="dxa"/>
            <w:left w:w="0" w:type="dxa"/>
            <w:bottom w:w="0" w:type="dxa"/>
            <w:right w:w="0" w:type="dxa"/>
          </w:tblCellMar>
        </w:tblPrEx>
        <w:trPr>
          <w:trHeight w:val="285" w:hRule="atLeast"/>
          <w:jc w:val="center"/>
        </w:trPr>
        <w:tc>
          <w:tcPr>
            <w:tcW w:w="663"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61CE10DC">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（5）</w:t>
            </w:r>
          </w:p>
        </w:tc>
        <w:tc>
          <w:tcPr>
            <w:tcW w:w="340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6559EA4D">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固镇箱涵沱河地下涵集控改造项目接入调度运行中心运维</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6281C5">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定制</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D2F4BF">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项</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4CDF72">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w:t>
            </w:r>
          </w:p>
        </w:tc>
      </w:tr>
      <w:tr w14:paraId="068061CE">
        <w:tblPrEx>
          <w:tblCellMar>
            <w:top w:w="0" w:type="dxa"/>
            <w:left w:w="0" w:type="dxa"/>
            <w:bottom w:w="0" w:type="dxa"/>
            <w:right w:w="0" w:type="dxa"/>
          </w:tblCellMar>
        </w:tblPrEx>
        <w:trPr>
          <w:trHeight w:val="285" w:hRule="atLeast"/>
          <w:jc w:val="center"/>
        </w:trPr>
        <w:tc>
          <w:tcPr>
            <w:tcW w:w="879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97C7203">
            <w:pPr>
              <w:widowControl/>
              <w:spacing w:line="240" w:lineRule="exact"/>
              <w:jc w:val="left"/>
              <w:textAlignment w:val="center"/>
              <w:rPr>
                <w:rFonts w:ascii="Times New Roman" w:hAnsi="Times New Roman" w:cs="Times New Roman" w:eastAsiaTheme="minorEastAsia"/>
                <w:b/>
                <w:kern w:val="0"/>
                <w:szCs w:val="21"/>
              </w:rPr>
            </w:pPr>
            <w:r>
              <w:rPr>
                <w:rFonts w:ascii="Times New Roman" w:hAnsi="Times New Roman" w:cs="Times New Roman" w:eastAsiaTheme="minorEastAsia"/>
                <w:b/>
                <w:kern w:val="0"/>
                <w:szCs w:val="21"/>
              </w:rPr>
              <w:t>二、固镇站自动化系统</w:t>
            </w:r>
          </w:p>
        </w:tc>
      </w:tr>
      <w:tr w14:paraId="47238B39">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8E22D1">
            <w:pPr>
              <w:widowControl/>
              <w:spacing w:line="240" w:lineRule="exact"/>
              <w:jc w:val="center"/>
              <w:textAlignment w:val="center"/>
              <w:rPr>
                <w:rFonts w:ascii="Times New Roman" w:hAnsi="Times New Roman" w:cs="Times New Roman" w:eastAsiaTheme="minorEastAsia"/>
                <w:b/>
                <w:kern w:val="0"/>
                <w:szCs w:val="21"/>
              </w:rPr>
            </w:pPr>
            <w:r>
              <w:rPr>
                <w:rFonts w:ascii="Times New Roman" w:hAnsi="Times New Roman" w:cs="Times New Roman" w:eastAsiaTheme="minorEastAsia"/>
                <w:b/>
                <w:kern w:val="0"/>
                <w:szCs w:val="21"/>
              </w:rPr>
              <w:t>（一）</w:t>
            </w:r>
          </w:p>
        </w:tc>
        <w:tc>
          <w:tcPr>
            <w:tcW w:w="8127"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75555C">
            <w:pPr>
              <w:widowControl/>
              <w:spacing w:line="240" w:lineRule="exact"/>
              <w:textAlignment w:val="center"/>
              <w:rPr>
                <w:rFonts w:ascii="Times New Roman" w:hAnsi="Times New Roman" w:cs="Times New Roman" w:eastAsiaTheme="minorEastAsia"/>
                <w:b/>
                <w:kern w:val="0"/>
                <w:szCs w:val="21"/>
              </w:rPr>
            </w:pPr>
            <w:r>
              <w:rPr>
                <w:rFonts w:ascii="Times New Roman" w:hAnsi="Times New Roman" w:cs="Times New Roman" w:eastAsiaTheme="minorEastAsia"/>
                <w:b/>
                <w:kern w:val="0"/>
                <w:szCs w:val="21"/>
              </w:rPr>
              <w:t>固镇站计算机监控系统</w:t>
            </w:r>
          </w:p>
        </w:tc>
      </w:tr>
      <w:tr w14:paraId="2CED49C3">
        <w:tblPrEx>
          <w:tblCellMar>
            <w:top w:w="0" w:type="dxa"/>
            <w:left w:w="0" w:type="dxa"/>
            <w:bottom w:w="0" w:type="dxa"/>
            <w:right w:w="0" w:type="dxa"/>
          </w:tblCellMar>
        </w:tblPrEx>
        <w:trPr>
          <w:trHeight w:val="1506" w:hRule="atLeast"/>
          <w:jc w:val="center"/>
        </w:trPr>
        <w:tc>
          <w:tcPr>
            <w:tcW w:w="663" w:type="dxa"/>
            <w:tcBorders>
              <w:top w:val="single" w:color="000000" w:sz="4" w:space="0"/>
              <w:left w:val="single" w:color="000000" w:sz="4" w:space="0"/>
              <w:right w:val="single" w:color="000000" w:sz="4" w:space="0"/>
            </w:tcBorders>
            <w:tcMar>
              <w:top w:w="15" w:type="dxa"/>
              <w:left w:w="15" w:type="dxa"/>
              <w:right w:w="15" w:type="dxa"/>
            </w:tcMar>
            <w:vAlign w:val="center"/>
          </w:tcPr>
          <w:p w14:paraId="0AE57943">
            <w:pPr>
              <w:widowControl/>
              <w:spacing w:line="240" w:lineRule="exact"/>
              <w:jc w:val="center"/>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w:t>
            </w:r>
          </w:p>
        </w:tc>
        <w:tc>
          <w:tcPr>
            <w:tcW w:w="3407" w:type="dxa"/>
            <w:tcBorders>
              <w:top w:val="single" w:color="000000" w:sz="4" w:space="0"/>
              <w:left w:val="single" w:color="000000" w:sz="4" w:space="0"/>
              <w:right w:val="single" w:color="000000" w:sz="4" w:space="0"/>
            </w:tcBorders>
            <w:tcMar>
              <w:top w:w="15" w:type="dxa"/>
              <w:left w:w="15" w:type="dxa"/>
              <w:right w:w="15" w:type="dxa"/>
            </w:tcMar>
            <w:vAlign w:val="center"/>
          </w:tcPr>
          <w:p w14:paraId="3E3E388F">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主机操作员工作站</w:t>
            </w:r>
          </w:p>
        </w:tc>
        <w:tc>
          <w:tcPr>
            <w:tcW w:w="3266" w:type="dxa"/>
            <w:gridSpan w:val="2"/>
            <w:tcBorders>
              <w:top w:val="single" w:color="000000" w:sz="4" w:space="0"/>
              <w:left w:val="single" w:color="000000" w:sz="4" w:space="0"/>
              <w:right w:val="single" w:color="000000" w:sz="4" w:space="0"/>
            </w:tcBorders>
            <w:tcMar>
              <w:top w:w="15" w:type="dxa"/>
              <w:left w:w="15" w:type="dxa"/>
              <w:right w:w="15" w:type="dxa"/>
            </w:tcMar>
            <w:vAlign w:val="center"/>
          </w:tcPr>
          <w:p w14:paraId="446A251D">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Dell Precision Tower 5810工作站</w:t>
            </w:r>
          </w:p>
          <w:p w14:paraId="3BCCC394">
            <w:pPr>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英特尔（至强）E5-1620 v3四核处理器 内存 8GB；DDR3 SDRAM、500GB磁盘；一体化光驱 网络接口；22″液晶显示器；通用键盘及鼠标</w:t>
            </w:r>
          </w:p>
        </w:tc>
        <w:tc>
          <w:tcPr>
            <w:tcW w:w="702" w:type="dxa"/>
            <w:tcBorders>
              <w:top w:val="single" w:color="000000" w:sz="4" w:space="0"/>
              <w:left w:val="single" w:color="000000" w:sz="4" w:space="0"/>
              <w:right w:val="single" w:color="000000" w:sz="4" w:space="0"/>
            </w:tcBorders>
            <w:tcMar>
              <w:top w:w="15" w:type="dxa"/>
              <w:left w:w="15" w:type="dxa"/>
              <w:right w:w="15" w:type="dxa"/>
            </w:tcMar>
            <w:vAlign w:val="center"/>
          </w:tcPr>
          <w:p w14:paraId="53E7DE74">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套</w:t>
            </w:r>
          </w:p>
        </w:tc>
        <w:tc>
          <w:tcPr>
            <w:tcW w:w="752" w:type="dxa"/>
            <w:tcBorders>
              <w:top w:val="single" w:color="000000" w:sz="4" w:space="0"/>
              <w:left w:val="single" w:color="000000" w:sz="4" w:space="0"/>
              <w:right w:val="single" w:color="000000" w:sz="4" w:space="0"/>
            </w:tcBorders>
            <w:tcMar>
              <w:top w:w="15" w:type="dxa"/>
              <w:left w:w="15" w:type="dxa"/>
              <w:right w:w="15" w:type="dxa"/>
            </w:tcMar>
            <w:vAlign w:val="center"/>
          </w:tcPr>
          <w:p w14:paraId="5845EA88">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2</w:t>
            </w:r>
          </w:p>
        </w:tc>
      </w:tr>
      <w:tr w14:paraId="7F826339">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0CE759">
            <w:pPr>
              <w:widowControl/>
              <w:spacing w:line="240" w:lineRule="exact"/>
              <w:jc w:val="center"/>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2</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F5FFD5">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工业以太网交换机</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76E783">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7026TX-AC,24个10/100/自适应RJ45接口</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0070FA">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AB1071">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w:t>
            </w:r>
          </w:p>
        </w:tc>
      </w:tr>
      <w:tr w14:paraId="420AE998">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3EC1D2">
            <w:pPr>
              <w:widowControl/>
              <w:spacing w:line="240" w:lineRule="exact"/>
              <w:jc w:val="center"/>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3</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DF68A3">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多串口服务器</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B5B577">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8串口</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2A68BC">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CEB386">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5</w:t>
            </w:r>
          </w:p>
        </w:tc>
      </w:tr>
      <w:tr w14:paraId="4816CEC7">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24B8B8">
            <w:pPr>
              <w:widowControl/>
              <w:spacing w:line="240" w:lineRule="exact"/>
              <w:jc w:val="center"/>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4</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2F9D25">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打印机</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B9717D">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激光 A4 HP  LJ-1010</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811727">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468DD6">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w:t>
            </w:r>
          </w:p>
        </w:tc>
      </w:tr>
      <w:tr w14:paraId="4D8E97F8">
        <w:tblPrEx>
          <w:tblCellMar>
            <w:top w:w="0" w:type="dxa"/>
            <w:left w:w="0" w:type="dxa"/>
            <w:bottom w:w="0" w:type="dxa"/>
            <w:right w:w="0" w:type="dxa"/>
          </w:tblCellMar>
        </w:tblPrEx>
        <w:trPr>
          <w:trHeight w:val="450"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65B5BD">
            <w:pPr>
              <w:widowControl/>
              <w:spacing w:line="240" w:lineRule="exact"/>
              <w:jc w:val="center"/>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5</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67DCD9">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UPS电源</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9FEA8C">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在线式 3kVA/1小时,不带电池,电源引自直流屏</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291205">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EE4E3F">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w:t>
            </w:r>
          </w:p>
        </w:tc>
      </w:tr>
      <w:tr w14:paraId="5F5801BB">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2353D1">
            <w:pPr>
              <w:widowControl/>
              <w:spacing w:line="240" w:lineRule="exact"/>
              <w:jc w:val="center"/>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6</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14B34E">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语音报警系统</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76BDCE">
            <w:pPr>
              <w:spacing w:line="240" w:lineRule="exact"/>
              <w:rPr>
                <w:rFonts w:ascii="Times New Roman" w:hAnsi="Times New Roman" w:cs="Times New Roman" w:eastAsiaTheme="minorEastAsia"/>
                <w:kern w:val="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18D183">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0609AC">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w:t>
            </w:r>
          </w:p>
        </w:tc>
      </w:tr>
      <w:tr w14:paraId="673EC97A">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41DB3D">
            <w:pPr>
              <w:widowControl/>
              <w:spacing w:line="240" w:lineRule="exact"/>
              <w:jc w:val="center"/>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7</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8CC93E">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监控系统软件</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FB5A6A">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包括系统软件、监控软件、应用软件</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DE3B39">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41306E">
            <w:pPr>
              <w:widowControl/>
              <w:spacing w:line="240" w:lineRule="exact"/>
              <w:textAlignment w:val="center"/>
              <w:rPr>
                <w:rFonts w:ascii="Times New Roman" w:hAnsi="Times New Roman" w:cs="Times New Roman" w:eastAsiaTheme="minorEastAsia"/>
                <w:kern w:val="0"/>
                <w:szCs w:val="21"/>
              </w:rPr>
            </w:pPr>
            <w:r>
              <w:rPr>
                <w:rFonts w:ascii="Times New Roman" w:hAnsi="Times New Roman" w:cs="Times New Roman" w:eastAsiaTheme="minorEastAsia"/>
                <w:kern w:val="0"/>
                <w:szCs w:val="21"/>
              </w:rPr>
              <w:t>1</w:t>
            </w:r>
          </w:p>
        </w:tc>
      </w:tr>
      <w:tr w14:paraId="03D912F5">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307BE8">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8</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0D3EAD">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控制程序编程</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6CB346">
            <w:pPr>
              <w:spacing w:line="240" w:lineRule="exact"/>
              <w:rPr>
                <w:rFonts w:ascii="Times New Roman" w:hAnsi="Times New Roman" w:cs="Times New Roman" w:eastAsiaTheme="minorEastAsia"/>
                <w:color w:val="00000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D068A5">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8D9C6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7ED568A0">
        <w:tblPrEx>
          <w:tblCellMar>
            <w:top w:w="0" w:type="dxa"/>
            <w:left w:w="0" w:type="dxa"/>
            <w:bottom w:w="0" w:type="dxa"/>
            <w:right w:w="0" w:type="dxa"/>
          </w:tblCellMar>
        </w:tblPrEx>
        <w:trPr>
          <w:trHeight w:val="285" w:hRule="atLeast"/>
          <w:jc w:val="center"/>
        </w:trPr>
        <w:tc>
          <w:tcPr>
            <w:tcW w:w="66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9AB2B5">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9</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80D5C8">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机组现地LCU屏</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1E6B2D">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GE-PACSystems RX3i系列</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E06188">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3C779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4</w:t>
            </w:r>
          </w:p>
        </w:tc>
      </w:tr>
      <w:tr w14:paraId="06B29874">
        <w:tblPrEx>
          <w:tblCellMar>
            <w:top w:w="0" w:type="dxa"/>
            <w:left w:w="0" w:type="dxa"/>
            <w:bottom w:w="0" w:type="dxa"/>
            <w:right w:w="0" w:type="dxa"/>
          </w:tblCellMar>
        </w:tblPrEx>
        <w:trPr>
          <w:trHeight w:val="285"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3B3909">
            <w:pPr>
              <w:spacing w:line="240" w:lineRule="exact"/>
              <w:jc w:val="center"/>
              <w:rPr>
                <w:rFonts w:ascii="Times New Roman" w:hAnsi="Times New Roman" w:cs="Times New Roman" w:eastAsiaTheme="minorEastAsia"/>
                <w:color w:val="000000"/>
                <w:szCs w:val="21"/>
              </w:rPr>
            </w:pP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ABC94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每块屏内主要设备</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937B32">
            <w:pPr>
              <w:spacing w:line="240" w:lineRule="exact"/>
              <w:rPr>
                <w:rFonts w:ascii="Times New Roman" w:hAnsi="Times New Roman" w:cs="Times New Roman" w:eastAsiaTheme="minorEastAsia"/>
                <w:color w:val="00000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2622E0">
            <w:pPr>
              <w:spacing w:line="240" w:lineRule="exact"/>
              <w:rPr>
                <w:rFonts w:ascii="Times New Roman" w:hAnsi="Times New Roman" w:cs="Times New Roman" w:eastAsiaTheme="minorEastAsia"/>
                <w:color w:val="000000"/>
                <w:szCs w:val="21"/>
              </w:rPr>
            </w:pP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3654C1">
            <w:pPr>
              <w:spacing w:line="240" w:lineRule="exact"/>
              <w:rPr>
                <w:rFonts w:ascii="Times New Roman" w:hAnsi="Times New Roman" w:cs="Times New Roman" w:eastAsiaTheme="minorEastAsia"/>
                <w:color w:val="000000"/>
                <w:szCs w:val="21"/>
              </w:rPr>
            </w:pPr>
          </w:p>
        </w:tc>
      </w:tr>
      <w:tr w14:paraId="5092A63A">
        <w:tblPrEx>
          <w:tblCellMar>
            <w:top w:w="0" w:type="dxa"/>
            <w:left w:w="0" w:type="dxa"/>
            <w:bottom w:w="0" w:type="dxa"/>
            <w:right w:w="0" w:type="dxa"/>
          </w:tblCellMar>
        </w:tblPrEx>
        <w:trPr>
          <w:trHeight w:val="285"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CB899D">
            <w:pPr>
              <w:spacing w:line="240" w:lineRule="exact"/>
              <w:jc w:val="center"/>
              <w:rPr>
                <w:rFonts w:ascii="Times New Roman" w:hAnsi="Times New Roman" w:cs="Times New Roman" w:eastAsiaTheme="minorEastAsia"/>
                <w:color w:val="000000"/>
                <w:szCs w:val="21"/>
              </w:rPr>
            </w:pP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7CA34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触摸屏12〃真彩</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ECC418">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IC754VSI12CTD</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6EBD9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37484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32116102">
        <w:tblPrEx>
          <w:tblCellMar>
            <w:top w:w="0" w:type="dxa"/>
            <w:left w:w="0" w:type="dxa"/>
            <w:bottom w:w="0" w:type="dxa"/>
            <w:right w:w="0" w:type="dxa"/>
          </w:tblCellMar>
        </w:tblPrEx>
        <w:trPr>
          <w:trHeight w:val="285"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7986B4">
            <w:pPr>
              <w:spacing w:line="240" w:lineRule="exact"/>
              <w:jc w:val="center"/>
              <w:rPr>
                <w:rFonts w:ascii="Times New Roman" w:hAnsi="Times New Roman" w:cs="Times New Roman" w:eastAsiaTheme="minorEastAsia"/>
                <w:color w:val="000000"/>
                <w:szCs w:val="21"/>
              </w:rPr>
            </w:pP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0AA2A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CPU模块</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D00B39">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IC695CPE310</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01B6D9">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只</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74C93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6BA63950">
        <w:trPr>
          <w:trHeight w:val="285"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97C98B">
            <w:pPr>
              <w:spacing w:line="240" w:lineRule="exact"/>
              <w:jc w:val="center"/>
              <w:rPr>
                <w:rFonts w:ascii="Times New Roman" w:hAnsi="Times New Roman" w:cs="Times New Roman" w:eastAsiaTheme="minorEastAsia"/>
                <w:color w:val="000000"/>
                <w:szCs w:val="21"/>
              </w:rPr>
            </w:pP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4F74F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开关量输入模块</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232E9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IC694MDL660</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565AEE">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只</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A579E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4</w:t>
            </w:r>
          </w:p>
        </w:tc>
      </w:tr>
      <w:tr w14:paraId="6BE97B51">
        <w:tblPrEx>
          <w:tblCellMar>
            <w:top w:w="0" w:type="dxa"/>
            <w:left w:w="0" w:type="dxa"/>
            <w:bottom w:w="0" w:type="dxa"/>
            <w:right w:w="0" w:type="dxa"/>
          </w:tblCellMar>
        </w:tblPrEx>
        <w:trPr>
          <w:trHeight w:val="285"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B035DA">
            <w:pPr>
              <w:spacing w:line="240" w:lineRule="exact"/>
              <w:jc w:val="center"/>
              <w:rPr>
                <w:rFonts w:ascii="Times New Roman" w:hAnsi="Times New Roman" w:cs="Times New Roman" w:eastAsiaTheme="minorEastAsia"/>
                <w:color w:val="000000"/>
                <w:szCs w:val="21"/>
              </w:rPr>
            </w:pP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C410DE">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开关量输出模块</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8FD239">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IC694MDL940</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DFDCD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只</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30190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377DE00C">
        <w:tblPrEx>
          <w:tblCellMar>
            <w:top w:w="0" w:type="dxa"/>
            <w:left w:w="0" w:type="dxa"/>
            <w:bottom w:w="0" w:type="dxa"/>
            <w:right w:w="0" w:type="dxa"/>
          </w:tblCellMar>
        </w:tblPrEx>
        <w:trPr>
          <w:trHeight w:val="285"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94FEF8">
            <w:pPr>
              <w:spacing w:line="240" w:lineRule="exact"/>
              <w:jc w:val="center"/>
              <w:rPr>
                <w:rFonts w:ascii="Times New Roman" w:hAnsi="Times New Roman" w:cs="Times New Roman" w:eastAsiaTheme="minorEastAsia"/>
                <w:color w:val="000000"/>
                <w:szCs w:val="21"/>
              </w:rPr>
            </w:pP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1EC4E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模拟量输入模块</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4FDE69">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IC695ALG616</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6427E9">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只</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04B115">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w:t>
            </w:r>
          </w:p>
        </w:tc>
      </w:tr>
      <w:tr w14:paraId="08C7ADCC">
        <w:tblPrEx>
          <w:tblCellMar>
            <w:top w:w="0" w:type="dxa"/>
            <w:left w:w="0" w:type="dxa"/>
            <w:bottom w:w="0" w:type="dxa"/>
            <w:right w:w="0" w:type="dxa"/>
          </w:tblCellMar>
        </w:tblPrEx>
        <w:trPr>
          <w:trHeight w:val="285"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3032E4">
            <w:pPr>
              <w:spacing w:line="240" w:lineRule="exact"/>
              <w:jc w:val="center"/>
              <w:rPr>
                <w:rFonts w:ascii="Times New Roman" w:hAnsi="Times New Roman" w:cs="Times New Roman" w:eastAsiaTheme="minorEastAsia"/>
                <w:color w:val="000000"/>
                <w:szCs w:val="21"/>
              </w:rPr>
            </w:pP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131F4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连接器</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EB7F1C">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IC694TBB032</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A69EA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只</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05357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6</w:t>
            </w:r>
          </w:p>
        </w:tc>
      </w:tr>
      <w:tr w14:paraId="0D5D52E3">
        <w:tblPrEx>
          <w:tblCellMar>
            <w:top w:w="0" w:type="dxa"/>
            <w:left w:w="0" w:type="dxa"/>
            <w:bottom w:w="0" w:type="dxa"/>
            <w:right w:w="0" w:type="dxa"/>
          </w:tblCellMar>
        </w:tblPrEx>
        <w:trPr>
          <w:trHeight w:val="285"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F353E9">
            <w:pPr>
              <w:spacing w:line="240" w:lineRule="exact"/>
              <w:jc w:val="center"/>
              <w:rPr>
                <w:rFonts w:ascii="Times New Roman" w:hAnsi="Times New Roman" w:cs="Times New Roman" w:eastAsiaTheme="minorEastAsia"/>
                <w:color w:val="000000"/>
                <w:szCs w:val="21"/>
              </w:rPr>
            </w:pP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AA97A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背板</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63F93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IC695CHS012</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CBD6C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只</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EC5C15">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0F28F35C">
        <w:tblPrEx>
          <w:tblCellMar>
            <w:top w:w="0" w:type="dxa"/>
            <w:left w:w="0" w:type="dxa"/>
            <w:bottom w:w="0" w:type="dxa"/>
            <w:right w:w="0" w:type="dxa"/>
          </w:tblCellMar>
        </w:tblPrEx>
        <w:trPr>
          <w:trHeight w:val="285"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3553A8">
            <w:pPr>
              <w:spacing w:line="240" w:lineRule="exact"/>
              <w:jc w:val="center"/>
              <w:rPr>
                <w:rFonts w:ascii="Times New Roman" w:hAnsi="Times New Roman" w:cs="Times New Roman" w:eastAsiaTheme="minorEastAsia"/>
                <w:color w:val="000000"/>
                <w:szCs w:val="21"/>
              </w:rPr>
            </w:pP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18CCA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以太网模块</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2F758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IC695ETM001</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4DC9A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只</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9AE54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3975081B">
        <w:tblPrEx>
          <w:tblCellMar>
            <w:top w:w="0" w:type="dxa"/>
            <w:left w:w="0" w:type="dxa"/>
            <w:bottom w:w="0" w:type="dxa"/>
            <w:right w:w="0" w:type="dxa"/>
          </w:tblCellMar>
        </w:tblPrEx>
        <w:trPr>
          <w:trHeight w:val="285"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75CECD">
            <w:pPr>
              <w:spacing w:line="240" w:lineRule="exact"/>
              <w:jc w:val="center"/>
              <w:rPr>
                <w:rFonts w:ascii="Times New Roman" w:hAnsi="Times New Roman" w:cs="Times New Roman" w:eastAsiaTheme="minorEastAsia"/>
                <w:color w:val="000000"/>
                <w:szCs w:val="21"/>
              </w:rPr>
            </w:pP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14BDFE">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空槽模块</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553D5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IC694ACC310</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E822AE">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只</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4F46E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30E8D2D5">
        <w:tblPrEx>
          <w:tblCellMar>
            <w:top w:w="0" w:type="dxa"/>
            <w:left w:w="0" w:type="dxa"/>
            <w:bottom w:w="0" w:type="dxa"/>
            <w:right w:w="0" w:type="dxa"/>
          </w:tblCellMar>
        </w:tblPrEx>
        <w:trPr>
          <w:trHeight w:val="285"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802209">
            <w:pPr>
              <w:spacing w:line="240" w:lineRule="exact"/>
              <w:jc w:val="center"/>
              <w:rPr>
                <w:rFonts w:ascii="Times New Roman" w:hAnsi="Times New Roman" w:cs="Times New Roman" w:eastAsiaTheme="minorEastAsia"/>
                <w:color w:val="000000"/>
                <w:szCs w:val="21"/>
              </w:rPr>
            </w:pP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607F67">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电源模块</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11CAC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IC695PSD040</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B6E8B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只</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B37F6D">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66B2ED80">
        <w:tblPrEx>
          <w:tblCellMar>
            <w:top w:w="0" w:type="dxa"/>
            <w:left w:w="0" w:type="dxa"/>
            <w:bottom w:w="0" w:type="dxa"/>
            <w:right w:w="0" w:type="dxa"/>
          </w:tblCellMar>
        </w:tblPrEx>
        <w:trPr>
          <w:trHeight w:val="285"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D9B976">
            <w:pPr>
              <w:spacing w:line="240" w:lineRule="exact"/>
              <w:jc w:val="center"/>
              <w:rPr>
                <w:rFonts w:ascii="Times New Roman" w:hAnsi="Times New Roman" w:cs="Times New Roman" w:eastAsiaTheme="minorEastAsia"/>
                <w:color w:val="000000"/>
                <w:szCs w:val="21"/>
              </w:rPr>
            </w:pP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50D57D">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24V开关电源10A</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18C82E">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IC690PRM010</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CD277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90F0C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71D8554C">
        <w:tblPrEx>
          <w:tblCellMar>
            <w:top w:w="0" w:type="dxa"/>
            <w:left w:w="0" w:type="dxa"/>
            <w:bottom w:w="0" w:type="dxa"/>
            <w:right w:w="0" w:type="dxa"/>
          </w:tblCellMar>
        </w:tblPrEx>
        <w:trPr>
          <w:trHeight w:val="450"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B38027">
            <w:pPr>
              <w:spacing w:line="240" w:lineRule="exact"/>
              <w:jc w:val="center"/>
              <w:rPr>
                <w:rFonts w:ascii="Times New Roman" w:hAnsi="Times New Roman" w:cs="Times New Roman" w:eastAsiaTheme="minorEastAsia"/>
                <w:color w:val="000000"/>
                <w:szCs w:val="21"/>
              </w:rPr>
            </w:pP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2BE23D">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机柜及配件</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A19B9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PK-10包括：按钮、指示灯、切换把手、端子、加热器等</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CDB628">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EA8DF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3539E4AA">
        <w:tblPrEx>
          <w:tblCellMar>
            <w:top w:w="0" w:type="dxa"/>
            <w:left w:w="0" w:type="dxa"/>
            <w:bottom w:w="0" w:type="dxa"/>
            <w:right w:w="0" w:type="dxa"/>
          </w:tblCellMar>
        </w:tblPrEx>
        <w:trPr>
          <w:trHeight w:val="285"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9F638C">
            <w:pPr>
              <w:spacing w:line="240" w:lineRule="exact"/>
              <w:jc w:val="center"/>
              <w:rPr>
                <w:rFonts w:ascii="Times New Roman" w:hAnsi="Times New Roman" w:cs="Times New Roman" w:eastAsiaTheme="minorEastAsia"/>
                <w:color w:val="000000"/>
                <w:szCs w:val="21"/>
              </w:rPr>
            </w:pP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D1B55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开关量输出继电器</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D93B05">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OMRON MK3P</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503D9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只</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F8A699">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16</w:t>
            </w:r>
          </w:p>
        </w:tc>
      </w:tr>
      <w:tr w14:paraId="4716053A">
        <w:tblPrEx>
          <w:tblCellMar>
            <w:top w:w="0" w:type="dxa"/>
            <w:left w:w="0" w:type="dxa"/>
            <w:bottom w:w="0" w:type="dxa"/>
            <w:right w:w="0" w:type="dxa"/>
          </w:tblCellMar>
        </w:tblPrEx>
        <w:trPr>
          <w:trHeight w:val="285" w:hRule="atLeast"/>
          <w:jc w:val="center"/>
        </w:trPr>
        <w:tc>
          <w:tcPr>
            <w:tcW w:w="66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9C36DD">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10</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180C4E">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泵站公用LCU屏</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D9A43C">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 xml:space="preserve"> GE-PACSystems RX3i系列</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B26F2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07397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2BDEFED5">
        <w:tblPrEx>
          <w:tblCellMar>
            <w:top w:w="0" w:type="dxa"/>
            <w:left w:w="0" w:type="dxa"/>
            <w:bottom w:w="0" w:type="dxa"/>
            <w:right w:w="0" w:type="dxa"/>
          </w:tblCellMar>
        </w:tblPrEx>
        <w:trPr>
          <w:trHeight w:val="285"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FB75F8">
            <w:pPr>
              <w:spacing w:line="240" w:lineRule="exact"/>
              <w:jc w:val="center"/>
              <w:rPr>
                <w:rFonts w:ascii="Times New Roman" w:hAnsi="Times New Roman" w:cs="Times New Roman" w:eastAsiaTheme="minorEastAsia"/>
                <w:color w:val="000000"/>
                <w:szCs w:val="21"/>
              </w:rPr>
            </w:pP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820BE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每块屏内主要设备</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A797B9">
            <w:pPr>
              <w:spacing w:line="240" w:lineRule="exact"/>
              <w:rPr>
                <w:rFonts w:ascii="Times New Roman" w:hAnsi="Times New Roman" w:cs="Times New Roman" w:eastAsiaTheme="minorEastAsia"/>
                <w:color w:val="00000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19D20D">
            <w:pPr>
              <w:spacing w:line="240" w:lineRule="exact"/>
              <w:rPr>
                <w:rFonts w:ascii="Times New Roman" w:hAnsi="Times New Roman" w:cs="Times New Roman" w:eastAsiaTheme="minorEastAsia"/>
                <w:color w:val="000000"/>
                <w:szCs w:val="21"/>
              </w:rPr>
            </w:pP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EDE083">
            <w:pPr>
              <w:spacing w:line="240" w:lineRule="exact"/>
              <w:rPr>
                <w:rFonts w:ascii="Times New Roman" w:hAnsi="Times New Roman" w:cs="Times New Roman" w:eastAsiaTheme="minorEastAsia"/>
                <w:color w:val="000000"/>
                <w:szCs w:val="21"/>
              </w:rPr>
            </w:pPr>
          </w:p>
        </w:tc>
      </w:tr>
      <w:tr w14:paraId="462EBE84">
        <w:tblPrEx>
          <w:tblCellMar>
            <w:top w:w="0" w:type="dxa"/>
            <w:left w:w="0" w:type="dxa"/>
            <w:bottom w:w="0" w:type="dxa"/>
            <w:right w:w="0" w:type="dxa"/>
          </w:tblCellMar>
        </w:tblPrEx>
        <w:trPr>
          <w:trHeight w:val="285"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CCEE29">
            <w:pPr>
              <w:spacing w:line="240" w:lineRule="exact"/>
              <w:jc w:val="center"/>
              <w:rPr>
                <w:rFonts w:ascii="Times New Roman" w:hAnsi="Times New Roman" w:cs="Times New Roman" w:eastAsiaTheme="minorEastAsia"/>
                <w:color w:val="000000"/>
                <w:szCs w:val="21"/>
              </w:rPr>
            </w:pP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80684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触摸屏12〃真彩</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D08D2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IC754VSI12CTD</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B02DBD">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A9B06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4863CD62">
        <w:tblPrEx>
          <w:tblCellMar>
            <w:top w:w="0" w:type="dxa"/>
            <w:left w:w="0" w:type="dxa"/>
            <w:bottom w:w="0" w:type="dxa"/>
            <w:right w:w="0" w:type="dxa"/>
          </w:tblCellMar>
        </w:tblPrEx>
        <w:trPr>
          <w:trHeight w:val="285"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AC8B3C">
            <w:pPr>
              <w:spacing w:line="240" w:lineRule="exact"/>
              <w:jc w:val="center"/>
              <w:rPr>
                <w:rFonts w:ascii="Times New Roman" w:hAnsi="Times New Roman" w:cs="Times New Roman" w:eastAsiaTheme="minorEastAsia"/>
                <w:color w:val="000000"/>
                <w:szCs w:val="21"/>
              </w:rPr>
            </w:pP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75D678">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CPU模块</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157D99">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IC695CPE310</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594B98">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只</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B9EE2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4554C065">
        <w:tblPrEx>
          <w:tblCellMar>
            <w:top w:w="0" w:type="dxa"/>
            <w:left w:w="0" w:type="dxa"/>
            <w:bottom w:w="0" w:type="dxa"/>
            <w:right w:w="0" w:type="dxa"/>
          </w:tblCellMar>
        </w:tblPrEx>
        <w:trPr>
          <w:trHeight w:val="285"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14F80F">
            <w:pPr>
              <w:spacing w:line="240" w:lineRule="exact"/>
              <w:jc w:val="center"/>
              <w:rPr>
                <w:rFonts w:ascii="Times New Roman" w:hAnsi="Times New Roman" w:cs="Times New Roman" w:eastAsiaTheme="minorEastAsia"/>
                <w:color w:val="000000"/>
                <w:szCs w:val="21"/>
              </w:rPr>
            </w:pP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3EC2D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开关量输入模块</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4C0077">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IC694MDL660</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B567D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只</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36545C">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5</w:t>
            </w:r>
          </w:p>
        </w:tc>
      </w:tr>
      <w:tr w14:paraId="37351BAD">
        <w:tblPrEx>
          <w:tblCellMar>
            <w:top w:w="0" w:type="dxa"/>
            <w:left w:w="0" w:type="dxa"/>
            <w:bottom w:w="0" w:type="dxa"/>
            <w:right w:w="0" w:type="dxa"/>
          </w:tblCellMar>
        </w:tblPrEx>
        <w:trPr>
          <w:trHeight w:val="285"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C05809">
            <w:pPr>
              <w:spacing w:line="240" w:lineRule="exact"/>
              <w:jc w:val="center"/>
              <w:rPr>
                <w:rFonts w:ascii="Times New Roman" w:hAnsi="Times New Roman" w:cs="Times New Roman" w:eastAsiaTheme="minorEastAsia"/>
                <w:color w:val="000000"/>
                <w:szCs w:val="21"/>
              </w:rPr>
            </w:pP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411C1C">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开关量输出模块</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8E8C0D">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IC694MDL940</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8A6857">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只</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A9AD2C">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3</w:t>
            </w:r>
          </w:p>
        </w:tc>
      </w:tr>
      <w:tr w14:paraId="66C4B691">
        <w:tblPrEx>
          <w:tblCellMar>
            <w:top w:w="0" w:type="dxa"/>
            <w:left w:w="0" w:type="dxa"/>
            <w:bottom w:w="0" w:type="dxa"/>
            <w:right w:w="0" w:type="dxa"/>
          </w:tblCellMar>
        </w:tblPrEx>
        <w:trPr>
          <w:trHeight w:val="285"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560C2E">
            <w:pPr>
              <w:spacing w:line="240" w:lineRule="exact"/>
              <w:jc w:val="center"/>
              <w:rPr>
                <w:rFonts w:ascii="Times New Roman" w:hAnsi="Times New Roman" w:cs="Times New Roman" w:eastAsiaTheme="minorEastAsia"/>
                <w:color w:val="000000"/>
                <w:szCs w:val="21"/>
              </w:rPr>
            </w:pP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A3408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模拟量输入模块</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F0CC8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IC695ALG616</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7B8099">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只</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0FFA07">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w:t>
            </w:r>
          </w:p>
        </w:tc>
      </w:tr>
      <w:tr w14:paraId="5043A506">
        <w:tblPrEx>
          <w:tblCellMar>
            <w:top w:w="0" w:type="dxa"/>
            <w:left w:w="0" w:type="dxa"/>
            <w:bottom w:w="0" w:type="dxa"/>
            <w:right w:w="0" w:type="dxa"/>
          </w:tblCellMar>
        </w:tblPrEx>
        <w:trPr>
          <w:trHeight w:val="285"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A068A3">
            <w:pPr>
              <w:spacing w:line="240" w:lineRule="exact"/>
              <w:jc w:val="center"/>
              <w:rPr>
                <w:rFonts w:ascii="Times New Roman" w:hAnsi="Times New Roman" w:cs="Times New Roman" w:eastAsiaTheme="minorEastAsia"/>
                <w:color w:val="000000"/>
                <w:szCs w:val="21"/>
              </w:rPr>
            </w:pP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9975DE">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连接器</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A517F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IC694TBB032</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A6C13D">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只</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81109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7</w:t>
            </w:r>
          </w:p>
        </w:tc>
      </w:tr>
      <w:tr w14:paraId="0ACDA67F">
        <w:tblPrEx>
          <w:tblCellMar>
            <w:top w:w="0" w:type="dxa"/>
            <w:left w:w="0" w:type="dxa"/>
            <w:bottom w:w="0" w:type="dxa"/>
            <w:right w:w="0" w:type="dxa"/>
          </w:tblCellMar>
        </w:tblPrEx>
        <w:trPr>
          <w:trHeight w:val="285"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592973">
            <w:pPr>
              <w:spacing w:line="240" w:lineRule="exact"/>
              <w:jc w:val="center"/>
              <w:rPr>
                <w:rFonts w:ascii="Times New Roman" w:hAnsi="Times New Roman" w:cs="Times New Roman" w:eastAsiaTheme="minorEastAsia"/>
                <w:color w:val="000000"/>
                <w:szCs w:val="21"/>
              </w:rPr>
            </w:pP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04FCD9">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背板</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E9C27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IC695CHS016</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13A119">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只</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B9377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0A7B1425">
        <w:tblPrEx>
          <w:tblCellMar>
            <w:top w:w="0" w:type="dxa"/>
            <w:left w:w="0" w:type="dxa"/>
            <w:bottom w:w="0" w:type="dxa"/>
            <w:right w:w="0" w:type="dxa"/>
          </w:tblCellMar>
        </w:tblPrEx>
        <w:trPr>
          <w:trHeight w:val="285"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E91FF4">
            <w:pPr>
              <w:spacing w:line="240" w:lineRule="exact"/>
              <w:jc w:val="center"/>
              <w:rPr>
                <w:rFonts w:ascii="Times New Roman" w:hAnsi="Times New Roman" w:cs="Times New Roman" w:eastAsiaTheme="minorEastAsia"/>
                <w:color w:val="000000"/>
                <w:szCs w:val="21"/>
              </w:rPr>
            </w:pP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D0ADA7">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以太网模块</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FB857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IC695ETM001</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6F4F29">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只</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A3199E">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0CF91001">
        <w:tblPrEx>
          <w:tblCellMar>
            <w:top w:w="0" w:type="dxa"/>
            <w:left w:w="0" w:type="dxa"/>
            <w:bottom w:w="0" w:type="dxa"/>
            <w:right w:w="0" w:type="dxa"/>
          </w:tblCellMar>
        </w:tblPrEx>
        <w:trPr>
          <w:trHeight w:val="285"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FBD8C8">
            <w:pPr>
              <w:spacing w:line="240" w:lineRule="exact"/>
              <w:jc w:val="center"/>
              <w:rPr>
                <w:rFonts w:ascii="Times New Roman" w:hAnsi="Times New Roman" w:cs="Times New Roman" w:eastAsiaTheme="minorEastAsia"/>
                <w:color w:val="000000"/>
                <w:szCs w:val="21"/>
              </w:rPr>
            </w:pP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D2DFD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电源模块</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E87C4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IC695PSD040</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86BA4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只</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15220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6ADADC33">
        <w:tblPrEx>
          <w:tblCellMar>
            <w:top w:w="0" w:type="dxa"/>
            <w:left w:w="0" w:type="dxa"/>
            <w:bottom w:w="0" w:type="dxa"/>
            <w:right w:w="0" w:type="dxa"/>
          </w:tblCellMar>
        </w:tblPrEx>
        <w:trPr>
          <w:trHeight w:val="285"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DAE9DE">
            <w:pPr>
              <w:spacing w:line="240" w:lineRule="exact"/>
              <w:jc w:val="center"/>
              <w:rPr>
                <w:rFonts w:ascii="Times New Roman" w:hAnsi="Times New Roman" w:cs="Times New Roman" w:eastAsiaTheme="minorEastAsia"/>
                <w:color w:val="000000"/>
                <w:szCs w:val="21"/>
              </w:rPr>
            </w:pP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ADE279">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空槽模块</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CCCB2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IC694ACC310</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A5F5D8">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只</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030555">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w:t>
            </w:r>
          </w:p>
        </w:tc>
      </w:tr>
      <w:tr w14:paraId="5279E310">
        <w:tblPrEx>
          <w:tblCellMar>
            <w:top w:w="0" w:type="dxa"/>
            <w:left w:w="0" w:type="dxa"/>
            <w:bottom w:w="0" w:type="dxa"/>
            <w:right w:w="0" w:type="dxa"/>
          </w:tblCellMar>
        </w:tblPrEx>
        <w:trPr>
          <w:trHeight w:val="285"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1F6604">
            <w:pPr>
              <w:spacing w:line="240" w:lineRule="exact"/>
              <w:jc w:val="center"/>
              <w:rPr>
                <w:rFonts w:ascii="Times New Roman" w:hAnsi="Times New Roman" w:cs="Times New Roman" w:eastAsiaTheme="minorEastAsia"/>
                <w:color w:val="000000"/>
                <w:szCs w:val="21"/>
              </w:rPr>
            </w:pP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F0259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24V开关电源10A</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D55AE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IC690PRM010</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0E420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66F51C">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441D235B">
        <w:tblPrEx>
          <w:tblCellMar>
            <w:top w:w="0" w:type="dxa"/>
            <w:left w:w="0" w:type="dxa"/>
            <w:bottom w:w="0" w:type="dxa"/>
            <w:right w:w="0" w:type="dxa"/>
          </w:tblCellMar>
        </w:tblPrEx>
        <w:trPr>
          <w:trHeight w:val="450"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FD6833">
            <w:pPr>
              <w:spacing w:line="240" w:lineRule="exact"/>
              <w:jc w:val="center"/>
              <w:rPr>
                <w:rFonts w:ascii="Times New Roman" w:hAnsi="Times New Roman" w:cs="Times New Roman" w:eastAsiaTheme="minorEastAsia"/>
                <w:color w:val="000000"/>
                <w:szCs w:val="21"/>
              </w:rPr>
            </w:pP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6E5EA8">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机柜及配件</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A6089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PK-10包括：按钮、指示灯、切换把手、端子、加热器等</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3AABD8">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0CCF6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23EDAAF9">
        <w:tblPrEx>
          <w:tblCellMar>
            <w:top w:w="0" w:type="dxa"/>
            <w:left w:w="0" w:type="dxa"/>
            <w:bottom w:w="0" w:type="dxa"/>
            <w:right w:w="0" w:type="dxa"/>
          </w:tblCellMar>
        </w:tblPrEx>
        <w:trPr>
          <w:trHeight w:val="285"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A2D2B0">
            <w:pPr>
              <w:spacing w:line="240" w:lineRule="exact"/>
              <w:jc w:val="center"/>
              <w:rPr>
                <w:rFonts w:ascii="Times New Roman" w:hAnsi="Times New Roman" w:cs="Times New Roman" w:eastAsiaTheme="minorEastAsia"/>
                <w:color w:val="000000"/>
                <w:szCs w:val="21"/>
              </w:rPr>
            </w:pP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F664D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开关量输出继电器</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44323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OMRON MK3P</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7FE42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只</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ADFA3D">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32</w:t>
            </w:r>
          </w:p>
        </w:tc>
      </w:tr>
      <w:tr w14:paraId="43360E16">
        <w:tblPrEx>
          <w:tblCellMar>
            <w:top w:w="0" w:type="dxa"/>
            <w:left w:w="0" w:type="dxa"/>
            <w:bottom w:w="0" w:type="dxa"/>
            <w:right w:w="0" w:type="dxa"/>
          </w:tblCellMar>
        </w:tblPrEx>
        <w:trPr>
          <w:trHeight w:val="378"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2DB1A7">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11</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F85B6D">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小浮子水位传感器</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5CCC8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自收缆HSWX-10含显示器</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24C8BC">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DDEC4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w:t>
            </w:r>
          </w:p>
        </w:tc>
      </w:tr>
      <w:tr w14:paraId="4EC45123">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524934">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12</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E714C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水位传感器电缆</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B86619">
            <w:pPr>
              <w:widowControl/>
              <w:spacing w:line="240" w:lineRule="exact"/>
              <w:textAlignment w:val="center"/>
              <w:rPr>
                <w:rFonts w:ascii="Times New Roman" w:hAnsi="Times New Roman" w:cs="Times New Roman" w:eastAsiaTheme="minorEastAsia"/>
                <w:color w:val="00000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D1E58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m</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D533E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200</w:t>
            </w:r>
          </w:p>
        </w:tc>
      </w:tr>
      <w:tr w14:paraId="19107125">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3CD009">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13</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6DB45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闸门开度仪</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3EA35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含LCU柜显示器</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ED111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AEE5D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3</w:t>
            </w:r>
          </w:p>
        </w:tc>
      </w:tr>
      <w:tr w14:paraId="4ACBF1FE">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AC9B69">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14</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FDBA7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开度传感器电缆</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FD6ADD">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开度传感器与显示器之间电缆</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8E780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m</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0EF8E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200</w:t>
            </w:r>
          </w:p>
        </w:tc>
      </w:tr>
      <w:tr w14:paraId="5474B69D">
        <w:tblPrEx>
          <w:tblCellMar>
            <w:top w:w="0" w:type="dxa"/>
            <w:left w:w="0" w:type="dxa"/>
            <w:bottom w:w="0" w:type="dxa"/>
            <w:right w:w="0" w:type="dxa"/>
          </w:tblCellMar>
        </w:tblPrEx>
        <w:trPr>
          <w:trHeight w:val="370"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11401B">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15</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D1C39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闸门荷重仪</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BD0F8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含LCU柜显示器</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6DDA75">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C6CB2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3</w:t>
            </w:r>
          </w:p>
        </w:tc>
      </w:tr>
      <w:tr w14:paraId="0C64B5A5">
        <w:tblPrEx>
          <w:tblCellMar>
            <w:top w:w="0" w:type="dxa"/>
            <w:left w:w="0" w:type="dxa"/>
            <w:bottom w:w="0" w:type="dxa"/>
            <w:right w:w="0" w:type="dxa"/>
          </w:tblCellMar>
        </w:tblPrEx>
        <w:trPr>
          <w:trHeight w:val="404"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1FF0EE">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16</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D4F285">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计算机工作台</w:t>
            </w:r>
          </w:p>
        </w:tc>
        <w:tc>
          <w:tcPr>
            <w:tcW w:w="3266" w:type="dxa"/>
            <w:gridSpan w:val="2"/>
            <w:tcBorders>
              <w:top w:val="single" w:color="000000" w:sz="4" w:space="0"/>
              <w:left w:val="single" w:color="000000" w:sz="4" w:space="0"/>
              <w:right w:val="single" w:color="000000" w:sz="4" w:space="0"/>
            </w:tcBorders>
            <w:tcMar>
              <w:top w:w="15" w:type="dxa"/>
              <w:left w:w="15" w:type="dxa"/>
              <w:right w:w="15" w:type="dxa"/>
            </w:tcMar>
            <w:vAlign w:val="center"/>
          </w:tcPr>
          <w:p w14:paraId="1E1DBDC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4×1.2m(长×宽)木质含2把旋转座椅</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E2B22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F5187E">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3DDCE956">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1A61D0">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17</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651E5C">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网络屏</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8E92A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放置监控网络、视频、配电设备等</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B1E5FE">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6365F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1134C7E2">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90EDBF">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18</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634B79">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超5类屏蔽网络线</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71EC5D">
            <w:pPr>
              <w:spacing w:line="240" w:lineRule="exact"/>
              <w:rPr>
                <w:rFonts w:ascii="Times New Roman" w:hAnsi="Times New Roman" w:cs="Times New Roman" w:eastAsiaTheme="minorEastAsia"/>
                <w:color w:val="00000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0E6FC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m</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50E3D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200</w:t>
            </w:r>
          </w:p>
        </w:tc>
      </w:tr>
      <w:tr w14:paraId="58DC7304">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B9660F">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19</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3E473E">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必要的防雷设施</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5A7903">
            <w:pPr>
              <w:spacing w:line="240" w:lineRule="exact"/>
              <w:rPr>
                <w:rFonts w:ascii="Times New Roman" w:hAnsi="Times New Roman" w:cs="Times New Roman" w:eastAsiaTheme="minorEastAsia"/>
                <w:color w:val="00000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29851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48054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自定</w:t>
            </w:r>
          </w:p>
        </w:tc>
      </w:tr>
      <w:tr w14:paraId="1D5B69B4">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C6D5DF">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20</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31590E">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固镇站电度表屏</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7A10C4">
            <w:pPr>
              <w:spacing w:line="240" w:lineRule="exact"/>
              <w:rPr>
                <w:rFonts w:ascii="Times New Roman" w:hAnsi="Times New Roman" w:cs="Times New Roman" w:eastAsiaTheme="minorEastAsia"/>
                <w:color w:val="00000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469E3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7F3EC7">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1AC71128">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025B63">
            <w:pPr>
              <w:spacing w:line="240" w:lineRule="exact"/>
              <w:jc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szCs w:val="21"/>
              </w:rPr>
              <w:t>21</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AD448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智能电度表</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1B645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DSSD331/DTSD341-MC5V3</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15F239">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B5606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13FE87A5">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0B1560">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22</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BFEE7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满足招标文件要求的其它部分</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CAFAA8">
            <w:pPr>
              <w:spacing w:line="240" w:lineRule="exact"/>
              <w:rPr>
                <w:rFonts w:ascii="Times New Roman" w:hAnsi="Times New Roman" w:cs="Times New Roman" w:eastAsiaTheme="minorEastAsia"/>
                <w:color w:val="00000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92C10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项</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0E5CE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7EE261EE">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34B882">
            <w:pPr>
              <w:widowControl/>
              <w:spacing w:line="240" w:lineRule="exact"/>
              <w:jc w:val="center"/>
              <w:textAlignment w:val="center"/>
              <w:rPr>
                <w:rFonts w:ascii="Times New Roman" w:hAnsi="Times New Roman" w:cs="Times New Roman" w:eastAsiaTheme="minorEastAsia"/>
                <w:b/>
                <w:color w:val="000000"/>
                <w:szCs w:val="21"/>
              </w:rPr>
            </w:pPr>
            <w:r>
              <w:rPr>
                <w:rFonts w:ascii="Times New Roman" w:hAnsi="Times New Roman" w:cs="Times New Roman" w:eastAsiaTheme="minorEastAsia"/>
                <w:b/>
                <w:color w:val="000000"/>
                <w:kern w:val="0"/>
                <w:szCs w:val="21"/>
              </w:rPr>
              <w:t>（二）</w:t>
            </w:r>
          </w:p>
        </w:tc>
        <w:tc>
          <w:tcPr>
            <w:tcW w:w="8127"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510D19">
            <w:pPr>
              <w:widowControl/>
              <w:spacing w:line="240" w:lineRule="exact"/>
              <w:textAlignment w:val="center"/>
              <w:rPr>
                <w:rFonts w:ascii="Times New Roman" w:hAnsi="Times New Roman" w:cs="Times New Roman" w:eastAsiaTheme="minorEastAsia"/>
                <w:b/>
                <w:color w:val="000000"/>
                <w:szCs w:val="21"/>
              </w:rPr>
            </w:pPr>
            <w:r>
              <w:rPr>
                <w:rFonts w:ascii="Times New Roman" w:hAnsi="Times New Roman" w:cs="Times New Roman" w:eastAsiaTheme="minorEastAsia"/>
                <w:b/>
                <w:color w:val="000000"/>
                <w:kern w:val="0"/>
                <w:szCs w:val="21"/>
              </w:rPr>
              <w:t>固镇站视频监视系统</w:t>
            </w:r>
          </w:p>
        </w:tc>
      </w:tr>
      <w:tr w14:paraId="41F4F70F">
        <w:tblPrEx>
          <w:tblCellMar>
            <w:top w:w="0" w:type="dxa"/>
            <w:left w:w="0" w:type="dxa"/>
            <w:bottom w:w="0" w:type="dxa"/>
            <w:right w:w="0" w:type="dxa"/>
          </w:tblCellMar>
        </w:tblPrEx>
        <w:trPr>
          <w:trHeight w:val="1202" w:hRule="atLeast"/>
          <w:jc w:val="center"/>
        </w:trPr>
        <w:tc>
          <w:tcPr>
            <w:tcW w:w="663" w:type="dxa"/>
            <w:tcBorders>
              <w:top w:val="single" w:color="000000" w:sz="4" w:space="0"/>
              <w:left w:val="single" w:color="000000" w:sz="4" w:space="0"/>
              <w:right w:val="single" w:color="000000" w:sz="4" w:space="0"/>
            </w:tcBorders>
            <w:tcMar>
              <w:top w:w="15" w:type="dxa"/>
              <w:left w:w="15" w:type="dxa"/>
              <w:right w:w="15" w:type="dxa"/>
            </w:tcMar>
            <w:vAlign w:val="center"/>
          </w:tcPr>
          <w:p w14:paraId="70CB751C">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c>
          <w:tcPr>
            <w:tcW w:w="3407" w:type="dxa"/>
            <w:tcBorders>
              <w:top w:val="single" w:color="000000" w:sz="4" w:space="0"/>
              <w:left w:val="single" w:color="000000" w:sz="4" w:space="0"/>
              <w:right w:val="single" w:color="000000" w:sz="4" w:space="0"/>
            </w:tcBorders>
            <w:tcMar>
              <w:top w:w="15" w:type="dxa"/>
              <w:left w:w="15" w:type="dxa"/>
              <w:right w:w="15" w:type="dxa"/>
            </w:tcMar>
            <w:vAlign w:val="center"/>
          </w:tcPr>
          <w:p w14:paraId="48473F6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视频工作站</w:t>
            </w:r>
          </w:p>
        </w:tc>
        <w:tc>
          <w:tcPr>
            <w:tcW w:w="3266" w:type="dxa"/>
            <w:gridSpan w:val="2"/>
            <w:tcBorders>
              <w:top w:val="single" w:color="000000" w:sz="4" w:space="0"/>
              <w:left w:val="single" w:color="000000" w:sz="4" w:space="0"/>
              <w:right w:val="single" w:color="000000" w:sz="4" w:space="0"/>
            </w:tcBorders>
            <w:tcMar>
              <w:top w:w="15" w:type="dxa"/>
              <w:left w:w="15" w:type="dxa"/>
              <w:right w:w="15" w:type="dxa"/>
            </w:tcMar>
            <w:vAlign w:val="center"/>
          </w:tcPr>
          <w:p w14:paraId="08FF9EC8">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Dell Precision Tower 5810工作站</w:t>
            </w:r>
          </w:p>
          <w:p w14:paraId="01B0DC52">
            <w:pPr>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英特尔（至强）E5-1620 v3四核处理器 内存 8GB;DDR3 SDRAM、500GB磁盘;一体化光驱 网络接口;22″液晶显示器;通用键盘及鼠标</w:t>
            </w:r>
          </w:p>
        </w:tc>
        <w:tc>
          <w:tcPr>
            <w:tcW w:w="702" w:type="dxa"/>
            <w:tcBorders>
              <w:top w:val="single" w:color="000000" w:sz="4" w:space="0"/>
              <w:left w:val="single" w:color="000000" w:sz="4" w:space="0"/>
              <w:right w:val="single" w:color="000000" w:sz="4" w:space="0"/>
            </w:tcBorders>
            <w:tcMar>
              <w:top w:w="15" w:type="dxa"/>
              <w:left w:w="15" w:type="dxa"/>
              <w:right w:w="15" w:type="dxa"/>
            </w:tcMar>
            <w:vAlign w:val="center"/>
          </w:tcPr>
          <w:p w14:paraId="12F5643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right w:val="single" w:color="000000" w:sz="4" w:space="0"/>
            </w:tcBorders>
            <w:tcMar>
              <w:top w:w="15" w:type="dxa"/>
              <w:left w:w="15" w:type="dxa"/>
              <w:right w:w="15" w:type="dxa"/>
            </w:tcMar>
            <w:vAlign w:val="center"/>
          </w:tcPr>
          <w:p w14:paraId="1920C23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3269F8AC">
        <w:tblPrEx>
          <w:tblCellMar>
            <w:top w:w="0" w:type="dxa"/>
            <w:left w:w="0" w:type="dxa"/>
            <w:bottom w:w="0" w:type="dxa"/>
            <w:right w:w="0" w:type="dxa"/>
          </w:tblCellMar>
        </w:tblPrEx>
        <w:trPr>
          <w:trHeight w:val="450"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BB7D5E">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99C73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工业以太网交换机</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1B149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7026TX-AC;24个10/100自适应接口;2个NTSFR-TX模块</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C1FD25">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F16A7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2AE63B6A">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E95570">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3</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871FC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光电收发器</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FD061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视频厂家配套</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6D2D47">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只</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75A83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15</w:t>
            </w:r>
          </w:p>
        </w:tc>
      </w:tr>
      <w:tr w14:paraId="317A64D2">
        <w:tblPrEx>
          <w:tblCellMar>
            <w:top w:w="0" w:type="dxa"/>
            <w:left w:w="0" w:type="dxa"/>
            <w:bottom w:w="0" w:type="dxa"/>
            <w:right w:w="0" w:type="dxa"/>
          </w:tblCellMar>
        </w:tblPrEx>
        <w:trPr>
          <w:trHeight w:val="450"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971D0E">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4</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6900E5">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室外网络智能高速球型摄像机</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8F6BB9">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DS-2DF8223IWD-A/HF,支持光口、附安装支架,户外防护罩等</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95965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BD355E">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6</w:t>
            </w:r>
          </w:p>
        </w:tc>
      </w:tr>
      <w:tr w14:paraId="3A3EFB33">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695D6A">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5</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E92F6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设备箱</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58861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 xml:space="preserve">室外防水IP65 6只 室内9只 </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2D3DE5">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只</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A564F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15</w:t>
            </w:r>
          </w:p>
        </w:tc>
      </w:tr>
      <w:tr w14:paraId="480E2D61">
        <w:tblPrEx>
          <w:tblCellMar>
            <w:top w:w="0" w:type="dxa"/>
            <w:left w:w="0" w:type="dxa"/>
            <w:bottom w:w="0" w:type="dxa"/>
            <w:right w:w="0" w:type="dxa"/>
          </w:tblCellMar>
        </w:tblPrEx>
        <w:trPr>
          <w:trHeight w:val="450"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8DD03D">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6</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AD0EF5">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室内网络智能高速球型摄像机</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8BE19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DS-2DF5284D-A/HF,支持光口、附安装支架,户内防护罩等</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53E63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43ECA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3</w:t>
            </w:r>
          </w:p>
        </w:tc>
      </w:tr>
      <w:tr w14:paraId="68F71E10">
        <w:tblPrEx>
          <w:tblCellMar>
            <w:top w:w="0" w:type="dxa"/>
            <w:left w:w="0" w:type="dxa"/>
            <w:bottom w:w="0" w:type="dxa"/>
            <w:right w:w="0" w:type="dxa"/>
          </w:tblCellMar>
        </w:tblPrEx>
        <w:trPr>
          <w:trHeight w:val="450"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EA5F7C">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7</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F0EF7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枪型网络摄像机</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787868">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DS-2CD4024F-HF,支持光口、附安装支架,户内防护罩等</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E6370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663029">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6</w:t>
            </w:r>
          </w:p>
        </w:tc>
      </w:tr>
      <w:tr w14:paraId="1BD7F9B7">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F89E27">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8</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CC433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镜头</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A34EC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MV0840D-MP</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DB5F9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只</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443EE7">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6</w:t>
            </w:r>
          </w:p>
        </w:tc>
      </w:tr>
      <w:tr w14:paraId="67983C5F">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2B377B">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9</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FB64D8">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网络数字硬盘录像机</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379A8D">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 xml:space="preserve">DS-8632N-E8 </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68118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6CE8AE">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02B4484E">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AEF55D">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10</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A77188">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硬盘</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2485F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2T专用高速硬盘</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B6414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477D0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6</w:t>
            </w:r>
          </w:p>
        </w:tc>
      </w:tr>
      <w:tr w14:paraId="35FBE769">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4E024D">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11</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68C059">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系统网络软件</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219313">
            <w:pPr>
              <w:spacing w:line="240" w:lineRule="exact"/>
              <w:rPr>
                <w:rFonts w:ascii="Times New Roman" w:hAnsi="Times New Roman" w:cs="Times New Roman" w:eastAsiaTheme="minorEastAsia"/>
                <w:color w:val="00000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C67A1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E3769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0C3A8B61">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809FE2">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12</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D5351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系统辅材</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C5070D">
            <w:pPr>
              <w:spacing w:line="240" w:lineRule="exact"/>
              <w:rPr>
                <w:rFonts w:ascii="Times New Roman" w:hAnsi="Times New Roman" w:cs="Times New Roman" w:eastAsiaTheme="minorEastAsia"/>
                <w:color w:val="00000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F0E7D7">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批</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7E004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6D2CC434">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D600FB">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13</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29CB48">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光线熔焊及辅材</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76F90F">
            <w:pPr>
              <w:spacing w:line="240" w:lineRule="exact"/>
              <w:rPr>
                <w:rFonts w:ascii="Times New Roman" w:hAnsi="Times New Roman" w:cs="Times New Roman" w:eastAsiaTheme="minorEastAsia"/>
                <w:color w:val="00000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F55AC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1EC65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4D59AA99">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BFFDC2">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14</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CE86B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光缆</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3949E">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铠装单模4芯电缆</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9CEB48">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m</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4F6D5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1000</w:t>
            </w:r>
          </w:p>
        </w:tc>
      </w:tr>
      <w:tr w14:paraId="7DB3BEE3">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F93854">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15</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F304E9">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五类网络线</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BBC562">
            <w:pPr>
              <w:spacing w:line="240" w:lineRule="exact"/>
              <w:rPr>
                <w:rFonts w:ascii="Times New Roman" w:hAnsi="Times New Roman" w:cs="Times New Roman" w:eastAsiaTheme="minorEastAsia"/>
                <w:color w:val="00000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94294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m</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167A3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300</w:t>
            </w:r>
          </w:p>
        </w:tc>
      </w:tr>
      <w:tr w14:paraId="6CB90BED">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EA06DA">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16</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26C177">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摄像机电源电缆</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472800">
            <w:pPr>
              <w:spacing w:line="240" w:lineRule="exact"/>
              <w:rPr>
                <w:rFonts w:ascii="Times New Roman" w:hAnsi="Times New Roman" w:cs="Times New Roman" w:eastAsiaTheme="minorEastAsia"/>
                <w:color w:val="00000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E40A9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m</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8E3F38">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1000</w:t>
            </w:r>
          </w:p>
        </w:tc>
      </w:tr>
      <w:tr w14:paraId="619B4932">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0CFD9E">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17</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B1D8F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开关电源</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564A4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输出DC24V</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EC8577">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3DBC5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15</w:t>
            </w:r>
          </w:p>
        </w:tc>
      </w:tr>
      <w:tr w14:paraId="7EA0F381">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59F195">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18</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1BB48C">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必要的防雷设施</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2DC6F8">
            <w:pPr>
              <w:spacing w:line="240" w:lineRule="exact"/>
              <w:rPr>
                <w:rFonts w:ascii="Times New Roman" w:hAnsi="Times New Roman" w:cs="Times New Roman" w:eastAsiaTheme="minorEastAsia"/>
                <w:color w:val="00000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D00B5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94731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7006BD03">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3DD513">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19</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E7E9E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满足招标文件要求的其它部分</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F8E9AE">
            <w:pPr>
              <w:spacing w:line="240" w:lineRule="exact"/>
              <w:rPr>
                <w:rFonts w:ascii="Times New Roman" w:hAnsi="Times New Roman" w:cs="Times New Roman" w:eastAsiaTheme="minorEastAsia"/>
                <w:color w:val="00000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3B65C5">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项</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E56F2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088510D4">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7AEEBF">
            <w:pPr>
              <w:widowControl/>
              <w:spacing w:line="240" w:lineRule="exact"/>
              <w:jc w:val="center"/>
              <w:textAlignment w:val="center"/>
              <w:rPr>
                <w:rFonts w:ascii="Times New Roman" w:hAnsi="Times New Roman" w:cs="Times New Roman" w:eastAsiaTheme="minorEastAsia"/>
                <w:b/>
                <w:color w:val="000000"/>
                <w:szCs w:val="21"/>
              </w:rPr>
            </w:pPr>
            <w:r>
              <w:rPr>
                <w:rFonts w:ascii="Times New Roman" w:hAnsi="Times New Roman" w:cs="Times New Roman" w:eastAsiaTheme="minorEastAsia"/>
                <w:b/>
                <w:color w:val="000000"/>
                <w:kern w:val="0"/>
                <w:szCs w:val="21"/>
              </w:rPr>
              <w:t>（三）</w:t>
            </w:r>
          </w:p>
        </w:tc>
        <w:tc>
          <w:tcPr>
            <w:tcW w:w="8127"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C2FA41">
            <w:pPr>
              <w:widowControl/>
              <w:spacing w:line="240" w:lineRule="exact"/>
              <w:textAlignment w:val="center"/>
              <w:rPr>
                <w:rFonts w:ascii="Times New Roman" w:hAnsi="Times New Roman" w:cs="Times New Roman" w:eastAsiaTheme="minorEastAsia"/>
                <w:b/>
                <w:color w:val="000000"/>
                <w:szCs w:val="21"/>
              </w:rPr>
            </w:pPr>
            <w:r>
              <w:rPr>
                <w:rFonts w:ascii="Times New Roman" w:hAnsi="Times New Roman" w:cs="Times New Roman" w:eastAsiaTheme="minorEastAsia"/>
                <w:b/>
                <w:color w:val="000000"/>
                <w:kern w:val="0"/>
                <w:szCs w:val="21"/>
              </w:rPr>
              <w:t>固镇站大屏幕显示系统</w:t>
            </w:r>
          </w:p>
        </w:tc>
      </w:tr>
      <w:tr w14:paraId="76ABB3E2">
        <w:tblPrEx>
          <w:tblCellMar>
            <w:top w:w="0" w:type="dxa"/>
            <w:left w:w="0" w:type="dxa"/>
            <w:bottom w:w="0" w:type="dxa"/>
            <w:right w:w="0" w:type="dxa"/>
          </w:tblCellMar>
        </w:tblPrEx>
        <w:trPr>
          <w:trHeight w:val="324"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E5E73A">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AD030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LCD拼接屏</w:t>
            </w:r>
          </w:p>
        </w:tc>
        <w:tc>
          <w:tcPr>
            <w:tcW w:w="3266" w:type="dxa"/>
            <w:gridSpan w:val="2"/>
            <w:tcBorders>
              <w:top w:val="single" w:color="000000" w:sz="4" w:space="0"/>
              <w:left w:val="single" w:color="000000" w:sz="4" w:space="0"/>
              <w:right w:val="single" w:color="000000" w:sz="4" w:space="0"/>
            </w:tcBorders>
            <w:tcMar>
              <w:top w:w="15" w:type="dxa"/>
              <w:left w:w="15" w:type="dxa"/>
              <w:right w:w="15" w:type="dxa"/>
            </w:tcMar>
            <w:vAlign w:val="center"/>
          </w:tcPr>
          <w:p w14:paraId="6AF468F7">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DS-D2046NH-B 46寸 3×4块</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19E98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4F3ECE">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691F76AF">
        <w:tblPrEx>
          <w:tblCellMar>
            <w:top w:w="0" w:type="dxa"/>
            <w:left w:w="0" w:type="dxa"/>
            <w:bottom w:w="0" w:type="dxa"/>
            <w:right w:w="0" w:type="dxa"/>
          </w:tblCellMar>
        </w:tblPrEx>
        <w:trPr>
          <w:trHeight w:val="112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D9D1C8">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72FA7E">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拼接控制器</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73012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DS-B10-VD 4路VGA输入12路DVI输出,4个1000M以太网接口,解码48路1080P/96路720P,1/4/9/16画面分割,IP高清矩阵交换,支持拼接、开窗、漫游、叠加、缩放,流媒体转发。</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46FF7D">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624627">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54682735">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F16111">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3</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2B62D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46寸模块化框架</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1C57F4">
            <w:pPr>
              <w:spacing w:line="240" w:lineRule="exact"/>
              <w:rPr>
                <w:rFonts w:ascii="Times New Roman" w:hAnsi="Times New Roman" w:cs="Times New Roman" w:eastAsiaTheme="minorEastAsia"/>
                <w:color w:val="00000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3F2AF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E3ADFE">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12</w:t>
            </w:r>
          </w:p>
        </w:tc>
      </w:tr>
      <w:tr w14:paraId="78D87B49">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5E492A">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4</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A4E71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46寸模块化底座</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BBA0DC">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底座高度默认80cm,可根据现场情况修改</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675C9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091B68">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4</w:t>
            </w:r>
          </w:p>
        </w:tc>
      </w:tr>
      <w:tr w14:paraId="0FC933FD">
        <w:tblPrEx>
          <w:tblCellMar>
            <w:top w:w="0" w:type="dxa"/>
            <w:left w:w="0" w:type="dxa"/>
            <w:bottom w:w="0" w:type="dxa"/>
            <w:right w:w="0" w:type="dxa"/>
          </w:tblCellMar>
        </w:tblPrEx>
        <w:trPr>
          <w:trHeight w:val="450"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304EE0">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5</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EB4B1C">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工程线缆</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C32865">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包含视频线缆、DVI线缆、VGA线缆、控制线缆等</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AF2617">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9F57C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6A86136C">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444CB3">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6</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7CA1E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拼接控制软件</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ED2B0B">
            <w:pPr>
              <w:spacing w:line="240" w:lineRule="exact"/>
              <w:rPr>
                <w:rFonts w:ascii="Times New Roman" w:hAnsi="Times New Roman" w:cs="Times New Roman" w:eastAsiaTheme="minorEastAsia"/>
                <w:color w:val="00000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2AFADE">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F8B26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50865EF0">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C2F6A9">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7</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A5AB7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控制计算机</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4F3A4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厂家配套</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0C7C8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台　</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02255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14B58CD3">
        <w:tblPrEx>
          <w:tblCellMar>
            <w:top w:w="0" w:type="dxa"/>
            <w:left w:w="0" w:type="dxa"/>
            <w:bottom w:w="0" w:type="dxa"/>
            <w:right w:w="0" w:type="dxa"/>
          </w:tblCellMar>
        </w:tblPrEx>
        <w:trPr>
          <w:trHeight w:val="450"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4C4296">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8</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72034E">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机柜及辅材</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854E5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防雷设备、供电插板、电源线、拼接控制器等辅材可放置机柜</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3CCBC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台　</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2B2865">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0D61BE4E">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04D514">
            <w:pPr>
              <w:widowControl/>
              <w:spacing w:line="240" w:lineRule="exact"/>
              <w:jc w:val="center"/>
              <w:textAlignment w:val="center"/>
              <w:rPr>
                <w:rFonts w:ascii="Times New Roman" w:hAnsi="Times New Roman" w:cs="Times New Roman" w:eastAsiaTheme="minorEastAsia"/>
                <w:b/>
                <w:color w:val="000000"/>
                <w:szCs w:val="21"/>
              </w:rPr>
            </w:pPr>
            <w:r>
              <w:rPr>
                <w:rFonts w:ascii="Times New Roman" w:hAnsi="Times New Roman" w:cs="Times New Roman" w:eastAsiaTheme="minorEastAsia"/>
                <w:b/>
                <w:color w:val="000000"/>
                <w:kern w:val="0"/>
                <w:szCs w:val="21"/>
              </w:rPr>
              <w:t>（四）</w:t>
            </w:r>
          </w:p>
        </w:tc>
        <w:tc>
          <w:tcPr>
            <w:tcW w:w="8127"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86091F">
            <w:pPr>
              <w:widowControl/>
              <w:spacing w:line="240" w:lineRule="exact"/>
              <w:textAlignment w:val="center"/>
              <w:rPr>
                <w:rFonts w:ascii="Times New Roman" w:hAnsi="Times New Roman" w:cs="Times New Roman" w:eastAsiaTheme="minorEastAsia"/>
                <w:b/>
                <w:color w:val="000000"/>
                <w:szCs w:val="21"/>
              </w:rPr>
            </w:pPr>
            <w:r>
              <w:rPr>
                <w:rFonts w:ascii="Times New Roman" w:hAnsi="Times New Roman" w:cs="Times New Roman" w:eastAsiaTheme="minorEastAsia"/>
                <w:b/>
                <w:color w:val="000000"/>
                <w:kern w:val="0"/>
                <w:szCs w:val="21"/>
              </w:rPr>
              <w:t>固镇站消防报警系统</w:t>
            </w:r>
          </w:p>
        </w:tc>
      </w:tr>
      <w:tr w14:paraId="546DF7D4">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B9E59F">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892F3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消防控制屏</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4DEC0D">
            <w:pPr>
              <w:spacing w:line="240" w:lineRule="exact"/>
              <w:rPr>
                <w:rFonts w:ascii="Times New Roman" w:hAnsi="Times New Roman" w:cs="Times New Roman" w:eastAsiaTheme="minorEastAsia"/>
                <w:color w:val="00000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4A1478">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只</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6A3EF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3B20358E">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3E0663">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A9ADD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火灾报警控制器</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CC3339">
            <w:pPr>
              <w:spacing w:line="240" w:lineRule="exact"/>
              <w:rPr>
                <w:rFonts w:ascii="Times New Roman" w:hAnsi="Times New Roman" w:cs="Times New Roman" w:eastAsiaTheme="minorEastAsia"/>
                <w:color w:val="00000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DF02CC">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9A0B3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2F8B40BA">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09F980">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3</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CBA82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短路隔离器</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4EAF5C">
            <w:pPr>
              <w:spacing w:line="240" w:lineRule="exact"/>
              <w:rPr>
                <w:rFonts w:ascii="Times New Roman" w:hAnsi="Times New Roman" w:cs="Times New Roman" w:eastAsiaTheme="minorEastAsia"/>
                <w:color w:val="00000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2E4E1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只</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3A74BD">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4</w:t>
            </w:r>
          </w:p>
        </w:tc>
      </w:tr>
      <w:tr w14:paraId="0D5AC786">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0966E2">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4</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2BD33D">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点式光电感烟探测器</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EBF7EC">
            <w:pPr>
              <w:spacing w:line="240" w:lineRule="exact"/>
              <w:rPr>
                <w:rFonts w:ascii="Times New Roman" w:hAnsi="Times New Roman" w:cs="Times New Roman" w:eastAsiaTheme="minorEastAsia"/>
                <w:color w:val="00000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FE5F9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只</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EA3C69">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40</w:t>
            </w:r>
          </w:p>
        </w:tc>
      </w:tr>
      <w:tr w14:paraId="7ED54469">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21C12C">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5</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B63A4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探测器底座</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F29199">
            <w:pPr>
              <w:spacing w:line="240" w:lineRule="exact"/>
              <w:rPr>
                <w:rFonts w:ascii="Times New Roman" w:hAnsi="Times New Roman" w:cs="Times New Roman" w:eastAsiaTheme="minorEastAsia"/>
                <w:color w:val="00000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ABF20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只</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498858">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40</w:t>
            </w:r>
          </w:p>
        </w:tc>
      </w:tr>
      <w:tr w14:paraId="78EBFE57">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C5B949">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6</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7E8218">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手动报警按钮</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274E64">
            <w:pPr>
              <w:spacing w:line="240" w:lineRule="exact"/>
              <w:rPr>
                <w:rFonts w:ascii="Times New Roman" w:hAnsi="Times New Roman" w:cs="Times New Roman" w:eastAsiaTheme="minorEastAsia"/>
                <w:color w:val="00000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627F77">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只</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2DF25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6</w:t>
            </w:r>
          </w:p>
        </w:tc>
      </w:tr>
      <w:tr w14:paraId="72E97000">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F622C2">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7</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A8917D">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声光警报器</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4CDDF0">
            <w:pPr>
              <w:spacing w:line="240" w:lineRule="exact"/>
              <w:rPr>
                <w:rFonts w:ascii="Times New Roman" w:hAnsi="Times New Roman" w:cs="Times New Roman" w:eastAsiaTheme="minorEastAsia"/>
                <w:color w:val="00000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69A95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只</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C3AC8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6</w:t>
            </w:r>
          </w:p>
        </w:tc>
      </w:tr>
      <w:tr w14:paraId="2A4BF157">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89E3A0">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8</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228D8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缆式线性定温电缆</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DAD46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最高环境温度：60℃,报警温度：85℃</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E3B3A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m</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AE469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400</w:t>
            </w:r>
          </w:p>
        </w:tc>
      </w:tr>
      <w:tr w14:paraId="37C1029B">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C3F92B">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9</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92150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线缆编码模块</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48409A">
            <w:pPr>
              <w:spacing w:line="240" w:lineRule="exact"/>
              <w:rPr>
                <w:rFonts w:ascii="Times New Roman" w:hAnsi="Times New Roman" w:cs="Times New Roman" w:eastAsiaTheme="minorEastAsia"/>
                <w:color w:val="00000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C7A6A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只</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75F8D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6</w:t>
            </w:r>
          </w:p>
        </w:tc>
      </w:tr>
      <w:tr w14:paraId="3E65E7DF">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20164F">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10</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DD2578">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线缆终端模块</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DC84C2">
            <w:pPr>
              <w:spacing w:line="240" w:lineRule="exact"/>
              <w:rPr>
                <w:rFonts w:ascii="Times New Roman" w:hAnsi="Times New Roman" w:cs="Times New Roman" w:eastAsiaTheme="minorEastAsia"/>
                <w:color w:val="00000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698A6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只</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FB5EA5">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6</w:t>
            </w:r>
          </w:p>
        </w:tc>
      </w:tr>
      <w:tr w14:paraId="288BFB5F">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6CE8A4">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11</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0D33F7">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输入模块</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2E9D27">
            <w:pPr>
              <w:spacing w:line="240" w:lineRule="exact"/>
              <w:rPr>
                <w:rFonts w:ascii="Times New Roman" w:hAnsi="Times New Roman" w:cs="Times New Roman" w:eastAsiaTheme="minorEastAsia"/>
                <w:color w:val="00000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78FD3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55D0C8">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12</w:t>
            </w:r>
          </w:p>
        </w:tc>
      </w:tr>
      <w:tr w14:paraId="23E4DF73">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E5C5EA">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12</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85F115">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输出模块</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446038">
            <w:pPr>
              <w:spacing w:line="240" w:lineRule="exact"/>
              <w:rPr>
                <w:rFonts w:ascii="Times New Roman" w:hAnsi="Times New Roman" w:cs="Times New Roman" w:eastAsiaTheme="minorEastAsia"/>
                <w:color w:val="00000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D3E2B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F6512E">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6</w:t>
            </w:r>
          </w:p>
        </w:tc>
      </w:tr>
      <w:tr w14:paraId="65B172AB">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A7CE3E">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13</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A9861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外控电源</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B941DC">
            <w:pPr>
              <w:spacing w:line="240" w:lineRule="exact"/>
              <w:rPr>
                <w:rFonts w:ascii="Times New Roman" w:hAnsi="Times New Roman" w:cs="Times New Roman" w:eastAsiaTheme="minorEastAsia"/>
                <w:color w:val="00000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CDC0B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7DD69E">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44CF00B6">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2CC19A">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14</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C0F55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平面报警显示系统</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7D3D26">
            <w:pPr>
              <w:spacing w:line="240" w:lineRule="exact"/>
              <w:rPr>
                <w:rFonts w:ascii="Times New Roman" w:hAnsi="Times New Roman" w:cs="Times New Roman" w:eastAsiaTheme="minorEastAsia"/>
                <w:color w:val="00000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74B37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C139A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65E418E2">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9A1E04">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15</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D1C0E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双电源切换系统</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1569F2">
            <w:pPr>
              <w:spacing w:line="240" w:lineRule="exact"/>
              <w:rPr>
                <w:rFonts w:ascii="Times New Roman" w:hAnsi="Times New Roman" w:cs="Times New Roman" w:eastAsiaTheme="minorEastAsia"/>
                <w:color w:val="00000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0DC8BD">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3D15BE">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0FAFBFB9">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280E2B">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16</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6CA63E">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铜芯阻燃屏蔽电缆</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AF512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ZR-RVVP-2×2.5</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AAE84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m</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08899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600</w:t>
            </w:r>
          </w:p>
        </w:tc>
      </w:tr>
      <w:tr w14:paraId="6889FEAC">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92AD43">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17</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B0EB67">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铜芯阻燃屏蔽电缆</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8C187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ZR-RVVP-2×1.5</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EA27A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m</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C368CE">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1000</w:t>
            </w:r>
          </w:p>
        </w:tc>
      </w:tr>
      <w:tr w14:paraId="08BB46F8">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726497">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18</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52AB1E">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阻燃可挠金属管</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482F5E">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17#</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AF198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m</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E722E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1000</w:t>
            </w:r>
          </w:p>
        </w:tc>
      </w:tr>
      <w:tr w14:paraId="72D19A08">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6C9132">
            <w:pPr>
              <w:widowControl/>
              <w:spacing w:line="240" w:lineRule="exact"/>
              <w:jc w:val="center"/>
              <w:textAlignment w:val="center"/>
              <w:rPr>
                <w:rFonts w:ascii="Times New Roman" w:hAnsi="Times New Roman" w:cs="Times New Roman" w:eastAsiaTheme="minorEastAsia"/>
                <w:b/>
                <w:color w:val="000000"/>
                <w:szCs w:val="21"/>
              </w:rPr>
            </w:pPr>
            <w:r>
              <w:rPr>
                <w:rFonts w:ascii="Times New Roman" w:hAnsi="Times New Roman" w:cs="Times New Roman" w:eastAsiaTheme="minorEastAsia"/>
                <w:b/>
                <w:color w:val="000000"/>
                <w:kern w:val="0"/>
                <w:szCs w:val="21"/>
              </w:rPr>
              <w:t>（五）</w:t>
            </w:r>
          </w:p>
        </w:tc>
        <w:tc>
          <w:tcPr>
            <w:tcW w:w="8127"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5B0551">
            <w:pPr>
              <w:widowControl/>
              <w:spacing w:line="240" w:lineRule="exact"/>
              <w:textAlignment w:val="center"/>
              <w:rPr>
                <w:rFonts w:ascii="Times New Roman" w:hAnsi="Times New Roman" w:cs="Times New Roman" w:eastAsiaTheme="minorEastAsia"/>
                <w:b/>
                <w:color w:val="000000"/>
                <w:szCs w:val="21"/>
              </w:rPr>
            </w:pPr>
            <w:r>
              <w:rPr>
                <w:rFonts w:ascii="Times New Roman" w:hAnsi="Times New Roman" w:cs="Times New Roman" w:eastAsiaTheme="minorEastAsia"/>
                <w:b/>
                <w:color w:val="000000"/>
                <w:kern w:val="0"/>
                <w:szCs w:val="21"/>
              </w:rPr>
              <w:t>固镇站直流系统</w:t>
            </w:r>
          </w:p>
        </w:tc>
      </w:tr>
      <w:tr w14:paraId="68911610">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CBE20C">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CEA3B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充电及直流馈电柜</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A7D44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ELZ2-含5kVA逆变装置,40个馈电回路</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D79BF5">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14758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w:t>
            </w:r>
          </w:p>
        </w:tc>
      </w:tr>
      <w:tr w14:paraId="6BBC02D4">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39A0604">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FA300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蓄电池柜</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C28E79">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ELZ2-100Ah/220V</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CE026D">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台</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FEA4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5550B2D0">
        <w:tblPrEx>
          <w:tblCellMar>
            <w:top w:w="0" w:type="dxa"/>
            <w:left w:w="0" w:type="dxa"/>
            <w:bottom w:w="0" w:type="dxa"/>
            <w:right w:w="0" w:type="dxa"/>
          </w:tblCellMar>
        </w:tblPrEx>
        <w:trPr>
          <w:trHeight w:val="285" w:hRule="atLeast"/>
          <w:jc w:val="center"/>
        </w:trPr>
        <w:tc>
          <w:tcPr>
            <w:tcW w:w="8790" w:type="dxa"/>
            <w:gridSpan w:val="6"/>
            <w:tcBorders>
              <w:top w:val="nil"/>
              <w:left w:val="single" w:color="auto" w:sz="4" w:space="0"/>
              <w:bottom w:val="nil"/>
              <w:right w:val="single" w:color="auto" w:sz="4" w:space="0"/>
            </w:tcBorders>
            <w:noWrap/>
            <w:tcMar>
              <w:top w:w="15" w:type="dxa"/>
              <w:left w:w="15" w:type="dxa"/>
              <w:right w:w="15" w:type="dxa"/>
            </w:tcMar>
            <w:vAlign w:val="bottom"/>
          </w:tcPr>
          <w:p w14:paraId="6F7D3744">
            <w:pPr>
              <w:widowControl/>
              <w:spacing w:line="240" w:lineRule="exact"/>
              <w:jc w:val="left"/>
              <w:textAlignment w:val="bottom"/>
              <w:rPr>
                <w:rFonts w:ascii="Times New Roman" w:hAnsi="Times New Roman" w:cs="Times New Roman" w:eastAsiaTheme="minorEastAsia"/>
                <w:b/>
                <w:color w:val="000000"/>
                <w:szCs w:val="21"/>
              </w:rPr>
            </w:pPr>
            <w:r>
              <w:rPr>
                <w:rFonts w:ascii="Times New Roman" w:hAnsi="Times New Roman" w:cs="Times New Roman" w:eastAsiaTheme="minorEastAsia"/>
                <w:b/>
                <w:color w:val="000000"/>
                <w:kern w:val="0"/>
                <w:szCs w:val="21"/>
              </w:rPr>
              <w:t>三、四铺站自动化系统</w:t>
            </w:r>
          </w:p>
        </w:tc>
      </w:tr>
      <w:tr w14:paraId="688CA18F">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BDC0F12">
            <w:pPr>
              <w:widowControl/>
              <w:spacing w:line="240" w:lineRule="exact"/>
              <w:jc w:val="center"/>
              <w:textAlignment w:val="center"/>
              <w:rPr>
                <w:rFonts w:ascii="Times New Roman" w:hAnsi="Times New Roman" w:cs="Times New Roman" w:eastAsiaTheme="minorEastAsia"/>
                <w:b/>
                <w:color w:val="000000"/>
                <w:szCs w:val="21"/>
              </w:rPr>
            </w:pPr>
            <w:r>
              <w:rPr>
                <w:rFonts w:ascii="Times New Roman" w:hAnsi="Times New Roman" w:cs="Times New Roman" w:eastAsiaTheme="minorEastAsia"/>
                <w:b/>
                <w:color w:val="000000"/>
                <w:kern w:val="0"/>
                <w:szCs w:val="21"/>
              </w:rPr>
              <w:t>（一）</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4C7DBF">
            <w:pPr>
              <w:widowControl/>
              <w:spacing w:line="240" w:lineRule="exact"/>
              <w:textAlignment w:val="center"/>
              <w:rPr>
                <w:rFonts w:ascii="Times New Roman" w:hAnsi="Times New Roman" w:cs="Times New Roman" w:eastAsiaTheme="minorEastAsia"/>
                <w:b/>
                <w:color w:val="000000"/>
                <w:szCs w:val="21"/>
              </w:rPr>
            </w:pPr>
            <w:r>
              <w:rPr>
                <w:rFonts w:ascii="Times New Roman" w:hAnsi="Times New Roman" w:cs="Times New Roman" w:eastAsiaTheme="minorEastAsia"/>
                <w:b/>
                <w:color w:val="000000"/>
                <w:kern w:val="0"/>
                <w:szCs w:val="21"/>
              </w:rPr>
              <w:t>计算机监控系统</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DAC008">
            <w:pPr>
              <w:spacing w:line="240" w:lineRule="exact"/>
              <w:rPr>
                <w:rFonts w:ascii="Times New Roman" w:hAnsi="Times New Roman" w:cs="Times New Roman" w:eastAsiaTheme="minorEastAsia"/>
                <w:b/>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3E65F0">
            <w:pPr>
              <w:spacing w:line="240" w:lineRule="exact"/>
              <w:rPr>
                <w:rFonts w:ascii="Times New Roman" w:hAnsi="Times New Roman" w:cs="Times New Roman" w:eastAsiaTheme="minorEastAsia"/>
                <w:b/>
                <w:color w:val="000000"/>
                <w:szCs w:val="21"/>
              </w:rPr>
            </w:pPr>
          </w:p>
        </w:tc>
        <w:tc>
          <w:tcPr>
            <w:tcW w:w="75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7F18278">
            <w:pPr>
              <w:spacing w:line="240" w:lineRule="exact"/>
              <w:rPr>
                <w:rFonts w:ascii="Times New Roman" w:hAnsi="Times New Roman" w:cs="Times New Roman" w:eastAsiaTheme="minorEastAsia"/>
                <w:b/>
                <w:color w:val="000000"/>
                <w:szCs w:val="21"/>
              </w:rPr>
            </w:pPr>
          </w:p>
        </w:tc>
      </w:tr>
      <w:tr w14:paraId="1424BDB1">
        <w:tblPrEx>
          <w:tblCellMar>
            <w:top w:w="0" w:type="dxa"/>
            <w:left w:w="0" w:type="dxa"/>
            <w:bottom w:w="0" w:type="dxa"/>
            <w:right w:w="0" w:type="dxa"/>
          </w:tblCellMar>
        </w:tblPrEx>
        <w:trPr>
          <w:trHeight w:val="112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A6D33C">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C1559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主机操作员工作站</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F98CA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Dell Precision T7500英特尔（至强）5606四核处理器（CPU型号:Xeon E5606）、内存4GB;DDR3 SDRAM、500GB磁盘;一体化光驱、网络接口、高密度图形板;22″液晶显示器;通用键盘及鼠标</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33ED3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82B573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w:t>
            </w:r>
          </w:p>
        </w:tc>
      </w:tr>
      <w:tr w14:paraId="64BAC976">
        <w:tblPrEx>
          <w:tblCellMar>
            <w:top w:w="0" w:type="dxa"/>
            <w:left w:w="0" w:type="dxa"/>
            <w:bottom w:w="0" w:type="dxa"/>
            <w:right w:w="0" w:type="dxa"/>
          </w:tblCellMar>
        </w:tblPrEx>
        <w:trPr>
          <w:trHeight w:val="450"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A9CD68">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32110D">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工业以太网交换机</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5B5BA7">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7026TX-AC,24个10/100/自适应RJ45接口;2个1000M光纤接口</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AB612E">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DBEE48">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637F5E11">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5F8918">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3</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EF230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多串口服务器</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10DA58">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8串口</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EF1DE7">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59E748">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7D268CB9">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997D1E">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4</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5FF30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打印机</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36960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激光 A4 HP  LJ-1010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D87F1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台</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8FB0F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18DDED2C">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D400B2">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5</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267A3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UPS电源</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927F88">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爱普生 2kVA/1小时</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76C8EC">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922E8C">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2DEF3671">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D2657C">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6</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0F5695">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语音报警系统</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79AA43">
            <w:pPr>
              <w:spacing w:line="240" w:lineRule="exact"/>
              <w:rPr>
                <w:rFonts w:ascii="Times New Roman" w:hAnsi="Times New Roman" w:cs="Times New Roman" w:eastAsia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1A08E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C4B6AE">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3258C0CA">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E671DE">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7</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E66D8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监控系统软件</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98160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含系统软件、监控软件、应用软件</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06061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989C6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2D4392D6">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DA4AD5">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8</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C6CB07">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控制程序编程</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1333F8">
            <w:pPr>
              <w:spacing w:line="240" w:lineRule="exact"/>
              <w:rPr>
                <w:rFonts w:ascii="Times New Roman" w:hAnsi="Times New Roman" w:cs="Times New Roman" w:eastAsia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10007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79D9F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7A91D465">
        <w:tblPrEx>
          <w:tblCellMar>
            <w:top w:w="0" w:type="dxa"/>
            <w:left w:w="0" w:type="dxa"/>
            <w:bottom w:w="0" w:type="dxa"/>
            <w:right w:w="0" w:type="dxa"/>
          </w:tblCellMar>
        </w:tblPrEx>
        <w:trPr>
          <w:trHeight w:val="285" w:hRule="atLeast"/>
          <w:jc w:val="center"/>
        </w:trPr>
        <w:tc>
          <w:tcPr>
            <w:tcW w:w="66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353ACF">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9</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20C24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机组现地LCU屏</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62B33C">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GE-PACSystems RX3i系列</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8B02D7">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8C94F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3F9334FA">
        <w:tblPrEx>
          <w:tblCellMar>
            <w:top w:w="0" w:type="dxa"/>
            <w:left w:w="0" w:type="dxa"/>
            <w:bottom w:w="0" w:type="dxa"/>
            <w:right w:w="0" w:type="dxa"/>
          </w:tblCellMar>
        </w:tblPrEx>
        <w:trPr>
          <w:trHeight w:val="285"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2F2F0C">
            <w:pPr>
              <w:spacing w:line="240" w:lineRule="exact"/>
              <w:jc w:val="center"/>
              <w:rPr>
                <w:rFonts w:ascii="Times New Roman" w:hAnsi="Times New Roman" w:cs="Times New Roman" w:eastAsiaTheme="minorEastAsia"/>
                <w:color w:val="000000"/>
                <w:szCs w:val="21"/>
              </w:rPr>
            </w:pP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0F473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每块屏内主要设备</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F641D7">
            <w:pPr>
              <w:spacing w:line="240" w:lineRule="exact"/>
              <w:rPr>
                <w:rFonts w:ascii="Times New Roman" w:hAnsi="Times New Roman" w:cs="Times New Roman" w:eastAsia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ACA1A6">
            <w:pPr>
              <w:spacing w:line="240" w:lineRule="exact"/>
              <w:rPr>
                <w:rFonts w:ascii="Times New Roman" w:hAnsi="Times New Roman" w:cs="Times New Roman" w:eastAsiaTheme="minorEastAsia"/>
                <w:color w:val="000000"/>
                <w:szCs w:val="21"/>
              </w:rPr>
            </w:pP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D8045C">
            <w:pPr>
              <w:spacing w:line="240" w:lineRule="exact"/>
              <w:rPr>
                <w:rFonts w:ascii="Times New Roman" w:hAnsi="Times New Roman" w:cs="Times New Roman" w:eastAsiaTheme="minorEastAsia"/>
                <w:color w:val="000000"/>
                <w:szCs w:val="21"/>
              </w:rPr>
            </w:pPr>
          </w:p>
        </w:tc>
      </w:tr>
      <w:tr w14:paraId="79DC1CB8">
        <w:tblPrEx>
          <w:tblCellMar>
            <w:top w:w="0" w:type="dxa"/>
            <w:left w:w="0" w:type="dxa"/>
            <w:bottom w:w="0" w:type="dxa"/>
            <w:right w:w="0" w:type="dxa"/>
          </w:tblCellMar>
        </w:tblPrEx>
        <w:trPr>
          <w:trHeight w:val="285"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12BD44">
            <w:pPr>
              <w:spacing w:line="240" w:lineRule="exact"/>
              <w:jc w:val="center"/>
              <w:rPr>
                <w:rFonts w:ascii="Times New Roman" w:hAnsi="Times New Roman" w:cs="Times New Roman" w:eastAsiaTheme="minorEastAsia"/>
                <w:color w:val="000000"/>
                <w:szCs w:val="21"/>
              </w:rPr>
            </w:pP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94869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CPU模块</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C12578">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IC695CPU315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43C33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只</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77092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13F48EA1">
        <w:tblPrEx>
          <w:tblCellMar>
            <w:top w:w="0" w:type="dxa"/>
            <w:left w:w="0" w:type="dxa"/>
            <w:bottom w:w="0" w:type="dxa"/>
            <w:right w:w="0" w:type="dxa"/>
          </w:tblCellMar>
        </w:tblPrEx>
        <w:trPr>
          <w:trHeight w:val="285"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C059F1">
            <w:pPr>
              <w:spacing w:line="240" w:lineRule="exact"/>
              <w:jc w:val="center"/>
              <w:rPr>
                <w:rFonts w:ascii="Times New Roman" w:hAnsi="Times New Roman" w:cs="Times New Roman" w:eastAsiaTheme="minorEastAsia"/>
                <w:color w:val="000000"/>
                <w:szCs w:val="21"/>
              </w:rPr>
            </w:pP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3516BD">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开关量输入模块</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0C3A5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IC694MDL655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65597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只</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1F0A5D">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4</w:t>
            </w:r>
          </w:p>
        </w:tc>
      </w:tr>
      <w:tr w14:paraId="5D1602F3">
        <w:tblPrEx>
          <w:tblCellMar>
            <w:top w:w="0" w:type="dxa"/>
            <w:left w:w="0" w:type="dxa"/>
            <w:bottom w:w="0" w:type="dxa"/>
            <w:right w:w="0" w:type="dxa"/>
          </w:tblCellMar>
        </w:tblPrEx>
        <w:trPr>
          <w:trHeight w:val="285"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88292E">
            <w:pPr>
              <w:spacing w:line="240" w:lineRule="exact"/>
              <w:jc w:val="center"/>
              <w:rPr>
                <w:rFonts w:ascii="Times New Roman" w:hAnsi="Times New Roman" w:cs="Times New Roman" w:eastAsiaTheme="minorEastAsia"/>
                <w:color w:val="000000"/>
                <w:szCs w:val="21"/>
              </w:rPr>
            </w:pP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AB6D39">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开关量输出模块</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98CD2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IC694MDL940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ED70B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只</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E576DD">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w:t>
            </w:r>
          </w:p>
        </w:tc>
      </w:tr>
      <w:tr w14:paraId="3A42F268">
        <w:tblPrEx>
          <w:tblCellMar>
            <w:top w:w="0" w:type="dxa"/>
            <w:left w:w="0" w:type="dxa"/>
            <w:bottom w:w="0" w:type="dxa"/>
            <w:right w:w="0" w:type="dxa"/>
          </w:tblCellMar>
        </w:tblPrEx>
        <w:trPr>
          <w:trHeight w:val="285"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012889">
            <w:pPr>
              <w:spacing w:line="240" w:lineRule="exact"/>
              <w:jc w:val="center"/>
              <w:rPr>
                <w:rFonts w:ascii="Times New Roman" w:hAnsi="Times New Roman" w:cs="Times New Roman" w:eastAsiaTheme="minorEastAsia"/>
                <w:color w:val="000000"/>
                <w:szCs w:val="21"/>
              </w:rPr>
            </w:pP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2C9DB8">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模拟量输入模块</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11724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IC695ALG616</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6750B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只</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D93939">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w:t>
            </w:r>
          </w:p>
        </w:tc>
      </w:tr>
      <w:tr w14:paraId="3B6CC9D7">
        <w:tblPrEx>
          <w:tblCellMar>
            <w:top w:w="0" w:type="dxa"/>
            <w:left w:w="0" w:type="dxa"/>
            <w:bottom w:w="0" w:type="dxa"/>
            <w:right w:w="0" w:type="dxa"/>
          </w:tblCellMar>
        </w:tblPrEx>
        <w:trPr>
          <w:trHeight w:val="285"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354904">
            <w:pPr>
              <w:spacing w:line="240" w:lineRule="exact"/>
              <w:jc w:val="center"/>
              <w:rPr>
                <w:rFonts w:ascii="Times New Roman" w:hAnsi="Times New Roman" w:cs="Times New Roman" w:eastAsiaTheme="minorEastAsia"/>
                <w:color w:val="000000"/>
                <w:szCs w:val="21"/>
              </w:rPr>
            </w:pP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C15798">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连接器</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B205A7">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IC694TBB032</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EC502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只</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34C597">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6</w:t>
            </w:r>
          </w:p>
        </w:tc>
      </w:tr>
      <w:tr w14:paraId="33ACA903">
        <w:tblPrEx>
          <w:tblCellMar>
            <w:top w:w="0" w:type="dxa"/>
            <w:left w:w="0" w:type="dxa"/>
            <w:bottom w:w="0" w:type="dxa"/>
            <w:right w:w="0" w:type="dxa"/>
          </w:tblCellMar>
        </w:tblPrEx>
        <w:trPr>
          <w:trHeight w:val="285"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279CA8">
            <w:pPr>
              <w:spacing w:line="240" w:lineRule="exact"/>
              <w:jc w:val="center"/>
              <w:rPr>
                <w:rFonts w:ascii="Times New Roman" w:hAnsi="Times New Roman" w:cs="Times New Roman" w:eastAsiaTheme="minorEastAsia"/>
                <w:color w:val="000000"/>
                <w:szCs w:val="21"/>
              </w:rPr>
            </w:pP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238F8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背板</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CA2BC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IC695CHS012</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3F02B7">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只</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49E8C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3C00B412">
        <w:tblPrEx>
          <w:tblCellMar>
            <w:top w:w="0" w:type="dxa"/>
            <w:left w:w="0" w:type="dxa"/>
            <w:bottom w:w="0" w:type="dxa"/>
            <w:right w:w="0" w:type="dxa"/>
          </w:tblCellMar>
        </w:tblPrEx>
        <w:trPr>
          <w:trHeight w:val="285"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F9C5A2">
            <w:pPr>
              <w:spacing w:line="240" w:lineRule="exact"/>
              <w:jc w:val="center"/>
              <w:rPr>
                <w:rFonts w:ascii="Times New Roman" w:hAnsi="Times New Roman" w:cs="Times New Roman" w:eastAsiaTheme="minorEastAsia"/>
                <w:color w:val="000000"/>
                <w:szCs w:val="21"/>
              </w:rPr>
            </w:pP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2CF457">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以太网模块</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7920AC">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IC695ETM001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6DA56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只</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8D8A27">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4759A818">
        <w:tblPrEx>
          <w:tblCellMar>
            <w:top w:w="0" w:type="dxa"/>
            <w:left w:w="0" w:type="dxa"/>
            <w:bottom w:w="0" w:type="dxa"/>
            <w:right w:w="0" w:type="dxa"/>
          </w:tblCellMar>
        </w:tblPrEx>
        <w:trPr>
          <w:trHeight w:val="285"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773F9B">
            <w:pPr>
              <w:spacing w:line="240" w:lineRule="exact"/>
              <w:jc w:val="center"/>
              <w:rPr>
                <w:rFonts w:ascii="Times New Roman" w:hAnsi="Times New Roman" w:cs="Times New Roman" w:eastAsiaTheme="minorEastAsia"/>
                <w:color w:val="000000"/>
                <w:szCs w:val="21"/>
              </w:rPr>
            </w:pP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A2EBF9">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电源模块</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88509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IC695PSD040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B3D8B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只</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64A5C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40653F98">
        <w:tblPrEx>
          <w:tblCellMar>
            <w:top w:w="0" w:type="dxa"/>
            <w:left w:w="0" w:type="dxa"/>
            <w:bottom w:w="0" w:type="dxa"/>
            <w:right w:w="0" w:type="dxa"/>
          </w:tblCellMar>
        </w:tblPrEx>
        <w:trPr>
          <w:trHeight w:val="285"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38A18E">
            <w:pPr>
              <w:spacing w:line="240" w:lineRule="exact"/>
              <w:jc w:val="center"/>
              <w:rPr>
                <w:rFonts w:ascii="Times New Roman" w:hAnsi="Times New Roman" w:cs="Times New Roman" w:eastAsiaTheme="minorEastAsia"/>
                <w:color w:val="000000"/>
                <w:szCs w:val="21"/>
              </w:rPr>
            </w:pP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8FFAC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24V开关电源</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20F019">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交直流双供电</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63CBD5">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67F9F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6E9743E5">
        <w:tblPrEx>
          <w:tblCellMar>
            <w:top w:w="0" w:type="dxa"/>
            <w:left w:w="0" w:type="dxa"/>
            <w:bottom w:w="0" w:type="dxa"/>
            <w:right w:w="0" w:type="dxa"/>
          </w:tblCellMar>
        </w:tblPrEx>
        <w:trPr>
          <w:trHeight w:val="450"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F657FC">
            <w:pPr>
              <w:spacing w:line="240" w:lineRule="exact"/>
              <w:jc w:val="center"/>
              <w:rPr>
                <w:rFonts w:ascii="Times New Roman" w:hAnsi="Times New Roman" w:cs="Times New Roman" w:eastAsiaTheme="minorEastAsia"/>
                <w:color w:val="000000"/>
                <w:szCs w:val="21"/>
              </w:rPr>
            </w:pP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31B3A8">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机柜及配件</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AC986D">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PK-10包括：按钮、指示灯、切换把手、端子、加热器等</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DBA0A8">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D23CBD">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59E1B686">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37683F">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10</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2942A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水位传感器</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F2850A">
            <w:pPr>
              <w:widowControl/>
              <w:spacing w:line="240" w:lineRule="exact"/>
              <w:textAlignment w:val="center"/>
              <w:rPr>
                <w:rFonts w:ascii="Times New Roman" w:hAnsi="Times New Roman" w:cs="Times New Roman" w:eastAsia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76713D">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A67459">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w:t>
            </w:r>
          </w:p>
        </w:tc>
      </w:tr>
      <w:tr w14:paraId="7A8FE24A">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092B76">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11</w:t>
            </w:r>
          </w:p>
        </w:tc>
        <w:tc>
          <w:tcPr>
            <w:tcW w:w="3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36DB5C">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水位传感器电缆</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B8AED9">
            <w:pPr>
              <w:spacing w:line="240" w:lineRule="exact"/>
              <w:rPr>
                <w:rFonts w:ascii="Times New Roman" w:hAnsi="Times New Roman" w:cs="Times New Roman" w:eastAsiaTheme="minorEastAsia"/>
                <w:color w:val="000000"/>
                <w:szCs w:val="21"/>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3B270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m</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35725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150</w:t>
            </w:r>
          </w:p>
        </w:tc>
      </w:tr>
      <w:tr w14:paraId="287F2F62">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E788B8">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12</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89C927">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闸门传感器</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273B21">
            <w:pPr>
              <w:spacing w:line="240" w:lineRule="exact"/>
              <w:rPr>
                <w:rFonts w:ascii="Times New Roman" w:hAnsi="Times New Roman" w:cs="Times New Roman" w:eastAsia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A5EFC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578FF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w:t>
            </w:r>
          </w:p>
        </w:tc>
      </w:tr>
      <w:tr w14:paraId="67BC6F55">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039316">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13</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BC9F3D">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闸门传感器电缆</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7AEF43">
            <w:pPr>
              <w:spacing w:line="240" w:lineRule="exact"/>
              <w:rPr>
                <w:rFonts w:ascii="Times New Roman" w:hAnsi="Times New Roman" w:cs="Times New Roman" w:eastAsia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B2F2F8">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m</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C9B469">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180</w:t>
            </w:r>
          </w:p>
        </w:tc>
      </w:tr>
      <w:tr w14:paraId="3A4B5020">
        <w:tblPrEx>
          <w:tblCellMar>
            <w:top w:w="0" w:type="dxa"/>
            <w:left w:w="0" w:type="dxa"/>
            <w:bottom w:w="0" w:type="dxa"/>
            <w:right w:w="0" w:type="dxa"/>
          </w:tblCellMar>
        </w:tblPrEx>
        <w:trPr>
          <w:trHeight w:val="368"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FE3B16">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14</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7D752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闸门荷重仪</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8842B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LCU柜显示器</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EA1787">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37020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w:t>
            </w:r>
          </w:p>
        </w:tc>
      </w:tr>
      <w:tr w14:paraId="73FC453F">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1640A5">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15</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52DC79">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计算机工作台</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79669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木质 含2把旋转座椅</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AC1B9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5ADEE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768D9FE6">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7D1EF4">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16</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FE060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5类网络线</w:t>
            </w:r>
          </w:p>
        </w:tc>
        <w:tc>
          <w:tcPr>
            <w:tcW w:w="3266" w:type="dxa"/>
            <w:gridSpan w:val="2"/>
            <w:tcBorders>
              <w:top w:val="nil"/>
              <w:left w:val="nil"/>
              <w:bottom w:val="nil"/>
              <w:right w:val="nil"/>
            </w:tcBorders>
            <w:tcMar>
              <w:top w:w="15" w:type="dxa"/>
              <w:left w:w="15" w:type="dxa"/>
              <w:right w:w="15" w:type="dxa"/>
            </w:tcMar>
            <w:vAlign w:val="center"/>
          </w:tcPr>
          <w:p w14:paraId="1BC1AE3C">
            <w:pPr>
              <w:spacing w:line="240" w:lineRule="exact"/>
              <w:rPr>
                <w:rFonts w:ascii="Times New Roman" w:hAnsi="Times New Roman" w:cs="Times New Roman" w:eastAsia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35F1B5">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m</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BD650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50</w:t>
            </w:r>
          </w:p>
        </w:tc>
      </w:tr>
      <w:tr w14:paraId="3EF80716">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A92CBF">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17</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D60D07">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8芯铠装电缆</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E86BC6">
            <w:pPr>
              <w:spacing w:line="240" w:lineRule="exact"/>
              <w:rPr>
                <w:rFonts w:ascii="Times New Roman" w:hAnsi="Times New Roman" w:cs="Times New Roman" w:eastAsia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375BB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m</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3E302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150</w:t>
            </w:r>
          </w:p>
        </w:tc>
      </w:tr>
      <w:tr w14:paraId="609F0452">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049ACB">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18</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258967">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光电收发器</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18CE4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102MC</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80581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只</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906C68">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w:t>
            </w:r>
          </w:p>
        </w:tc>
      </w:tr>
      <w:tr w14:paraId="1AF66E01">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C497DE">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19</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74056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必要的防雷设施</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64CF98">
            <w:pPr>
              <w:spacing w:line="240" w:lineRule="exact"/>
              <w:rPr>
                <w:rFonts w:ascii="Times New Roman" w:hAnsi="Times New Roman" w:cs="Times New Roman" w:eastAsia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1FB24E">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8D1F7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232B5B60">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C7639C">
            <w:pPr>
              <w:widowControl/>
              <w:spacing w:line="240" w:lineRule="exact"/>
              <w:jc w:val="center"/>
              <w:textAlignment w:val="center"/>
              <w:rPr>
                <w:rFonts w:ascii="Times New Roman" w:hAnsi="Times New Roman" w:cs="Times New Roman" w:eastAsiaTheme="minorEastAsia"/>
                <w:b/>
                <w:color w:val="000000"/>
                <w:szCs w:val="21"/>
              </w:rPr>
            </w:pPr>
            <w:r>
              <w:rPr>
                <w:rFonts w:ascii="Times New Roman" w:hAnsi="Times New Roman" w:cs="Times New Roman" w:eastAsiaTheme="minorEastAsia"/>
                <w:b/>
                <w:color w:val="000000"/>
                <w:kern w:val="0"/>
                <w:szCs w:val="21"/>
              </w:rPr>
              <w:t>（二）</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C84B84">
            <w:pPr>
              <w:widowControl/>
              <w:spacing w:line="240" w:lineRule="exact"/>
              <w:textAlignment w:val="center"/>
              <w:rPr>
                <w:rFonts w:ascii="Times New Roman" w:hAnsi="Times New Roman" w:cs="Times New Roman" w:eastAsiaTheme="minorEastAsia"/>
                <w:b/>
                <w:color w:val="000000"/>
                <w:szCs w:val="21"/>
              </w:rPr>
            </w:pPr>
            <w:r>
              <w:rPr>
                <w:rFonts w:ascii="Times New Roman" w:hAnsi="Times New Roman" w:cs="Times New Roman" w:eastAsiaTheme="minorEastAsia"/>
                <w:b/>
                <w:color w:val="000000"/>
                <w:kern w:val="0"/>
                <w:szCs w:val="21"/>
              </w:rPr>
              <w:t>视频监控系统</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627730">
            <w:pPr>
              <w:spacing w:line="240" w:lineRule="exact"/>
              <w:rPr>
                <w:rFonts w:ascii="Times New Roman" w:hAnsi="Times New Roman" w:cs="Times New Roman" w:eastAsiaTheme="minorEastAsia"/>
                <w:b/>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CE984D">
            <w:pPr>
              <w:spacing w:line="240" w:lineRule="exact"/>
              <w:rPr>
                <w:rFonts w:ascii="Times New Roman" w:hAnsi="Times New Roman" w:cs="Times New Roman" w:eastAsiaTheme="minorEastAsia"/>
                <w:b/>
                <w:color w:val="000000"/>
                <w:szCs w:val="21"/>
              </w:rPr>
            </w:pP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AED6C4">
            <w:pPr>
              <w:spacing w:line="240" w:lineRule="exact"/>
              <w:rPr>
                <w:rFonts w:ascii="Times New Roman" w:hAnsi="Times New Roman" w:cs="Times New Roman" w:eastAsiaTheme="minorEastAsia"/>
                <w:b/>
                <w:color w:val="000000"/>
                <w:szCs w:val="21"/>
              </w:rPr>
            </w:pPr>
          </w:p>
        </w:tc>
      </w:tr>
      <w:tr w14:paraId="3F489995">
        <w:tblPrEx>
          <w:tblCellMar>
            <w:top w:w="0" w:type="dxa"/>
            <w:left w:w="0" w:type="dxa"/>
            <w:bottom w:w="0" w:type="dxa"/>
            <w:right w:w="0" w:type="dxa"/>
          </w:tblCellMar>
        </w:tblPrEx>
        <w:trPr>
          <w:trHeight w:val="401"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5AE634">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594C0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主机操作员工作站</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B27E1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Dell Precision T7500英特尔（至强）5606四核处理器（CPU型号:Xeon E5606）、内存4GB;DDR3 SDRAM、500GB磁盘;一体化光驱、网络接口、高密度图形板;22″液晶显示器;通用键盘及鼠标</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1C0585">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C3D40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252D3FC2">
        <w:tblPrEx>
          <w:tblCellMar>
            <w:top w:w="0" w:type="dxa"/>
            <w:left w:w="0" w:type="dxa"/>
            <w:bottom w:w="0" w:type="dxa"/>
            <w:right w:w="0" w:type="dxa"/>
          </w:tblCellMar>
        </w:tblPrEx>
        <w:trPr>
          <w:trHeight w:val="450"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C56AE0">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885F75">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工业以太网交换机</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968BED">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7026TX-AC,24个10/100/自适应RJ45接口;2个1000M光纤接口</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09170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318C8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28DDD4FC">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D18580">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3</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57479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光电收发器</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F4D75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102MC</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29DFC8">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只</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B7FBB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8</w:t>
            </w:r>
          </w:p>
        </w:tc>
      </w:tr>
      <w:tr w14:paraId="0F2E0C49">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685898">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4</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BFF65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室外网络智能高速球型摄像机</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B78535">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DS-2DF1-783附安装支架,户外防护罩等</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66268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台</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0AE5A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3</w:t>
            </w:r>
          </w:p>
        </w:tc>
      </w:tr>
      <w:tr w14:paraId="68FC3B7D">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8D57D">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5</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A6FD7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防水设备箱</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F58DE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IP65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30B475">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只</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547B3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3</w:t>
            </w:r>
          </w:p>
        </w:tc>
      </w:tr>
      <w:tr w14:paraId="2C5370F2">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72DD90">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6</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407CF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室内网络智能高速球型摄像机</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A92DC8">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DS-2DF1-5803附安装支架,户内防护罩等</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2BB50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台</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79984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3</w:t>
            </w:r>
          </w:p>
        </w:tc>
      </w:tr>
      <w:tr w14:paraId="4D6BFA94">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1FE859">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7</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D6BF8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枪型网络摄像机</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29C22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DS-2CD855F-E附安装支架,户内防护罩等</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5E4285">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台</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93A13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w:t>
            </w:r>
          </w:p>
        </w:tc>
      </w:tr>
      <w:tr w14:paraId="6EEE9848">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E22C76">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8</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2E6D0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镜头</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2C679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MV0840D-MP</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C2774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只</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2B1658">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w:t>
            </w:r>
          </w:p>
        </w:tc>
      </w:tr>
      <w:tr w14:paraId="3A40275D">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567ADA">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9</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3AC6C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网络数字硬盘录像机</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AFD03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 xml:space="preserve">DS-9616N-ST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2B878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台</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2A37C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4E97F88D">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1A7471">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10</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B43F3E">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硬盘</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E3679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2T专用高速硬盘</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7A4AD7">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块</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321A8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3</w:t>
            </w:r>
          </w:p>
        </w:tc>
      </w:tr>
      <w:tr w14:paraId="0CEA167C">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C13410">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11</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195A9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系统网络软件</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399525">
            <w:pPr>
              <w:spacing w:line="240" w:lineRule="exact"/>
              <w:rPr>
                <w:rFonts w:ascii="Times New Roman" w:hAnsi="Times New Roman" w:cs="Times New Roman" w:eastAsia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957B0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2D6C22">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6EC7C4A4">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AD7750">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12</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045D9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系统辅材</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3F6B56">
            <w:pPr>
              <w:spacing w:line="240" w:lineRule="exact"/>
              <w:rPr>
                <w:rFonts w:ascii="Times New Roman" w:hAnsi="Times New Roman" w:cs="Times New Roman" w:eastAsia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E6348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批</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99B22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4E5B72BC">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35A8AC">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13</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99C6E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光线熔焊及辅材</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2F2F4D">
            <w:pPr>
              <w:spacing w:line="240" w:lineRule="exact"/>
              <w:rPr>
                <w:rFonts w:ascii="Times New Roman" w:hAnsi="Times New Roman" w:cs="Times New Roman" w:eastAsia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8376A8">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BE3569">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61BA7504">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88A9D4">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14</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E8D737">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光缆</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F1E36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铠装单模4芯电缆</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3BAF5E">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m</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538BCC">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300</w:t>
            </w:r>
          </w:p>
        </w:tc>
      </w:tr>
      <w:tr w14:paraId="133D1B5C">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37D573">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15</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DDA86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五类网络线</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A43C80">
            <w:pPr>
              <w:spacing w:line="240" w:lineRule="exact"/>
              <w:rPr>
                <w:rFonts w:ascii="Times New Roman" w:hAnsi="Times New Roman" w:cs="Times New Roman" w:eastAsia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7E3ED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m</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98A305">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180</w:t>
            </w:r>
          </w:p>
        </w:tc>
      </w:tr>
      <w:tr w14:paraId="70F0EA9A">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4C1566">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16</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5450E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摄像机电源电缆</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E151A2">
            <w:pPr>
              <w:spacing w:line="240" w:lineRule="exact"/>
              <w:rPr>
                <w:rFonts w:ascii="Times New Roman" w:hAnsi="Times New Roman" w:cs="Times New Roman" w:eastAsia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55EED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m</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6EBCB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400</w:t>
            </w:r>
          </w:p>
        </w:tc>
      </w:tr>
      <w:tr w14:paraId="3B9321D2">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314877">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17</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81A35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净化电源</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5CFD4B">
            <w:pPr>
              <w:spacing w:line="240" w:lineRule="exact"/>
              <w:rPr>
                <w:rFonts w:ascii="Times New Roman" w:hAnsi="Times New Roman" w:cs="Times New Roman" w:eastAsia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9A170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台</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D5E41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4C3CABEF">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C23E50">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18</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E91E20">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必要的防雷设施</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F1589B">
            <w:pPr>
              <w:spacing w:line="240" w:lineRule="exact"/>
              <w:rPr>
                <w:rFonts w:ascii="Times New Roman" w:hAnsi="Times New Roman" w:cs="Times New Roman" w:eastAsia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721EAD">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59CAC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64AA0766">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25AA77">
            <w:pPr>
              <w:widowControl/>
              <w:spacing w:line="240" w:lineRule="exact"/>
              <w:jc w:val="center"/>
              <w:textAlignment w:val="center"/>
              <w:rPr>
                <w:rFonts w:ascii="Times New Roman" w:hAnsi="Times New Roman" w:cs="Times New Roman" w:eastAsiaTheme="minorEastAsia"/>
                <w:b/>
                <w:color w:val="000000"/>
                <w:szCs w:val="21"/>
              </w:rPr>
            </w:pPr>
            <w:r>
              <w:rPr>
                <w:rFonts w:ascii="Times New Roman" w:hAnsi="Times New Roman" w:cs="Times New Roman" w:eastAsiaTheme="minorEastAsia"/>
                <w:b/>
                <w:color w:val="000000"/>
                <w:kern w:val="0"/>
                <w:szCs w:val="21"/>
              </w:rPr>
              <w:t>（三）</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36751F">
            <w:pPr>
              <w:widowControl/>
              <w:spacing w:line="240" w:lineRule="exact"/>
              <w:textAlignment w:val="center"/>
              <w:rPr>
                <w:rFonts w:ascii="Times New Roman" w:hAnsi="Times New Roman" w:cs="Times New Roman" w:eastAsiaTheme="minorEastAsia"/>
                <w:b/>
                <w:color w:val="000000"/>
                <w:szCs w:val="21"/>
              </w:rPr>
            </w:pPr>
            <w:r>
              <w:rPr>
                <w:rFonts w:ascii="Times New Roman" w:hAnsi="Times New Roman" w:cs="Times New Roman" w:eastAsiaTheme="minorEastAsia"/>
                <w:b/>
                <w:color w:val="000000"/>
                <w:kern w:val="0"/>
                <w:szCs w:val="21"/>
              </w:rPr>
              <w:t>流量采集系统</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2521EB">
            <w:pPr>
              <w:spacing w:line="240" w:lineRule="exact"/>
              <w:rPr>
                <w:rFonts w:ascii="Times New Roman" w:hAnsi="Times New Roman" w:cs="Times New Roman" w:eastAsiaTheme="minorEastAsia"/>
                <w:b/>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A0D52C">
            <w:pPr>
              <w:spacing w:line="240" w:lineRule="exact"/>
              <w:rPr>
                <w:rFonts w:ascii="Times New Roman" w:hAnsi="Times New Roman" w:cs="Times New Roman" w:eastAsiaTheme="minorEastAsia"/>
                <w:b/>
                <w:color w:val="000000"/>
                <w:szCs w:val="21"/>
              </w:rPr>
            </w:pP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199967">
            <w:pPr>
              <w:spacing w:line="240" w:lineRule="exact"/>
              <w:rPr>
                <w:rFonts w:ascii="Times New Roman" w:hAnsi="Times New Roman" w:cs="Times New Roman" w:eastAsiaTheme="minorEastAsia"/>
                <w:b/>
                <w:color w:val="000000"/>
                <w:szCs w:val="21"/>
              </w:rPr>
            </w:pPr>
          </w:p>
        </w:tc>
      </w:tr>
      <w:tr w14:paraId="26A590F0">
        <w:tblPrEx>
          <w:tblCellMar>
            <w:top w:w="0" w:type="dxa"/>
            <w:left w:w="0" w:type="dxa"/>
            <w:bottom w:w="0" w:type="dxa"/>
            <w:right w:w="0" w:type="dxa"/>
          </w:tblCellMar>
        </w:tblPrEx>
        <w:trPr>
          <w:trHeight w:val="285" w:hRule="atLeast"/>
          <w:jc w:val="center"/>
        </w:trPr>
        <w:tc>
          <w:tcPr>
            <w:tcW w:w="66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C996D5">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A73C29">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超声波流量计</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DAC32B">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UR-2000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DFFC19">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台套</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C6135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w:t>
            </w:r>
          </w:p>
        </w:tc>
      </w:tr>
      <w:tr w14:paraId="00679F15">
        <w:tblPrEx>
          <w:tblCellMar>
            <w:top w:w="0" w:type="dxa"/>
            <w:left w:w="0" w:type="dxa"/>
            <w:bottom w:w="0" w:type="dxa"/>
            <w:right w:w="0" w:type="dxa"/>
          </w:tblCellMar>
        </w:tblPrEx>
        <w:trPr>
          <w:trHeight w:val="285"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84B500">
            <w:pPr>
              <w:spacing w:line="240" w:lineRule="exact"/>
              <w:jc w:val="center"/>
              <w:rPr>
                <w:rFonts w:ascii="Times New Roman" w:hAnsi="Times New Roman" w:cs="Times New Roman" w:eastAsiaTheme="minorEastAsia"/>
                <w:color w:val="000000"/>
                <w:szCs w:val="21"/>
              </w:rPr>
            </w:pP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C6D04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每套包含:</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C61F50">
            <w:pPr>
              <w:spacing w:line="240" w:lineRule="exact"/>
              <w:rPr>
                <w:rFonts w:ascii="Times New Roman" w:hAnsi="Times New Roman" w:cs="Times New Roman" w:eastAsia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98DB66">
            <w:pPr>
              <w:spacing w:line="240" w:lineRule="exact"/>
              <w:rPr>
                <w:rFonts w:ascii="Times New Roman" w:hAnsi="Times New Roman" w:cs="Times New Roman" w:eastAsiaTheme="minorEastAsia"/>
                <w:color w:val="000000"/>
                <w:szCs w:val="21"/>
              </w:rPr>
            </w:pP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EE6B6D">
            <w:pPr>
              <w:spacing w:line="240" w:lineRule="exact"/>
              <w:rPr>
                <w:rFonts w:ascii="Times New Roman" w:hAnsi="Times New Roman" w:cs="Times New Roman" w:eastAsiaTheme="minorEastAsia"/>
                <w:color w:val="000000"/>
                <w:szCs w:val="21"/>
              </w:rPr>
            </w:pPr>
          </w:p>
        </w:tc>
      </w:tr>
      <w:tr w14:paraId="219D948A">
        <w:tblPrEx>
          <w:tblCellMar>
            <w:top w:w="0" w:type="dxa"/>
            <w:left w:w="0" w:type="dxa"/>
            <w:bottom w:w="0" w:type="dxa"/>
            <w:right w:w="0" w:type="dxa"/>
          </w:tblCellMar>
        </w:tblPrEx>
        <w:trPr>
          <w:trHeight w:val="285"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759736">
            <w:pPr>
              <w:spacing w:line="240" w:lineRule="exact"/>
              <w:jc w:val="center"/>
              <w:rPr>
                <w:rFonts w:ascii="Times New Roman" w:hAnsi="Times New Roman" w:cs="Times New Roman" w:eastAsiaTheme="minorEastAsia"/>
                <w:color w:val="000000"/>
                <w:szCs w:val="21"/>
              </w:rPr>
            </w:pP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D818BD">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测量管</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53D48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换能器为5声道</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F09938">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只</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D100B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5</w:t>
            </w:r>
          </w:p>
        </w:tc>
      </w:tr>
      <w:tr w14:paraId="6678F799">
        <w:tblPrEx>
          <w:tblCellMar>
            <w:top w:w="0" w:type="dxa"/>
            <w:left w:w="0" w:type="dxa"/>
            <w:bottom w:w="0" w:type="dxa"/>
            <w:right w:w="0" w:type="dxa"/>
          </w:tblCellMar>
        </w:tblPrEx>
        <w:trPr>
          <w:trHeight w:val="285"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632B77">
            <w:pPr>
              <w:spacing w:line="240" w:lineRule="exact"/>
              <w:jc w:val="center"/>
              <w:rPr>
                <w:rFonts w:ascii="Times New Roman" w:hAnsi="Times New Roman" w:cs="Times New Roman" w:eastAsiaTheme="minorEastAsia"/>
                <w:color w:val="000000"/>
                <w:szCs w:val="21"/>
              </w:rPr>
            </w:pP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23957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声波水位计</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3908E7">
            <w:pPr>
              <w:spacing w:line="240" w:lineRule="exact"/>
              <w:rPr>
                <w:rFonts w:ascii="Times New Roman" w:hAnsi="Times New Roman" w:cs="Times New Roman" w:eastAsia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7051C4">
            <w:pPr>
              <w:spacing w:line="240" w:lineRule="exact"/>
              <w:rPr>
                <w:rFonts w:ascii="Times New Roman" w:hAnsi="Times New Roman" w:cs="Times New Roman" w:eastAsiaTheme="minorEastAsia"/>
                <w:color w:val="000000"/>
                <w:szCs w:val="21"/>
              </w:rPr>
            </w:pP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07F3EE">
            <w:pPr>
              <w:spacing w:line="240" w:lineRule="exact"/>
              <w:rPr>
                <w:rFonts w:ascii="Times New Roman" w:hAnsi="Times New Roman" w:cs="Times New Roman" w:eastAsiaTheme="minorEastAsia"/>
                <w:color w:val="000000"/>
                <w:szCs w:val="21"/>
              </w:rPr>
            </w:pPr>
          </w:p>
        </w:tc>
      </w:tr>
      <w:tr w14:paraId="5F4CE51F">
        <w:tblPrEx>
          <w:tblCellMar>
            <w:top w:w="0" w:type="dxa"/>
            <w:left w:w="0" w:type="dxa"/>
            <w:bottom w:w="0" w:type="dxa"/>
            <w:right w:w="0" w:type="dxa"/>
          </w:tblCellMar>
        </w:tblPrEx>
        <w:trPr>
          <w:trHeight w:val="285"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EAC1F8">
            <w:pPr>
              <w:spacing w:line="240" w:lineRule="exact"/>
              <w:jc w:val="center"/>
              <w:rPr>
                <w:rFonts w:ascii="Times New Roman" w:hAnsi="Times New Roman" w:cs="Times New Roman" w:eastAsiaTheme="minorEastAsia"/>
                <w:color w:val="000000"/>
                <w:szCs w:val="21"/>
              </w:rPr>
            </w:pP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265567">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流量控制器</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13A2E5">
            <w:pPr>
              <w:spacing w:line="240" w:lineRule="exact"/>
              <w:rPr>
                <w:rFonts w:ascii="Times New Roman" w:hAnsi="Times New Roman" w:cs="Times New Roman" w:eastAsia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1E4083">
            <w:pPr>
              <w:spacing w:line="240" w:lineRule="exact"/>
              <w:rPr>
                <w:rFonts w:ascii="Times New Roman" w:hAnsi="Times New Roman" w:cs="Times New Roman" w:eastAsiaTheme="minorEastAsia"/>
                <w:color w:val="000000"/>
                <w:szCs w:val="21"/>
              </w:rPr>
            </w:pP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268656">
            <w:pPr>
              <w:spacing w:line="240" w:lineRule="exact"/>
              <w:rPr>
                <w:rFonts w:ascii="Times New Roman" w:hAnsi="Times New Roman" w:cs="Times New Roman" w:eastAsiaTheme="minorEastAsia"/>
                <w:color w:val="000000"/>
                <w:szCs w:val="21"/>
              </w:rPr>
            </w:pPr>
          </w:p>
        </w:tc>
      </w:tr>
      <w:tr w14:paraId="1A5BFD98">
        <w:tblPrEx>
          <w:tblCellMar>
            <w:top w:w="0" w:type="dxa"/>
            <w:left w:w="0" w:type="dxa"/>
            <w:bottom w:w="0" w:type="dxa"/>
            <w:right w:w="0" w:type="dxa"/>
          </w:tblCellMar>
        </w:tblPrEx>
        <w:trPr>
          <w:trHeight w:val="450"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80E7F2">
            <w:pPr>
              <w:spacing w:line="240" w:lineRule="exact"/>
              <w:jc w:val="center"/>
              <w:rPr>
                <w:rFonts w:ascii="Times New Roman" w:hAnsi="Times New Roman" w:cs="Times New Roman" w:eastAsiaTheme="minorEastAsia"/>
                <w:color w:val="000000"/>
                <w:szCs w:val="21"/>
              </w:rPr>
            </w:pP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D9637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信号电缆</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A41A3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包括换声器信号电缆及仪表箱上传至控制系统信号电缆</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11E61F">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m</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BAE61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250</w:t>
            </w:r>
          </w:p>
        </w:tc>
      </w:tr>
      <w:tr w14:paraId="7A15617F">
        <w:tblPrEx>
          <w:tblCellMar>
            <w:top w:w="0" w:type="dxa"/>
            <w:left w:w="0" w:type="dxa"/>
            <w:bottom w:w="0" w:type="dxa"/>
            <w:right w:w="0" w:type="dxa"/>
          </w:tblCellMar>
        </w:tblPrEx>
        <w:trPr>
          <w:trHeight w:val="285" w:hRule="atLeast"/>
          <w:jc w:val="center"/>
        </w:trPr>
        <w:tc>
          <w:tcPr>
            <w:tcW w:w="66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A0C546">
            <w:pPr>
              <w:widowControl/>
              <w:spacing w:line="240" w:lineRule="exact"/>
              <w:jc w:val="center"/>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2</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5594D">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仪表屏</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7E7C2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柜体尺寸:600×600×2200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F8D73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台</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90A64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405F65A1">
        <w:tblPrEx>
          <w:tblCellMar>
            <w:top w:w="0" w:type="dxa"/>
            <w:left w:w="0" w:type="dxa"/>
            <w:bottom w:w="0" w:type="dxa"/>
            <w:right w:w="0" w:type="dxa"/>
          </w:tblCellMar>
        </w:tblPrEx>
        <w:trPr>
          <w:trHeight w:val="285"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F37F2B">
            <w:pPr>
              <w:spacing w:line="240" w:lineRule="exact"/>
              <w:jc w:val="center"/>
              <w:rPr>
                <w:rFonts w:ascii="Times New Roman" w:hAnsi="Times New Roman" w:cs="Times New Roman" w:eastAsiaTheme="minorEastAsia"/>
                <w:color w:val="000000"/>
                <w:szCs w:val="21"/>
              </w:rPr>
            </w:pP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F7D61A">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内含:</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EB9F04">
            <w:pPr>
              <w:spacing w:line="240" w:lineRule="exact"/>
              <w:rPr>
                <w:rFonts w:ascii="Times New Roman" w:hAnsi="Times New Roman" w:cs="Times New Roman" w:eastAsia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ECB21D">
            <w:pPr>
              <w:spacing w:line="240" w:lineRule="exact"/>
              <w:rPr>
                <w:rFonts w:ascii="Times New Roman" w:hAnsi="Times New Roman" w:cs="Times New Roman" w:eastAsiaTheme="minorEastAsia"/>
                <w:color w:val="000000"/>
                <w:szCs w:val="21"/>
              </w:rPr>
            </w:pP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E10562">
            <w:pPr>
              <w:spacing w:line="240" w:lineRule="exact"/>
              <w:rPr>
                <w:rFonts w:ascii="Times New Roman" w:hAnsi="Times New Roman" w:cs="Times New Roman" w:eastAsiaTheme="minorEastAsia"/>
                <w:color w:val="000000"/>
                <w:szCs w:val="21"/>
              </w:rPr>
            </w:pPr>
          </w:p>
        </w:tc>
      </w:tr>
      <w:tr w14:paraId="2ABB956D">
        <w:tblPrEx>
          <w:tblCellMar>
            <w:top w:w="0" w:type="dxa"/>
            <w:left w:w="0" w:type="dxa"/>
            <w:bottom w:w="0" w:type="dxa"/>
            <w:right w:w="0" w:type="dxa"/>
          </w:tblCellMar>
        </w:tblPrEx>
        <w:trPr>
          <w:trHeight w:val="285"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1A9D68">
            <w:pPr>
              <w:spacing w:line="240" w:lineRule="exact"/>
              <w:jc w:val="center"/>
              <w:rPr>
                <w:rFonts w:ascii="Times New Roman" w:hAnsi="Times New Roman" w:cs="Times New Roman" w:eastAsiaTheme="minorEastAsia"/>
                <w:color w:val="000000"/>
                <w:szCs w:val="21"/>
              </w:rPr>
            </w:pP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83277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温湿度控制器</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EF92B3">
            <w:pPr>
              <w:spacing w:line="240" w:lineRule="exact"/>
              <w:rPr>
                <w:rFonts w:ascii="Times New Roman" w:hAnsi="Times New Roman" w:cs="Times New Roman" w:eastAsia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C9CB46">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B4875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3D754FE3">
        <w:tblPrEx>
          <w:tblCellMar>
            <w:top w:w="0" w:type="dxa"/>
            <w:left w:w="0" w:type="dxa"/>
            <w:bottom w:w="0" w:type="dxa"/>
            <w:right w:w="0" w:type="dxa"/>
          </w:tblCellMar>
        </w:tblPrEx>
        <w:trPr>
          <w:trHeight w:val="285"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994E69">
            <w:pPr>
              <w:spacing w:line="240" w:lineRule="exact"/>
              <w:jc w:val="center"/>
              <w:rPr>
                <w:rFonts w:ascii="Times New Roman" w:hAnsi="Times New Roman" w:cs="Times New Roman" w:eastAsiaTheme="minorEastAsia"/>
                <w:color w:val="000000"/>
                <w:szCs w:val="21"/>
              </w:rPr>
            </w:pP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37AF89">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电源保护</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6A234D">
            <w:pPr>
              <w:spacing w:line="240" w:lineRule="exact"/>
              <w:rPr>
                <w:rFonts w:ascii="Times New Roman" w:hAnsi="Times New Roman" w:cs="Times New Roman" w:eastAsia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B6E9AC">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BCA318">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5BAD33AD">
        <w:tblPrEx>
          <w:tblCellMar>
            <w:top w:w="0" w:type="dxa"/>
            <w:left w:w="0" w:type="dxa"/>
            <w:bottom w:w="0" w:type="dxa"/>
            <w:right w:w="0" w:type="dxa"/>
          </w:tblCellMar>
        </w:tblPrEx>
        <w:trPr>
          <w:trHeight w:val="285"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3DB476">
            <w:pPr>
              <w:spacing w:line="240" w:lineRule="exact"/>
              <w:jc w:val="center"/>
              <w:rPr>
                <w:rFonts w:ascii="Times New Roman" w:hAnsi="Times New Roman" w:cs="Times New Roman" w:eastAsiaTheme="minorEastAsia"/>
                <w:color w:val="000000"/>
                <w:szCs w:val="21"/>
              </w:rPr>
            </w:pP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F19D53">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信号保护</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66B360">
            <w:pPr>
              <w:spacing w:line="240" w:lineRule="exact"/>
              <w:rPr>
                <w:rFonts w:ascii="Times New Roman" w:hAnsi="Times New Roman" w:cs="Times New Roman" w:eastAsia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E1FCD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471D31">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44770083">
        <w:tblPrEx>
          <w:tblCellMar>
            <w:top w:w="0" w:type="dxa"/>
            <w:left w:w="0" w:type="dxa"/>
            <w:bottom w:w="0" w:type="dxa"/>
            <w:right w:w="0" w:type="dxa"/>
          </w:tblCellMar>
        </w:tblPrEx>
        <w:trPr>
          <w:trHeight w:val="285" w:hRule="atLeast"/>
          <w:jc w:val="center"/>
        </w:trPr>
        <w:tc>
          <w:tcPr>
            <w:tcW w:w="66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719071">
            <w:pPr>
              <w:spacing w:line="240" w:lineRule="exact"/>
              <w:jc w:val="center"/>
              <w:rPr>
                <w:rFonts w:ascii="Times New Roman" w:hAnsi="Times New Roman" w:cs="Times New Roman" w:eastAsiaTheme="minorEastAsia"/>
                <w:color w:val="000000"/>
                <w:szCs w:val="21"/>
              </w:rPr>
            </w:pP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522D8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防雷设备</w:t>
            </w:r>
          </w:p>
        </w:tc>
        <w:tc>
          <w:tcPr>
            <w:tcW w:w="3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FBD329">
            <w:pPr>
              <w:spacing w:line="240" w:lineRule="exact"/>
              <w:rPr>
                <w:rFonts w:ascii="Times New Roman" w:hAnsi="Times New Roman" w:cs="Times New Roman" w:eastAsia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0BB2D4">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186DCC">
            <w:pPr>
              <w:widowControl/>
              <w:spacing w:line="240" w:lineRule="exact"/>
              <w:textAlignment w:val="center"/>
              <w:rPr>
                <w:rFonts w:ascii="Times New Roman" w:hAnsi="Times New Roman" w:cs="Times New Roman" w:eastAsiaTheme="minorEastAsia"/>
                <w:color w:val="000000"/>
                <w:szCs w:val="21"/>
              </w:rPr>
            </w:pPr>
            <w:r>
              <w:rPr>
                <w:rFonts w:ascii="Times New Roman" w:hAnsi="Times New Roman" w:cs="Times New Roman" w:eastAsiaTheme="minorEastAsia"/>
                <w:color w:val="000000"/>
                <w:kern w:val="0"/>
                <w:szCs w:val="21"/>
              </w:rPr>
              <w:t>1</w:t>
            </w:r>
          </w:p>
        </w:tc>
      </w:tr>
      <w:tr w14:paraId="73E45799">
        <w:tblPrEx>
          <w:tblCellMar>
            <w:top w:w="0" w:type="dxa"/>
            <w:left w:w="0" w:type="dxa"/>
            <w:bottom w:w="0" w:type="dxa"/>
            <w:right w:w="0" w:type="dxa"/>
          </w:tblCellMar>
        </w:tblPrEx>
        <w:trPr>
          <w:trHeight w:val="285" w:hRule="atLeast"/>
          <w:jc w:val="center"/>
        </w:trPr>
        <w:tc>
          <w:tcPr>
            <w:tcW w:w="879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FCF53A">
            <w:pPr>
              <w:widowControl/>
              <w:spacing w:line="240" w:lineRule="exact"/>
              <w:jc w:val="left"/>
              <w:textAlignment w:val="center"/>
              <w:rPr>
                <w:rFonts w:ascii="Times New Roman" w:hAnsi="Times New Roman" w:cs="Times New Roman" w:eastAsiaTheme="minorEastAsia"/>
                <w:color w:val="000000"/>
                <w:kern w:val="0"/>
                <w:sz w:val="24"/>
                <w:szCs w:val="24"/>
              </w:rPr>
            </w:pPr>
            <w:r>
              <w:rPr>
                <w:rFonts w:ascii="Times New Roman" w:hAnsi="Times New Roman" w:cs="Times New Roman" w:eastAsiaTheme="minorEastAsia"/>
                <w:b/>
                <w:color w:val="000000"/>
                <w:kern w:val="0"/>
                <w:szCs w:val="21"/>
              </w:rPr>
              <w:t>四、五河站自动化系统</w:t>
            </w:r>
          </w:p>
        </w:tc>
      </w:tr>
      <w:tr w14:paraId="0DDE953F">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8D448C">
            <w:pPr>
              <w:widowControl/>
              <w:spacing w:line="240" w:lineRule="exact"/>
              <w:jc w:val="center"/>
              <w:textAlignment w:val="center"/>
              <w:rPr>
                <w:rFonts w:ascii="Times New Roman" w:hAnsi="Times New Roman" w:cs="Times New Roman" w:eastAsiaTheme="minorEastAsia"/>
                <w:b/>
                <w:color w:val="000000"/>
                <w:kern w:val="0"/>
                <w:szCs w:val="21"/>
              </w:rPr>
            </w:pPr>
            <w:r>
              <w:rPr>
                <w:rFonts w:ascii="Times New Roman" w:hAnsi="Times New Roman" w:cs="Times New Roman" w:eastAsiaTheme="minorEastAsia"/>
                <w:b/>
                <w:color w:val="000000"/>
                <w:kern w:val="0"/>
                <w:szCs w:val="21"/>
              </w:rPr>
              <w:t>（一）</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158030">
            <w:pPr>
              <w:widowControl/>
              <w:spacing w:line="240" w:lineRule="exact"/>
              <w:textAlignment w:val="center"/>
              <w:rPr>
                <w:rFonts w:ascii="Times New Roman" w:hAnsi="Times New Roman" w:cs="Times New Roman" w:eastAsiaTheme="minorEastAsia"/>
                <w:b/>
                <w:color w:val="000000"/>
                <w:kern w:val="0"/>
                <w:szCs w:val="21"/>
              </w:rPr>
            </w:pPr>
            <w:r>
              <w:rPr>
                <w:rFonts w:ascii="Times New Roman" w:hAnsi="Times New Roman" w:cs="Times New Roman" w:eastAsiaTheme="minorEastAsia"/>
                <w:b/>
                <w:color w:val="000000"/>
                <w:kern w:val="0"/>
                <w:szCs w:val="21"/>
              </w:rPr>
              <w:t>泵站计算机监控系统</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7B76DB">
            <w:pPr>
              <w:spacing w:line="240" w:lineRule="exact"/>
              <w:rPr>
                <w:rFonts w:ascii="Times New Roman" w:hAnsi="Times New Roman" w:cs="Times New Roman" w:eastAsiaTheme="minorEastAsia"/>
                <w:b/>
                <w:color w:val="000000"/>
                <w:kern w:val="0"/>
                <w:szCs w:val="21"/>
              </w:rPr>
            </w:pPr>
          </w:p>
        </w:tc>
        <w:tc>
          <w:tcPr>
            <w:tcW w:w="70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D0C353">
            <w:pPr>
              <w:widowControl/>
              <w:spacing w:line="240" w:lineRule="exact"/>
              <w:textAlignment w:val="center"/>
              <w:rPr>
                <w:rFonts w:ascii="Times New Roman" w:hAnsi="Times New Roman" w:cs="Times New Roman" w:eastAsiaTheme="minorEastAsia"/>
                <w:b/>
                <w:color w:val="000000"/>
                <w:kern w:val="0"/>
                <w:szCs w:val="21"/>
              </w:rPr>
            </w:pP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9280A3">
            <w:pPr>
              <w:widowControl/>
              <w:spacing w:line="240" w:lineRule="exact"/>
              <w:textAlignment w:val="center"/>
              <w:rPr>
                <w:rFonts w:ascii="Times New Roman" w:hAnsi="Times New Roman" w:cs="Times New Roman" w:eastAsiaTheme="minorEastAsia"/>
                <w:b/>
                <w:color w:val="000000"/>
                <w:kern w:val="0"/>
                <w:szCs w:val="21"/>
              </w:rPr>
            </w:pPr>
          </w:p>
        </w:tc>
      </w:tr>
      <w:tr w14:paraId="25EF132C">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E756EA">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1D0756">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操作员工作站</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EA8B9D">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 xml:space="preserve">品牌工作站，DELL T3431 </w:t>
            </w:r>
          </w:p>
        </w:tc>
        <w:tc>
          <w:tcPr>
            <w:tcW w:w="70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007578">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台</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B0765D">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w:t>
            </w:r>
          </w:p>
        </w:tc>
      </w:tr>
      <w:tr w14:paraId="5533ACDD">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FC947D">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2</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6BFDC8">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工程师工作站</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2895C0">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 xml:space="preserve">品牌工作站，DELL T3431 </w:t>
            </w:r>
          </w:p>
        </w:tc>
        <w:tc>
          <w:tcPr>
            <w:tcW w:w="70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0A2670">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台</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9E0940">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w:t>
            </w:r>
          </w:p>
        </w:tc>
      </w:tr>
      <w:tr w14:paraId="0D5F4937">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ED646F">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3</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466AC8">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打印机</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43EBF8">
            <w:pPr>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惠普 M701n</w:t>
            </w:r>
          </w:p>
        </w:tc>
        <w:tc>
          <w:tcPr>
            <w:tcW w:w="70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4F9529">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台</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D9A7B4">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w:t>
            </w:r>
          </w:p>
        </w:tc>
      </w:tr>
      <w:tr w14:paraId="30FD1155">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AC506A">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4</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4C22F5">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网络设备</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CAC8A1">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工业以太网交换机：SIXNET EL228G-2GX；硬件防火墙：华为 USG6320-AC 8GE</w:t>
            </w:r>
          </w:p>
        </w:tc>
        <w:tc>
          <w:tcPr>
            <w:tcW w:w="70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8BC5DF">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354992">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w:t>
            </w:r>
          </w:p>
        </w:tc>
      </w:tr>
      <w:tr w14:paraId="2A4365D0">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ABDC53">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5</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20E69C">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通讯管理机</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B5DA19">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MGLJ-800V 型</w:t>
            </w:r>
          </w:p>
        </w:tc>
        <w:tc>
          <w:tcPr>
            <w:tcW w:w="70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E4FAE1">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台</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C3862C">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w:t>
            </w:r>
          </w:p>
        </w:tc>
      </w:tr>
      <w:tr w14:paraId="47C28260">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4556ED">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6</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88944D">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 xml:space="preserve">UPS 电源 </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657E7C">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山特 C6K 在线式</w:t>
            </w:r>
          </w:p>
        </w:tc>
        <w:tc>
          <w:tcPr>
            <w:tcW w:w="70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4E6DEF">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ADCE95">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w:t>
            </w:r>
          </w:p>
        </w:tc>
      </w:tr>
      <w:tr w14:paraId="24BB83A9">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194726">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7</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5FEBC2">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防雷设备</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F2CB99">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满足现场各种使用要求</w:t>
            </w:r>
          </w:p>
        </w:tc>
        <w:tc>
          <w:tcPr>
            <w:tcW w:w="70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E16DB1">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02EE13">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w:t>
            </w:r>
          </w:p>
        </w:tc>
      </w:tr>
      <w:tr w14:paraId="22B14B4E">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947054">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8</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B958C1">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监控系统软件</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3DF4E1">
            <w:pPr>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上、下位机系统软件、应用软件，PLC编程软件等</w:t>
            </w:r>
          </w:p>
        </w:tc>
        <w:tc>
          <w:tcPr>
            <w:tcW w:w="70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523C13">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FA8504">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w:t>
            </w:r>
          </w:p>
        </w:tc>
      </w:tr>
      <w:tr w14:paraId="48823DC0">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0E6C37">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9</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08E958">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控制台</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293045">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4200×1200×800木质2把真皮座椅</w:t>
            </w:r>
          </w:p>
        </w:tc>
        <w:tc>
          <w:tcPr>
            <w:tcW w:w="70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30E9E3">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233ED6">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w:t>
            </w:r>
          </w:p>
        </w:tc>
      </w:tr>
      <w:tr w14:paraId="3666930E">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5C7CB9">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10</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712A0C">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同步机组 LCU 屏</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8E9AD0">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GE PACSystem RX3i 系列</w:t>
            </w:r>
          </w:p>
        </w:tc>
        <w:tc>
          <w:tcPr>
            <w:tcW w:w="70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9B454B">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6B706F">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2</w:t>
            </w:r>
          </w:p>
        </w:tc>
      </w:tr>
      <w:tr w14:paraId="59E359EE">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31D27F">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11</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B8603E">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内外河水位仪，分体式</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5B5FAC">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德菲仪表变送器：GDC-01-AC 传感器：UL7-R15-C30</w:t>
            </w:r>
          </w:p>
        </w:tc>
        <w:tc>
          <w:tcPr>
            <w:tcW w:w="70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5D4FF9">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C80625">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2</w:t>
            </w:r>
          </w:p>
        </w:tc>
      </w:tr>
      <w:tr w14:paraId="5FAB1AA2">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28A6A2">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12</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295E03">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RS485 防雷转换器</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61A0B7">
            <w:pPr>
              <w:spacing w:line="240" w:lineRule="exact"/>
              <w:rPr>
                <w:rFonts w:ascii="Times New Roman" w:hAnsi="Times New Roman" w:cs="Times New Roman" w:eastAsiaTheme="minorEastAsia"/>
                <w:color w:val="000000"/>
                <w:kern w:val="0"/>
                <w:szCs w:val="21"/>
              </w:rPr>
            </w:pPr>
          </w:p>
        </w:tc>
        <w:tc>
          <w:tcPr>
            <w:tcW w:w="70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EC210E">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C796EC">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w:t>
            </w:r>
          </w:p>
        </w:tc>
      </w:tr>
      <w:tr w14:paraId="23721AC8">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3098FE">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13</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727A4C">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闸门荷重开度仪</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4E2C67">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 xml:space="preserve">徐州伟思 XZ-9 </w:t>
            </w:r>
          </w:p>
        </w:tc>
        <w:tc>
          <w:tcPr>
            <w:tcW w:w="70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A5F06A">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9B83F7">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10</w:t>
            </w:r>
          </w:p>
        </w:tc>
      </w:tr>
      <w:tr w14:paraId="5A969893">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B600C1">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14</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85BD32">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闸门开度仪</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EADC75">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 xml:space="preserve">徐州伟思 XZ-9 </w:t>
            </w:r>
          </w:p>
        </w:tc>
        <w:tc>
          <w:tcPr>
            <w:tcW w:w="70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7A8AB0">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46AB84">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5</w:t>
            </w:r>
          </w:p>
        </w:tc>
      </w:tr>
      <w:tr w14:paraId="24C72D14">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6AFFD4">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15</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BE881B">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闸门开度传感器</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F5276D">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徐州伟思 KS-10</w:t>
            </w:r>
          </w:p>
        </w:tc>
        <w:tc>
          <w:tcPr>
            <w:tcW w:w="70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06149B">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B7B123">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6</w:t>
            </w:r>
          </w:p>
        </w:tc>
      </w:tr>
      <w:tr w14:paraId="1E81C654">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AA4904">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16</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10D328">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会议触摸操作一体机</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BEAB7A">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maxhub TC86CA</w:t>
            </w:r>
          </w:p>
        </w:tc>
        <w:tc>
          <w:tcPr>
            <w:tcW w:w="70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4A2217">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台</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46BAD2">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2</w:t>
            </w:r>
          </w:p>
        </w:tc>
      </w:tr>
      <w:tr w14:paraId="298D5F7C">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1F6B59">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17</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759276">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光纤收发器</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563A9E">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一个接收器和一个发送器，含电源</w:t>
            </w:r>
          </w:p>
        </w:tc>
        <w:tc>
          <w:tcPr>
            <w:tcW w:w="70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9224B3">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252BE8">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3</w:t>
            </w:r>
          </w:p>
        </w:tc>
      </w:tr>
      <w:tr w14:paraId="0FB51964">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769A64">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18</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598831">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机组测温屏</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CD2EC5">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 xml:space="preserve">屏体 PK-10 </w:t>
            </w:r>
          </w:p>
        </w:tc>
        <w:tc>
          <w:tcPr>
            <w:tcW w:w="70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E4439E">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29EC42">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w:t>
            </w:r>
          </w:p>
        </w:tc>
      </w:tr>
      <w:tr w14:paraId="7C64F1A7">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BE0617">
            <w:pPr>
              <w:widowControl/>
              <w:spacing w:line="240" w:lineRule="exact"/>
              <w:jc w:val="center"/>
              <w:textAlignment w:val="center"/>
              <w:rPr>
                <w:rFonts w:ascii="Times New Roman" w:hAnsi="Times New Roman" w:cs="Times New Roman" w:eastAsiaTheme="minorEastAsia"/>
                <w:b/>
                <w:color w:val="000000"/>
                <w:kern w:val="0"/>
                <w:szCs w:val="21"/>
              </w:rPr>
            </w:pPr>
            <w:r>
              <w:rPr>
                <w:rFonts w:ascii="Times New Roman" w:hAnsi="Times New Roman" w:cs="Times New Roman" w:eastAsiaTheme="minorEastAsia"/>
                <w:b/>
                <w:color w:val="000000"/>
                <w:kern w:val="0"/>
                <w:szCs w:val="21"/>
              </w:rPr>
              <w:t>（二）</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D4BD5D">
            <w:pPr>
              <w:widowControl/>
              <w:spacing w:line="240" w:lineRule="exact"/>
              <w:textAlignment w:val="center"/>
              <w:rPr>
                <w:rFonts w:ascii="Times New Roman" w:hAnsi="Times New Roman" w:cs="Times New Roman" w:eastAsiaTheme="minorEastAsia"/>
                <w:b/>
                <w:color w:val="000000"/>
                <w:kern w:val="0"/>
                <w:szCs w:val="21"/>
              </w:rPr>
            </w:pPr>
            <w:r>
              <w:rPr>
                <w:rFonts w:ascii="Times New Roman" w:hAnsi="Times New Roman" w:cs="Times New Roman" w:eastAsiaTheme="minorEastAsia"/>
                <w:b/>
                <w:color w:val="000000"/>
                <w:kern w:val="0"/>
                <w:szCs w:val="21"/>
              </w:rPr>
              <w:t>视频监控系统</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2A012C">
            <w:pPr>
              <w:widowControl/>
              <w:spacing w:line="240" w:lineRule="exact"/>
              <w:rPr>
                <w:rFonts w:ascii="Times New Roman" w:hAnsi="Times New Roman" w:cs="Times New Roman" w:eastAsiaTheme="minorEastAsia"/>
                <w:b/>
                <w:color w:val="000000"/>
                <w:kern w:val="0"/>
                <w:szCs w:val="21"/>
              </w:rPr>
            </w:pPr>
          </w:p>
        </w:tc>
        <w:tc>
          <w:tcPr>
            <w:tcW w:w="70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88E3BD">
            <w:pPr>
              <w:widowControl/>
              <w:spacing w:line="240" w:lineRule="exact"/>
              <w:rPr>
                <w:rFonts w:ascii="Times New Roman" w:hAnsi="Times New Roman" w:cs="Times New Roman" w:eastAsiaTheme="minorEastAsia"/>
                <w:b/>
                <w:color w:val="000000"/>
                <w:kern w:val="0"/>
                <w:szCs w:val="21"/>
              </w:rPr>
            </w:pP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76D47A">
            <w:pPr>
              <w:widowControl/>
              <w:spacing w:line="240" w:lineRule="exact"/>
              <w:rPr>
                <w:rFonts w:ascii="Times New Roman" w:hAnsi="Times New Roman" w:cs="Times New Roman" w:eastAsiaTheme="minorEastAsia"/>
                <w:b/>
                <w:color w:val="000000"/>
                <w:kern w:val="0"/>
                <w:szCs w:val="21"/>
              </w:rPr>
            </w:pPr>
          </w:p>
        </w:tc>
      </w:tr>
      <w:tr w14:paraId="7B373838">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67487B">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FE9F51">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 xml:space="preserve">室外一体化高速 球型摄像机 </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295486">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 xml:space="preserve">海康威视 DS-2DE7520IW-A </w:t>
            </w:r>
          </w:p>
        </w:tc>
        <w:tc>
          <w:tcPr>
            <w:tcW w:w="70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EB600F">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815D70">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5</w:t>
            </w:r>
          </w:p>
        </w:tc>
      </w:tr>
      <w:tr w14:paraId="6DEEF2B2">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F5A7C1">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2</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2D7FC9">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 xml:space="preserve">室内一体化高 速球型摄像机 </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71BCC8">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 xml:space="preserve">海康威视 DS-2DE7520IW-A </w:t>
            </w:r>
          </w:p>
        </w:tc>
        <w:tc>
          <w:tcPr>
            <w:tcW w:w="70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1FE57B">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09FB1A">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6</w:t>
            </w:r>
          </w:p>
        </w:tc>
      </w:tr>
      <w:tr w14:paraId="0A9557B1">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60F6F0">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3</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019339">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室内定焦彩色摄像机</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1122E9">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 xml:space="preserve">海康威视 DS-2CD2T56WD-I5 </w:t>
            </w:r>
          </w:p>
        </w:tc>
        <w:tc>
          <w:tcPr>
            <w:tcW w:w="70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D8843F">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15E757">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7</w:t>
            </w:r>
          </w:p>
        </w:tc>
      </w:tr>
      <w:tr w14:paraId="33C1BDCF">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C8815B">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4</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DA7AA6">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视频工作站</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882974">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品牌工作站，DELL品牌</w:t>
            </w:r>
          </w:p>
        </w:tc>
        <w:tc>
          <w:tcPr>
            <w:tcW w:w="70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3B99A5">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台</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1C04CD">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w:t>
            </w:r>
          </w:p>
        </w:tc>
      </w:tr>
      <w:tr w14:paraId="776F3C33">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8D7A05">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5</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C5B439">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以太网交换机</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C9ED55">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 xml:space="preserve">SIXNET EL228-2GX </w:t>
            </w:r>
          </w:p>
        </w:tc>
        <w:tc>
          <w:tcPr>
            <w:tcW w:w="70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A7A07E">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F6CA9F">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w:t>
            </w:r>
          </w:p>
        </w:tc>
      </w:tr>
      <w:tr w14:paraId="5A8F2D4D">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EE096E">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6</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F12DE4">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网络硬盘录像机</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8C1289">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海康威视 DS-8632N-I8</w:t>
            </w:r>
          </w:p>
        </w:tc>
        <w:tc>
          <w:tcPr>
            <w:tcW w:w="70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CA0B39">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A70CF6">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w:t>
            </w:r>
          </w:p>
        </w:tc>
      </w:tr>
      <w:tr w14:paraId="46FFCCA3">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EED8AB">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7</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5D9CC3">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LED 显示屏</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1D476C">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尺寸：5000×500(mm)，全彩，P4</w:t>
            </w:r>
          </w:p>
        </w:tc>
        <w:tc>
          <w:tcPr>
            <w:tcW w:w="70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4B2812">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6D0D6E">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w:t>
            </w:r>
          </w:p>
        </w:tc>
      </w:tr>
      <w:tr w14:paraId="30401616">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031B5F">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8</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2964A2">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光端机</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471156">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每套 2 个</w:t>
            </w:r>
          </w:p>
        </w:tc>
        <w:tc>
          <w:tcPr>
            <w:tcW w:w="70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C5BCAF">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336694">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6</w:t>
            </w:r>
          </w:p>
        </w:tc>
      </w:tr>
      <w:tr w14:paraId="41DFB98C">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36677C">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9</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EF0063">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 xml:space="preserve">摄像机电源箱 </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D01D4E">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海康威视配套</w:t>
            </w:r>
          </w:p>
        </w:tc>
        <w:tc>
          <w:tcPr>
            <w:tcW w:w="70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B014AA">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块</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307D25">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5</w:t>
            </w:r>
          </w:p>
        </w:tc>
      </w:tr>
      <w:tr w14:paraId="612069F1">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C63181">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10</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3CACCD">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摄像机电源适配器</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32D30D">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海康威视配套</w:t>
            </w:r>
          </w:p>
        </w:tc>
        <w:tc>
          <w:tcPr>
            <w:tcW w:w="70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D3A3F4">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个</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CF8B26">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5</w:t>
            </w:r>
          </w:p>
        </w:tc>
      </w:tr>
      <w:tr w14:paraId="34B90ECD">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9E95B7">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11</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4BB087">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防雷设备</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F3DB8A">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含户外摄像机均配防雷设备</w:t>
            </w:r>
          </w:p>
        </w:tc>
        <w:tc>
          <w:tcPr>
            <w:tcW w:w="70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95BD75">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F8E7C0">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w:t>
            </w:r>
          </w:p>
        </w:tc>
      </w:tr>
      <w:tr w14:paraId="1805B119">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50D402">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12</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A430BD">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系统软件、视频软件</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23A69B">
            <w:pPr>
              <w:widowControl/>
              <w:spacing w:line="240" w:lineRule="exact"/>
              <w:textAlignment w:val="center"/>
              <w:rPr>
                <w:rFonts w:ascii="Times New Roman" w:hAnsi="Times New Roman" w:cs="Times New Roman" w:eastAsiaTheme="minorEastAsia"/>
                <w:color w:val="000000"/>
                <w:kern w:val="0"/>
                <w:szCs w:val="21"/>
              </w:rPr>
            </w:pPr>
          </w:p>
        </w:tc>
        <w:tc>
          <w:tcPr>
            <w:tcW w:w="70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20FD33">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套</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F607A5">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w:t>
            </w:r>
          </w:p>
        </w:tc>
      </w:tr>
      <w:tr w14:paraId="06E75214">
        <w:tblPrEx>
          <w:tblCellMar>
            <w:top w:w="0" w:type="dxa"/>
            <w:left w:w="0" w:type="dxa"/>
            <w:bottom w:w="0" w:type="dxa"/>
            <w:right w:w="0" w:type="dxa"/>
          </w:tblCellMar>
        </w:tblPrEx>
        <w:trPr>
          <w:trHeight w:val="285" w:hRule="atLeast"/>
          <w:jc w:val="center"/>
        </w:trPr>
        <w:tc>
          <w:tcPr>
            <w:tcW w:w="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B22438">
            <w:pPr>
              <w:widowControl/>
              <w:spacing w:line="240" w:lineRule="exact"/>
              <w:jc w:val="center"/>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13</w:t>
            </w:r>
          </w:p>
        </w:tc>
        <w:tc>
          <w:tcPr>
            <w:tcW w:w="3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9CDE40">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网络设备接入调度运行中心运维</w:t>
            </w:r>
          </w:p>
        </w:tc>
        <w:tc>
          <w:tcPr>
            <w:tcW w:w="3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C0F2B8">
            <w:pPr>
              <w:widowControl/>
              <w:spacing w:line="240" w:lineRule="exact"/>
              <w:textAlignment w:val="center"/>
              <w:rPr>
                <w:rFonts w:ascii="Times New Roman" w:hAnsi="Times New Roman" w:cs="Times New Roman" w:eastAsiaTheme="minorEastAsia"/>
                <w:color w:val="000000"/>
                <w:kern w:val="0"/>
                <w:szCs w:val="21"/>
              </w:rPr>
            </w:pPr>
          </w:p>
        </w:tc>
        <w:tc>
          <w:tcPr>
            <w:tcW w:w="70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232211">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项</w:t>
            </w:r>
          </w:p>
        </w:tc>
        <w:tc>
          <w:tcPr>
            <w:tcW w:w="7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BAA826">
            <w:pPr>
              <w:widowControl/>
              <w:spacing w:line="240" w:lineRule="exact"/>
              <w:textAlignment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w:t>
            </w:r>
          </w:p>
        </w:tc>
      </w:tr>
    </w:tbl>
    <w:p w14:paraId="335E48F1">
      <w:pPr>
        <w:spacing w:line="360" w:lineRule="auto"/>
        <w:ind w:firstLine="482"/>
        <w:outlineLvl w:val="1"/>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2.具体服务方案要求</w:t>
      </w:r>
      <w:bookmarkStart w:id="67" w:name="_Toc498350079"/>
      <w:bookmarkStart w:id="68" w:name="_Toc425892077"/>
      <w:bookmarkStart w:id="69" w:name="_Toc15147"/>
    </w:p>
    <w:p w14:paraId="7992426E">
      <w:pPr>
        <w:spacing w:line="360" w:lineRule="auto"/>
        <w:ind w:firstLine="482"/>
        <w:outlineLvl w:val="1"/>
        <w:rPr>
          <w:rFonts w:ascii="Times New Roman" w:hAnsi="Times New Roman" w:cs="Times New Roman" w:eastAsiaTheme="minorEastAsia"/>
          <w:b/>
          <w:bCs/>
          <w:kern w:val="0"/>
          <w:sz w:val="24"/>
          <w:szCs w:val="24"/>
          <w:lang w:val="zh-CN"/>
        </w:rPr>
      </w:pPr>
      <w:r>
        <w:rPr>
          <w:rFonts w:ascii="Times New Roman" w:hAnsi="Times New Roman" w:cs="Times New Roman" w:eastAsiaTheme="minorEastAsia"/>
          <w:b/>
          <w:bCs/>
          <w:kern w:val="0"/>
          <w:sz w:val="24"/>
          <w:szCs w:val="24"/>
        </w:rPr>
        <w:t>2</w:t>
      </w:r>
      <w:r>
        <w:rPr>
          <w:rFonts w:ascii="Times New Roman" w:hAnsi="Times New Roman" w:cs="Times New Roman" w:eastAsiaTheme="minorEastAsia"/>
          <w:b/>
          <w:bCs/>
          <w:kern w:val="0"/>
          <w:sz w:val="24"/>
          <w:szCs w:val="24"/>
          <w:lang w:val="zh-CN"/>
        </w:rPr>
        <w:t>.1基本服务</w:t>
      </w:r>
      <w:bookmarkEnd w:id="67"/>
      <w:bookmarkEnd w:id="68"/>
      <w:bookmarkEnd w:id="69"/>
      <w:r>
        <w:rPr>
          <w:rFonts w:ascii="Times New Roman" w:hAnsi="Times New Roman" w:cs="Times New Roman" w:eastAsiaTheme="minorEastAsia"/>
          <w:b/>
          <w:bCs/>
          <w:kern w:val="0"/>
          <w:sz w:val="24"/>
          <w:szCs w:val="24"/>
          <w:lang w:val="zh-CN"/>
        </w:rPr>
        <w:t>要求</w:t>
      </w:r>
    </w:p>
    <w:p w14:paraId="7713114A">
      <w:pPr>
        <w:spacing w:line="380" w:lineRule="exact"/>
        <w:ind w:firstLine="480" w:firstLineChars="200"/>
        <w:rPr>
          <w:rFonts w:ascii="Times New Roman" w:hAnsi="Times New Roman" w:cs="Times New Roman" w:eastAsiaTheme="minorEastAsia"/>
          <w:sz w:val="24"/>
          <w:szCs w:val="24"/>
        </w:rPr>
      </w:pPr>
      <w:bookmarkStart w:id="70" w:name="_Toc15274"/>
      <w:bookmarkStart w:id="71" w:name="_Toc498350080"/>
      <w:bookmarkStart w:id="72" w:name="_Toc425892079"/>
      <w:r>
        <w:rPr>
          <w:rFonts w:ascii="Times New Roman" w:hAnsi="Times New Roman" w:cs="Times New Roman" w:eastAsiaTheme="minorEastAsia"/>
          <w:sz w:val="24"/>
          <w:szCs w:val="24"/>
        </w:rPr>
        <w:t>3.1.1服务原则</w:t>
      </w:r>
      <w:bookmarkEnd w:id="70"/>
      <w:bookmarkEnd w:id="71"/>
      <w:bookmarkEnd w:id="72"/>
    </w:p>
    <w:p w14:paraId="79AE2FE6">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安全性原则</w:t>
      </w:r>
    </w:p>
    <w:p w14:paraId="5ADA7E7F">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针对本项目业务系统的专业性、复杂性和重要性，成交供应商在提供维护服务过程中，须确保本项目参保设备及其运行的应用系统的安全性和稳定性。</w:t>
      </w:r>
    </w:p>
    <w:p w14:paraId="799BA74D">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最优性价比原则</w:t>
      </w:r>
    </w:p>
    <w:p w14:paraId="17CA59FB">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成交供应商须结合本项目服务项目的需求与实际情况，提出性价比高的服务方案，满足本项目业务系统维护的需要。</w:t>
      </w:r>
    </w:p>
    <w:p w14:paraId="190A4A50">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高效性原则</w:t>
      </w:r>
    </w:p>
    <w:p w14:paraId="3044C84F">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为确保本项目业务系统的正常运行，成交供应商须提供及时高效的故障排除服务和可靠稳妥的技术支持。</w:t>
      </w:r>
    </w:p>
    <w:p w14:paraId="4763AB84">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2.1.2服务计划</w:t>
      </w:r>
    </w:p>
    <w:p w14:paraId="2D423EFD">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1.签订运维服务合同和保密协议，期限为1年；</w:t>
      </w:r>
    </w:p>
    <w:p w14:paraId="4C0FB40F">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2.签订合同后，按采购人要求运维服务团队入场，并开始计算服务期；</w:t>
      </w:r>
    </w:p>
    <w:p w14:paraId="2C3DA76A">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3.运维服务团队入场15日内，对设备实施首检，开展全面的资产统计及系统分析，形成详细的《资产清单》和《系统评估及分析报告》；</w:t>
      </w:r>
    </w:p>
    <w:p w14:paraId="4EC20D43">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4.根据系统评估及分析报告，结合用户实际情况，在15日内提供可落地执行的《淮水北调工程调度运行中心及省管泵站中控室运维服务方案》，并报采购人确认方可正式开展运维工作。</w:t>
      </w:r>
    </w:p>
    <w:p w14:paraId="30A13A6B">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5.在服务期结束前一个月，成交供应商将全面整理整个服务项目内完成的各项文档、数据，进行必要的资源移交工作，形成下一期服务的整体规划方案，为服务项目的延续做好充分准备。</w:t>
      </w:r>
    </w:p>
    <w:p w14:paraId="2C220691">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2.1.3服务交接</w:t>
      </w:r>
    </w:p>
    <w:p w14:paraId="5D1BFD8F">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在日常运维服务正式开始后的15日内，属于资源转移和项目过渡阶段。采购人在项目组正式入场开始服务前进行必要的资源移交和提供工作，以使得运维服务项目组尽快开始服务工作，降低前期磨合带来的风险。</w:t>
      </w:r>
    </w:p>
    <w:p w14:paraId="2EC8B88D">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采购人向成交供应商进行资源转移的工作包括：  </w:t>
      </w:r>
    </w:p>
    <w:p w14:paraId="57363E88">
      <w:pPr>
        <w:numPr>
          <w:ilvl w:val="0"/>
          <w:numId w:val="1"/>
        </w:numPr>
        <w:spacing w:line="380" w:lineRule="exact"/>
        <w:ind w:left="0" w:firstLine="480"/>
        <w:rPr>
          <w:rFonts w:ascii="Times New Roman" w:hAnsi="Times New Roman" w:cs="Times New Roman" w:eastAsiaTheme="minorEastAsia"/>
          <w:sz w:val="24"/>
          <w:szCs w:val="24"/>
        </w:rPr>
      </w:pPr>
      <w:r>
        <w:rPr>
          <w:rFonts w:ascii="Times New Roman" w:hAnsi="Times New Roman" w:cs="Times New Roman" w:eastAsiaTheme="minorEastAsia"/>
          <w:sz w:val="24"/>
          <w:szCs w:val="24"/>
        </w:rPr>
        <w:t>项目涉及服务对象的通讯录和不同对象的服务注意事项；</w:t>
      </w:r>
    </w:p>
    <w:p w14:paraId="30CE5D14">
      <w:pPr>
        <w:numPr>
          <w:ilvl w:val="0"/>
          <w:numId w:val="1"/>
        </w:numPr>
        <w:spacing w:line="380" w:lineRule="exact"/>
        <w:ind w:left="0" w:firstLine="480"/>
        <w:rPr>
          <w:rFonts w:ascii="Times New Roman" w:hAnsi="Times New Roman" w:cs="Times New Roman" w:eastAsiaTheme="minorEastAsia"/>
          <w:sz w:val="24"/>
          <w:szCs w:val="24"/>
        </w:rPr>
      </w:pPr>
      <w:r>
        <w:rPr>
          <w:rFonts w:ascii="Times New Roman" w:hAnsi="Times New Roman" w:cs="Times New Roman" w:eastAsiaTheme="minorEastAsia"/>
          <w:sz w:val="24"/>
          <w:szCs w:val="24"/>
        </w:rPr>
        <w:t>采购人的相关制度要求；</w:t>
      </w:r>
    </w:p>
    <w:p w14:paraId="33415368">
      <w:pPr>
        <w:numPr>
          <w:ilvl w:val="0"/>
          <w:numId w:val="1"/>
        </w:numPr>
        <w:spacing w:line="380" w:lineRule="exact"/>
        <w:ind w:left="0" w:firstLine="480"/>
        <w:rPr>
          <w:rFonts w:ascii="Times New Roman" w:hAnsi="Times New Roman" w:cs="Times New Roman" w:eastAsiaTheme="minorEastAsia"/>
          <w:sz w:val="24"/>
          <w:szCs w:val="24"/>
        </w:rPr>
      </w:pPr>
      <w:r>
        <w:rPr>
          <w:rFonts w:ascii="Times New Roman" w:hAnsi="Times New Roman" w:cs="Times New Roman" w:eastAsiaTheme="minorEastAsia"/>
          <w:sz w:val="24"/>
          <w:szCs w:val="24"/>
        </w:rPr>
        <w:t>根据《资产清单》提供项目涉及资产的类别、数量、分布情况说明；</w:t>
      </w:r>
    </w:p>
    <w:p w14:paraId="5CFCC108">
      <w:pPr>
        <w:numPr>
          <w:ilvl w:val="0"/>
          <w:numId w:val="1"/>
        </w:numPr>
        <w:spacing w:line="380" w:lineRule="exact"/>
        <w:ind w:left="0" w:firstLine="480"/>
        <w:rPr>
          <w:rFonts w:ascii="Times New Roman" w:hAnsi="Times New Roman" w:cs="Times New Roman" w:eastAsiaTheme="minorEastAsia"/>
          <w:sz w:val="24"/>
          <w:szCs w:val="24"/>
        </w:rPr>
      </w:pPr>
      <w:r>
        <w:rPr>
          <w:rFonts w:ascii="Times New Roman" w:hAnsi="Times New Roman" w:cs="Times New Roman" w:eastAsiaTheme="minorEastAsia"/>
          <w:sz w:val="24"/>
          <w:szCs w:val="24"/>
        </w:rPr>
        <w:t>提供项目涉及专用系统的使用与维护说明书；</w:t>
      </w:r>
    </w:p>
    <w:p w14:paraId="29F63128">
      <w:pPr>
        <w:numPr>
          <w:ilvl w:val="0"/>
          <w:numId w:val="1"/>
        </w:numPr>
        <w:spacing w:line="380" w:lineRule="exact"/>
        <w:ind w:left="0" w:firstLine="480"/>
        <w:rPr>
          <w:rFonts w:ascii="Times New Roman" w:hAnsi="Times New Roman" w:cs="Times New Roman" w:eastAsiaTheme="minorEastAsia"/>
          <w:sz w:val="24"/>
          <w:szCs w:val="24"/>
        </w:rPr>
      </w:pPr>
      <w:r>
        <w:rPr>
          <w:rFonts w:ascii="Times New Roman" w:hAnsi="Times New Roman" w:cs="Times New Roman" w:eastAsiaTheme="minorEastAsia"/>
          <w:sz w:val="24"/>
          <w:szCs w:val="24"/>
        </w:rPr>
        <w:t>前期全部的服务历史文档；</w:t>
      </w:r>
    </w:p>
    <w:p w14:paraId="297DCE6C">
      <w:pPr>
        <w:numPr>
          <w:ilvl w:val="0"/>
          <w:numId w:val="1"/>
        </w:numPr>
        <w:spacing w:line="380" w:lineRule="exact"/>
        <w:ind w:left="0" w:firstLine="480"/>
        <w:rPr>
          <w:rFonts w:ascii="Times New Roman" w:hAnsi="Times New Roman" w:cs="Times New Roman" w:eastAsiaTheme="minorEastAsia"/>
          <w:sz w:val="24"/>
          <w:szCs w:val="24"/>
        </w:rPr>
      </w:pPr>
      <w:r>
        <w:rPr>
          <w:rFonts w:ascii="Times New Roman" w:hAnsi="Times New Roman" w:cs="Times New Roman" w:eastAsiaTheme="minorEastAsia"/>
          <w:sz w:val="24"/>
          <w:szCs w:val="24"/>
        </w:rPr>
        <w:t>信息化系统前期运行情况；</w:t>
      </w:r>
    </w:p>
    <w:p w14:paraId="622D63CD">
      <w:pPr>
        <w:numPr>
          <w:ilvl w:val="0"/>
          <w:numId w:val="1"/>
        </w:numPr>
        <w:spacing w:line="380" w:lineRule="exact"/>
        <w:ind w:left="0" w:firstLine="480"/>
        <w:rPr>
          <w:rFonts w:ascii="Times New Roman" w:hAnsi="Times New Roman" w:cs="Times New Roman" w:eastAsiaTheme="minorEastAsia"/>
          <w:sz w:val="24"/>
          <w:szCs w:val="24"/>
        </w:rPr>
      </w:pPr>
      <w:r>
        <w:rPr>
          <w:rFonts w:ascii="Times New Roman" w:hAnsi="Times New Roman" w:cs="Times New Roman" w:eastAsiaTheme="minorEastAsia"/>
          <w:sz w:val="24"/>
          <w:szCs w:val="24"/>
        </w:rPr>
        <w:t>自动化设备前期运行情况；</w:t>
      </w:r>
    </w:p>
    <w:p w14:paraId="2FAFAC74">
      <w:pPr>
        <w:numPr>
          <w:ilvl w:val="0"/>
          <w:numId w:val="1"/>
        </w:numPr>
        <w:spacing w:line="380" w:lineRule="exact"/>
        <w:ind w:left="0" w:firstLine="480"/>
        <w:rPr>
          <w:rFonts w:ascii="Times New Roman" w:hAnsi="Times New Roman" w:cs="Times New Roman" w:eastAsiaTheme="minorEastAsia"/>
          <w:sz w:val="24"/>
          <w:szCs w:val="24"/>
        </w:rPr>
      </w:pPr>
      <w:r>
        <w:rPr>
          <w:rFonts w:ascii="Times New Roman" w:hAnsi="Times New Roman" w:cs="Times New Roman" w:eastAsiaTheme="minorEastAsia"/>
          <w:sz w:val="24"/>
          <w:szCs w:val="24"/>
        </w:rPr>
        <w:t>软件系统前期运行情况；</w:t>
      </w:r>
    </w:p>
    <w:p w14:paraId="3F5C6882">
      <w:pPr>
        <w:numPr>
          <w:ilvl w:val="0"/>
          <w:numId w:val="1"/>
        </w:numPr>
        <w:spacing w:line="380" w:lineRule="exact"/>
        <w:ind w:left="0" w:firstLine="480"/>
        <w:rPr>
          <w:rFonts w:ascii="Times New Roman" w:hAnsi="Times New Roman" w:cs="Times New Roman" w:eastAsiaTheme="minorEastAsia"/>
          <w:sz w:val="24"/>
          <w:szCs w:val="24"/>
        </w:rPr>
      </w:pPr>
      <w:r>
        <w:rPr>
          <w:rFonts w:ascii="Times New Roman" w:hAnsi="Times New Roman" w:cs="Times New Roman" w:eastAsiaTheme="minorEastAsia"/>
          <w:sz w:val="24"/>
          <w:szCs w:val="24"/>
        </w:rPr>
        <w:t>业务平台前期运行情况；</w:t>
      </w:r>
    </w:p>
    <w:p w14:paraId="190DDD08">
      <w:pPr>
        <w:numPr>
          <w:ilvl w:val="0"/>
          <w:numId w:val="1"/>
        </w:numPr>
        <w:spacing w:line="380" w:lineRule="exact"/>
        <w:ind w:left="0" w:firstLine="480"/>
        <w:rPr>
          <w:rFonts w:ascii="Times New Roman" w:hAnsi="Times New Roman" w:cs="Times New Roman" w:eastAsiaTheme="minorEastAsia"/>
          <w:sz w:val="24"/>
          <w:szCs w:val="24"/>
        </w:rPr>
      </w:pPr>
      <w:r>
        <w:rPr>
          <w:rFonts w:ascii="Times New Roman" w:hAnsi="Times New Roman" w:cs="Times New Roman" w:eastAsiaTheme="minorEastAsia"/>
          <w:sz w:val="24"/>
          <w:szCs w:val="24"/>
        </w:rPr>
        <w:t>网络前期运行情况；</w:t>
      </w:r>
    </w:p>
    <w:p w14:paraId="30AF3183">
      <w:pPr>
        <w:numPr>
          <w:ilvl w:val="0"/>
          <w:numId w:val="1"/>
        </w:numPr>
        <w:spacing w:line="380" w:lineRule="exact"/>
        <w:ind w:left="0" w:firstLine="480"/>
        <w:rPr>
          <w:rFonts w:ascii="Times New Roman" w:hAnsi="Times New Roman" w:cs="Times New Roman" w:eastAsiaTheme="minorEastAsia"/>
          <w:sz w:val="24"/>
          <w:szCs w:val="24"/>
        </w:rPr>
      </w:pPr>
      <w:r>
        <w:rPr>
          <w:rFonts w:ascii="Times New Roman" w:hAnsi="Times New Roman" w:cs="Times New Roman" w:eastAsiaTheme="minorEastAsia"/>
          <w:sz w:val="24"/>
          <w:szCs w:val="24"/>
        </w:rPr>
        <w:t>前期安全运行情况；</w:t>
      </w:r>
    </w:p>
    <w:p w14:paraId="2B61DC40">
      <w:pPr>
        <w:numPr>
          <w:ilvl w:val="0"/>
          <w:numId w:val="1"/>
        </w:numPr>
        <w:spacing w:line="380" w:lineRule="exact"/>
        <w:ind w:left="0" w:firstLine="480"/>
        <w:rPr>
          <w:rFonts w:ascii="Times New Roman" w:hAnsi="Times New Roman" w:cs="Times New Roman" w:eastAsiaTheme="minorEastAsia"/>
          <w:sz w:val="24"/>
          <w:szCs w:val="24"/>
        </w:rPr>
      </w:pPr>
      <w:r>
        <w:rPr>
          <w:rFonts w:ascii="Times New Roman" w:hAnsi="Times New Roman" w:cs="Times New Roman" w:eastAsiaTheme="minorEastAsia"/>
          <w:sz w:val="24"/>
          <w:szCs w:val="24"/>
        </w:rPr>
        <w:t>与该项目相关的其它资料。</w:t>
      </w:r>
    </w:p>
    <w:p w14:paraId="3B2046A7">
      <w:pPr>
        <w:spacing w:line="380" w:lineRule="exact"/>
        <w:ind w:firstLine="480" w:firstLineChars="200"/>
        <w:rPr>
          <w:rFonts w:ascii="Times New Roman" w:hAnsi="Times New Roman" w:cs="Times New Roman" w:eastAsiaTheme="minorEastAsia"/>
          <w:sz w:val="24"/>
          <w:szCs w:val="24"/>
        </w:rPr>
      </w:pPr>
      <w:bookmarkStart w:id="73" w:name="_Toc425892067"/>
      <w:bookmarkStart w:id="74" w:name="_Toc498350072"/>
      <w:bookmarkStart w:id="75" w:name="_Toc9026"/>
      <w:bookmarkStart w:id="76" w:name="_Toc423910265"/>
      <w:r>
        <w:rPr>
          <w:rFonts w:ascii="Times New Roman" w:hAnsi="Times New Roman" w:cs="Times New Roman" w:eastAsiaTheme="minorEastAsia"/>
          <w:sz w:val="24"/>
          <w:szCs w:val="24"/>
        </w:rPr>
        <w:t>2.1.4服务质量分级及响应时间</w:t>
      </w:r>
      <w:bookmarkEnd w:id="73"/>
      <w:r>
        <w:rPr>
          <w:rFonts w:ascii="Times New Roman" w:hAnsi="Times New Roman" w:cs="Times New Roman" w:eastAsiaTheme="minorEastAsia"/>
          <w:sz w:val="24"/>
          <w:szCs w:val="24"/>
        </w:rPr>
        <w:t>要求</w:t>
      </w:r>
      <w:bookmarkEnd w:id="74"/>
      <w:bookmarkEnd w:id="75"/>
    </w:p>
    <w:bookmarkEnd w:id="76"/>
    <w:p w14:paraId="4A94B1B0">
      <w:pPr>
        <w:spacing w:line="380" w:lineRule="exact"/>
        <w:ind w:firstLine="480" w:firstLineChars="200"/>
        <w:rPr>
          <w:rFonts w:ascii="Times New Roman" w:hAnsi="Times New Roman" w:cs="Times New Roman" w:eastAsiaTheme="minorEastAsia"/>
          <w:sz w:val="24"/>
          <w:szCs w:val="24"/>
        </w:rPr>
      </w:pPr>
      <w:bookmarkStart w:id="77" w:name="_Toc5577"/>
      <w:bookmarkStart w:id="78" w:name="_Toc423910267"/>
      <w:bookmarkStart w:id="79" w:name="_Toc425892070"/>
      <w:bookmarkStart w:id="80" w:name="_Toc498350074"/>
      <w:r>
        <w:rPr>
          <w:rFonts w:ascii="Times New Roman" w:hAnsi="Times New Roman" w:cs="Times New Roman" w:eastAsiaTheme="minorEastAsia"/>
          <w:sz w:val="24"/>
          <w:szCs w:val="24"/>
        </w:rPr>
        <w:t>2.1.4.1 非成交供应商服务范围内故障</w:t>
      </w:r>
      <w:bookmarkEnd w:id="77"/>
      <w:bookmarkEnd w:id="78"/>
      <w:bookmarkEnd w:id="79"/>
      <w:bookmarkEnd w:id="80"/>
    </w:p>
    <w:p w14:paraId="4ECBAC0A">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1、非可抗力故障：由于战争、自然灾害、公共群体事件、房屋倒塌等不可抗力造成的故障；</w:t>
      </w:r>
    </w:p>
    <w:p w14:paraId="01C4F8F3">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第三方服务故障：由于电力等第三方服务提供机构造成的，且成交供应商已经提出风险预警及报告的，不在成交供应商运维服务范围之内；但由于成交供应商未及时作出预警与响应的，成交供应商要承担相关运维服务义务；</w:t>
      </w:r>
    </w:p>
    <w:p w14:paraId="6C4FDDA8">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3、其他方面故障：因为国家法律法规变更造成的服务变更而形成的事实服务变更需要进行变更，如果用户需求与政策法规相悖的，不在成交供应商服务范围。</w:t>
      </w:r>
    </w:p>
    <w:p w14:paraId="216A9339">
      <w:pPr>
        <w:spacing w:line="380" w:lineRule="exact"/>
        <w:ind w:firstLine="480" w:firstLineChars="200"/>
        <w:rPr>
          <w:rFonts w:ascii="Times New Roman" w:hAnsi="Times New Roman" w:cs="Times New Roman" w:eastAsiaTheme="minorEastAsia"/>
          <w:sz w:val="24"/>
          <w:szCs w:val="24"/>
        </w:rPr>
      </w:pPr>
      <w:bookmarkStart w:id="81" w:name="_Toc387"/>
      <w:bookmarkStart w:id="82" w:name="_Toc498350075"/>
      <w:bookmarkStart w:id="83" w:name="_Toc423910268"/>
      <w:bookmarkStart w:id="84" w:name="_Toc425892071"/>
      <w:r>
        <w:rPr>
          <w:rFonts w:ascii="Times New Roman" w:hAnsi="Times New Roman" w:cs="Times New Roman" w:eastAsiaTheme="minorEastAsia"/>
          <w:sz w:val="24"/>
          <w:szCs w:val="24"/>
        </w:rPr>
        <w:t>2.1.4.2 成交供应商服务范围内故障</w:t>
      </w:r>
      <w:bookmarkEnd w:id="81"/>
      <w:bookmarkEnd w:id="82"/>
      <w:bookmarkEnd w:id="83"/>
      <w:bookmarkEnd w:id="84"/>
    </w:p>
    <w:p w14:paraId="6371D56C">
      <w:pPr>
        <w:spacing w:line="380" w:lineRule="exact"/>
        <w:ind w:firstLine="480" w:firstLineChars="200"/>
        <w:rPr>
          <w:rFonts w:ascii="Times New Roman" w:hAnsi="Times New Roman" w:cs="Times New Roman" w:eastAsiaTheme="minorEastAsia"/>
          <w:sz w:val="24"/>
          <w:szCs w:val="24"/>
        </w:rPr>
      </w:pPr>
      <w:bookmarkStart w:id="85" w:name="_Toc423910269"/>
      <w:bookmarkStart w:id="86" w:name="_Toc425892072"/>
      <w:r>
        <w:rPr>
          <w:rFonts w:ascii="Times New Roman" w:hAnsi="Times New Roman" w:cs="Times New Roman" w:eastAsiaTheme="minorEastAsia"/>
          <w:sz w:val="24"/>
          <w:szCs w:val="24"/>
        </w:rPr>
        <w:t>2.1.4.2.1硬件故障分级及响应时间</w:t>
      </w:r>
      <w:bookmarkEnd w:id="85"/>
      <w:bookmarkEnd w:id="86"/>
    </w:p>
    <w:tbl>
      <w:tblPr>
        <w:tblStyle w:val="24"/>
        <w:tblpPr w:leftFromText="180" w:rightFromText="180" w:vertAnchor="text" w:horzAnchor="margin" w:tblpY="15"/>
        <w:tblOverlap w:val="never"/>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738"/>
        <w:gridCol w:w="1843"/>
        <w:gridCol w:w="1417"/>
        <w:gridCol w:w="1276"/>
        <w:gridCol w:w="1417"/>
      </w:tblGrid>
      <w:tr w14:paraId="6035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922" w:type="dxa"/>
            <w:vAlign w:val="center"/>
          </w:tcPr>
          <w:p w14:paraId="113FE745">
            <w:pPr>
              <w:spacing w:line="240" w:lineRule="exact"/>
              <w:jc w:val="center"/>
              <w:rPr>
                <w:rFonts w:ascii="Times New Roman" w:hAnsi="Times New Roman" w:cs="Times New Roman" w:eastAsiaTheme="minorEastAsia"/>
                <w:b/>
                <w:color w:val="000000"/>
                <w:kern w:val="0"/>
                <w:szCs w:val="21"/>
              </w:rPr>
            </w:pPr>
            <w:bookmarkStart w:id="87" w:name="_Toc425892073"/>
            <w:bookmarkStart w:id="88" w:name="_Toc423910270"/>
            <w:r>
              <w:rPr>
                <w:rFonts w:ascii="Times New Roman" w:hAnsi="Times New Roman" w:cs="Times New Roman" w:eastAsiaTheme="minorEastAsia"/>
                <w:b/>
                <w:color w:val="000000"/>
                <w:kern w:val="0"/>
                <w:szCs w:val="21"/>
              </w:rPr>
              <w:t>分级</w:t>
            </w:r>
          </w:p>
        </w:tc>
        <w:tc>
          <w:tcPr>
            <w:tcW w:w="1738" w:type="dxa"/>
            <w:vAlign w:val="center"/>
          </w:tcPr>
          <w:p w14:paraId="20DAA809">
            <w:pPr>
              <w:spacing w:line="240" w:lineRule="exact"/>
              <w:jc w:val="center"/>
              <w:rPr>
                <w:rFonts w:ascii="Times New Roman" w:hAnsi="Times New Roman" w:cs="Times New Roman" w:eastAsiaTheme="minorEastAsia"/>
                <w:b/>
                <w:color w:val="000000"/>
                <w:kern w:val="0"/>
                <w:szCs w:val="21"/>
              </w:rPr>
            </w:pPr>
            <w:r>
              <w:rPr>
                <w:rFonts w:ascii="Times New Roman" w:hAnsi="Times New Roman" w:cs="Times New Roman" w:eastAsiaTheme="minorEastAsia"/>
                <w:b/>
                <w:color w:val="000000"/>
                <w:kern w:val="0"/>
                <w:szCs w:val="21"/>
              </w:rPr>
              <w:t>故障影响</w:t>
            </w:r>
          </w:p>
        </w:tc>
        <w:tc>
          <w:tcPr>
            <w:tcW w:w="1843" w:type="dxa"/>
            <w:vAlign w:val="center"/>
          </w:tcPr>
          <w:p w14:paraId="756AFDBC">
            <w:pPr>
              <w:spacing w:line="240" w:lineRule="exact"/>
              <w:jc w:val="center"/>
              <w:rPr>
                <w:rFonts w:ascii="Times New Roman" w:hAnsi="Times New Roman" w:cs="Times New Roman" w:eastAsiaTheme="minorEastAsia"/>
                <w:b/>
                <w:color w:val="000000"/>
                <w:kern w:val="0"/>
                <w:szCs w:val="21"/>
              </w:rPr>
            </w:pPr>
            <w:r>
              <w:rPr>
                <w:rFonts w:ascii="Times New Roman" w:hAnsi="Times New Roman" w:cs="Times New Roman" w:eastAsiaTheme="minorEastAsia"/>
                <w:b/>
                <w:color w:val="000000"/>
                <w:kern w:val="0"/>
                <w:szCs w:val="21"/>
              </w:rPr>
              <w:t>故障现象</w:t>
            </w:r>
          </w:p>
        </w:tc>
        <w:tc>
          <w:tcPr>
            <w:tcW w:w="1417" w:type="dxa"/>
            <w:vAlign w:val="center"/>
          </w:tcPr>
          <w:p w14:paraId="2A50F84E">
            <w:pPr>
              <w:spacing w:line="240" w:lineRule="exact"/>
              <w:jc w:val="center"/>
              <w:rPr>
                <w:rFonts w:ascii="Times New Roman" w:hAnsi="Times New Roman" w:cs="Times New Roman" w:eastAsiaTheme="minorEastAsia"/>
                <w:b/>
                <w:color w:val="000000"/>
                <w:kern w:val="0"/>
                <w:szCs w:val="21"/>
              </w:rPr>
            </w:pPr>
            <w:r>
              <w:rPr>
                <w:rFonts w:ascii="Times New Roman" w:hAnsi="Times New Roman" w:cs="Times New Roman" w:eastAsiaTheme="minorEastAsia"/>
                <w:b/>
                <w:color w:val="000000"/>
                <w:kern w:val="0"/>
                <w:szCs w:val="21"/>
              </w:rPr>
              <w:t>响应时间</w:t>
            </w:r>
          </w:p>
        </w:tc>
        <w:tc>
          <w:tcPr>
            <w:tcW w:w="1276" w:type="dxa"/>
            <w:vAlign w:val="center"/>
          </w:tcPr>
          <w:p w14:paraId="56C0F8A1">
            <w:pPr>
              <w:spacing w:line="240" w:lineRule="exact"/>
              <w:jc w:val="center"/>
              <w:rPr>
                <w:rFonts w:ascii="Times New Roman" w:hAnsi="Times New Roman" w:cs="Times New Roman" w:eastAsiaTheme="minorEastAsia"/>
                <w:b/>
                <w:color w:val="000000"/>
                <w:kern w:val="0"/>
                <w:szCs w:val="21"/>
              </w:rPr>
            </w:pPr>
            <w:r>
              <w:rPr>
                <w:rFonts w:ascii="Times New Roman" w:hAnsi="Times New Roman" w:cs="Times New Roman" w:eastAsiaTheme="minorEastAsia"/>
                <w:b/>
                <w:color w:val="000000"/>
                <w:kern w:val="0"/>
                <w:szCs w:val="21"/>
              </w:rPr>
              <w:t>业务恢复时间</w:t>
            </w:r>
          </w:p>
        </w:tc>
        <w:tc>
          <w:tcPr>
            <w:tcW w:w="1417" w:type="dxa"/>
            <w:vAlign w:val="center"/>
          </w:tcPr>
          <w:p w14:paraId="29DAD2CC">
            <w:pPr>
              <w:spacing w:line="240" w:lineRule="exact"/>
              <w:jc w:val="center"/>
              <w:rPr>
                <w:rFonts w:ascii="Times New Roman" w:hAnsi="Times New Roman" w:cs="Times New Roman" w:eastAsiaTheme="minorEastAsia"/>
                <w:b/>
                <w:color w:val="000000"/>
                <w:kern w:val="0"/>
                <w:szCs w:val="21"/>
              </w:rPr>
            </w:pPr>
            <w:r>
              <w:rPr>
                <w:rFonts w:ascii="Times New Roman" w:hAnsi="Times New Roman" w:cs="Times New Roman" w:eastAsiaTheme="minorEastAsia"/>
                <w:b/>
                <w:color w:val="000000"/>
                <w:kern w:val="0"/>
                <w:szCs w:val="21"/>
              </w:rPr>
              <w:t>故障解决时间</w:t>
            </w:r>
          </w:p>
        </w:tc>
      </w:tr>
      <w:tr w14:paraId="79616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922" w:type="dxa"/>
            <w:vAlign w:val="center"/>
          </w:tcPr>
          <w:p w14:paraId="2BE2651C">
            <w:pPr>
              <w:spacing w:line="240" w:lineRule="exact"/>
              <w:jc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一级</w:t>
            </w:r>
          </w:p>
        </w:tc>
        <w:tc>
          <w:tcPr>
            <w:tcW w:w="1738" w:type="dxa"/>
            <w:vAlign w:val="center"/>
          </w:tcPr>
          <w:p w14:paraId="3952C8E5">
            <w:pPr>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 xml:space="preserve">对业务运营造成灾难性影响 </w:t>
            </w:r>
          </w:p>
        </w:tc>
        <w:tc>
          <w:tcPr>
            <w:tcW w:w="1843" w:type="dxa"/>
            <w:vAlign w:val="center"/>
          </w:tcPr>
          <w:p w14:paraId="3C2AF3B7">
            <w:pPr>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硬件无法运行。</w:t>
            </w:r>
          </w:p>
        </w:tc>
        <w:tc>
          <w:tcPr>
            <w:tcW w:w="1417" w:type="dxa"/>
            <w:vAlign w:val="center"/>
          </w:tcPr>
          <w:p w14:paraId="21DDFB1D">
            <w:pPr>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小于5分钟</w:t>
            </w:r>
          </w:p>
        </w:tc>
        <w:tc>
          <w:tcPr>
            <w:tcW w:w="1276" w:type="dxa"/>
            <w:vAlign w:val="center"/>
          </w:tcPr>
          <w:p w14:paraId="1DF6A69C">
            <w:pPr>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小于8小时</w:t>
            </w:r>
          </w:p>
        </w:tc>
        <w:tc>
          <w:tcPr>
            <w:tcW w:w="1417" w:type="dxa"/>
            <w:vAlign w:val="center"/>
          </w:tcPr>
          <w:p w14:paraId="46E6F225">
            <w:pPr>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小于24小时</w:t>
            </w:r>
          </w:p>
        </w:tc>
      </w:tr>
      <w:tr w14:paraId="2139A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22" w:type="dxa"/>
            <w:vAlign w:val="center"/>
          </w:tcPr>
          <w:p w14:paraId="668D7D8A">
            <w:pPr>
              <w:spacing w:line="240" w:lineRule="exact"/>
              <w:jc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二级</w:t>
            </w:r>
          </w:p>
        </w:tc>
        <w:tc>
          <w:tcPr>
            <w:tcW w:w="1738" w:type="dxa"/>
            <w:vAlign w:val="center"/>
          </w:tcPr>
          <w:p w14:paraId="5F04823E">
            <w:pPr>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 xml:space="preserve">严重影响业务运营 </w:t>
            </w:r>
          </w:p>
        </w:tc>
        <w:tc>
          <w:tcPr>
            <w:tcW w:w="1843" w:type="dxa"/>
            <w:vAlign w:val="center"/>
          </w:tcPr>
          <w:p w14:paraId="18E2C833">
            <w:pPr>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硬件内置重要部件损坏，影响硬件正常运行。</w:t>
            </w:r>
          </w:p>
        </w:tc>
        <w:tc>
          <w:tcPr>
            <w:tcW w:w="1417" w:type="dxa"/>
            <w:vAlign w:val="center"/>
          </w:tcPr>
          <w:p w14:paraId="63A5329C">
            <w:pPr>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小于1小时</w:t>
            </w:r>
          </w:p>
        </w:tc>
        <w:tc>
          <w:tcPr>
            <w:tcW w:w="1276" w:type="dxa"/>
            <w:vAlign w:val="center"/>
          </w:tcPr>
          <w:p w14:paraId="7EFD9CF3">
            <w:pPr>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小于4小时</w:t>
            </w:r>
          </w:p>
        </w:tc>
        <w:tc>
          <w:tcPr>
            <w:tcW w:w="1417" w:type="dxa"/>
            <w:vAlign w:val="center"/>
          </w:tcPr>
          <w:p w14:paraId="79EAC999">
            <w:pPr>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小于8小时</w:t>
            </w:r>
          </w:p>
        </w:tc>
      </w:tr>
      <w:tr w14:paraId="7C1AC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22" w:type="dxa"/>
            <w:vAlign w:val="center"/>
          </w:tcPr>
          <w:p w14:paraId="3EB897E9">
            <w:pPr>
              <w:spacing w:line="240" w:lineRule="exact"/>
              <w:jc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三级</w:t>
            </w:r>
          </w:p>
        </w:tc>
        <w:tc>
          <w:tcPr>
            <w:tcW w:w="1738" w:type="dxa"/>
            <w:vAlign w:val="center"/>
          </w:tcPr>
          <w:p w14:paraId="09335656">
            <w:pPr>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 xml:space="preserve">对业务运营的影响有限 </w:t>
            </w:r>
          </w:p>
        </w:tc>
        <w:tc>
          <w:tcPr>
            <w:tcW w:w="1843" w:type="dxa"/>
            <w:vAlign w:val="center"/>
          </w:tcPr>
          <w:p w14:paraId="25FD48E9">
            <w:pPr>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硬件内置部件损坏，不影响硬件正常运行。</w:t>
            </w:r>
          </w:p>
        </w:tc>
        <w:tc>
          <w:tcPr>
            <w:tcW w:w="1417" w:type="dxa"/>
            <w:vAlign w:val="center"/>
          </w:tcPr>
          <w:p w14:paraId="71BD7F37">
            <w:pPr>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小于1小时</w:t>
            </w:r>
          </w:p>
        </w:tc>
        <w:tc>
          <w:tcPr>
            <w:tcW w:w="1276" w:type="dxa"/>
            <w:vAlign w:val="center"/>
          </w:tcPr>
          <w:p w14:paraId="1EB88D23">
            <w:pPr>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小于2小时</w:t>
            </w:r>
          </w:p>
        </w:tc>
        <w:tc>
          <w:tcPr>
            <w:tcW w:w="1417" w:type="dxa"/>
            <w:vAlign w:val="center"/>
          </w:tcPr>
          <w:p w14:paraId="01D56987">
            <w:pPr>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小于4小时</w:t>
            </w:r>
          </w:p>
        </w:tc>
      </w:tr>
    </w:tbl>
    <w:p w14:paraId="5A9B4384">
      <w:pPr>
        <w:ind w:firstLine="480"/>
        <w:rPr>
          <w:rFonts w:ascii="Times New Roman" w:hAnsi="Times New Roman" w:cs="Times New Roman" w:eastAsiaTheme="minorEastAsia"/>
          <w:sz w:val="24"/>
          <w:szCs w:val="24"/>
        </w:rPr>
      </w:pPr>
      <w:r>
        <w:rPr>
          <w:rFonts w:ascii="Times New Roman" w:hAnsi="Times New Roman" w:cs="Times New Roman" w:eastAsiaTheme="minorEastAsia"/>
          <w:sz w:val="24"/>
          <w:szCs w:val="24"/>
        </w:rPr>
        <w:t>3.1.5.2.2网络故障分级及响应时间</w:t>
      </w:r>
      <w:bookmarkEnd w:id="87"/>
      <w:bookmarkEnd w:id="88"/>
    </w:p>
    <w:tbl>
      <w:tblPr>
        <w:tblStyle w:val="24"/>
        <w:tblpPr w:leftFromText="180" w:rightFromText="180" w:vertAnchor="text" w:horzAnchor="margin" w:tblpY="93"/>
        <w:tblOverlap w:val="never"/>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3260"/>
        <w:gridCol w:w="1134"/>
        <w:gridCol w:w="992"/>
        <w:gridCol w:w="1134"/>
      </w:tblGrid>
      <w:tr w14:paraId="6EAE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17" w:type="dxa"/>
            <w:vAlign w:val="center"/>
          </w:tcPr>
          <w:p w14:paraId="44C3FE64">
            <w:pPr>
              <w:spacing w:line="240" w:lineRule="exact"/>
              <w:jc w:val="center"/>
              <w:rPr>
                <w:rFonts w:ascii="Times New Roman" w:hAnsi="Times New Roman" w:cs="Times New Roman" w:eastAsiaTheme="minorEastAsia"/>
                <w:b/>
                <w:color w:val="000000"/>
                <w:kern w:val="0"/>
                <w:szCs w:val="21"/>
              </w:rPr>
            </w:pPr>
            <w:r>
              <w:rPr>
                <w:rFonts w:ascii="Times New Roman" w:hAnsi="Times New Roman" w:cs="Times New Roman" w:eastAsiaTheme="minorEastAsia"/>
                <w:b/>
                <w:color w:val="000000"/>
                <w:kern w:val="0"/>
                <w:szCs w:val="21"/>
              </w:rPr>
              <w:t>分级</w:t>
            </w:r>
          </w:p>
        </w:tc>
        <w:tc>
          <w:tcPr>
            <w:tcW w:w="1276" w:type="dxa"/>
            <w:vAlign w:val="center"/>
          </w:tcPr>
          <w:p w14:paraId="19EE249A">
            <w:pPr>
              <w:spacing w:line="240" w:lineRule="exact"/>
              <w:jc w:val="center"/>
              <w:rPr>
                <w:rFonts w:ascii="Times New Roman" w:hAnsi="Times New Roman" w:cs="Times New Roman" w:eastAsiaTheme="minorEastAsia"/>
                <w:b/>
                <w:color w:val="000000"/>
                <w:kern w:val="0"/>
                <w:szCs w:val="21"/>
              </w:rPr>
            </w:pPr>
            <w:r>
              <w:rPr>
                <w:rFonts w:ascii="Times New Roman" w:hAnsi="Times New Roman" w:cs="Times New Roman" w:eastAsiaTheme="minorEastAsia"/>
                <w:b/>
                <w:color w:val="000000"/>
                <w:kern w:val="0"/>
                <w:szCs w:val="21"/>
              </w:rPr>
              <w:t>故障影响</w:t>
            </w:r>
          </w:p>
        </w:tc>
        <w:tc>
          <w:tcPr>
            <w:tcW w:w="3260" w:type="dxa"/>
            <w:vAlign w:val="center"/>
          </w:tcPr>
          <w:p w14:paraId="6BDFC15E">
            <w:pPr>
              <w:spacing w:line="240" w:lineRule="exact"/>
              <w:jc w:val="center"/>
              <w:rPr>
                <w:rFonts w:ascii="Times New Roman" w:hAnsi="Times New Roman" w:cs="Times New Roman" w:eastAsiaTheme="minorEastAsia"/>
                <w:b/>
                <w:color w:val="000000"/>
                <w:kern w:val="0"/>
                <w:szCs w:val="21"/>
              </w:rPr>
            </w:pPr>
            <w:r>
              <w:rPr>
                <w:rFonts w:ascii="Times New Roman" w:hAnsi="Times New Roman" w:cs="Times New Roman" w:eastAsiaTheme="minorEastAsia"/>
                <w:b/>
                <w:color w:val="000000"/>
                <w:kern w:val="0"/>
                <w:szCs w:val="21"/>
              </w:rPr>
              <w:t>故障现象</w:t>
            </w:r>
          </w:p>
        </w:tc>
        <w:tc>
          <w:tcPr>
            <w:tcW w:w="1134" w:type="dxa"/>
            <w:vAlign w:val="center"/>
          </w:tcPr>
          <w:p w14:paraId="484F6253">
            <w:pPr>
              <w:spacing w:line="240" w:lineRule="exact"/>
              <w:jc w:val="center"/>
              <w:rPr>
                <w:rFonts w:ascii="Times New Roman" w:hAnsi="Times New Roman" w:cs="Times New Roman" w:eastAsiaTheme="minorEastAsia"/>
                <w:b/>
                <w:color w:val="000000"/>
                <w:kern w:val="0"/>
                <w:szCs w:val="21"/>
              </w:rPr>
            </w:pPr>
            <w:r>
              <w:rPr>
                <w:rFonts w:ascii="Times New Roman" w:hAnsi="Times New Roman" w:cs="Times New Roman" w:eastAsiaTheme="minorEastAsia"/>
                <w:b/>
                <w:color w:val="000000"/>
                <w:kern w:val="0"/>
                <w:szCs w:val="21"/>
              </w:rPr>
              <w:t>响应时间</w:t>
            </w:r>
          </w:p>
        </w:tc>
        <w:tc>
          <w:tcPr>
            <w:tcW w:w="992" w:type="dxa"/>
            <w:vAlign w:val="center"/>
          </w:tcPr>
          <w:p w14:paraId="5AED81E0">
            <w:pPr>
              <w:spacing w:line="240" w:lineRule="exact"/>
              <w:jc w:val="center"/>
              <w:rPr>
                <w:rFonts w:ascii="Times New Roman" w:hAnsi="Times New Roman" w:cs="Times New Roman" w:eastAsiaTheme="minorEastAsia"/>
                <w:b/>
                <w:color w:val="000000"/>
                <w:kern w:val="0"/>
                <w:szCs w:val="21"/>
              </w:rPr>
            </w:pPr>
            <w:r>
              <w:rPr>
                <w:rFonts w:ascii="Times New Roman" w:hAnsi="Times New Roman" w:cs="Times New Roman" w:eastAsiaTheme="minorEastAsia"/>
                <w:b/>
                <w:color w:val="000000"/>
                <w:kern w:val="0"/>
                <w:szCs w:val="21"/>
              </w:rPr>
              <w:t>业务恢复时间</w:t>
            </w:r>
          </w:p>
        </w:tc>
        <w:tc>
          <w:tcPr>
            <w:tcW w:w="1134" w:type="dxa"/>
            <w:vAlign w:val="center"/>
          </w:tcPr>
          <w:p w14:paraId="52BC20D5">
            <w:pPr>
              <w:spacing w:line="240" w:lineRule="exact"/>
              <w:jc w:val="center"/>
              <w:rPr>
                <w:rFonts w:ascii="Times New Roman" w:hAnsi="Times New Roman" w:cs="Times New Roman" w:eastAsiaTheme="minorEastAsia"/>
                <w:b/>
                <w:color w:val="000000"/>
                <w:kern w:val="0"/>
                <w:szCs w:val="21"/>
              </w:rPr>
            </w:pPr>
            <w:r>
              <w:rPr>
                <w:rFonts w:ascii="Times New Roman" w:hAnsi="Times New Roman" w:cs="Times New Roman" w:eastAsiaTheme="minorEastAsia"/>
                <w:b/>
                <w:color w:val="000000"/>
                <w:kern w:val="0"/>
                <w:szCs w:val="21"/>
              </w:rPr>
              <w:t>故障解决时间</w:t>
            </w:r>
          </w:p>
        </w:tc>
      </w:tr>
      <w:tr w14:paraId="59C3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17" w:type="dxa"/>
            <w:vAlign w:val="center"/>
          </w:tcPr>
          <w:p w14:paraId="2F56EF10">
            <w:pPr>
              <w:spacing w:line="240" w:lineRule="exact"/>
              <w:jc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一级</w:t>
            </w:r>
          </w:p>
        </w:tc>
        <w:tc>
          <w:tcPr>
            <w:tcW w:w="1276" w:type="dxa"/>
            <w:vAlign w:val="center"/>
          </w:tcPr>
          <w:p w14:paraId="0467B867">
            <w:pPr>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 xml:space="preserve">对业务运营造成灾难性影响 </w:t>
            </w:r>
          </w:p>
        </w:tc>
        <w:tc>
          <w:tcPr>
            <w:tcW w:w="3260" w:type="dxa"/>
            <w:vAlign w:val="center"/>
          </w:tcPr>
          <w:p w14:paraId="199AC7D7">
            <w:pPr>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网络完全拥塞或设备宕机；网络或设备处理能力严重受影响，对采购人的业务运作有严重影响；网络或设备故障对重要的采购人造成严重影响。</w:t>
            </w:r>
          </w:p>
        </w:tc>
        <w:tc>
          <w:tcPr>
            <w:tcW w:w="1134" w:type="dxa"/>
            <w:vAlign w:val="center"/>
          </w:tcPr>
          <w:p w14:paraId="1BF6446C">
            <w:pPr>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小于1小时</w:t>
            </w:r>
          </w:p>
        </w:tc>
        <w:tc>
          <w:tcPr>
            <w:tcW w:w="992" w:type="dxa"/>
            <w:vAlign w:val="center"/>
          </w:tcPr>
          <w:p w14:paraId="6A53095E">
            <w:pPr>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小于8小时</w:t>
            </w:r>
          </w:p>
        </w:tc>
        <w:tc>
          <w:tcPr>
            <w:tcW w:w="1134" w:type="dxa"/>
            <w:vAlign w:val="center"/>
          </w:tcPr>
          <w:p w14:paraId="1DFEF4F3">
            <w:pPr>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小于24小时</w:t>
            </w:r>
          </w:p>
        </w:tc>
      </w:tr>
      <w:tr w14:paraId="02F9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17" w:type="dxa"/>
            <w:vAlign w:val="center"/>
          </w:tcPr>
          <w:p w14:paraId="003A095B">
            <w:pPr>
              <w:spacing w:line="240" w:lineRule="exact"/>
              <w:jc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二级</w:t>
            </w:r>
          </w:p>
        </w:tc>
        <w:tc>
          <w:tcPr>
            <w:tcW w:w="1276" w:type="dxa"/>
            <w:vAlign w:val="center"/>
          </w:tcPr>
          <w:p w14:paraId="0B6C2AFC">
            <w:pPr>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严重影响业务运营</w:t>
            </w:r>
          </w:p>
        </w:tc>
        <w:tc>
          <w:tcPr>
            <w:tcW w:w="3260" w:type="dxa"/>
            <w:vAlign w:val="center"/>
          </w:tcPr>
          <w:p w14:paraId="00AE91F0">
            <w:pPr>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网络或设备的性能严重下降，对采购人的业务运作产生重要影响；部分区域网络故障；一般网络节点发生故障。</w:t>
            </w:r>
          </w:p>
        </w:tc>
        <w:tc>
          <w:tcPr>
            <w:tcW w:w="1134" w:type="dxa"/>
            <w:vAlign w:val="center"/>
          </w:tcPr>
          <w:p w14:paraId="7DE586BF">
            <w:pPr>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小于1小时</w:t>
            </w:r>
          </w:p>
        </w:tc>
        <w:tc>
          <w:tcPr>
            <w:tcW w:w="992" w:type="dxa"/>
            <w:vAlign w:val="center"/>
          </w:tcPr>
          <w:p w14:paraId="2961A650">
            <w:pPr>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小于4小时</w:t>
            </w:r>
          </w:p>
        </w:tc>
        <w:tc>
          <w:tcPr>
            <w:tcW w:w="1134" w:type="dxa"/>
            <w:vAlign w:val="center"/>
          </w:tcPr>
          <w:p w14:paraId="153468F2">
            <w:pPr>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小于8小时</w:t>
            </w:r>
          </w:p>
        </w:tc>
      </w:tr>
      <w:tr w14:paraId="7961A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17" w:type="dxa"/>
            <w:vAlign w:val="center"/>
          </w:tcPr>
          <w:p w14:paraId="624C7E91">
            <w:pPr>
              <w:spacing w:line="240" w:lineRule="exact"/>
              <w:jc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三级</w:t>
            </w:r>
          </w:p>
        </w:tc>
        <w:tc>
          <w:tcPr>
            <w:tcW w:w="1276" w:type="dxa"/>
            <w:vAlign w:val="center"/>
          </w:tcPr>
          <w:p w14:paraId="7F726999">
            <w:pPr>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 xml:space="preserve">对业务运营的影响有限 </w:t>
            </w:r>
          </w:p>
        </w:tc>
        <w:tc>
          <w:tcPr>
            <w:tcW w:w="3260" w:type="dxa"/>
            <w:vAlign w:val="center"/>
          </w:tcPr>
          <w:p w14:paraId="7373068C">
            <w:pPr>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网络或设备性能受损，但最终采购人大部分业务仍可正常工作；报警出错和操作命令反常。</w:t>
            </w:r>
          </w:p>
        </w:tc>
        <w:tc>
          <w:tcPr>
            <w:tcW w:w="1134" w:type="dxa"/>
            <w:vAlign w:val="center"/>
          </w:tcPr>
          <w:p w14:paraId="7B3FD9CE">
            <w:pPr>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小于1小时</w:t>
            </w:r>
          </w:p>
        </w:tc>
        <w:tc>
          <w:tcPr>
            <w:tcW w:w="992" w:type="dxa"/>
            <w:vAlign w:val="center"/>
          </w:tcPr>
          <w:p w14:paraId="69586B18">
            <w:pPr>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小于2小时</w:t>
            </w:r>
          </w:p>
        </w:tc>
        <w:tc>
          <w:tcPr>
            <w:tcW w:w="1134" w:type="dxa"/>
            <w:vAlign w:val="center"/>
          </w:tcPr>
          <w:p w14:paraId="73D608BE">
            <w:pPr>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小于4小时</w:t>
            </w:r>
          </w:p>
        </w:tc>
      </w:tr>
      <w:tr w14:paraId="0AB0C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17" w:type="dxa"/>
            <w:vAlign w:val="center"/>
          </w:tcPr>
          <w:p w14:paraId="2D1CA547">
            <w:pPr>
              <w:spacing w:line="240" w:lineRule="exact"/>
              <w:jc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四级</w:t>
            </w:r>
          </w:p>
        </w:tc>
        <w:tc>
          <w:tcPr>
            <w:tcW w:w="1276" w:type="dxa"/>
            <w:vAlign w:val="center"/>
          </w:tcPr>
          <w:p w14:paraId="51B37AE4">
            <w:pPr>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 xml:space="preserve">对业务运营的影响轻微 </w:t>
            </w:r>
          </w:p>
        </w:tc>
        <w:tc>
          <w:tcPr>
            <w:tcW w:w="3260" w:type="dxa"/>
            <w:vAlign w:val="center"/>
          </w:tcPr>
          <w:p w14:paraId="5B7F8358">
            <w:pPr>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其它一般的故障，不影响系统的整体运行，不影响大部分采购人的使用。</w:t>
            </w:r>
          </w:p>
        </w:tc>
        <w:tc>
          <w:tcPr>
            <w:tcW w:w="1134" w:type="dxa"/>
            <w:vAlign w:val="center"/>
          </w:tcPr>
          <w:p w14:paraId="0B74F25D">
            <w:pPr>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小于2小时</w:t>
            </w:r>
          </w:p>
        </w:tc>
        <w:tc>
          <w:tcPr>
            <w:tcW w:w="992" w:type="dxa"/>
            <w:vAlign w:val="center"/>
          </w:tcPr>
          <w:p w14:paraId="3C631310">
            <w:pPr>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小于4小时</w:t>
            </w:r>
          </w:p>
        </w:tc>
        <w:tc>
          <w:tcPr>
            <w:tcW w:w="1134" w:type="dxa"/>
            <w:vAlign w:val="center"/>
          </w:tcPr>
          <w:p w14:paraId="635765A3">
            <w:pPr>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小于8小时</w:t>
            </w:r>
          </w:p>
        </w:tc>
      </w:tr>
    </w:tbl>
    <w:p w14:paraId="7F836660">
      <w:pPr>
        <w:ind w:firstLine="480"/>
        <w:rPr>
          <w:rFonts w:ascii="Times New Roman" w:hAnsi="Times New Roman" w:cs="Times New Roman" w:eastAsiaTheme="minorEastAsia"/>
          <w:sz w:val="24"/>
          <w:szCs w:val="24"/>
        </w:rPr>
      </w:pPr>
      <w:bookmarkStart w:id="89" w:name="_Toc425892074"/>
      <w:bookmarkStart w:id="90" w:name="_Toc423910271"/>
      <w:r>
        <w:rPr>
          <w:rFonts w:ascii="Times New Roman" w:hAnsi="Times New Roman" w:cs="Times New Roman" w:eastAsiaTheme="minorEastAsia"/>
          <w:sz w:val="24"/>
          <w:szCs w:val="24"/>
        </w:rPr>
        <w:t>3.1.5.2.3电力故障分级及响应时间</w:t>
      </w:r>
      <w:bookmarkEnd w:id="89"/>
      <w:bookmarkEnd w:id="90"/>
    </w:p>
    <w:tbl>
      <w:tblPr>
        <w:tblStyle w:val="24"/>
        <w:tblpPr w:leftFromText="180" w:rightFromText="180" w:vertAnchor="text" w:horzAnchor="margin" w:tblpY="11"/>
        <w:tblOverlap w:val="never"/>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738"/>
        <w:gridCol w:w="1843"/>
        <w:gridCol w:w="1417"/>
        <w:gridCol w:w="1276"/>
        <w:gridCol w:w="1417"/>
      </w:tblGrid>
      <w:tr w14:paraId="1CA7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922" w:type="dxa"/>
            <w:vAlign w:val="center"/>
          </w:tcPr>
          <w:p w14:paraId="2729C4AA">
            <w:pPr>
              <w:spacing w:line="240" w:lineRule="exact"/>
              <w:jc w:val="center"/>
              <w:rPr>
                <w:rFonts w:ascii="Times New Roman" w:hAnsi="Times New Roman" w:cs="Times New Roman" w:eastAsiaTheme="minorEastAsia"/>
                <w:b/>
                <w:color w:val="000000"/>
                <w:kern w:val="0"/>
                <w:szCs w:val="21"/>
              </w:rPr>
            </w:pPr>
            <w:r>
              <w:rPr>
                <w:rFonts w:ascii="Times New Roman" w:hAnsi="Times New Roman" w:cs="Times New Roman" w:eastAsiaTheme="minorEastAsia"/>
                <w:b/>
                <w:color w:val="000000"/>
                <w:kern w:val="0"/>
                <w:szCs w:val="21"/>
              </w:rPr>
              <w:t>分级</w:t>
            </w:r>
          </w:p>
        </w:tc>
        <w:tc>
          <w:tcPr>
            <w:tcW w:w="1738" w:type="dxa"/>
            <w:vAlign w:val="center"/>
          </w:tcPr>
          <w:p w14:paraId="15A7D26A">
            <w:pPr>
              <w:spacing w:line="240" w:lineRule="exact"/>
              <w:jc w:val="center"/>
              <w:rPr>
                <w:rFonts w:ascii="Times New Roman" w:hAnsi="Times New Roman" w:cs="Times New Roman" w:eastAsiaTheme="minorEastAsia"/>
                <w:b/>
                <w:color w:val="000000"/>
                <w:kern w:val="0"/>
                <w:szCs w:val="21"/>
              </w:rPr>
            </w:pPr>
            <w:r>
              <w:rPr>
                <w:rFonts w:ascii="Times New Roman" w:hAnsi="Times New Roman" w:cs="Times New Roman" w:eastAsiaTheme="minorEastAsia"/>
                <w:b/>
                <w:color w:val="000000"/>
                <w:kern w:val="0"/>
                <w:szCs w:val="21"/>
              </w:rPr>
              <w:t>故障影响</w:t>
            </w:r>
          </w:p>
        </w:tc>
        <w:tc>
          <w:tcPr>
            <w:tcW w:w="1843" w:type="dxa"/>
            <w:vAlign w:val="center"/>
          </w:tcPr>
          <w:p w14:paraId="6F0403AF">
            <w:pPr>
              <w:spacing w:line="240" w:lineRule="exact"/>
              <w:jc w:val="center"/>
              <w:rPr>
                <w:rFonts w:ascii="Times New Roman" w:hAnsi="Times New Roman" w:cs="Times New Roman" w:eastAsiaTheme="minorEastAsia"/>
                <w:b/>
                <w:color w:val="000000"/>
                <w:kern w:val="0"/>
                <w:szCs w:val="21"/>
              </w:rPr>
            </w:pPr>
            <w:r>
              <w:rPr>
                <w:rFonts w:ascii="Times New Roman" w:hAnsi="Times New Roman" w:cs="Times New Roman" w:eastAsiaTheme="minorEastAsia"/>
                <w:b/>
                <w:color w:val="000000"/>
                <w:kern w:val="0"/>
                <w:szCs w:val="21"/>
              </w:rPr>
              <w:t>故障现象</w:t>
            </w:r>
          </w:p>
        </w:tc>
        <w:tc>
          <w:tcPr>
            <w:tcW w:w="1417" w:type="dxa"/>
            <w:vAlign w:val="center"/>
          </w:tcPr>
          <w:p w14:paraId="6EDE3705">
            <w:pPr>
              <w:spacing w:line="240" w:lineRule="exact"/>
              <w:jc w:val="center"/>
              <w:rPr>
                <w:rFonts w:ascii="Times New Roman" w:hAnsi="Times New Roman" w:cs="Times New Roman" w:eastAsiaTheme="minorEastAsia"/>
                <w:b/>
                <w:color w:val="000000"/>
                <w:kern w:val="0"/>
                <w:szCs w:val="21"/>
              </w:rPr>
            </w:pPr>
            <w:r>
              <w:rPr>
                <w:rFonts w:ascii="Times New Roman" w:hAnsi="Times New Roman" w:cs="Times New Roman" w:eastAsiaTheme="minorEastAsia"/>
                <w:b/>
                <w:color w:val="000000"/>
                <w:kern w:val="0"/>
                <w:szCs w:val="21"/>
              </w:rPr>
              <w:t>响应时间</w:t>
            </w:r>
          </w:p>
        </w:tc>
        <w:tc>
          <w:tcPr>
            <w:tcW w:w="1276" w:type="dxa"/>
            <w:vAlign w:val="center"/>
          </w:tcPr>
          <w:p w14:paraId="746F6858">
            <w:pPr>
              <w:spacing w:line="240" w:lineRule="exact"/>
              <w:jc w:val="center"/>
              <w:rPr>
                <w:rFonts w:ascii="Times New Roman" w:hAnsi="Times New Roman" w:cs="Times New Roman" w:eastAsiaTheme="minorEastAsia"/>
                <w:b/>
                <w:color w:val="000000"/>
                <w:kern w:val="0"/>
                <w:szCs w:val="21"/>
              </w:rPr>
            </w:pPr>
            <w:r>
              <w:rPr>
                <w:rFonts w:ascii="Times New Roman" w:hAnsi="Times New Roman" w:cs="Times New Roman" w:eastAsiaTheme="minorEastAsia"/>
                <w:b/>
                <w:color w:val="000000"/>
                <w:kern w:val="0"/>
                <w:szCs w:val="21"/>
              </w:rPr>
              <w:t>业务恢复时间</w:t>
            </w:r>
          </w:p>
        </w:tc>
        <w:tc>
          <w:tcPr>
            <w:tcW w:w="1417" w:type="dxa"/>
            <w:vAlign w:val="center"/>
          </w:tcPr>
          <w:p w14:paraId="5A95F481">
            <w:pPr>
              <w:spacing w:line="240" w:lineRule="exact"/>
              <w:jc w:val="center"/>
              <w:rPr>
                <w:rFonts w:ascii="Times New Roman" w:hAnsi="Times New Roman" w:cs="Times New Roman" w:eastAsiaTheme="minorEastAsia"/>
                <w:b/>
                <w:color w:val="000000"/>
                <w:kern w:val="0"/>
                <w:szCs w:val="21"/>
              </w:rPr>
            </w:pPr>
            <w:r>
              <w:rPr>
                <w:rFonts w:ascii="Times New Roman" w:hAnsi="Times New Roman" w:cs="Times New Roman" w:eastAsiaTheme="minorEastAsia"/>
                <w:b/>
                <w:color w:val="000000"/>
                <w:kern w:val="0"/>
                <w:szCs w:val="21"/>
              </w:rPr>
              <w:t>故障解决时间</w:t>
            </w:r>
          </w:p>
        </w:tc>
      </w:tr>
      <w:tr w14:paraId="4A1EF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922" w:type="dxa"/>
            <w:vAlign w:val="center"/>
          </w:tcPr>
          <w:p w14:paraId="23A4CB9F">
            <w:pPr>
              <w:spacing w:line="240" w:lineRule="exact"/>
              <w:jc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一级</w:t>
            </w:r>
          </w:p>
        </w:tc>
        <w:tc>
          <w:tcPr>
            <w:tcW w:w="1738" w:type="dxa"/>
            <w:vAlign w:val="center"/>
          </w:tcPr>
          <w:p w14:paraId="35843DD2">
            <w:pPr>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 xml:space="preserve">对业务运营造成灾难性影响 </w:t>
            </w:r>
          </w:p>
        </w:tc>
        <w:tc>
          <w:tcPr>
            <w:tcW w:w="1843" w:type="dxa"/>
            <w:vAlign w:val="center"/>
          </w:tcPr>
          <w:p w14:paraId="70585EF5">
            <w:pPr>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主线路及副线路同时故障，无法供电</w:t>
            </w:r>
          </w:p>
        </w:tc>
        <w:tc>
          <w:tcPr>
            <w:tcW w:w="1417" w:type="dxa"/>
            <w:vAlign w:val="center"/>
          </w:tcPr>
          <w:p w14:paraId="05069588">
            <w:pPr>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1小时</w:t>
            </w:r>
          </w:p>
        </w:tc>
        <w:tc>
          <w:tcPr>
            <w:tcW w:w="1276" w:type="dxa"/>
            <w:vAlign w:val="center"/>
          </w:tcPr>
          <w:p w14:paraId="4F8F9E2E">
            <w:pPr>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视电力供应时间</w:t>
            </w:r>
          </w:p>
        </w:tc>
        <w:tc>
          <w:tcPr>
            <w:tcW w:w="1417" w:type="dxa"/>
            <w:vAlign w:val="center"/>
          </w:tcPr>
          <w:p w14:paraId="0C00759F">
            <w:pPr>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视电力供应时间</w:t>
            </w:r>
          </w:p>
        </w:tc>
      </w:tr>
      <w:tr w14:paraId="6164E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22" w:type="dxa"/>
            <w:vAlign w:val="center"/>
          </w:tcPr>
          <w:p w14:paraId="5FEAF887">
            <w:pPr>
              <w:spacing w:line="240" w:lineRule="exact"/>
              <w:jc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二级</w:t>
            </w:r>
          </w:p>
        </w:tc>
        <w:tc>
          <w:tcPr>
            <w:tcW w:w="1738" w:type="dxa"/>
            <w:vAlign w:val="center"/>
          </w:tcPr>
          <w:p w14:paraId="1DFCB48E">
            <w:pPr>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 xml:space="preserve">严重影响业务运营 </w:t>
            </w:r>
          </w:p>
        </w:tc>
        <w:tc>
          <w:tcPr>
            <w:tcW w:w="1843" w:type="dxa"/>
            <w:vAlign w:val="center"/>
          </w:tcPr>
          <w:p w14:paraId="7756B543">
            <w:pPr>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主线路故障，无法供电</w:t>
            </w:r>
          </w:p>
        </w:tc>
        <w:tc>
          <w:tcPr>
            <w:tcW w:w="1417" w:type="dxa"/>
            <w:vAlign w:val="center"/>
          </w:tcPr>
          <w:p w14:paraId="27D35210">
            <w:pPr>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 xml:space="preserve">1小时 </w:t>
            </w:r>
          </w:p>
        </w:tc>
        <w:tc>
          <w:tcPr>
            <w:tcW w:w="1276" w:type="dxa"/>
            <w:vAlign w:val="center"/>
          </w:tcPr>
          <w:p w14:paraId="692E6BD2">
            <w:pPr>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视电力供应时间</w:t>
            </w:r>
          </w:p>
        </w:tc>
        <w:tc>
          <w:tcPr>
            <w:tcW w:w="1417" w:type="dxa"/>
            <w:vAlign w:val="center"/>
          </w:tcPr>
          <w:p w14:paraId="7DDD8972">
            <w:pPr>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视电力供应时间</w:t>
            </w:r>
          </w:p>
        </w:tc>
      </w:tr>
    </w:tbl>
    <w:p w14:paraId="01028BFC">
      <w:pPr>
        <w:spacing w:line="380" w:lineRule="exact"/>
        <w:ind w:firstLine="480" w:firstLineChars="200"/>
        <w:rPr>
          <w:rFonts w:ascii="Times New Roman" w:hAnsi="Times New Roman" w:cs="Times New Roman" w:eastAsiaTheme="minorEastAsia"/>
          <w:sz w:val="24"/>
          <w:szCs w:val="24"/>
        </w:rPr>
      </w:pPr>
      <w:bookmarkStart w:id="91" w:name="_Toc498350076"/>
      <w:bookmarkStart w:id="92" w:name="_Toc25523"/>
      <w:r>
        <w:rPr>
          <w:rFonts w:ascii="Times New Roman" w:hAnsi="Times New Roman" w:cs="Times New Roman" w:eastAsiaTheme="minorEastAsia"/>
          <w:sz w:val="24"/>
          <w:szCs w:val="24"/>
        </w:rPr>
        <w:t>2.1.4.3 特殊情况响应</w:t>
      </w:r>
      <w:bookmarkEnd w:id="91"/>
      <w:bookmarkEnd w:id="92"/>
    </w:p>
    <w:p w14:paraId="0ACFE1A3">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在遇到特殊情况时，如大规模演练、大规模调水、领导人检查等特殊情况，采购人有权利要求成交供应商现场提供全面的技术服务。</w:t>
      </w:r>
    </w:p>
    <w:p w14:paraId="379CF529">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2.1.5服务成果</w:t>
      </w:r>
    </w:p>
    <w:p w14:paraId="1913BCE3">
      <w:pPr>
        <w:ind w:firstLine="480"/>
        <w:rPr>
          <w:rFonts w:ascii="Times New Roman" w:hAnsi="Times New Roman" w:cs="Times New Roman" w:eastAsiaTheme="minorEastAsia"/>
          <w:vanish/>
          <w:sz w:val="24"/>
          <w:szCs w:val="24"/>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1504"/>
        <w:gridCol w:w="3966"/>
        <w:gridCol w:w="2464"/>
      </w:tblGrid>
      <w:tr w14:paraId="392B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60597A0B">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b/>
                <w:szCs w:val="21"/>
              </w:rPr>
              <w:t>序号</w:t>
            </w:r>
          </w:p>
        </w:tc>
        <w:tc>
          <w:tcPr>
            <w:tcW w:w="1504" w:type="dxa"/>
            <w:vAlign w:val="center"/>
          </w:tcPr>
          <w:p w14:paraId="68B25E1F">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b/>
                <w:szCs w:val="21"/>
              </w:rPr>
              <w:t>服务名称</w:t>
            </w:r>
          </w:p>
        </w:tc>
        <w:tc>
          <w:tcPr>
            <w:tcW w:w="3966" w:type="dxa"/>
            <w:vAlign w:val="center"/>
          </w:tcPr>
          <w:p w14:paraId="554FEE71">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b/>
                <w:szCs w:val="21"/>
              </w:rPr>
              <w:t>服务内容</w:t>
            </w:r>
          </w:p>
        </w:tc>
        <w:tc>
          <w:tcPr>
            <w:tcW w:w="2464" w:type="dxa"/>
            <w:vAlign w:val="center"/>
          </w:tcPr>
          <w:p w14:paraId="00CC37FC">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b/>
                <w:szCs w:val="21"/>
              </w:rPr>
              <w:t>服务成果</w:t>
            </w:r>
          </w:p>
        </w:tc>
      </w:tr>
      <w:tr w14:paraId="46C8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1FC9DEDD">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1</w:t>
            </w:r>
          </w:p>
        </w:tc>
        <w:tc>
          <w:tcPr>
            <w:tcW w:w="1504" w:type="dxa"/>
            <w:vAlign w:val="center"/>
          </w:tcPr>
          <w:p w14:paraId="2666FF31">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资产统计及系统分析</w:t>
            </w:r>
          </w:p>
        </w:tc>
        <w:tc>
          <w:tcPr>
            <w:tcW w:w="3966" w:type="dxa"/>
            <w:vAlign w:val="center"/>
          </w:tcPr>
          <w:p w14:paraId="2485AE91">
            <w:pPr>
              <w:spacing w:line="240" w:lineRule="exact"/>
              <w:rPr>
                <w:rFonts w:ascii="Times New Roman" w:hAnsi="Times New Roman" w:cs="Times New Roman" w:eastAsiaTheme="minorEastAsia"/>
                <w:szCs w:val="21"/>
              </w:rPr>
            </w:pPr>
            <w:r>
              <w:rPr>
                <w:rFonts w:ascii="Times New Roman" w:hAnsi="Times New Roman" w:cs="Times New Roman" w:eastAsiaTheme="minorEastAsia"/>
                <w:color w:val="000000"/>
                <w:szCs w:val="21"/>
              </w:rPr>
              <w:t>自动化设备风险评估、传感器设备风险评估、物理安全风险评估、信息化硬件设备分险评估、应用系统风险评估、系统测试。</w:t>
            </w:r>
          </w:p>
        </w:tc>
        <w:tc>
          <w:tcPr>
            <w:tcW w:w="2464" w:type="dxa"/>
            <w:vAlign w:val="center"/>
          </w:tcPr>
          <w:p w14:paraId="0A39F087">
            <w:pPr>
              <w:spacing w:line="240" w:lineRule="exact"/>
              <w:rPr>
                <w:rFonts w:ascii="Times New Roman" w:hAnsi="Times New Roman" w:cs="Times New Roman" w:eastAsiaTheme="minorEastAsia"/>
                <w:color w:val="000000"/>
                <w:szCs w:val="21"/>
              </w:rPr>
            </w:pPr>
            <w:r>
              <w:rPr>
                <w:rFonts w:ascii="Times New Roman" w:hAnsi="Times New Roman" w:cs="Times New Roman" w:eastAsiaTheme="minorEastAsia"/>
                <w:color w:val="000000"/>
                <w:szCs w:val="21"/>
              </w:rPr>
              <w:t>《资产清单》</w:t>
            </w:r>
          </w:p>
          <w:p w14:paraId="579DB177">
            <w:pPr>
              <w:spacing w:line="240" w:lineRule="exact"/>
              <w:rPr>
                <w:rFonts w:ascii="Times New Roman" w:hAnsi="Times New Roman" w:cs="Times New Roman" w:eastAsiaTheme="minorEastAsia"/>
                <w:szCs w:val="21"/>
              </w:rPr>
            </w:pPr>
            <w:r>
              <w:rPr>
                <w:rFonts w:ascii="Times New Roman" w:hAnsi="Times New Roman" w:cs="Times New Roman" w:eastAsiaTheme="minorEastAsia"/>
                <w:color w:val="000000"/>
                <w:szCs w:val="21"/>
              </w:rPr>
              <w:t>《系统评估及分析报告》</w:t>
            </w:r>
          </w:p>
        </w:tc>
      </w:tr>
      <w:tr w14:paraId="2541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097121FE">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2</w:t>
            </w:r>
          </w:p>
        </w:tc>
        <w:tc>
          <w:tcPr>
            <w:tcW w:w="1504" w:type="dxa"/>
            <w:vAlign w:val="center"/>
          </w:tcPr>
          <w:p w14:paraId="66B6C99A">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服务方案确定</w:t>
            </w:r>
          </w:p>
        </w:tc>
        <w:tc>
          <w:tcPr>
            <w:tcW w:w="3966" w:type="dxa"/>
            <w:vAlign w:val="center"/>
          </w:tcPr>
          <w:p w14:paraId="6051D2F8">
            <w:pPr>
              <w:spacing w:line="240" w:lineRule="exact"/>
              <w:rPr>
                <w:rFonts w:ascii="Times New Roman" w:hAnsi="Times New Roman" w:cs="Times New Roman" w:eastAsiaTheme="minorEastAsia"/>
                <w:szCs w:val="21"/>
              </w:rPr>
            </w:pPr>
            <w:r>
              <w:rPr>
                <w:rFonts w:ascii="Times New Roman" w:hAnsi="Times New Roman" w:cs="Times New Roman" w:eastAsiaTheme="minorEastAsia"/>
                <w:color w:val="000000"/>
                <w:szCs w:val="21"/>
              </w:rPr>
              <w:t>根据系统评估及分析报告，结合用户实际情况，提供可落地执行的运维服务方案。</w:t>
            </w:r>
          </w:p>
        </w:tc>
        <w:tc>
          <w:tcPr>
            <w:tcW w:w="2464" w:type="dxa"/>
            <w:vAlign w:val="center"/>
          </w:tcPr>
          <w:p w14:paraId="30888D71">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《淮水北调工程调度运行中心及省管泵站中控室运维服务方案》</w:t>
            </w:r>
          </w:p>
        </w:tc>
      </w:tr>
      <w:tr w14:paraId="04CC6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0156EBFE">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3</w:t>
            </w:r>
          </w:p>
        </w:tc>
        <w:tc>
          <w:tcPr>
            <w:tcW w:w="1504" w:type="dxa"/>
            <w:vAlign w:val="center"/>
          </w:tcPr>
          <w:p w14:paraId="10221A7B">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基本服务</w:t>
            </w:r>
          </w:p>
        </w:tc>
        <w:tc>
          <w:tcPr>
            <w:tcW w:w="3966" w:type="dxa"/>
            <w:vAlign w:val="center"/>
          </w:tcPr>
          <w:p w14:paraId="0EE5559C">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服务流程、服务原则、服务承诺、服务规范、设备维修及维保服务。</w:t>
            </w:r>
          </w:p>
        </w:tc>
        <w:tc>
          <w:tcPr>
            <w:tcW w:w="2464" w:type="dxa"/>
            <w:vAlign w:val="center"/>
          </w:tcPr>
          <w:p w14:paraId="697F535E">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《规范文档》</w:t>
            </w:r>
          </w:p>
          <w:p w14:paraId="072C01E8">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《服务要求》</w:t>
            </w:r>
          </w:p>
          <w:p w14:paraId="55BFB7EC">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《维保备件》</w:t>
            </w:r>
          </w:p>
        </w:tc>
      </w:tr>
      <w:tr w14:paraId="15B83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118C7EF0">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4</w:t>
            </w:r>
          </w:p>
        </w:tc>
        <w:tc>
          <w:tcPr>
            <w:tcW w:w="1504" w:type="dxa"/>
            <w:vAlign w:val="center"/>
          </w:tcPr>
          <w:p w14:paraId="09CC7907">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故障风险预测及解决</w:t>
            </w:r>
          </w:p>
        </w:tc>
        <w:tc>
          <w:tcPr>
            <w:tcW w:w="3966" w:type="dxa"/>
            <w:vAlign w:val="center"/>
          </w:tcPr>
          <w:p w14:paraId="381817BF">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故障风险预测、定位、解决办法及风险规避。</w:t>
            </w:r>
          </w:p>
        </w:tc>
        <w:tc>
          <w:tcPr>
            <w:tcW w:w="2464" w:type="dxa"/>
            <w:vAlign w:val="center"/>
          </w:tcPr>
          <w:p w14:paraId="01D1A119">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《故障风险预测方法》</w:t>
            </w:r>
          </w:p>
          <w:p w14:paraId="4C5CC8BF">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《故障风险排除记录》</w:t>
            </w:r>
          </w:p>
        </w:tc>
      </w:tr>
      <w:tr w14:paraId="0D66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16A9F331">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5</w:t>
            </w:r>
          </w:p>
        </w:tc>
        <w:tc>
          <w:tcPr>
            <w:tcW w:w="1504" w:type="dxa"/>
            <w:vAlign w:val="center"/>
          </w:tcPr>
          <w:p w14:paraId="303001A0">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基础环境运维</w:t>
            </w:r>
          </w:p>
        </w:tc>
        <w:tc>
          <w:tcPr>
            <w:tcW w:w="3966" w:type="dxa"/>
            <w:vAlign w:val="center"/>
          </w:tcPr>
          <w:p w14:paraId="5D046622">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PLC设备环境、中控室、机房空调、消防、电源等基础环境的日常运维及维保。</w:t>
            </w:r>
          </w:p>
        </w:tc>
        <w:tc>
          <w:tcPr>
            <w:tcW w:w="2464" w:type="dxa"/>
            <w:vAlign w:val="center"/>
          </w:tcPr>
          <w:p w14:paraId="3940EEE2">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《例行巡检报告》</w:t>
            </w:r>
          </w:p>
          <w:p w14:paraId="652BC0DC">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《季度运行报告》</w:t>
            </w:r>
          </w:p>
          <w:p w14:paraId="35724498">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《年度服务报告》</w:t>
            </w:r>
          </w:p>
        </w:tc>
      </w:tr>
      <w:tr w14:paraId="1C04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57152221">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6</w:t>
            </w:r>
          </w:p>
        </w:tc>
        <w:tc>
          <w:tcPr>
            <w:tcW w:w="1504" w:type="dxa"/>
            <w:vAlign w:val="center"/>
          </w:tcPr>
          <w:p w14:paraId="3F521C01">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硬件设备运维</w:t>
            </w:r>
          </w:p>
        </w:tc>
        <w:tc>
          <w:tcPr>
            <w:tcW w:w="3966" w:type="dxa"/>
            <w:vAlign w:val="center"/>
          </w:tcPr>
          <w:p w14:paraId="2BD966D0">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PLC控制柜、中控室工控机、服务器、存储、网络等硬件设备的日常运维及维保。</w:t>
            </w:r>
          </w:p>
        </w:tc>
        <w:tc>
          <w:tcPr>
            <w:tcW w:w="2464" w:type="dxa"/>
            <w:vAlign w:val="center"/>
          </w:tcPr>
          <w:p w14:paraId="0A3B8C23">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《例行巡检报告》</w:t>
            </w:r>
          </w:p>
          <w:p w14:paraId="691A223D">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《季度运行报告》</w:t>
            </w:r>
          </w:p>
          <w:p w14:paraId="594BB1ED">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《年度服务报告》</w:t>
            </w:r>
          </w:p>
        </w:tc>
      </w:tr>
      <w:tr w14:paraId="128A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1A338A2B">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7</w:t>
            </w:r>
          </w:p>
        </w:tc>
        <w:tc>
          <w:tcPr>
            <w:tcW w:w="1504" w:type="dxa"/>
            <w:vAlign w:val="center"/>
          </w:tcPr>
          <w:p w14:paraId="147B7CFE">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应用系统运维</w:t>
            </w:r>
          </w:p>
        </w:tc>
        <w:tc>
          <w:tcPr>
            <w:tcW w:w="3966" w:type="dxa"/>
            <w:vAlign w:val="center"/>
          </w:tcPr>
          <w:p w14:paraId="5AE8C74E">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系统软件的安装、修复、更新，系统安全监控及修复，保持系统和软件的安全稳定运行。</w:t>
            </w:r>
          </w:p>
        </w:tc>
        <w:tc>
          <w:tcPr>
            <w:tcW w:w="2464" w:type="dxa"/>
            <w:vAlign w:val="center"/>
          </w:tcPr>
          <w:p w14:paraId="63EEB1DA">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《例行巡检报告》</w:t>
            </w:r>
          </w:p>
          <w:p w14:paraId="67FE90C5">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《季度运行报告》</w:t>
            </w:r>
          </w:p>
          <w:p w14:paraId="492B76A1">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《年度服务报告》</w:t>
            </w:r>
          </w:p>
        </w:tc>
      </w:tr>
      <w:tr w14:paraId="26AD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02F580D8">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8</w:t>
            </w:r>
          </w:p>
        </w:tc>
        <w:tc>
          <w:tcPr>
            <w:tcW w:w="1504" w:type="dxa"/>
            <w:vAlign w:val="center"/>
          </w:tcPr>
          <w:p w14:paraId="229C0B85">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应急事件处理</w:t>
            </w:r>
          </w:p>
        </w:tc>
        <w:tc>
          <w:tcPr>
            <w:tcW w:w="3966" w:type="dxa"/>
            <w:vAlign w:val="center"/>
          </w:tcPr>
          <w:p w14:paraId="68BDACBF">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针对突发性意外情况，设计相应的预防与解决预案，每年进行不少于2次的应急演练，同时提供完整的应急处理措施，保证系统的业务连续性。</w:t>
            </w:r>
          </w:p>
        </w:tc>
        <w:tc>
          <w:tcPr>
            <w:tcW w:w="2464" w:type="dxa"/>
            <w:vAlign w:val="center"/>
          </w:tcPr>
          <w:p w14:paraId="6E177635">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《应急预案》</w:t>
            </w:r>
          </w:p>
          <w:p w14:paraId="7CC1A241">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《应急事件处理报告》</w:t>
            </w:r>
          </w:p>
        </w:tc>
      </w:tr>
      <w:tr w14:paraId="7AB23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21E6B01D">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9</w:t>
            </w:r>
          </w:p>
        </w:tc>
        <w:tc>
          <w:tcPr>
            <w:tcW w:w="1504" w:type="dxa"/>
            <w:vAlign w:val="center"/>
          </w:tcPr>
          <w:p w14:paraId="3EEA1BAE">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运维服务</w:t>
            </w:r>
          </w:p>
          <w:p w14:paraId="5BA16FAC">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能力服务</w:t>
            </w:r>
          </w:p>
        </w:tc>
        <w:tc>
          <w:tcPr>
            <w:tcW w:w="3966" w:type="dxa"/>
            <w:vAlign w:val="center"/>
          </w:tcPr>
          <w:p w14:paraId="41ECF18F">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为该项目制定完善的运维服务能力体系，建立预防、检测、修改和纠正机制，提升用户运维服务能力。</w:t>
            </w:r>
          </w:p>
        </w:tc>
        <w:tc>
          <w:tcPr>
            <w:tcW w:w="2464" w:type="dxa"/>
            <w:vAlign w:val="center"/>
          </w:tcPr>
          <w:p w14:paraId="3440960B">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《运维服务体系文件》</w:t>
            </w:r>
          </w:p>
        </w:tc>
      </w:tr>
      <w:tr w14:paraId="22993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41C56F7E">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10</w:t>
            </w:r>
          </w:p>
        </w:tc>
        <w:tc>
          <w:tcPr>
            <w:tcW w:w="1504" w:type="dxa"/>
            <w:vAlign w:val="center"/>
          </w:tcPr>
          <w:p w14:paraId="558A6B11">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咨询服务</w:t>
            </w:r>
          </w:p>
        </w:tc>
        <w:tc>
          <w:tcPr>
            <w:tcW w:w="3966" w:type="dxa"/>
            <w:vAlign w:val="center"/>
          </w:tcPr>
          <w:p w14:paraId="5C380526">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提供规划咨询、业务连续性咨询、运营产品设计服务。</w:t>
            </w:r>
          </w:p>
        </w:tc>
        <w:tc>
          <w:tcPr>
            <w:tcW w:w="2464" w:type="dxa"/>
            <w:vAlign w:val="center"/>
          </w:tcPr>
          <w:p w14:paraId="644EA2B0">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《设备资源优化建议》</w:t>
            </w:r>
          </w:p>
          <w:p w14:paraId="001E021D">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《咨询报告》</w:t>
            </w:r>
          </w:p>
        </w:tc>
      </w:tr>
      <w:tr w14:paraId="5FCF6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5F8D960B">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11</w:t>
            </w:r>
          </w:p>
        </w:tc>
        <w:tc>
          <w:tcPr>
            <w:tcW w:w="1504" w:type="dxa"/>
            <w:vAlign w:val="center"/>
          </w:tcPr>
          <w:p w14:paraId="613B49A6">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培训服务</w:t>
            </w:r>
          </w:p>
        </w:tc>
        <w:tc>
          <w:tcPr>
            <w:tcW w:w="3966" w:type="dxa"/>
            <w:vAlign w:val="center"/>
          </w:tcPr>
          <w:p w14:paraId="59A13EFE">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为用户提供不少于30人次的技术培训，提升用户人员的技术维护水平。</w:t>
            </w:r>
          </w:p>
        </w:tc>
        <w:tc>
          <w:tcPr>
            <w:tcW w:w="2464" w:type="dxa"/>
            <w:vAlign w:val="center"/>
          </w:tcPr>
          <w:p w14:paraId="22B340AE">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《培训计划》</w:t>
            </w:r>
          </w:p>
          <w:p w14:paraId="27748205">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《培训效果报告》</w:t>
            </w:r>
          </w:p>
        </w:tc>
      </w:tr>
    </w:tbl>
    <w:p w14:paraId="285D894E">
      <w:pPr>
        <w:spacing w:line="380" w:lineRule="exact"/>
        <w:ind w:firstLine="480" w:firstLineChars="200"/>
        <w:rPr>
          <w:rFonts w:ascii="Times New Roman" w:hAnsi="Times New Roman" w:cs="Times New Roman" w:eastAsiaTheme="minorEastAsia"/>
          <w:sz w:val="24"/>
          <w:szCs w:val="24"/>
        </w:rPr>
      </w:pPr>
      <w:bookmarkStart w:id="93" w:name="_Toc425892080"/>
      <w:bookmarkStart w:id="94" w:name="_Toc498350081"/>
      <w:bookmarkStart w:id="95" w:name="_Toc18827"/>
      <w:r>
        <w:rPr>
          <w:rFonts w:ascii="Times New Roman" w:hAnsi="Times New Roman" w:cs="Times New Roman" w:eastAsiaTheme="minorEastAsia"/>
          <w:sz w:val="24"/>
          <w:szCs w:val="24"/>
        </w:rPr>
        <w:t>2.1.6服务承诺</w:t>
      </w:r>
      <w:bookmarkEnd w:id="93"/>
      <w:bookmarkEnd w:id="94"/>
      <w:bookmarkEnd w:id="95"/>
    </w:p>
    <w:p w14:paraId="54CAC14F">
      <w:pPr>
        <w:spacing w:line="380" w:lineRule="exact"/>
        <w:ind w:firstLine="480" w:firstLineChars="200"/>
        <w:rPr>
          <w:rFonts w:ascii="Times New Roman" w:hAnsi="Times New Roman" w:cs="Times New Roman" w:eastAsiaTheme="minorEastAsia"/>
          <w:sz w:val="24"/>
          <w:szCs w:val="24"/>
        </w:rPr>
      </w:pPr>
      <w:bookmarkStart w:id="96" w:name="_Toc425892081"/>
      <w:bookmarkStart w:id="97" w:name="_Toc422836419"/>
      <w:r>
        <w:rPr>
          <w:rFonts w:ascii="Times New Roman" w:hAnsi="Times New Roman" w:cs="Times New Roman" w:eastAsiaTheme="minorEastAsia"/>
          <w:sz w:val="24"/>
          <w:szCs w:val="24"/>
        </w:rPr>
        <w:t>2.1.6.1服务规范承诺</w:t>
      </w:r>
      <w:bookmarkEnd w:id="96"/>
      <w:bookmarkEnd w:id="97"/>
    </w:p>
    <w:p w14:paraId="7C4FA8E2">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成交供应商的服务过程应遵循自动化、信息化服务管理体系，并建立本项目相应的服务体系。</w:t>
      </w:r>
    </w:p>
    <w:p w14:paraId="2A95DCFD">
      <w:pPr>
        <w:spacing w:line="380" w:lineRule="exact"/>
        <w:ind w:firstLine="480" w:firstLineChars="200"/>
        <w:rPr>
          <w:rFonts w:ascii="Times New Roman" w:hAnsi="Times New Roman" w:cs="Times New Roman" w:eastAsiaTheme="minorEastAsia"/>
          <w:sz w:val="24"/>
          <w:szCs w:val="24"/>
        </w:rPr>
      </w:pPr>
      <w:bookmarkStart w:id="98" w:name="_Toc422836420"/>
      <w:bookmarkStart w:id="99" w:name="_Toc425892082"/>
      <w:r>
        <w:rPr>
          <w:rFonts w:ascii="Times New Roman" w:hAnsi="Times New Roman" w:cs="Times New Roman" w:eastAsiaTheme="minorEastAsia"/>
          <w:sz w:val="24"/>
          <w:szCs w:val="24"/>
        </w:rPr>
        <w:t>2.1.6.2质量保证承诺</w:t>
      </w:r>
      <w:bookmarkEnd w:id="98"/>
      <w:bookmarkEnd w:id="99"/>
    </w:p>
    <w:p w14:paraId="5F751C0F">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成交供应商须提供全天候7x24小时的技术支持与运维服务，确保各现地站点数据及时、准确上传，确保淮水北调工程调度运行中心及省管泵站中控室设施设备安全、稳定、高效的运行。</w:t>
      </w:r>
    </w:p>
    <w:p w14:paraId="4F59EEE0">
      <w:pPr>
        <w:spacing w:line="380" w:lineRule="exact"/>
        <w:ind w:firstLine="480" w:firstLineChars="200"/>
        <w:rPr>
          <w:rFonts w:ascii="Times New Roman" w:hAnsi="Times New Roman" w:cs="Times New Roman" w:eastAsiaTheme="minorEastAsia"/>
          <w:sz w:val="24"/>
          <w:szCs w:val="24"/>
        </w:rPr>
      </w:pPr>
      <w:bookmarkStart w:id="100" w:name="_Toc425892083"/>
      <w:r>
        <w:rPr>
          <w:rFonts w:ascii="Times New Roman" w:hAnsi="Times New Roman" w:cs="Times New Roman" w:eastAsiaTheme="minorEastAsia"/>
          <w:sz w:val="24"/>
          <w:szCs w:val="24"/>
        </w:rPr>
        <w:t>2.1.6.3其他承诺</w:t>
      </w:r>
      <w:bookmarkEnd w:id="100"/>
    </w:p>
    <w:p w14:paraId="65903566">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1.在运维服务过程中，出现设备损坏、系统破坏、数据丢失、宕机导致采购人满意度下降等责任事故，由此造成的损失由成交供应商负责，采购人可保留追究进一步处罚权利。</w:t>
      </w:r>
    </w:p>
    <w:p w14:paraId="1D4145CB">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根据采购人实际的服务内容及过程要求进行服务需求调研，出具《淮水北调工程调度运行中心及省管泵站中控室设施设备运维服务方案》，内容包括服务范围、服务内容、制度管理、人员保障、应急管理、安全管理、质量管理、服务报告等，以使运维服务工作符合采购人运维服务管理要求。</w:t>
      </w:r>
    </w:p>
    <w:p w14:paraId="0FED6E51">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3.运维服务人员严格遵守采购人相关管理制度。</w:t>
      </w:r>
    </w:p>
    <w:p w14:paraId="6093531B">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4.在运维服务过程中，可根据采购人运维服务管理具体需要，调整运维服务工作内容。运维服务中遇技术问题，成交供应商应自行与原建设施工单位联系解决。</w:t>
      </w:r>
    </w:p>
    <w:p w14:paraId="58F45287">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5. 成交供应商及成交供应商的运维服务人员与采购人签署保密协议。</w:t>
      </w:r>
    </w:p>
    <w:p w14:paraId="2C84079A">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6.运维服务人员如发生变更，须及时提前通知采购人，经过双方协商，采购人同意后，方可进行变更。若遇到成交供应商运维服务人员有不可预知的突发情况，不能按时前往采购人运维服务地点进行维护工作时，在成交供应商获悉后2小时内调派其他人员前往采购人运维服务地点进行应急处理。</w:t>
      </w:r>
    </w:p>
    <w:p w14:paraId="0DFEAE90">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7.按照采购人相关规定，严格服务质量要求，按时提供服务报告和服务记录。</w:t>
      </w:r>
    </w:p>
    <w:p w14:paraId="207DB2C6">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8.如果成交供应商未能如实履行相关的运维服务项目，采购人可按照《采购人运维服务质量考核办法》相关规定，减免支付应付的合同价款。</w:t>
      </w:r>
    </w:p>
    <w:p w14:paraId="030A7A40">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9.若成交供应商或采购人如发生重大变更，需提前中止合同，必须提前60天，以书面形式通知并得到对方确认。在合同期内，若成交供应商单方面终止合同，须向采购人支付本合同年度服务费用总金额的10%作为违约金。</w:t>
      </w:r>
    </w:p>
    <w:p w14:paraId="2596A570">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10.在运维服务过程中，若运维服务人员能力或整体运维服务能力不符合采购人要求，采购人可单方面提前终止合同，无违约责任。</w:t>
      </w:r>
    </w:p>
    <w:p w14:paraId="54992691">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11.在运维期内，成交供应商应确保运维服务设备、数据安全，不得以任何理由向外泄漏任何保密的资料、向外泄漏任何业务和相关数据，否则，采购人可单方面提前终止合同，且追究责任并给与相应经济处罚。</w:t>
      </w:r>
    </w:p>
    <w:p w14:paraId="33282A29">
      <w:pPr>
        <w:spacing w:line="380" w:lineRule="exact"/>
        <w:ind w:firstLine="480" w:firstLineChars="200"/>
        <w:rPr>
          <w:rFonts w:ascii="Times New Roman" w:hAnsi="Times New Roman" w:cs="Times New Roman" w:eastAsiaTheme="minorEastAsia"/>
          <w:sz w:val="24"/>
          <w:szCs w:val="24"/>
        </w:rPr>
      </w:pPr>
      <w:bookmarkStart w:id="101" w:name="_Toc498350082"/>
      <w:bookmarkStart w:id="102" w:name="_Toc18427"/>
      <w:bookmarkStart w:id="103" w:name="_Toc425892084"/>
      <w:r>
        <w:rPr>
          <w:rFonts w:ascii="Times New Roman" w:hAnsi="Times New Roman" w:cs="Times New Roman" w:eastAsiaTheme="minorEastAsia"/>
          <w:sz w:val="24"/>
          <w:szCs w:val="24"/>
        </w:rPr>
        <w:t>2.1.7服务规范</w:t>
      </w:r>
      <w:bookmarkEnd w:id="101"/>
      <w:bookmarkEnd w:id="102"/>
      <w:bookmarkEnd w:id="103"/>
    </w:p>
    <w:p w14:paraId="693E9BF5">
      <w:pPr>
        <w:spacing w:line="380" w:lineRule="exact"/>
        <w:ind w:firstLine="480" w:firstLineChars="200"/>
        <w:rPr>
          <w:rFonts w:ascii="Times New Roman" w:hAnsi="Times New Roman" w:cs="Times New Roman" w:eastAsiaTheme="minorEastAsia"/>
          <w:sz w:val="24"/>
          <w:szCs w:val="24"/>
        </w:rPr>
      </w:pPr>
      <w:bookmarkStart w:id="104" w:name="_Toc425892085"/>
      <w:bookmarkStart w:id="105" w:name="_Toc362101638"/>
      <w:r>
        <w:rPr>
          <w:rFonts w:ascii="Times New Roman" w:hAnsi="Times New Roman" w:cs="Times New Roman" w:eastAsiaTheme="minorEastAsia"/>
          <w:sz w:val="24"/>
          <w:szCs w:val="24"/>
        </w:rPr>
        <w:t>2.1.7.1工程师现场服务规范</w:t>
      </w:r>
      <w:bookmarkEnd w:id="104"/>
      <w:bookmarkEnd w:id="105"/>
    </w:p>
    <w:p w14:paraId="60640DE4">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1.遵守用户的各项规章制度，严格执行指挥安排，实时准备工作工具，按时完成维护计划，并填写《巡检报告》和《服务报告》。</w:t>
      </w:r>
    </w:p>
    <w:p w14:paraId="1C87B526">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2.未经上岗考核并经领导批准的人员，不得单独承担维护工作和独立操作。当有两人以上执行维护时，应指定其中一人负责。</w:t>
      </w:r>
    </w:p>
    <w:p w14:paraId="3BDA0320">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3.保持生产现场整洁，门窗应封闭。设备机房内严禁吸烟，饮食，睡觉和闲谈。与生产无关的物品严禁带入设备机房，严格执行安全规定，负责现场安全、入室登记。</w:t>
      </w:r>
    </w:p>
    <w:p w14:paraId="6E67FA11">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严格执行操作规程和业务处理规定。随时观察各种告警信号。及时正确处理告警，准确迅速排除各类障碍。在处理告警等故障中要及时、准确做好记录（值班日记和障碍日记等各项原始记录），并注意防止人为故障发生，同时按规定逐级汇报。对解决不了的问题及时上报后需继续跟综观察和按资深工程师指挥参与处理。</w:t>
      </w:r>
    </w:p>
    <w:p w14:paraId="774283E8">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5.严格遵守通信纪律和保密制度。不得任意关闭运行中的设备，不得任意修改系统参数，不得人为阻断正常开放的业务电路。</w:t>
      </w:r>
    </w:p>
    <w:p w14:paraId="535D63BA">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6.严格执行停机申报制度。涉及改变系统运行状态操作，应实行他人检查双人操作检测并经项目组领导和用户领导同意后方可进行，并作好记录。</w:t>
      </w:r>
    </w:p>
    <w:p w14:paraId="0C36DAB8">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7.在维护终端和监控终端工作时，不得进行与原规定性能无关的操作，不得运行外来没有经过检查的软件。</w:t>
      </w:r>
    </w:p>
    <w:p w14:paraId="3DF0CF49">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8.及时处理用户申请，处理结果及时反馈和上报。</w:t>
      </w:r>
    </w:p>
    <w:p w14:paraId="469BCB7F">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9.充分发挥监控的作用，运用监控设备的性能，依据告警检测的信息、数据处理业务。</w:t>
      </w:r>
    </w:p>
    <w:p w14:paraId="7DE836BD">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10.如需交接班，需根据相关的工作交接制度认真负责地作好各项交接工作，未经批准不得离岗。</w:t>
      </w:r>
    </w:p>
    <w:p w14:paraId="055191CF">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11.重视系统运行状况，注意各种可见可闻告警信号，发现异常情况，立即进行紧急处理并报项目组领导和用户有关主管部门，同时详细地作好现场各项原始记录。</w:t>
      </w:r>
    </w:p>
    <w:p w14:paraId="6AC074D8">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12.严格执行操作规程，遵守人机命令管理办法，未经批准不得进行超越职责范围的操作。处理故障时防止人为故障的发生。</w:t>
      </w:r>
    </w:p>
    <w:p w14:paraId="26F8FF16">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13.受理故障报告后，及时处理系统、设备、软件一般故障；积极配合相关工作。</w:t>
      </w:r>
    </w:p>
    <w:p w14:paraId="21CA1DFE">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14.按时检测所有设备情况，及时、正确、清楚填写巡检记录，真实反映运维情况。</w:t>
      </w:r>
    </w:p>
    <w:p w14:paraId="00124B04">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15.认真执行安全保密制度，监督入室登记，监护并配合外来人员工作。</w:t>
      </w:r>
    </w:p>
    <w:p w14:paraId="64115597">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16.爱护和正确使用工具、仪表及技术资料。</w:t>
      </w:r>
    </w:p>
    <w:p w14:paraId="36D452F1">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17.保持设备机房整洁，温湿度符合要求。</w:t>
      </w:r>
    </w:p>
    <w:p w14:paraId="74CC9402">
      <w:pPr>
        <w:spacing w:line="380" w:lineRule="exact"/>
        <w:ind w:firstLine="480" w:firstLineChars="200"/>
        <w:rPr>
          <w:rFonts w:ascii="Times New Roman" w:hAnsi="Times New Roman" w:cs="Times New Roman" w:eastAsiaTheme="minorEastAsia"/>
          <w:sz w:val="24"/>
          <w:szCs w:val="24"/>
        </w:rPr>
      </w:pPr>
      <w:bookmarkStart w:id="106" w:name="_Toc425892086"/>
      <w:r>
        <w:rPr>
          <w:rFonts w:ascii="Times New Roman" w:hAnsi="Times New Roman" w:cs="Times New Roman" w:eastAsiaTheme="minorEastAsia"/>
          <w:sz w:val="24"/>
          <w:szCs w:val="24"/>
        </w:rPr>
        <w:t>2.1.7.2文件档案管理规范</w:t>
      </w:r>
      <w:bookmarkEnd w:id="106"/>
    </w:p>
    <w:p w14:paraId="61D7F209">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配置档案：维护各类设备及软件清单、系统功能、详细配置信息；自动化、信息化设备位置、网络拓扑、设备连接拓扑及各种工程图纸；如果系统发生变更，须同步更新配置档案；</w:t>
      </w:r>
    </w:p>
    <w:p w14:paraId="2827135B">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服务文档：每次巡检时的《巡检报告》；定期的《运行报告》和《服务报告》；系统更新、性能分析及优化等服务实施方案，专业服务报告和技术建议。</w:t>
      </w:r>
    </w:p>
    <w:p w14:paraId="2661332A">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技术文档：与信息化系统和自动化系统维护相关的技术文档；与信息化系统和自动化系统维护相关的故障案例库；原厂商发布的各种最新技术文档和重要通告；技术发展趋势。</w:t>
      </w:r>
    </w:p>
    <w:p w14:paraId="2ECA662A">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项目档案：双方项目团队人员名单、联系方式等；项目运维服务实施计划、交付流程及参与人员等；项目团队人员职责及自律制度；用户及成交供应商的责任和义务；保密制度及核查文档。</w:t>
      </w:r>
    </w:p>
    <w:p w14:paraId="64A42B25">
      <w:pPr>
        <w:keepNext/>
        <w:keepLines/>
        <w:ind w:right="210" w:rightChars="100" w:firstLine="482"/>
        <w:rPr>
          <w:rFonts w:ascii="Times New Roman" w:hAnsi="Times New Roman" w:cs="Times New Roman" w:eastAsiaTheme="minorEastAsia"/>
          <w:b/>
          <w:bCs/>
          <w:kern w:val="0"/>
          <w:sz w:val="24"/>
          <w:szCs w:val="24"/>
          <w:lang w:val="zh-CN"/>
        </w:rPr>
      </w:pPr>
      <w:bookmarkStart w:id="107" w:name="_Toc425892087"/>
      <w:bookmarkStart w:id="108" w:name="_Toc498350083"/>
      <w:bookmarkStart w:id="109" w:name="_Toc4585"/>
      <w:r>
        <w:rPr>
          <w:rFonts w:ascii="Times New Roman" w:hAnsi="Times New Roman" w:cs="Times New Roman" w:eastAsiaTheme="minorEastAsia"/>
          <w:b/>
          <w:bCs/>
          <w:kern w:val="0"/>
          <w:sz w:val="24"/>
          <w:szCs w:val="24"/>
        </w:rPr>
        <w:t>2</w:t>
      </w:r>
      <w:r>
        <w:rPr>
          <w:rFonts w:ascii="Times New Roman" w:hAnsi="Times New Roman" w:cs="Times New Roman" w:eastAsiaTheme="minorEastAsia"/>
          <w:b/>
          <w:bCs/>
          <w:kern w:val="0"/>
          <w:sz w:val="24"/>
          <w:szCs w:val="24"/>
          <w:lang w:val="zh-CN"/>
        </w:rPr>
        <w:t>.2设备维保</w:t>
      </w:r>
      <w:bookmarkEnd w:id="107"/>
      <w:r>
        <w:rPr>
          <w:rFonts w:ascii="Times New Roman" w:hAnsi="Times New Roman" w:cs="Times New Roman" w:eastAsiaTheme="minorEastAsia"/>
          <w:b/>
          <w:bCs/>
          <w:kern w:val="0"/>
          <w:sz w:val="24"/>
          <w:szCs w:val="24"/>
          <w:lang w:val="zh-CN"/>
        </w:rPr>
        <w:t>要求</w:t>
      </w:r>
      <w:bookmarkEnd w:id="108"/>
      <w:bookmarkEnd w:id="109"/>
    </w:p>
    <w:p w14:paraId="0F031351">
      <w:pPr>
        <w:spacing w:line="380" w:lineRule="exact"/>
        <w:ind w:firstLine="480"/>
        <w:rPr>
          <w:rFonts w:ascii="Times New Roman" w:hAnsi="Times New Roman" w:cs="Times New Roman" w:eastAsiaTheme="minorEastAsia"/>
          <w:sz w:val="24"/>
          <w:szCs w:val="24"/>
        </w:rPr>
      </w:pPr>
      <w:bookmarkStart w:id="110" w:name="_Toc425892090"/>
      <w:bookmarkStart w:id="111" w:name="_Toc498350085"/>
      <w:bookmarkStart w:id="112" w:name="_Toc24226"/>
      <w:r>
        <w:rPr>
          <w:rFonts w:ascii="Times New Roman" w:hAnsi="Times New Roman" w:cs="Times New Roman" w:eastAsiaTheme="minorEastAsia"/>
          <w:sz w:val="24"/>
          <w:szCs w:val="24"/>
        </w:rPr>
        <w:t>2.2.1维保服务内容及标准</w:t>
      </w:r>
      <w:bookmarkEnd w:id="110"/>
      <w:bookmarkEnd w:id="111"/>
      <w:bookmarkEnd w:id="112"/>
      <w:bookmarkStart w:id="113" w:name="_Toc143417485"/>
      <w:bookmarkStart w:id="114" w:name="_Toc110878156"/>
      <w:bookmarkStart w:id="115" w:name="_Toc185763543"/>
    </w:p>
    <w:p w14:paraId="21683AAF">
      <w:pPr>
        <w:spacing w:line="380" w:lineRule="exact"/>
        <w:ind w:firstLine="480"/>
        <w:rPr>
          <w:rFonts w:ascii="Times New Roman" w:hAnsi="Times New Roman" w:cs="Times New Roman" w:eastAsiaTheme="minorEastAsia"/>
          <w:sz w:val="24"/>
          <w:szCs w:val="24"/>
        </w:rPr>
      </w:pPr>
      <w:r>
        <w:rPr>
          <w:rFonts w:ascii="Times New Roman" w:hAnsi="Times New Roman" w:cs="Times New Roman" w:eastAsiaTheme="minorEastAsia"/>
          <w:sz w:val="24"/>
          <w:szCs w:val="24"/>
        </w:rPr>
        <w:t>2.2.1.1资产统计与检查</w:t>
      </w:r>
    </w:p>
    <w:p w14:paraId="5FD9F495">
      <w:pPr>
        <w:spacing w:line="380" w:lineRule="exact"/>
        <w:ind w:firstLine="480"/>
        <w:rPr>
          <w:rFonts w:ascii="Times New Roman" w:hAnsi="Times New Roman" w:cs="Times New Roman" w:eastAsiaTheme="minorEastAsia"/>
          <w:sz w:val="24"/>
          <w:szCs w:val="24"/>
        </w:rPr>
      </w:pPr>
      <w:r>
        <w:rPr>
          <w:rFonts w:ascii="Times New Roman" w:hAnsi="Times New Roman" w:cs="Times New Roman" w:eastAsiaTheme="minorEastAsia"/>
          <w:sz w:val="24"/>
          <w:szCs w:val="24"/>
        </w:rPr>
        <w:t>对淮水北调工程调度运行中心及省管泵站中控室设施设备项目在内的所有相关资源进行统计，并按照相应的规则进行对所属的资产进行属性的定义和分类，并对资产进行标签化处理。</w:t>
      </w:r>
    </w:p>
    <w:p w14:paraId="441B992A">
      <w:pPr>
        <w:spacing w:line="380" w:lineRule="exact"/>
        <w:ind w:firstLine="480"/>
        <w:rPr>
          <w:rFonts w:ascii="Times New Roman" w:hAnsi="Times New Roman" w:cs="Times New Roman" w:eastAsiaTheme="minorEastAsia"/>
          <w:sz w:val="24"/>
          <w:szCs w:val="24"/>
        </w:rPr>
      </w:pPr>
      <w:r>
        <w:rPr>
          <w:rFonts w:ascii="Times New Roman" w:hAnsi="Times New Roman" w:cs="Times New Roman" w:eastAsiaTheme="minorEastAsia"/>
          <w:sz w:val="24"/>
          <w:szCs w:val="24"/>
        </w:rPr>
        <w:t>资产统计完成后进行资产的合规性检查和分析，并根据检查结果按照风险进行定型及定量的多维度分析，判断故障风险的概率及紧迫程度、影响等，并提供出相应的分析报告。</w:t>
      </w:r>
    </w:p>
    <w:p w14:paraId="735C2B1C">
      <w:pPr>
        <w:spacing w:line="380" w:lineRule="exact"/>
        <w:ind w:firstLine="480"/>
        <w:rPr>
          <w:rFonts w:ascii="Times New Roman" w:hAnsi="Times New Roman" w:cs="Times New Roman" w:eastAsiaTheme="minorEastAsia"/>
          <w:sz w:val="24"/>
          <w:szCs w:val="24"/>
        </w:rPr>
      </w:pPr>
      <w:r>
        <w:rPr>
          <w:rFonts w:ascii="Times New Roman" w:hAnsi="Times New Roman" w:cs="Times New Roman" w:eastAsiaTheme="minorEastAsia"/>
          <w:sz w:val="24"/>
          <w:szCs w:val="24"/>
        </w:rPr>
        <w:t>2.2.1.2故障</w:t>
      </w:r>
      <w:bookmarkEnd w:id="113"/>
      <w:bookmarkEnd w:id="114"/>
      <w:bookmarkEnd w:id="115"/>
      <w:r>
        <w:rPr>
          <w:rFonts w:ascii="Times New Roman" w:hAnsi="Times New Roman" w:cs="Times New Roman" w:eastAsiaTheme="minorEastAsia"/>
          <w:sz w:val="24"/>
          <w:szCs w:val="24"/>
        </w:rPr>
        <w:t>排除及维修</w:t>
      </w:r>
    </w:p>
    <w:p w14:paraId="2248099C">
      <w:pPr>
        <w:spacing w:line="380" w:lineRule="exact"/>
        <w:ind w:firstLine="480"/>
        <w:rPr>
          <w:rFonts w:ascii="Times New Roman" w:hAnsi="Times New Roman" w:cs="Times New Roman" w:eastAsiaTheme="minorEastAsia"/>
          <w:sz w:val="24"/>
          <w:szCs w:val="24"/>
        </w:rPr>
      </w:pPr>
      <w:r>
        <w:rPr>
          <w:rFonts w:ascii="Times New Roman" w:hAnsi="Times New Roman" w:cs="Times New Roman" w:eastAsiaTheme="minorEastAsia"/>
          <w:sz w:val="24"/>
          <w:szCs w:val="24"/>
        </w:rPr>
        <w:t>设备及系统出现故障时，在规定时限内更换</w:t>
      </w:r>
      <w:r>
        <w:rPr>
          <w:rFonts w:hint="eastAsia" w:ascii="Times New Roman" w:hAnsi="Times New Roman" w:cs="Times New Roman" w:eastAsiaTheme="minorEastAsia"/>
          <w:sz w:val="24"/>
          <w:szCs w:val="24"/>
        </w:rPr>
        <w:t>损坏</w:t>
      </w:r>
      <w:r>
        <w:rPr>
          <w:rFonts w:ascii="Times New Roman" w:hAnsi="Times New Roman" w:cs="Times New Roman" w:eastAsiaTheme="minorEastAsia"/>
          <w:sz w:val="24"/>
          <w:szCs w:val="24"/>
        </w:rPr>
        <w:t>件，排除故障恢复系统运行。</w:t>
      </w:r>
    </w:p>
    <w:p w14:paraId="24190F4E">
      <w:pPr>
        <w:spacing w:line="380" w:lineRule="exact"/>
        <w:ind w:firstLine="480"/>
        <w:rPr>
          <w:rFonts w:ascii="Times New Roman" w:hAnsi="Times New Roman" w:cs="Times New Roman" w:eastAsiaTheme="minorEastAsia"/>
          <w:sz w:val="24"/>
          <w:szCs w:val="24"/>
        </w:rPr>
      </w:pPr>
      <w:r>
        <w:rPr>
          <w:rFonts w:ascii="Times New Roman" w:hAnsi="Times New Roman" w:cs="Times New Roman" w:eastAsiaTheme="minorEastAsia"/>
          <w:sz w:val="24"/>
          <w:szCs w:val="24"/>
        </w:rPr>
        <w:t>运维服务工程师首先进行现场诊断，分析锁定故障部件，更换部件或调整参数，数据恢复，直至系统恢复正常运行。</w:t>
      </w:r>
    </w:p>
    <w:p w14:paraId="3DDB770F">
      <w:pPr>
        <w:spacing w:line="380" w:lineRule="exact"/>
        <w:ind w:firstLine="480"/>
        <w:rPr>
          <w:rFonts w:ascii="Times New Roman" w:hAnsi="Times New Roman" w:cs="Times New Roman" w:eastAsiaTheme="minorEastAsia"/>
          <w:sz w:val="24"/>
          <w:szCs w:val="24"/>
        </w:rPr>
      </w:pPr>
      <w:r>
        <w:rPr>
          <w:rFonts w:ascii="Times New Roman" w:hAnsi="Times New Roman" w:cs="Times New Roman" w:eastAsiaTheme="minorEastAsia"/>
          <w:sz w:val="24"/>
          <w:szCs w:val="24"/>
        </w:rPr>
        <w:t>每次现场服务完成后，由运维服务工程师填写《故障维修记录》，由采购人代表确认并意见后存档。</w:t>
      </w:r>
    </w:p>
    <w:p w14:paraId="2C0BDBD0">
      <w:pPr>
        <w:spacing w:line="380" w:lineRule="exact"/>
        <w:ind w:firstLine="480"/>
        <w:rPr>
          <w:rFonts w:ascii="Times New Roman" w:hAnsi="Times New Roman" w:cs="Times New Roman" w:eastAsiaTheme="minorEastAsia"/>
          <w:sz w:val="24"/>
          <w:szCs w:val="24"/>
        </w:rPr>
      </w:pPr>
      <w:r>
        <w:rPr>
          <w:rFonts w:ascii="Times New Roman" w:hAnsi="Times New Roman" w:cs="Times New Roman" w:eastAsiaTheme="minorEastAsia"/>
          <w:sz w:val="24"/>
          <w:szCs w:val="24"/>
        </w:rPr>
        <w:t>运维服务工程师如第一次现场服务不能解决故障，则立即启动应急预案或联系运维服务专家工程师，专家工程师须立即在响应时间内取得详细的故障信息，做出相应的判断并入场维修，如果仍未排除故障则联系原厂商配合解决。</w:t>
      </w:r>
    </w:p>
    <w:p w14:paraId="2FCDF6EC">
      <w:pPr>
        <w:spacing w:line="380" w:lineRule="exact"/>
        <w:ind w:firstLine="480"/>
        <w:rPr>
          <w:rFonts w:ascii="Times New Roman" w:hAnsi="Times New Roman" w:cs="Times New Roman" w:eastAsiaTheme="minorEastAsia"/>
          <w:sz w:val="24"/>
          <w:szCs w:val="24"/>
        </w:rPr>
      </w:pPr>
      <w:r>
        <w:rPr>
          <w:rFonts w:ascii="Times New Roman" w:hAnsi="Times New Roman" w:cs="Times New Roman" w:eastAsiaTheme="minorEastAsia"/>
          <w:sz w:val="24"/>
          <w:szCs w:val="24"/>
        </w:rPr>
        <w:t>2.2.1.3技术检测与巡检</w:t>
      </w:r>
    </w:p>
    <w:p w14:paraId="2258F7B6">
      <w:pPr>
        <w:spacing w:line="380" w:lineRule="exact"/>
        <w:ind w:firstLine="480"/>
        <w:rPr>
          <w:rFonts w:ascii="Times New Roman" w:hAnsi="Times New Roman" w:cs="Times New Roman" w:eastAsiaTheme="minorEastAsia"/>
          <w:sz w:val="24"/>
          <w:szCs w:val="24"/>
        </w:rPr>
      </w:pPr>
      <w:bookmarkStart w:id="116" w:name="_Toc84179300"/>
      <w:r>
        <w:rPr>
          <w:rFonts w:ascii="Times New Roman" w:hAnsi="Times New Roman" w:cs="Times New Roman" w:eastAsiaTheme="minorEastAsia"/>
          <w:sz w:val="24"/>
          <w:szCs w:val="24"/>
        </w:rPr>
        <w:t>成交供应商应根据运维服务要求对所有项目设备进行巡检，提供巡检报告。巡检工作分为专业巡检和日常巡检，专业巡检每月不少于2次，并向采购人提供巡检报告。日常巡检是成交供应商在日常运维服务工作中，对设备出现的问题和故障进行检查、处理，做好巡检记录。</w:t>
      </w:r>
    </w:p>
    <w:bookmarkEnd w:id="116"/>
    <w:p w14:paraId="3CB4D580">
      <w:pPr>
        <w:spacing w:line="380" w:lineRule="exact"/>
        <w:ind w:firstLine="480"/>
        <w:rPr>
          <w:rFonts w:ascii="Times New Roman" w:hAnsi="Times New Roman" w:cs="Times New Roman" w:eastAsiaTheme="minorEastAsia"/>
          <w:sz w:val="24"/>
          <w:szCs w:val="24"/>
        </w:rPr>
      </w:pPr>
      <w:bookmarkStart w:id="117" w:name="_Toc143417487"/>
      <w:bookmarkStart w:id="118" w:name="_Toc110878158"/>
      <w:bookmarkStart w:id="119" w:name="_Toc185763545"/>
      <w:bookmarkStart w:id="120" w:name="_Toc84179303"/>
      <w:r>
        <w:rPr>
          <w:rFonts w:ascii="Times New Roman" w:hAnsi="Times New Roman" w:cs="Times New Roman" w:eastAsiaTheme="minorEastAsia"/>
          <w:sz w:val="24"/>
          <w:szCs w:val="24"/>
        </w:rPr>
        <w:t>2.2.1.4技术培训</w:t>
      </w:r>
      <w:bookmarkEnd w:id="117"/>
      <w:bookmarkEnd w:id="118"/>
      <w:bookmarkEnd w:id="119"/>
      <w:bookmarkEnd w:id="120"/>
    </w:p>
    <w:p w14:paraId="78AF9B5E">
      <w:pPr>
        <w:spacing w:line="380" w:lineRule="exact"/>
        <w:ind w:firstLine="480"/>
        <w:rPr>
          <w:rFonts w:ascii="Times New Roman" w:hAnsi="Times New Roman" w:cs="Times New Roman" w:eastAsiaTheme="minorEastAsia"/>
          <w:sz w:val="24"/>
          <w:szCs w:val="24"/>
        </w:rPr>
      </w:pPr>
      <w:r>
        <w:rPr>
          <w:rFonts w:ascii="Times New Roman" w:hAnsi="Times New Roman" w:cs="Times New Roman" w:eastAsiaTheme="minorEastAsia"/>
          <w:sz w:val="24"/>
          <w:szCs w:val="24"/>
        </w:rPr>
        <w:t>成交供应商须免费提供针对项目的技术培训和技术交流。包括：</w:t>
      </w:r>
    </w:p>
    <w:p w14:paraId="1CC4D0B8">
      <w:pPr>
        <w:spacing w:line="380" w:lineRule="exact"/>
        <w:ind w:firstLine="480"/>
        <w:rPr>
          <w:rFonts w:ascii="Times New Roman" w:hAnsi="Times New Roman" w:cs="Times New Roman" w:eastAsiaTheme="minorEastAsia"/>
          <w:sz w:val="24"/>
          <w:szCs w:val="24"/>
        </w:rPr>
      </w:pPr>
      <w:r>
        <w:rPr>
          <w:rFonts w:ascii="Times New Roman" w:hAnsi="Times New Roman" w:cs="Times New Roman" w:eastAsiaTheme="minorEastAsia"/>
          <w:sz w:val="24"/>
          <w:szCs w:val="24"/>
        </w:rPr>
        <w:t>现场培训：主要在巡检及项目实施过程中进行，由运维服务工程师结合实际情况，对工程设备的安装调试、使用和维护进行详细的讲解，达到采购人相关人员能够自主使用和维护系统设备的目标。</w:t>
      </w:r>
    </w:p>
    <w:p w14:paraId="40AA5DC4">
      <w:pPr>
        <w:spacing w:line="380" w:lineRule="exact"/>
        <w:ind w:firstLine="480"/>
        <w:rPr>
          <w:rFonts w:ascii="Times New Roman" w:hAnsi="Times New Roman" w:cs="Times New Roman" w:eastAsiaTheme="minorEastAsia"/>
          <w:sz w:val="24"/>
          <w:szCs w:val="24"/>
        </w:rPr>
      </w:pPr>
      <w:r>
        <w:rPr>
          <w:rFonts w:ascii="Times New Roman" w:hAnsi="Times New Roman" w:cs="Times New Roman" w:eastAsiaTheme="minorEastAsia"/>
          <w:sz w:val="24"/>
          <w:szCs w:val="24"/>
        </w:rPr>
        <w:t>专业技术培训：通过培训使相关技术人员能有效管理服务器、监控、日常操作维护，对基础环境、系统性能优化等进行专业技术培训。成交供应商免费提供培训师资、教材及搭建培训软硬件环境。</w:t>
      </w:r>
    </w:p>
    <w:p w14:paraId="1323527C">
      <w:pPr>
        <w:spacing w:line="380" w:lineRule="exact"/>
        <w:ind w:firstLine="480"/>
        <w:rPr>
          <w:rFonts w:ascii="Times New Roman" w:hAnsi="Times New Roman" w:cs="Times New Roman" w:eastAsiaTheme="minorEastAsia"/>
          <w:sz w:val="24"/>
          <w:szCs w:val="24"/>
        </w:rPr>
      </w:pPr>
      <w:bookmarkStart w:id="121" w:name="_Toc424205103"/>
      <w:bookmarkStart w:id="122" w:name="_Toc18680"/>
      <w:bookmarkStart w:id="123" w:name="_Toc425892091"/>
      <w:bookmarkStart w:id="124" w:name="_Toc498350086"/>
      <w:r>
        <w:rPr>
          <w:rFonts w:ascii="Times New Roman" w:hAnsi="Times New Roman" w:cs="Times New Roman" w:eastAsiaTheme="minorEastAsia"/>
          <w:sz w:val="24"/>
          <w:szCs w:val="24"/>
        </w:rPr>
        <w:t>2.2.2</w:t>
      </w:r>
      <w:bookmarkEnd w:id="121"/>
      <w:bookmarkEnd w:id="122"/>
      <w:bookmarkEnd w:id="123"/>
      <w:bookmarkEnd w:id="124"/>
      <w:r>
        <w:rPr>
          <w:rFonts w:hint="eastAsia" w:ascii="Times New Roman" w:hAnsi="Times New Roman" w:cs="Times New Roman" w:eastAsiaTheme="minorEastAsia"/>
          <w:sz w:val="24"/>
          <w:szCs w:val="24"/>
        </w:rPr>
        <w:t>更换</w:t>
      </w:r>
      <w:r>
        <w:rPr>
          <w:rFonts w:ascii="Times New Roman" w:hAnsi="Times New Roman" w:cs="Times New Roman" w:eastAsiaTheme="minorEastAsia"/>
          <w:sz w:val="24"/>
          <w:szCs w:val="24"/>
        </w:rPr>
        <w:t>维修</w:t>
      </w:r>
    </w:p>
    <w:p w14:paraId="6FB52178">
      <w:pPr>
        <w:spacing w:line="380" w:lineRule="exact"/>
        <w:ind w:firstLine="480"/>
        <w:rPr>
          <w:rFonts w:ascii="Times New Roman" w:hAnsi="Times New Roman" w:cs="Times New Roman" w:eastAsiaTheme="minorEastAsia"/>
          <w:sz w:val="24"/>
          <w:szCs w:val="24"/>
        </w:rPr>
      </w:pPr>
      <w:bookmarkStart w:id="125" w:name="_Toc424205104"/>
      <w:r>
        <w:rPr>
          <w:rFonts w:ascii="Times New Roman" w:hAnsi="Times New Roman" w:cs="Times New Roman" w:eastAsiaTheme="minorEastAsia"/>
          <w:sz w:val="24"/>
          <w:szCs w:val="24"/>
        </w:rPr>
        <w:t>提供</w:t>
      </w:r>
      <w:r>
        <w:rPr>
          <w:rFonts w:hint="eastAsia" w:ascii="Times New Roman" w:hAnsi="Times New Roman" w:cs="Times New Roman" w:eastAsiaTheme="minorEastAsia"/>
          <w:sz w:val="24"/>
          <w:szCs w:val="24"/>
        </w:rPr>
        <w:t>损坏</w:t>
      </w:r>
      <w:r>
        <w:rPr>
          <w:rFonts w:ascii="Times New Roman" w:hAnsi="Times New Roman" w:cs="Times New Roman" w:eastAsiaTheme="minorEastAsia"/>
          <w:sz w:val="24"/>
          <w:szCs w:val="24"/>
        </w:rPr>
        <w:t>设备应急更换服务，应急更换零星配件且总金额在3000元以内的由成交供应商承担。3000元以上（含3000元）的</w:t>
      </w:r>
      <w:r>
        <w:rPr>
          <w:rFonts w:hint="eastAsia" w:ascii="Times New Roman" w:hAnsi="Times New Roman" w:cs="Times New Roman" w:eastAsiaTheme="minorEastAsia"/>
          <w:sz w:val="24"/>
          <w:szCs w:val="24"/>
        </w:rPr>
        <w:t>损坏</w:t>
      </w:r>
      <w:r>
        <w:rPr>
          <w:rFonts w:ascii="Times New Roman" w:hAnsi="Times New Roman" w:cs="Times New Roman" w:eastAsiaTheme="minorEastAsia"/>
          <w:sz w:val="24"/>
          <w:szCs w:val="24"/>
        </w:rPr>
        <w:t>件更换由成交供应商提出初步意见，报采购人批准后进行采购和安装，据实结算，费用从</w:t>
      </w:r>
      <w:r>
        <w:rPr>
          <w:rFonts w:hint="eastAsia" w:ascii="Times New Roman" w:hAnsi="Times New Roman" w:cs="Times New Roman" w:eastAsiaTheme="minorEastAsia"/>
          <w:sz w:val="24"/>
          <w:szCs w:val="24"/>
        </w:rPr>
        <w:t>不可预见费</w:t>
      </w:r>
      <w:r>
        <w:rPr>
          <w:rFonts w:ascii="Times New Roman" w:hAnsi="Times New Roman" w:cs="Times New Roman" w:eastAsiaTheme="minorEastAsia"/>
          <w:sz w:val="24"/>
          <w:szCs w:val="24"/>
        </w:rPr>
        <w:t>列支；</w:t>
      </w:r>
    </w:p>
    <w:p w14:paraId="58F78439">
      <w:pPr>
        <w:spacing w:line="380" w:lineRule="exact"/>
        <w:ind w:firstLine="48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更换件</w:t>
      </w:r>
      <w:r>
        <w:rPr>
          <w:rFonts w:ascii="Times New Roman" w:hAnsi="Times New Roman" w:cs="Times New Roman" w:eastAsiaTheme="minorEastAsia"/>
          <w:sz w:val="24"/>
          <w:szCs w:val="24"/>
        </w:rPr>
        <w:t>原则上与原型号一致，特殊情况需报采购人审查；</w:t>
      </w:r>
    </w:p>
    <w:bookmarkEnd w:id="125"/>
    <w:p w14:paraId="4EF406E0">
      <w:pPr>
        <w:keepNext/>
        <w:keepLines/>
        <w:ind w:firstLine="482"/>
        <w:rPr>
          <w:rFonts w:ascii="Times New Roman" w:hAnsi="Times New Roman" w:cs="Times New Roman" w:eastAsiaTheme="minorEastAsia"/>
          <w:b/>
          <w:bCs/>
          <w:kern w:val="0"/>
          <w:sz w:val="24"/>
          <w:szCs w:val="24"/>
          <w:lang w:val="zh-CN"/>
        </w:rPr>
      </w:pPr>
      <w:bookmarkStart w:id="126" w:name="_Toc424175442"/>
      <w:bookmarkStart w:id="127" w:name="_Toc424205050"/>
      <w:bookmarkStart w:id="128" w:name="_Toc425892144"/>
      <w:bookmarkStart w:id="129" w:name="_Toc498350087"/>
      <w:bookmarkStart w:id="130" w:name="_Toc13410"/>
      <w:r>
        <w:rPr>
          <w:rFonts w:ascii="Times New Roman" w:hAnsi="Times New Roman" w:cs="Times New Roman" w:eastAsiaTheme="minorEastAsia"/>
          <w:b/>
          <w:bCs/>
          <w:kern w:val="0"/>
          <w:sz w:val="24"/>
          <w:szCs w:val="24"/>
        </w:rPr>
        <w:t>2</w:t>
      </w:r>
      <w:r>
        <w:rPr>
          <w:rFonts w:ascii="Times New Roman" w:hAnsi="Times New Roman" w:cs="Times New Roman" w:eastAsiaTheme="minorEastAsia"/>
          <w:b/>
          <w:bCs/>
          <w:kern w:val="0"/>
          <w:sz w:val="24"/>
          <w:szCs w:val="24"/>
          <w:lang w:val="zh-CN"/>
        </w:rPr>
        <w:t>.3基础环境</w:t>
      </w:r>
      <w:bookmarkEnd w:id="126"/>
      <w:bookmarkEnd w:id="127"/>
      <w:bookmarkEnd w:id="128"/>
      <w:r>
        <w:rPr>
          <w:rFonts w:ascii="Times New Roman" w:hAnsi="Times New Roman" w:cs="Times New Roman" w:eastAsiaTheme="minorEastAsia"/>
          <w:b/>
          <w:bCs/>
          <w:kern w:val="0"/>
          <w:sz w:val="24"/>
          <w:szCs w:val="24"/>
          <w:lang w:val="zh-CN"/>
        </w:rPr>
        <w:t>运维要求</w:t>
      </w:r>
      <w:bookmarkEnd w:id="129"/>
      <w:bookmarkEnd w:id="130"/>
      <w:r>
        <w:rPr>
          <w:rFonts w:ascii="Times New Roman" w:hAnsi="Times New Roman" w:cs="Times New Roman" w:eastAsiaTheme="minorEastAsia"/>
          <w:b/>
          <w:bCs/>
          <w:kern w:val="0"/>
          <w:sz w:val="24"/>
          <w:szCs w:val="24"/>
          <w:lang w:val="zh-CN"/>
        </w:rPr>
        <w:tab/>
      </w:r>
    </w:p>
    <w:p w14:paraId="781BFA18">
      <w:pPr>
        <w:spacing w:line="380" w:lineRule="exact"/>
        <w:ind w:firstLine="480"/>
        <w:rPr>
          <w:rFonts w:ascii="Times New Roman" w:hAnsi="Times New Roman" w:cs="Times New Roman" w:eastAsiaTheme="minorEastAsia"/>
          <w:sz w:val="24"/>
          <w:szCs w:val="24"/>
        </w:rPr>
      </w:pPr>
      <w:bookmarkStart w:id="131" w:name="_Toc498350088"/>
      <w:bookmarkStart w:id="132" w:name="_Toc425892145"/>
      <w:bookmarkStart w:id="133" w:name="_Toc24976"/>
      <w:bookmarkStart w:id="134" w:name="_Toc424175443"/>
      <w:bookmarkStart w:id="135" w:name="_Toc424205051"/>
      <w:r>
        <w:rPr>
          <w:rFonts w:ascii="Times New Roman" w:hAnsi="Times New Roman" w:cs="Times New Roman" w:eastAsiaTheme="minorEastAsia"/>
          <w:sz w:val="24"/>
          <w:szCs w:val="24"/>
        </w:rPr>
        <w:t>2.3.1日常巡检及维护标准</w:t>
      </w:r>
      <w:bookmarkEnd w:id="131"/>
      <w:bookmarkEnd w:id="132"/>
      <w:bookmarkEnd w:id="133"/>
      <w:bookmarkEnd w:id="134"/>
      <w:bookmarkEnd w:id="135"/>
    </w:p>
    <w:p w14:paraId="3A3D4879">
      <w:pPr>
        <w:spacing w:line="380" w:lineRule="exact"/>
        <w:ind w:firstLine="480"/>
        <w:rPr>
          <w:rFonts w:ascii="Times New Roman" w:hAnsi="Times New Roman" w:cs="Times New Roman" w:eastAsiaTheme="minorEastAsia"/>
          <w:sz w:val="24"/>
          <w:szCs w:val="24"/>
        </w:rPr>
      </w:pPr>
      <w:r>
        <w:rPr>
          <w:rFonts w:ascii="Times New Roman" w:hAnsi="Times New Roman" w:cs="Times New Roman" w:eastAsiaTheme="minorEastAsia"/>
          <w:sz w:val="24"/>
          <w:szCs w:val="24"/>
        </w:rPr>
        <w:t>每月2次例行专业巡检即预防性维护，并出具《例行巡检报告》，检查设备运行物理状态、电源稳定性和线路检查、系统性能检查、系统硬件诊断、系统错误报告的分析、记录和清理，并在8小时之内维修更换损坏的部件；每季度各一次的系统运行性能诊断并提供《季度运行报告》；每次硬件故障处理后提供硬件处理和更换报告；每年一次综合维护检查并提供《年度服务报告》。</w:t>
      </w:r>
    </w:p>
    <w:p w14:paraId="0E5783DD">
      <w:pPr>
        <w:spacing w:line="380" w:lineRule="exact"/>
        <w:ind w:firstLine="480"/>
        <w:rPr>
          <w:rFonts w:ascii="Times New Roman" w:hAnsi="Times New Roman" w:cs="Times New Roman" w:eastAsiaTheme="minorEastAsia"/>
          <w:bCs/>
          <w:sz w:val="24"/>
          <w:szCs w:val="24"/>
        </w:rPr>
      </w:pPr>
      <w:r>
        <w:rPr>
          <w:rFonts w:ascii="Times New Roman" w:hAnsi="Times New Roman" w:cs="Times New Roman" w:eastAsiaTheme="minorEastAsia"/>
          <w:sz w:val="24"/>
          <w:szCs w:val="24"/>
        </w:rPr>
        <w:t>附：基础环境巡检规范动作表：</w:t>
      </w:r>
    </w:p>
    <w:tbl>
      <w:tblPr>
        <w:tblStyle w:val="24"/>
        <w:tblW w:w="8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860"/>
        <w:gridCol w:w="779"/>
        <w:gridCol w:w="1771"/>
        <w:gridCol w:w="3332"/>
      </w:tblGrid>
      <w:tr w14:paraId="0B93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vAlign w:val="center"/>
          </w:tcPr>
          <w:p w14:paraId="0DCCBDD6">
            <w:pPr>
              <w:spacing w:line="240" w:lineRule="exact"/>
              <w:jc w:val="center"/>
              <w:rPr>
                <w:rFonts w:ascii="Times New Roman" w:hAnsi="Times New Roman" w:cs="Times New Roman" w:eastAsiaTheme="minorEastAsia"/>
                <w:b/>
                <w:kern w:val="0"/>
                <w:szCs w:val="21"/>
              </w:rPr>
            </w:pPr>
            <w:r>
              <w:rPr>
                <w:rFonts w:ascii="Times New Roman" w:hAnsi="Times New Roman" w:cs="Times New Roman" w:eastAsiaTheme="minorEastAsia"/>
                <w:b/>
                <w:kern w:val="0"/>
                <w:szCs w:val="21"/>
              </w:rPr>
              <w:t>大项</w:t>
            </w:r>
          </w:p>
        </w:tc>
        <w:tc>
          <w:tcPr>
            <w:tcW w:w="1860" w:type="dxa"/>
            <w:vAlign w:val="center"/>
          </w:tcPr>
          <w:p w14:paraId="056F9004">
            <w:pPr>
              <w:spacing w:line="240" w:lineRule="exact"/>
              <w:jc w:val="center"/>
              <w:rPr>
                <w:rFonts w:ascii="Times New Roman" w:hAnsi="Times New Roman" w:cs="Times New Roman" w:eastAsiaTheme="minorEastAsia"/>
                <w:b/>
                <w:kern w:val="0"/>
                <w:szCs w:val="21"/>
              </w:rPr>
            </w:pPr>
            <w:r>
              <w:rPr>
                <w:rFonts w:ascii="Times New Roman" w:hAnsi="Times New Roman" w:cs="Times New Roman" w:eastAsiaTheme="minorEastAsia"/>
                <w:b/>
                <w:kern w:val="0"/>
                <w:szCs w:val="21"/>
              </w:rPr>
              <w:t>规范动作</w:t>
            </w:r>
          </w:p>
        </w:tc>
        <w:tc>
          <w:tcPr>
            <w:tcW w:w="779" w:type="dxa"/>
            <w:vAlign w:val="center"/>
          </w:tcPr>
          <w:p w14:paraId="54B0BEDF">
            <w:pPr>
              <w:spacing w:line="240" w:lineRule="exact"/>
              <w:jc w:val="center"/>
              <w:rPr>
                <w:rFonts w:ascii="Times New Roman" w:hAnsi="Times New Roman" w:cs="Times New Roman" w:eastAsiaTheme="minorEastAsia"/>
                <w:b/>
                <w:kern w:val="0"/>
                <w:szCs w:val="21"/>
              </w:rPr>
            </w:pPr>
            <w:r>
              <w:rPr>
                <w:rFonts w:ascii="Times New Roman" w:hAnsi="Times New Roman" w:cs="Times New Roman" w:eastAsiaTheme="minorEastAsia"/>
                <w:b/>
                <w:kern w:val="0"/>
                <w:szCs w:val="21"/>
              </w:rPr>
              <w:t>巡检周期</w:t>
            </w:r>
          </w:p>
        </w:tc>
        <w:tc>
          <w:tcPr>
            <w:tcW w:w="1771" w:type="dxa"/>
            <w:vAlign w:val="center"/>
          </w:tcPr>
          <w:p w14:paraId="2A8E91B8">
            <w:pPr>
              <w:spacing w:line="240" w:lineRule="exact"/>
              <w:jc w:val="center"/>
              <w:rPr>
                <w:rFonts w:ascii="Times New Roman" w:hAnsi="Times New Roman" w:cs="Times New Roman" w:eastAsiaTheme="minorEastAsia"/>
                <w:b/>
                <w:kern w:val="0"/>
                <w:szCs w:val="21"/>
              </w:rPr>
            </w:pPr>
            <w:r>
              <w:rPr>
                <w:rFonts w:ascii="Times New Roman" w:hAnsi="Times New Roman" w:cs="Times New Roman" w:eastAsiaTheme="minorEastAsia"/>
                <w:b/>
                <w:kern w:val="0"/>
                <w:szCs w:val="21"/>
              </w:rPr>
              <w:t>巡检方式</w:t>
            </w:r>
          </w:p>
        </w:tc>
        <w:tc>
          <w:tcPr>
            <w:tcW w:w="3332" w:type="dxa"/>
            <w:vAlign w:val="center"/>
          </w:tcPr>
          <w:p w14:paraId="7D81163E">
            <w:pPr>
              <w:spacing w:line="240" w:lineRule="exact"/>
              <w:jc w:val="center"/>
              <w:rPr>
                <w:rFonts w:ascii="Times New Roman" w:hAnsi="Times New Roman" w:cs="Times New Roman" w:eastAsiaTheme="minorEastAsia"/>
                <w:b/>
                <w:kern w:val="0"/>
                <w:szCs w:val="21"/>
              </w:rPr>
            </w:pPr>
            <w:r>
              <w:rPr>
                <w:rFonts w:ascii="Times New Roman" w:hAnsi="Times New Roman" w:cs="Times New Roman" w:eastAsiaTheme="minorEastAsia"/>
                <w:b/>
                <w:kern w:val="0"/>
                <w:szCs w:val="21"/>
              </w:rPr>
              <w:t>评估标准和说明</w:t>
            </w:r>
          </w:p>
        </w:tc>
      </w:tr>
      <w:tr w14:paraId="0C064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vMerge w:val="restart"/>
            <w:vAlign w:val="center"/>
          </w:tcPr>
          <w:p w14:paraId="4F12EEF2">
            <w:pPr>
              <w:spacing w:line="240" w:lineRule="exac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基础环境巡检</w:t>
            </w:r>
          </w:p>
        </w:tc>
        <w:tc>
          <w:tcPr>
            <w:tcW w:w="1860" w:type="dxa"/>
            <w:vAlign w:val="center"/>
          </w:tcPr>
          <w:p w14:paraId="5B5EA89F">
            <w:pPr>
              <w:spacing w:line="240" w:lineRule="exac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设备位置摆放是否合理、牢固</w:t>
            </w:r>
          </w:p>
        </w:tc>
        <w:tc>
          <w:tcPr>
            <w:tcW w:w="779" w:type="dxa"/>
            <w:vMerge w:val="restart"/>
            <w:vAlign w:val="center"/>
          </w:tcPr>
          <w:p w14:paraId="042797F2">
            <w:pPr>
              <w:spacing w:line="240" w:lineRule="exac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每月不少于2次</w:t>
            </w:r>
          </w:p>
        </w:tc>
        <w:tc>
          <w:tcPr>
            <w:tcW w:w="1771" w:type="dxa"/>
            <w:vAlign w:val="center"/>
          </w:tcPr>
          <w:p w14:paraId="724EEEDE">
            <w:pPr>
              <w:spacing w:line="240" w:lineRule="exac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人工/视频/环境监测</w:t>
            </w:r>
          </w:p>
        </w:tc>
        <w:tc>
          <w:tcPr>
            <w:tcW w:w="3332" w:type="dxa"/>
            <w:vAlign w:val="center"/>
          </w:tcPr>
          <w:p w14:paraId="520EB5B3">
            <w:pPr>
              <w:spacing w:line="240" w:lineRule="exac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设备应放在通风、干燥的环境中，且放置位置牢固、平整，设备周围不得有杂物堆积。</w:t>
            </w:r>
          </w:p>
        </w:tc>
      </w:tr>
      <w:tr w14:paraId="4261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644" w:type="dxa"/>
            <w:vMerge w:val="continue"/>
            <w:vAlign w:val="center"/>
          </w:tcPr>
          <w:p w14:paraId="3145F461">
            <w:pPr>
              <w:spacing w:line="240" w:lineRule="exact"/>
              <w:rPr>
                <w:rFonts w:ascii="Times New Roman" w:hAnsi="Times New Roman" w:cs="Times New Roman" w:eastAsiaTheme="minorEastAsia"/>
                <w:kern w:val="0"/>
                <w:szCs w:val="21"/>
              </w:rPr>
            </w:pPr>
          </w:p>
        </w:tc>
        <w:tc>
          <w:tcPr>
            <w:tcW w:w="1860" w:type="dxa"/>
            <w:vAlign w:val="center"/>
          </w:tcPr>
          <w:p w14:paraId="39A69D7E">
            <w:pPr>
              <w:spacing w:line="240" w:lineRule="exac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设备环境温度状况</w:t>
            </w:r>
          </w:p>
        </w:tc>
        <w:tc>
          <w:tcPr>
            <w:tcW w:w="779" w:type="dxa"/>
            <w:vMerge w:val="continue"/>
            <w:vAlign w:val="center"/>
          </w:tcPr>
          <w:p w14:paraId="7522EE48">
            <w:pPr>
              <w:spacing w:line="240" w:lineRule="exact"/>
              <w:rPr>
                <w:rFonts w:ascii="Times New Roman" w:hAnsi="Times New Roman" w:cs="Times New Roman" w:eastAsiaTheme="minorEastAsia"/>
                <w:kern w:val="0"/>
                <w:szCs w:val="21"/>
              </w:rPr>
            </w:pPr>
          </w:p>
        </w:tc>
        <w:tc>
          <w:tcPr>
            <w:tcW w:w="1771" w:type="dxa"/>
            <w:vAlign w:val="center"/>
          </w:tcPr>
          <w:p w14:paraId="3897F884">
            <w:pPr>
              <w:spacing w:line="240" w:lineRule="exac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人工/视频/环境监测</w:t>
            </w:r>
          </w:p>
        </w:tc>
        <w:tc>
          <w:tcPr>
            <w:tcW w:w="3332" w:type="dxa"/>
            <w:vAlign w:val="center"/>
          </w:tcPr>
          <w:p w14:paraId="0E32F532">
            <w:pPr>
              <w:spacing w:line="240" w:lineRule="exac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设备环境工作温度在正常范围内。</w:t>
            </w:r>
          </w:p>
        </w:tc>
      </w:tr>
      <w:tr w14:paraId="1D905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vMerge w:val="continue"/>
            <w:vAlign w:val="center"/>
          </w:tcPr>
          <w:p w14:paraId="1BEE2F34">
            <w:pPr>
              <w:spacing w:line="240" w:lineRule="exact"/>
              <w:rPr>
                <w:rFonts w:ascii="Times New Roman" w:hAnsi="Times New Roman" w:cs="Times New Roman" w:eastAsiaTheme="minorEastAsia"/>
                <w:kern w:val="0"/>
                <w:szCs w:val="21"/>
              </w:rPr>
            </w:pPr>
          </w:p>
        </w:tc>
        <w:tc>
          <w:tcPr>
            <w:tcW w:w="1860" w:type="dxa"/>
            <w:vAlign w:val="center"/>
          </w:tcPr>
          <w:p w14:paraId="4AA82932">
            <w:pPr>
              <w:spacing w:line="240" w:lineRule="exac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设备环境湿度状况</w:t>
            </w:r>
          </w:p>
        </w:tc>
        <w:tc>
          <w:tcPr>
            <w:tcW w:w="779" w:type="dxa"/>
            <w:vMerge w:val="continue"/>
            <w:vAlign w:val="center"/>
          </w:tcPr>
          <w:p w14:paraId="4CA2253E">
            <w:pPr>
              <w:spacing w:line="240" w:lineRule="exact"/>
              <w:rPr>
                <w:rFonts w:ascii="Times New Roman" w:hAnsi="Times New Roman" w:cs="Times New Roman" w:eastAsiaTheme="minorEastAsia"/>
                <w:kern w:val="0"/>
                <w:szCs w:val="21"/>
              </w:rPr>
            </w:pPr>
          </w:p>
        </w:tc>
        <w:tc>
          <w:tcPr>
            <w:tcW w:w="1771" w:type="dxa"/>
            <w:vAlign w:val="center"/>
          </w:tcPr>
          <w:p w14:paraId="468E9053">
            <w:pPr>
              <w:spacing w:line="240" w:lineRule="exac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人工/视频/环境监测</w:t>
            </w:r>
          </w:p>
        </w:tc>
        <w:tc>
          <w:tcPr>
            <w:tcW w:w="3332" w:type="dxa"/>
            <w:vAlign w:val="center"/>
          </w:tcPr>
          <w:p w14:paraId="459D11F8">
            <w:pPr>
              <w:spacing w:line="240" w:lineRule="exac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设备环境湿度在正常范围内。</w:t>
            </w:r>
          </w:p>
        </w:tc>
      </w:tr>
      <w:tr w14:paraId="17B5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vMerge w:val="continue"/>
            <w:vAlign w:val="center"/>
          </w:tcPr>
          <w:p w14:paraId="704A1DFB">
            <w:pPr>
              <w:spacing w:line="240" w:lineRule="exact"/>
              <w:rPr>
                <w:rFonts w:ascii="Times New Roman" w:hAnsi="Times New Roman" w:cs="Times New Roman" w:eastAsiaTheme="minorEastAsia"/>
                <w:kern w:val="0"/>
                <w:szCs w:val="21"/>
              </w:rPr>
            </w:pPr>
          </w:p>
        </w:tc>
        <w:tc>
          <w:tcPr>
            <w:tcW w:w="1860" w:type="dxa"/>
            <w:vAlign w:val="center"/>
          </w:tcPr>
          <w:p w14:paraId="442B9852">
            <w:pPr>
              <w:spacing w:line="240" w:lineRule="exac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设备环境内空调运行是否正常</w:t>
            </w:r>
          </w:p>
        </w:tc>
        <w:tc>
          <w:tcPr>
            <w:tcW w:w="779" w:type="dxa"/>
            <w:vMerge w:val="continue"/>
            <w:vAlign w:val="center"/>
          </w:tcPr>
          <w:p w14:paraId="078403DB">
            <w:pPr>
              <w:spacing w:line="240" w:lineRule="exact"/>
              <w:rPr>
                <w:rFonts w:ascii="Times New Roman" w:hAnsi="Times New Roman" w:cs="Times New Roman" w:eastAsiaTheme="minorEastAsia"/>
                <w:kern w:val="0"/>
                <w:szCs w:val="21"/>
              </w:rPr>
            </w:pPr>
          </w:p>
        </w:tc>
        <w:tc>
          <w:tcPr>
            <w:tcW w:w="1771" w:type="dxa"/>
            <w:vAlign w:val="center"/>
          </w:tcPr>
          <w:p w14:paraId="6E4B2CBA">
            <w:pPr>
              <w:spacing w:line="240" w:lineRule="exac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人工/视频/环境监测</w:t>
            </w:r>
          </w:p>
        </w:tc>
        <w:tc>
          <w:tcPr>
            <w:tcW w:w="3332" w:type="dxa"/>
            <w:vAlign w:val="center"/>
          </w:tcPr>
          <w:p w14:paraId="1397CA9B">
            <w:pPr>
              <w:spacing w:line="240" w:lineRule="exac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空调可持续稳定运行，使设备环境温度保持在设备可承受范围内。</w:t>
            </w:r>
          </w:p>
        </w:tc>
      </w:tr>
      <w:tr w14:paraId="384D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vMerge w:val="continue"/>
            <w:vAlign w:val="center"/>
          </w:tcPr>
          <w:p w14:paraId="06662485">
            <w:pPr>
              <w:spacing w:line="240" w:lineRule="exact"/>
              <w:rPr>
                <w:rFonts w:ascii="Times New Roman" w:hAnsi="Times New Roman" w:cs="Times New Roman" w:eastAsiaTheme="minorEastAsia"/>
                <w:kern w:val="0"/>
                <w:szCs w:val="21"/>
              </w:rPr>
            </w:pPr>
          </w:p>
        </w:tc>
        <w:tc>
          <w:tcPr>
            <w:tcW w:w="1860" w:type="dxa"/>
            <w:vAlign w:val="center"/>
          </w:tcPr>
          <w:p w14:paraId="65D3B058">
            <w:pPr>
              <w:spacing w:line="240" w:lineRule="exac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接地方式及接地电阻是否符合要求</w:t>
            </w:r>
          </w:p>
        </w:tc>
        <w:tc>
          <w:tcPr>
            <w:tcW w:w="779" w:type="dxa"/>
            <w:vMerge w:val="continue"/>
            <w:vAlign w:val="center"/>
          </w:tcPr>
          <w:p w14:paraId="66226BB2">
            <w:pPr>
              <w:spacing w:line="240" w:lineRule="exact"/>
              <w:rPr>
                <w:rFonts w:ascii="Times New Roman" w:hAnsi="Times New Roman" w:cs="Times New Roman" w:eastAsiaTheme="minorEastAsia"/>
                <w:kern w:val="0"/>
                <w:szCs w:val="21"/>
              </w:rPr>
            </w:pPr>
          </w:p>
        </w:tc>
        <w:tc>
          <w:tcPr>
            <w:tcW w:w="1771" w:type="dxa"/>
            <w:vAlign w:val="center"/>
          </w:tcPr>
          <w:p w14:paraId="3CADD75D">
            <w:pPr>
              <w:spacing w:line="240" w:lineRule="exac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人工/视频/环境监测</w:t>
            </w:r>
          </w:p>
        </w:tc>
        <w:tc>
          <w:tcPr>
            <w:tcW w:w="3332" w:type="dxa"/>
            <w:vAlign w:val="center"/>
          </w:tcPr>
          <w:p w14:paraId="18BC43EC">
            <w:pPr>
              <w:spacing w:line="240" w:lineRule="exac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其要求设备环境的工作地、保护地、建筑防雷地分开设置，因机房条件限制，可采用联合接地，尤其对于户外使用的设备，设备接地非常重要，如果未接地容易造成雷击损坏。</w:t>
            </w:r>
          </w:p>
        </w:tc>
      </w:tr>
      <w:tr w14:paraId="64C1E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vMerge w:val="continue"/>
            <w:vAlign w:val="center"/>
          </w:tcPr>
          <w:p w14:paraId="7C0523E4">
            <w:pPr>
              <w:spacing w:line="240" w:lineRule="exact"/>
              <w:rPr>
                <w:rFonts w:ascii="Times New Roman" w:hAnsi="Times New Roman" w:cs="Times New Roman" w:eastAsiaTheme="minorEastAsia"/>
                <w:kern w:val="0"/>
                <w:szCs w:val="21"/>
              </w:rPr>
            </w:pPr>
          </w:p>
        </w:tc>
        <w:tc>
          <w:tcPr>
            <w:tcW w:w="1860" w:type="dxa"/>
            <w:vAlign w:val="center"/>
          </w:tcPr>
          <w:p w14:paraId="5A108DBC">
            <w:pPr>
              <w:spacing w:line="240" w:lineRule="exac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电源连接是否正常可靠</w:t>
            </w:r>
          </w:p>
        </w:tc>
        <w:tc>
          <w:tcPr>
            <w:tcW w:w="779" w:type="dxa"/>
            <w:vMerge w:val="continue"/>
            <w:vAlign w:val="center"/>
          </w:tcPr>
          <w:p w14:paraId="05D0979C">
            <w:pPr>
              <w:spacing w:line="240" w:lineRule="exact"/>
              <w:rPr>
                <w:rFonts w:ascii="Times New Roman" w:hAnsi="Times New Roman" w:cs="Times New Roman" w:eastAsiaTheme="minorEastAsia"/>
                <w:kern w:val="0"/>
                <w:szCs w:val="21"/>
              </w:rPr>
            </w:pPr>
          </w:p>
        </w:tc>
        <w:tc>
          <w:tcPr>
            <w:tcW w:w="1771" w:type="dxa"/>
            <w:vAlign w:val="center"/>
          </w:tcPr>
          <w:p w14:paraId="18BDE726">
            <w:pPr>
              <w:spacing w:line="240" w:lineRule="exac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人工/视频/环境监测</w:t>
            </w:r>
          </w:p>
        </w:tc>
        <w:tc>
          <w:tcPr>
            <w:tcW w:w="3332" w:type="dxa"/>
            <w:vAlign w:val="center"/>
          </w:tcPr>
          <w:p w14:paraId="0796D344">
            <w:pPr>
              <w:spacing w:line="240" w:lineRule="exac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电源线应正确的连接到设备的指定位置上，且连接牢固，设备的电源指示灯应常亮绿色。</w:t>
            </w:r>
          </w:p>
        </w:tc>
      </w:tr>
      <w:tr w14:paraId="16B5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vMerge w:val="continue"/>
            <w:vAlign w:val="center"/>
          </w:tcPr>
          <w:p w14:paraId="75305011">
            <w:pPr>
              <w:spacing w:line="240" w:lineRule="exact"/>
              <w:rPr>
                <w:rFonts w:ascii="Times New Roman" w:hAnsi="Times New Roman" w:cs="Times New Roman" w:eastAsiaTheme="minorEastAsia"/>
                <w:kern w:val="0"/>
                <w:szCs w:val="21"/>
              </w:rPr>
            </w:pPr>
          </w:p>
        </w:tc>
        <w:tc>
          <w:tcPr>
            <w:tcW w:w="1860" w:type="dxa"/>
            <w:vAlign w:val="center"/>
          </w:tcPr>
          <w:p w14:paraId="08C5A364">
            <w:pPr>
              <w:spacing w:line="240" w:lineRule="exac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供电系统是否正常</w:t>
            </w:r>
          </w:p>
        </w:tc>
        <w:tc>
          <w:tcPr>
            <w:tcW w:w="779" w:type="dxa"/>
            <w:vMerge w:val="continue"/>
            <w:vAlign w:val="center"/>
          </w:tcPr>
          <w:p w14:paraId="7285562E">
            <w:pPr>
              <w:spacing w:line="240" w:lineRule="exact"/>
              <w:rPr>
                <w:rFonts w:ascii="Times New Roman" w:hAnsi="Times New Roman" w:cs="Times New Roman" w:eastAsiaTheme="minorEastAsia"/>
                <w:kern w:val="0"/>
                <w:szCs w:val="21"/>
              </w:rPr>
            </w:pPr>
          </w:p>
        </w:tc>
        <w:tc>
          <w:tcPr>
            <w:tcW w:w="1771" w:type="dxa"/>
            <w:vAlign w:val="center"/>
          </w:tcPr>
          <w:p w14:paraId="68F3514C">
            <w:pPr>
              <w:spacing w:line="240" w:lineRule="exac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人工/视频/环境监测</w:t>
            </w:r>
          </w:p>
        </w:tc>
        <w:tc>
          <w:tcPr>
            <w:tcW w:w="3332" w:type="dxa"/>
            <w:vAlign w:val="center"/>
          </w:tcPr>
          <w:p w14:paraId="6F6A77ED">
            <w:pPr>
              <w:spacing w:line="240" w:lineRule="exact"/>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其要求供电系统运行稳定。</w:t>
            </w:r>
          </w:p>
        </w:tc>
      </w:tr>
    </w:tbl>
    <w:p w14:paraId="491A4F9A">
      <w:pPr>
        <w:spacing w:line="380" w:lineRule="exact"/>
        <w:ind w:firstLine="480" w:firstLineChars="200"/>
        <w:rPr>
          <w:rFonts w:ascii="Times New Roman" w:hAnsi="Times New Roman" w:cs="Times New Roman" w:eastAsiaTheme="minorEastAsia"/>
          <w:bCs/>
          <w:sz w:val="24"/>
          <w:szCs w:val="24"/>
        </w:rPr>
      </w:pPr>
      <w:bookmarkStart w:id="136" w:name="_Toc498350089"/>
      <w:bookmarkStart w:id="137" w:name="_Toc32690"/>
      <w:r>
        <w:rPr>
          <w:rFonts w:ascii="Times New Roman" w:hAnsi="Times New Roman" w:cs="Times New Roman" w:eastAsiaTheme="minorEastAsia"/>
          <w:bCs/>
          <w:sz w:val="24"/>
          <w:szCs w:val="24"/>
        </w:rPr>
        <w:t>2.3.2泵站自动化设备维护标准</w:t>
      </w:r>
      <w:bookmarkEnd w:id="136"/>
      <w:bookmarkEnd w:id="137"/>
    </w:p>
    <w:p w14:paraId="5EB2672F">
      <w:pPr>
        <w:spacing w:line="380" w:lineRule="exact"/>
        <w:ind w:firstLine="480" w:firstLineChars="200"/>
        <w:rPr>
          <w:rFonts w:ascii="Times New Roman" w:hAnsi="Times New Roman" w:cs="Times New Roman" w:eastAsiaTheme="minorEastAsia"/>
          <w:sz w:val="24"/>
          <w:szCs w:val="24"/>
        </w:rPr>
      </w:pPr>
      <w:bookmarkStart w:id="138" w:name="_Toc424175444"/>
      <w:bookmarkStart w:id="139" w:name="_Toc425892146"/>
      <w:bookmarkStart w:id="140" w:name="_Toc424205052"/>
      <w:bookmarkStart w:id="141" w:name="_Toc361304118"/>
      <w:r>
        <w:rPr>
          <w:rFonts w:ascii="Times New Roman" w:hAnsi="Times New Roman" w:cs="Times New Roman" w:eastAsiaTheme="minorEastAsia"/>
          <w:sz w:val="24"/>
          <w:szCs w:val="24"/>
        </w:rPr>
        <w:t>控制柜和内部元器件的运行和维护：</w:t>
      </w:r>
    </w:p>
    <w:p w14:paraId="7DC44855">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PLC系统控制柜装两块中板，前后开门，柜内元件前后双面布置。柜门与柜体间有接地线连接。</w:t>
      </w:r>
    </w:p>
    <w:p w14:paraId="383EDC0C">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柜内导线都有线号，线号相同的导线在任何位置都是相通的。</w:t>
      </w:r>
    </w:p>
    <w:p w14:paraId="2E34B180">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220VAC供电     L用红色软导线，N 用浅蓝色软导线。</w:t>
      </w:r>
    </w:p>
    <w:p w14:paraId="7601CB97">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24VDC电源     24V+用棕色软导线，24V-用深蓝色软导线。</w:t>
      </w:r>
    </w:p>
    <w:p w14:paraId="43A42A5E">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信号或柜内配线用黑色软导线，接地线统一用黄绿线。</w:t>
      </w:r>
    </w:p>
    <w:p w14:paraId="0E4D450C">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控制柜的上电：初次上电或大的检修时，主电源断开，UPS停止，首先要将所有断路器，熔断器断开。按照主电源指示灯熔断器---电源开关---温控器---UPS进线电源---24VIO电源---仪表电源---IO模板供电熔断器---机架电源---仪表供电熔断器的顺序依次上电。日常时断开或合上哪路电源都可以直接操作。</w:t>
      </w:r>
    </w:p>
    <w:p w14:paraId="19084D9E">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柜内元器件的运维：定期对柜内元器件的接线检查。定期对柜内清扫，建议用吸尘器，既要注意不要将灰尘（可能有导电的物体）吹进设备，又要注意不要将接线挂掉。</w:t>
      </w:r>
    </w:p>
    <w:p w14:paraId="4A385188">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水位计等传感器的运维：雷达水位计主要由电子元件和天线构成，无可动部件，在使用中的故障极少。使用中偶尔遇到的问题是，贮槽中有些易挥发的有机物会在雷达水位计的喇叭口或天线上结晶，对它们只要定期检查和清理即可，维护量少。</w:t>
      </w:r>
    </w:p>
    <w:p w14:paraId="7AA1F344">
      <w:pPr>
        <w:spacing w:line="380" w:lineRule="exact"/>
        <w:ind w:firstLine="480" w:firstLineChars="200"/>
        <w:rPr>
          <w:rFonts w:ascii="Times New Roman" w:hAnsi="Times New Roman" w:cs="Times New Roman" w:eastAsiaTheme="minorEastAsia"/>
          <w:b/>
          <w:sz w:val="24"/>
          <w:szCs w:val="24"/>
        </w:rPr>
      </w:pPr>
      <w:bookmarkStart w:id="142" w:name="_Toc6268"/>
      <w:bookmarkStart w:id="143" w:name="_Toc498350090"/>
      <w:r>
        <w:rPr>
          <w:rFonts w:ascii="Times New Roman" w:hAnsi="Times New Roman" w:cs="Times New Roman" w:eastAsiaTheme="minorEastAsia"/>
          <w:bCs/>
          <w:sz w:val="24"/>
          <w:szCs w:val="24"/>
        </w:rPr>
        <w:t>2.3.3设备机房室内环境检查维护</w:t>
      </w:r>
      <w:bookmarkEnd w:id="138"/>
      <w:bookmarkEnd w:id="139"/>
      <w:bookmarkEnd w:id="140"/>
      <w:bookmarkEnd w:id="141"/>
      <w:r>
        <w:rPr>
          <w:rFonts w:ascii="Times New Roman" w:hAnsi="Times New Roman" w:cs="Times New Roman" w:eastAsiaTheme="minorEastAsia"/>
          <w:bCs/>
          <w:sz w:val="24"/>
          <w:szCs w:val="24"/>
        </w:rPr>
        <w:t>标准</w:t>
      </w:r>
      <w:bookmarkEnd w:id="142"/>
      <w:bookmarkEnd w:id="143"/>
    </w:p>
    <w:p w14:paraId="16B4DA8E">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设备机房温度在22±2℃之间，最大温度变化率不超过10℃/小时；设备机房湿度在50±10%之间；设备机房整洁干净，按时进行地面除尘及环境清洁；静电地板清洗清洁，缝隙调整，平整度调整，损坏更换；吊顶表面清洁；板材松动、翘起修复，变形、损坏更换；龙骨调平等；墙面污迹清理，裂缝修补；玻璃清洗，不锈钢清洗，玻璃胶修整，地弹簧校正，拉手螺丝加固；机柜除尘、清洁；机柜及网络设备整理，包括交换机、配线架和网线的重新整理、排序，并重新标上统一的编号；检查设备机房进出水管接头是否有液漏现象，水管阀门检查、加固及更换。</w:t>
      </w:r>
    </w:p>
    <w:p w14:paraId="3FC7BBCD">
      <w:pPr>
        <w:spacing w:line="380" w:lineRule="exact"/>
        <w:ind w:firstLine="480" w:firstLineChars="200"/>
        <w:rPr>
          <w:rFonts w:ascii="Times New Roman" w:hAnsi="Times New Roman" w:cs="Times New Roman" w:eastAsiaTheme="minorEastAsia"/>
          <w:bCs/>
          <w:sz w:val="24"/>
          <w:szCs w:val="24"/>
        </w:rPr>
      </w:pPr>
      <w:bookmarkStart w:id="144" w:name="_Toc424205053"/>
      <w:bookmarkStart w:id="145" w:name="_Toc425892147"/>
      <w:bookmarkStart w:id="146" w:name="_Toc424175445"/>
      <w:bookmarkStart w:id="147" w:name="_Toc498350091"/>
      <w:bookmarkStart w:id="148" w:name="_Toc2051"/>
      <w:r>
        <w:rPr>
          <w:rFonts w:ascii="Times New Roman" w:hAnsi="Times New Roman" w:cs="Times New Roman" w:eastAsiaTheme="minorEastAsia"/>
          <w:bCs/>
          <w:sz w:val="24"/>
          <w:szCs w:val="24"/>
        </w:rPr>
        <w:t>2.3.4设备机房监控系统维护</w:t>
      </w:r>
      <w:bookmarkEnd w:id="144"/>
      <w:bookmarkEnd w:id="145"/>
      <w:bookmarkEnd w:id="146"/>
      <w:r>
        <w:rPr>
          <w:rFonts w:ascii="Times New Roman" w:hAnsi="Times New Roman" w:cs="Times New Roman" w:eastAsiaTheme="minorEastAsia"/>
          <w:bCs/>
          <w:sz w:val="24"/>
          <w:szCs w:val="24"/>
        </w:rPr>
        <w:t>标准</w:t>
      </w:r>
      <w:bookmarkEnd w:id="147"/>
      <w:bookmarkEnd w:id="148"/>
    </w:p>
    <w:p w14:paraId="25B3EC3F">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每季度一次设备的除尘、清理，扫净监控设备显露的尘土，对摄像机、防护罩、门禁、监控采集模块等部件要卸下彻底吹风除尘，之后用无水酒精棉将各个擦干净，调整摄像头清晰度，防止由于机器运转、静电等因素将尘土吸入监控设备机体内，确保机器正常运行。同时检查监控机房通风、散热、净尘、供电等设施。</w:t>
      </w:r>
    </w:p>
    <w:p w14:paraId="0918118D">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根据监控系统各部份设备的使用说明，每季度检测其各项技术参数及监控系统传输线路质量，处理故障隐患，协助监控主管设定使用级别等各种数据，确保各部分设备各项功能良好，能够正常运行。</w:t>
      </w:r>
    </w:p>
    <w:p w14:paraId="1A3BF0EC">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对容易老化的监控设备部件每季度一次进行全面检查，一旦发现老化现象应及时更换、维修，如视频头、采集模块等。</w:t>
      </w:r>
    </w:p>
    <w:p w14:paraId="64FA0D23">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对易吸尘部份每季度定期清理一次，如监视器等暴露在空气中，由于屏幕的静电作用，会有许多灰尘被吸附在监视器表面，影响画面的清晰度，要定期擦拭监视器，校对监视器的颜色及亮度。</w:t>
      </w:r>
    </w:p>
    <w:p w14:paraId="76237FD0">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对长时间工作的监控设备每季度定期维护一次，如硬盘录像机长时间工作会产生较多的热量，一旦其电风扇有故障，会影响排热，以免硬盘录像机工作不正常。</w:t>
      </w:r>
    </w:p>
    <w:p w14:paraId="3B77390B">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对监控系统及设备的运行情况进行监控，分析运行情况，及时发现并排除故障。如：网络设备、服务器系统、监控终端及各种终端外设。桌面系统的运行检查，网络及桌面系统的病毒防御。 </w:t>
      </w:r>
    </w:p>
    <w:p w14:paraId="418A03EA">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每季度定期对监控系统和设备进行优化：合理安排监控中心的监控网络需求，如带宽、IP地址等限制。</w:t>
      </w:r>
    </w:p>
    <w:p w14:paraId="550B337D">
      <w:pPr>
        <w:spacing w:line="380" w:lineRule="exact"/>
        <w:ind w:firstLine="480" w:firstLineChars="200"/>
        <w:rPr>
          <w:rFonts w:ascii="Times New Roman" w:hAnsi="Times New Roman" w:cs="Times New Roman" w:eastAsiaTheme="minorEastAsia"/>
          <w:sz w:val="24"/>
          <w:szCs w:val="24"/>
        </w:rPr>
      </w:pPr>
      <w:bookmarkStart w:id="149" w:name="_Toc424175446"/>
      <w:bookmarkStart w:id="150" w:name="_Toc424205054"/>
      <w:r>
        <w:rPr>
          <w:rFonts w:ascii="Times New Roman" w:hAnsi="Times New Roman" w:cs="Times New Roman" w:eastAsiaTheme="minorEastAsia"/>
          <w:sz w:val="24"/>
          <w:szCs w:val="24"/>
        </w:rPr>
        <w:t xml:space="preserve">2.3.5 </w:t>
      </w:r>
      <w:bookmarkStart w:id="151" w:name="_Toc425892148"/>
      <w:bookmarkStart w:id="152" w:name="_Toc498350092"/>
      <w:bookmarkStart w:id="153" w:name="_Toc4459"/>
      <w:r>
        <w:rPr>
          <w:rFonts w:ascii="Times New Roman" w:hAnsi="Times New Roman" w:cs="Times New Roman" w:eastAsiaTheme="minorEastAsia"/>
          <w:sz w:val="24"/>
          <w:szCs w:val="24"/>
        </w:rPr>
        <w:t>UPS及电池维护</w:t>
      </w:r>
      <w:bookmarkEnd w:id="149"/>
      <w:bookmarkEnd w:id="150"/>
      <w:bookmarkEnd w:id="151"/>
      <w:r>
        <w:rPr>
          <w:rFonts w:ascii="Times New Roman" w:hAnsi="Times New Roman" w:cs="Times New Roman" w:eastAsiaTheme="minorEastAsia"/>
          <w:sz w:val="24"/>
          <w:szCs w:val="24"/>
        </w:rPr>
        <w:t>标准</w:t>
      </w:r>
      <w:bookmarkEnd w:id="152"/>
      <w:bookmarkEnd w:id="153"/>
    </w:p>
    <w:p w14:paraId="73C7D449">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系统设备：UPS及电池组、UPS配电柜等。</w:t>
      </w:r>
    </w:p>
    <w:p w14:paraId="24FEB583">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维护内容如下：测试及记录主机运行参数；根据实际情况进行电池核对性容量测量测试；每季度将UPS市电断掉，放电50%后，进行充放电维护及调整充电电流，确保电池正常工作；检查风机及风道情况并清洁，主机外观清洁、内部除尘；检查记录输出波形、谐波含量、零地电压等，清洁系统主设备及电池等，查清各参数是否正确或切合实际，能及时发现事故隐患；UPS各项功能测试，如检查逆变器、整流器等启停、电池管理功能，有条件进行UPS同市电的切换试验。检查主机、电池及相关配电引线及端子的接触情况是否可靠，并测量记录压降及温升，有条件地进行相关紧固工作等。观察可能出现的元件老化或损坏现象、电容是否有膨胀或漏液迹象、磁性元件是否过热或分层迹象；并机系统进行单机运行测试，热备份系统负荷切换测试等；清理绝缘子表面沉积的污秽物质；接线柱加固，标签更换；测试输入输出频率；电流电压等。</w:t>
      </w:r>
    </w:p>
    <w:p w14:paraId="4AB80972">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电池维护检测基本要求：</w:t>
      </w:r>
    </w:p>
    <w:p w14:paraId="3C7A5E9B">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1）在进行蓄电池检测时要遵循“查隐患、保安全”的原则。</w:t>
      </w:r>
    </w:p>
    <w:p w14:paraId="2D3950CD">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2）要严格按照作业计划执行蓄电池的日常维护作业项目和性能分析。 </w:t>
      </w:r>
    </w:p>
    <w:p w14:paraId="4552211C">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3）严格遵循维护规程和蓄电池相关要求进行蓄电池的参数设置和相关操作。 </w:t>
      </w:r>
    </w:p>
    <w:p w14:paraId="111EB50E">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4）做好安全防护工作，要戴好绝缘手套，并将金属工具进行绝缘处理。 </w:t>
      </w:r>
    </w:p>
    <w:p w14:paraId="0DF5B81D">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5）使用符合检测要求的工具、仪表。</w:t>
      </w:r>
    </w:p>
    <w:p w14:paraId="463708B2">
      <w:pPr>
        <w:spacing w:line="380" w:lineRule="exact"/>
        <w:ind w:firstLine="480" w:firstLineChars="200"/>
        <w:rPr>
          <w:rFonts w:ascii="Times New Roman" w:hAnsi="Times New Roman" w:cs="Times New Roman"/>
          <w:kern w:val="0"/>
          <w:szCs w:val="21"/>
        </w:rPr>
      </w:pPr>
      <w:r>
        <w:rPr>
          <w:rFonts w:ascii="Times New Roman" w:hAnsi="Times New Roman" w:cs="Times New Roman" w:eastAsiaTheme="minorEastAsia"/>
          <w:sz w:val="24"/>
          <w:szCs w:val="24"/>
        </w:rPr>
        <w:t>6）每月对电池组进行不少于1次的维护检查。</w:t>
      </w:r>
    </w:p>
    <w:p w14:paraId="32DB3A80">
      <w:pPr>
        <w:spacing w:line="380" w:lineRule="exact"/>
        <w:ind w:firstLine="480" w:firstLineChars="200"/>
        <w:rPr>
          <w:rFonts w:ascii="Times New Roman" w:hAnsi="Times New Roman" w:cs="Times New Roman" w:eastAsiaTheme="minorEastAsia"/>
          <w:sz w:val="24"/>
          <w:szCs w:val="24"/>
        </w:rPr>
      </w:pPr>
      <w:bookmarkStart w:id="154" w:name="_Toc425892156"/>
      <w:bookmarkStart w:id="155" w:name="_Toc424205062"/>
      <w:bookmarkStart w:id="156" w:name="_Toc361304117"/>
      <w:bookmarkStart w:id="157" w:name="_Toc424175454"/>
      <w:bookmarkStart w:id="158" w:name="_Toc7206"/>
      <w:bookmarkStart w:id="159" w:name="_Toc498350093"/>
      <w:r>
        <w:rPr>
          <w:rFonts w:ascii="Times New Roman" w:hAnsi="Times New Roman" w:cs="Times New Roman" w:eastAsiaTheme="minorEastAsia"/>
          <w:sz w:val="24"/>
          <w:szCs w:val="24"/>
        </w:rPr>
        <w:t>2.3.6供配电系统维护</w:t>
      </w:r>
      <w:bookmarkEnd w:id="154"/>
      <w:bookmarkEnd w:id="155"/>
      <w:bookmarkEnd w:id="156"/>
      <w:bookmarkEnd w:id="157"/>
      <w:r>
        <w:rPr>
          <w:rFonts w:ascii="Times New Roman" w:hAnsi="Times New Roman" w:cs="Times New Roman" w:eastAsiaTheme="minorEastAsia"/>
          <w:sz w:val="24"/>
          <w:szCs w:val="24"/>
        </w:rPr>
        <w:t>标准</w:t>
      </w:r>
      <w:bookmarkEnd w:id="158"/>
      <w:bookmarkEnd w:id="159"/>
    </w:p>
    <w:p w14:paraId="1BBA775C">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系统设备：供配电系统设备，配电柜、线路及接口、照明及开关等。</w:t>
      </w:r>
    </w:p>
    <w:p w14:paraId="616D0E68">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维护内容如下：确保机房电压在220V+5%之间，电压频率在50.5~49.5之间，瞬间变动电压不超过220V+/-15%，总谐波不高于5%；机房电源地线方面确保机房接地线与任何导线完全隔离及绝缘，接地线线径至少为3.5mm，系统接地电阻在电源插座连线与地线间不大于2欧姆，在电源输出座连线与地线间电压小于1V，在接地线的接地端测的接地电阻不大于1欧姆；确保机房为主机设备、网络设备和存储设备提供独立的冗余双电源供应系统，杜绝电源公用现象，同时确保为主机及存储提供后备电源系统（UPS）；配电柜日常巡检及维护；接地电阻测试；主接地点除锈、土壤降阻、接头紧固；防雷器检测；接地线触点防氧化加固；</w:t>
      </w:r>
    </w:p>
    <w:p w14:paraId="1359ED26">
      <w:pPr>
        <w:spacing w:line="380" w:lineRule="exact"/>
        <w:ind w:firstLine="480" w:firstLineChars="200"/>
        <w:rPr>
          <w:rFonts w:ascii="Times New Roman" w:hAnsi="Times New Roman" w:cs="Times New Roman" w:eastAsiaTheme="minorEastAsia"/>
          <w:sz w:val="24"/>
          <w:szCs w:val="24"/>
        </w:rPr>
      </w:pPr>
      <w:bookmarkStart w:id="160" w:name="_Toc14925"/>
      <w:bookmarkStart w:id="161" w:name="_Toc498350094"/>
      <w:r>
        <w:rPr>
          <w:rFonts w:ascii="Times New Roman" w:hAnsi="Times New Roman" w:cs="Times New Roman" w:eastAsiaTheme="minorEastAsia"/>
          <w:sz w:val="24"/>
          <w:szCs w:val="24"/>
        </w:rPr>
        <w:t>2.3.7服务器维护标准</w:t>
      </w:r>
      <w:bookmarkEnd w:id="160"/>
      <w:bookmarkEnd w:id="161"/>
    </w:p>
    <w:p w14:paraId="24DF7724">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1）预防性维护服务。</w:t>
      </w:r>
    </w:p>
    <w:p w14:paraId="6FD21941">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定期预防性维护也就是日常的一般性维护，是一种基于预防性维护的主动服务。定期对系统进行预防性维护，是确保系统正常健康运行的重要预防措施。通过该服务及时检查、发现故障隐患，更换与排除故障部件，调整系统参数，尽量减少系统故障及宕机时间，保持业务持续性运行。</w:t>
      </w:r>
    </w:p>
    <w:p w14:paraId="11C99466">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2）预防性维护服务周期。</w:t>
      </w:r>
    </w:p>
    <w:p w14:paraId="1FD9A3B9">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每三个月预防性维护服务一次，对系统软硬件进行预防性检查维护，尽量将隐患消除在萌芽之中。 </w:t>
      </w:r>
    </w:p>
    <w:p w14:paraId="698427E8">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3）预防性维护服务内容</w:t>
      </w:r>
    </w:p>
    <w:p w14:paraId="135787AE">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系统运行环境检查，包括机房温度、湿度和零地电压、零火电压等；系统硬件运行情况检查；系统错误日志分析；超级用户邮件分析，清理过期邮件；对磁带机、光驱和软驱做读写测试和必需的清洗；文件系统空间使用情况检查；系统运行状态、性能检查和优化，包括CPU、内存和交换区使用情况，硬盘和网络的I/O情况检查；双机系统软件配置检查及有效性测试；操作系统版本及微码检查；设备除尘处理；检查如发现有隐患的部件将及时更换。</w:t>
      </w:r>
    </w:p>
    <w:p w14:paraId="725D8ACF">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4）预防性维护服务维护的方法 </w:t>
      </w:r>
    </w:p>
    <w:p w14:paraId="1FEDAA8B">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主机和磁盘阵列的物理状态检查，具体包括电源、风扇状态、LED状态灯检查等。主要部件的状态检查，具体操作如下：适配卡状态（包括SCSI卡、网卡等）：检查是否处于Available状态；内存状态：检查是否处于Available状态以及内存容量是否与机器原始配置相同；CPU状态：检查是否处于Available状态；硬盘状态：检查是否处于Available状态；网络通讯状态统计：检查其中Ierr和Oerr基本为0；磁盘空间使用情况检查，要求已经使用空间在80%以下，并且至少有12MB以上的剩余空间。</w:t>
      </w:r>
    </w:p>
    <w:p w14:paraId="2912CA61">
      <w:pPr>
        <w:spacing w:line="380" w:lineRule="exact"/>
        <w:ind w:firstLine="480" w:firstLineChars="200"/>
        <w:rPr>
          <w:rFonts w:ascii="Times New Roman" w:hAnsi="Times New Roman" w:cs="Times New Roman" w:eastAsiaTheme="minorEastAsia"/>
          <w:sz w:val="24"/>
          <w:szCs w:val="24"/>
        </w:rPr>
      </w:pPr>
      <w:bookmarkStart w:id="162" w:name="_Toc425892200"/>
      <w:bookmarkStart w:id="163" w:name="_Toc8911"/>
      <w:bookmarkStart w:id="164" w:name="_Toc498350096"/>
      <w:r>
        <w:rPr>
          <w:rFonts w:ascii="Times New Roman" w:hAnsi="Times New Roman" w:cs="Times New Roman" w:eastAsiaTheme="minorEastAsia"/>
          <w:sz w:val="24"/>
          <w:szCs w:val="24"/>
        </w:rPr>
        <w:t>2.3.8应用系统软件服务标准</w:t>
      </w:r>
      <w:bookmarkEnd w:id="162"/>
      <w:r>
        <w:rPr>
          <w:rFonts w:ascii="Times New Roman" w:hAnsi="Times New Roman" w:cs="Times New Roman" w:eastAsiaTheme="minorEastAsia"/>
          <w:sz w:val="24"/>
          <w:szCs w:val="24"/>
        </w:rPr>
        <w:t>分类说明</w:t>
      </w:r>
      <w:bookmarkEnd w:id="163"/>
      <w:bookmarkEnd w:id="164"/>
    </w:p>
    <w:p w14:paraId="6E5F5E58">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基础操作系统和通用软件巡检服务内容：操作系统进程，应用系统进程；处理的队列长度，主机性能；减少进程的瓶颈；文件系统大小的调整及属性的转换；文件系统的碎片整理；文件系统节点的维护；物理卷、逻辑卷和卷组（磁盘组）的调整、管理；系统用户管理与安全；系统日志，群集日志；</w:t>
      </w:r>
    </w:p>
    <w:p w14:paraId="230A419A">
      <w:pPr>
        <w:spacing w:line="380" w:lineRule="exact"/>
        <w:ind w:firstLine="480" w:firstLineChars="200"/>
        <w:rPr>
          <w:rFonts w:ascii="Times New Roman" w:hAnsi="Times New Roman" w:cs="Times New Roman" w:eastAsiaTheme="minorEastAsia"/>
          <w:sz w:val="24"/>
          <w:szCs w:val="24"/>
        </w:rPr>
      </w:pPr>
      <w:bookmarkStart w:id="165" w:name="_Toc425892202"/>
      <w:bookmarkStart w:id="166" w:name="_Toc498350097"/>
      <w:bookmarkStart w:id="167" w:name="_Toc22226"/>
      <w:r>
        <w:rPr>
          <w:rFonts w:ascii="Times New Roman" w:hAnsi="Times New Roman" w:cs="Times New Roman" w:eastAsiaTheme="minorEastAsia"/>
          <w:sz w:val="24"/>
          <w:szCs w:val="24"/>
        </w:rPr>
        <w:t>2.3.9网络运维服务</w:t>
      </w:r>
      <w:bookmarkEnd w:id="165"/>
      <w:r>
        <w:rPr>
          <w:rFonts w:ascii="Times New Roman" w:hAnsi="Times New Roman" w:cs="Times New Roman" w:eastAsiaTheme="minorEastAsia"/>
          <w:sz w:val="24"/>
          <w:szCs w:val="24"/>
        </w:rPr>
        <w:t>标准</w:t>
      </w:r>
      <w:bookmarkEnd w:id="166"/>
      <w:bookmarkEnd w:id="167"/>
    </w:p>
    <w:p w14:paraId="15EFE1C7">
      <w:pPr>
        <w:spacing w:line="380" w:lineRule="exact"/>
        <w:ind w:firstLine="480" w:firstLineChars="200"/>
        <w:rPr>
          <w:rFonts w:ascii="Times New Roman" w:hAnsi="Times New Roman" w:cs="Times New Roman" w:eastAsiaTheme="minorEastAsia"/>
          <w:sz w:val="24"/>
          <w:szCs w:val="24"/>
        </w:rPr>
      </w:pPr>
      <w:bookmarkStart w:id="168" w:name="_Toc362101653"/>
      <w:bookmarkStart w:id="169" w:name="_Toc425892203"/>
      <w:r>
        <w:rPr>
          <w:rFonts w:ascii="Times New Roman" w:hAnsi="Times New Roman" w:cs="Times New Roman" w:eastAsiaTheme="minorEastAsia"/>
          <w:sz w:val="24"/>
          <w:szCs w:val="24"/>
        </w:rPr>
        <w:t>2.3.9.1网络运行基本服务内容</w:t>
      </w:r>
      <w:bookmarkEnd w:id="168"/>
      <w:bookmarkEnd w:id="169"/>
    </w:p>
    <w:p w14:paraId="2D231116">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成交供应商需要从网络硬件设备及网络的连通性、网络的性能、网络的监控管理四个方面实现对网络系统的运维服务管理。</w:t>
      </w:r>
    </w:p>
    <w:p w14:paraId="348E816E">
      <w:pPr>
        <w:spacing w:line="380" w:lineRule="exact"/>
        <w:ind w:firstLine="480" w:firstLineChars="200"/>
        <w:rPr>
          <w:rFonts w:ascii="Times New Roman" w:hAnsi="Times New Roman" w:cs="Times New Roman" w:eastAsiaTheme="minorEastAsia"/>
          <w:sz w:val="24"/>
          <w:szCs w:val="24"/>
        </w:rPr>
      </w:pPr>
      <w:bookmarkStart w:id="170" w:name="_Toc362101654"/>
      <w:bookmarkStart w:id="171" w:name="_Toc425892204"/>
      <w:r>
        <w:rPr>
          <w:rFonts w:ascii="Times New Roman" w:hAnsi="Times New Roman" w:cs="Times New Roman" w:eastAsiaTheme="minorEastAsia"/>
          <w:sz w:val="24"/>
          <w:szCs w:val="24"/>
        </w:rPr>
        <w:t>2.3.9.2网络设备巡视计划书</w:t>
      </w:r>
      <w:bookmarkEnd w:id="170"/>
      <w:bookmarkEnd w:id="171"/>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296"/>
        <w:gridCol w:w="1070"/>
        <w:gridCol w:w="1136"/>
        <w:gridCol w:w="1699"/>
        <w:gridCol w:w="850"/>
        <w:gridCol w:w="709"/>
      </w:tblGrid>
      <w:tr w14:paraId="722D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1" w:type="dxa"/>
            <w:gridSpan w:val="7"/>
            <w:tcBorders>
              <w:top w:val="nil"/>
              <w:left w:val="nil"/>
              <w:bottom w:val="single" w:color="auto" w:sz="4" w:space="0"/>
              <w:right w:val="nil"/>
            </w:tcBorders>
            <w:vAlign w:val="center"/>
          </w:tcPr>
          <w:p w14:paraId="06151152">
            <w:pPr>
              <w:spacing w:line="240" w:lineRule="exact"/>
              <w:contextualSpacing/>
              <w:jc w:val="center"/>
              <w:rPr>
                <w:rFonts w:ascii="Times New Roman" w:hAnsi="Times New Roman" w:cs="Times New Roman" w:eastAsiaTheme="minorEastAsia"/>
                <w:szCs w:val="21"/>
              </w:rPr>
            </w:pPr>
            <w:r>
              <w:rPr>
                <w:rFonts w:ascii="Times New Roman" w:hAnsi="Times New Roman" w:cs="Times New Roman" w:eastAsiaTheme="minorEastAsia"/>
                <w:b/>
                <w:szCs w:val="21"/>
              </w:rPr>
              <w:t>网络设备巡视典型作业计划书</w:t>
            </w:r>
          </w:p>
        </w:tc>
      </w:tr>
      <w:tr w14:paraId="5405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3" w:type="dxa"/>
            <w:gridSpan w:val="4"/>
            <w:tcBorders>
              <w:top w:val="single" w:color="auto" w:sz="4" w:space="0"/>
            </w:tcBorders>
            <w:vAlign w:val="center"/>
          </w:tcPr>
          <w:p w14:paraId="1D69D47A">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系统管理单位：</w:t>
            </w:r>
          </w:p>
        </w:tc>
        <w:tc>
          <w:tcPr>
            <w:tcW w:w="3258" w:type="dxa"/>
            <w:gridSpan w:val="3"/>
            <w:tcBorders>
              <w:top w:val="single" w:color="auto" w:sz="4" w:space="0"/>
            </w:tcBorders>
            <w:vAlign w:val="center"/>
          </w:tcPr>
          <w:p w14:paraId="4B3F063A">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维保单位：</w:t>
            </w:r>
          </w:p>
        </w:tc>
      </w:tr>
      <w:tr w14:paraId="67A84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gridSpan w:val="2"/>
            <w:vAlign w:val="center"/>
          </w:tcPr>
          <w:p w14:paraId="753737F9">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设备名：</w:t>
            </w:r>
          </w:p>
        </w:tc>
        <w:tc>
          <w:tcPr>
            <w:tcW w:w="2206" w:type="dxa"/>
            <w:gridSpan w:val="2"/>
            <w:vAlign w:val="center"/>
          </w:tcPr>
          <w:p w14:paraId="313A864D">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设备型号：</w:t>
            </w:r>
          </w:p>
        </w:tc>
        <w:tc>
          <w:tcPr>
            <w:tcW w:w="3258" w:type="dxa"/>
            <w:gridSpan w:val="3"/>
            <w:vAlign w:val="center"/>
          </w:tcPr>
          <w:p w14:paraId="2C1192E2">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设备名：</w:t>
            </w:r>
          </w:p>
        </w:tc>
      </w:tr>
      <w:tr w14:paraId="2B32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gridSpan w:val="2"/>
            <w:vAlign w:val="center"/>
          </w:tcPr>
          <w:p w14:paraId="09229493">
            <w:pPr>
              <w:spacing w:line="240" w:lineRule="exact"/>
              <w:contextualSpacing/>
              <w:jc w:val="center"/>
              <w:rPr>
                <w:rFonts w:ascii="Times New Roman" w:hAnsi="Times New Roman" w:cs="Times New Roman" w:eastAsiaTheme="minorEastAsia"/>
                <w:b/>
                <w:bCs/>
                <w:kern w:val="0"/>
                <w:szCs w:val="21"/>
              </w:rPr>
            </w:pPr>
            <w:r>
              <w:rPr>
                <w:rFonts w:ascii="Times New Roman" w:hAnsi="Times New Roman" w:cs="Times New Roman" w:eastAsiaTheme="minorEastAsia"/>
                <w:b/>
                <w:bCs/>
                <w:kern w:val="0"/>
                <w:szCs w:val="21"/>
              </w:rPr>
              <w:t>检查内容</w:t>
            </w:r>
          </w:p>
        </w:tc>
        <w:tc>
          <w:tcPr>
            <w:tcW w:w="1070" w:type="dxa"/>
            <w:vAlign w:val="center"/>
          </w:tcPr>
          <w:p w14:paraId="30553D67">
            <w:pPr>
              <w:spacing w:line="240" w:lineRule="exact"/>
              <w:contextualSpacing/>
              <w:jc w:val="center"/>
              <w:rPr>
                <w:rFonts w:ascii="Times New Roman" w:hAnsi="Times New Roman" w:cs="Times New Roman" w:eastAsiaTheme="minorEastAsia"/>
                <w:b/>
                <w:bCs/>
                <w:kern w:val="0"/>
                <w:szCs w:val="21"/>
              </w:rPr>
            </w:pPr>
            <w:r>
              <w:rPr>
                <w:rFonts w:ascii="Times New Roman" w:hAnsi="Times New Roman" w:cs="Times New Roman" w:eastAsiaTheme="minorEastAsia"/>
                <w:b/>
                <w:bCs/>
                <w:kern w:val="0"/>
                <w:szCs w:val="21"/>
              </w:rPr>
              <w:t>参考标准</w:t>
            </w:r>
          </w:p>
        </w:tc>
        <w:tc>
          <w:tcPr>
            <w:tcW w:w="1136" w:type="dxa"/>
            <w:vAlign w:val="center"/>
          </w:tcPr>
          <w:p w14:paraId="599F2EF4">
            <w:pPr>
              <w:spacing w:line="240" w:lineRule="exact"/>
              <w:contextualSpacing/>
              <w:jc w:val="center"/>
              <w:rPr>
                <w:rFonts w:ascii="Times New Roman" w:hAnsi="Times New Roman" w:cs="Times New Roman" w:eastAsiaTheme="minorEastAsia"/>
                <w:b/>
                <w:bCs/>
                <w:kern w:val="0"/>
                <w:szCs w:val="21"/>
              </w:rPr>
            </w:pPr>
            <w:r>
              <w:rPr>
                <w:rFonts w:ascii="Times New Roman" w:hAnsi="Times New Roman" w:cs="Times New Roman" w:eastAsiaTheme="minorEastAsia"/>
                <w:b/>
                <w:bCs/>
                <w:kern w:val="0"/>
                <w:szCs w:val="21"/>
              </w:rPr>
              <w:t>检查结果</w:t>
            </w:r>
          </w:p>
        </w:tc>
        <w:tc>
          <w:tcPr>
            <w:tcW w:w="1699" w:type="dxa"/>
            <w:vAlign w:val="center"/>
          </w:tcPr>
          <w:p w14:paraId="2FB4F559">
            <w:pPr>
              <w:spacing w:line="240" w:lineRule="exact"/>
              <w:contextualSpacing/>
              <w:jc w:val="center"/>
              <w:rPr>
                <w:rFonts w:ascii="Times New Roman" w:hAnsi="Times New Roman" w:cs="Times New Roman" w:eastAsiaTheme="minorEastAsia"/>
                <w:b/>
                <w:bCs/>
                <w:kern w:val="0"/>
                <w:szCs w:val="21"/>
              </w:rPr>
            </w:pPr>
            <w:r>
              <w:rPr>
                <w:rFonts w:ascii="Times New Roman" w:hAnsi="Times New Roman" w:cs="Times New Roman" w:eastAsiaTheme="minorEastAsia"/>
                <w:b/>
                <w:bCs/>
                <w:kern w:val="0"/>
                <w:szCs w:val="21"/>
              </w:rPr>
              <w:t>检查结论</w:t>
            </w:r>
          </w:p>
        </w:tc>
        <w:tc>
          <w:tcPr>
            <w:tcW w:w="850" w:type="dxa"/>
            <w:vAlign w:val="center"/>
          </w:tcPr>
          <w:p w14:paraId="44A62B96">
            <w:pPr>
              <w:spacing w:line="240" w:lineRule="exact"/>
              <w:contextualSpacing/>
              <w:jc w:val="center"/>
              <w:rPr>
                <w:rFonts w:ascii="Times New Roman" w:hAnsi="Times New Roman" w:cs="Times New Roman" w:eastAsiaTheme="minorEastAsia"/>
                <w:b/>
                <w:bCs/>
                <w:kern w:val="0"/>
                <w:szCs w:val="21"/>
              </w:rPr>
            </w:pPr>
            <w:r>
              <w:rPr>
                <w:rFonts w:ascii="Times New Roman" w:hAnsi="Times New Roman" w:cs="Times New Roman" w:eastAsiaTheme="minorEastAsia"/>
                <w:b/>
                <w:bCs/>
                <w:kern w:val="0"/>
                <w:szCs w:val="21"/>
              </w:rPr>
              <w:t>巡视方法描述</w:t>
            </w:r>
          </w:p>
        </w:tc>
        <w:tc>
          <w:tcPr>
            <w:tcW w:w="709" w:type="dxa"/>
            <w:vAlign w:val="center"/>
          </w:tcPr>
          <w:p w14:paraId="49BF896C">
            <w:pPr>
              <w:spacing w:line="240" w:lineRule="exact"/>
              <w:contextualSpacing/>
              <w:jc w:val="center"/>
              <w:rPr>
                <w:rFonts w:ascii="Times New Roman" w:hAnsi="Times New Roman" w:cs="Times New Roman" w:eastAsiaTheme="minorEastAsia"/>
                <w:b/>
                <w:bCs/>
                <w:kern w:val="0"/>
                <w:szCs w:val="21"/>
              </w:rPr>
            </w:pPr>
            <w:r>
              <w:rPr>
                <w:rFonts w:ascii="Times New Roman" w:hAnsi="Times New Roman" w:cs="Times New Roman" w:eastAsiaTheme="minorEastAsia"/>
                <w:b/>
                <w:bCs/>
                <w:kern w:val="0"/>
                <w:szCs w:val="21"/>
              </w:rPr>
              <w:t>巡检周期</w:t>
            </w:r>
          </w:p>
        </w:tc>
      </w:tr>
      <w:tr w14:paraId="67A1B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restart"/>
            <w:vAlign w:val="center"/>
          </w:tcPr>
          <w:p w14:paraId="4BA8E65F">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硬件运行状态</w:t>
            </w:r>
          </w:p>
        </w:tc>
        <w:tc>
          <w:tcPr>
            <w:tcW w:w="1296" w:type="dxa"/>
            <w:vAlign w:val="center"/>
          </w:tcPr>
          <w:p w14:paraId="16185200">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电源运行状态</w:t>
            </w:r>
          </w:p>
        </w:tc>
        <w:tc>
          <w:tcPr>
            <w:tcW w:w="1070" w:type="dxa"/>
            <w:vAlign w:val="center"/>
          </w:tcPr>
          <w:p w14:paraId="68A6D044">
            <w:pPr>
              <w:spacing w:line="240" w:lineRule="exact"/>
              <w:contextualSpacing/>
              <w:rPr>
                <w:rFonts w:ascii="Times New Roman" w:hAnsi="Times New Roman" w:cs="Times New Roman" w:eastAsiaTheme="minorEastAsia"/>
                <w:kern w:val="0"/>
                <w:szCs w:val="21"/>
              </w:rPr>
            </w:pPr>
          </w:p>
        </w:tc>
        <w:tc>
          <w:tcPr>
            <w:tcW w:w="1136" w:type="dxa"/>
            <w:vAlign w:val="center"/>
          </w:tcPr>
          <w:p w14:paraId="43134CB5">
            <w:pPr>
              <w:spacing w:line="240" w:lineRule="exact"/>
              <w:contextualSpacing/>
              <w:rPr>
                <w:rFonts w:ascii="Times New Roman" w:hAnsi="Times New Roman" w:cs="Times New Roman" w:eastAsiaTheme="minorEastAsia"/>
                <w:kern w:val="0"/>
                <w:szCs w:val="21"/>
              </w:rPr>
            </w:pPr>
          </w:p>
        </w:tc>
        <w:tc>
          <w:tcPr>
            <w:tcW w:w="1699" w:type="dxa"/>
            <w:vAlign w:val="center"/>
          </w:tcPr>
          <w:p w14:paraId="1EF88857">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□正常   □异常</w:t>
            </w:r>
          </w:p>
        </w:tc>
        <w:tc>
          <w:tcPr>
            <w:tcW w:w="850" w:type="dxa"/>
            <w:vAlign w:val="center"/>
          </w:tcPr>
          <w:p w14:paraId="2D38351C">
            <w:pPr>
              <w:spacing w:line="240" w:lineRule="exact"/>
              <w:contextualSpacing/>
              <w:rPr>
                <w:rFonts w:ascii="Times New Roman" w:hAnsi="Times New Roman" w:cs="Times New Roman" w:eastAsiaTheme="minorEastAsia"/>
                <w:kern w:val="0"/>
                <w:szCs w:val="21"/>
              </w:rPr>
            </w:pPr>
          </w:p>
        </w:tc>
        <w:tc>
          <w:tcPr>
            <w:tcW w:w="709" w:type="dxa"/>
            <w:vAlign w:val="center"/>
          </w:tcPr>
          <w:p w14:paraId="611144D1">
            <w:pPr>
              <w:spacing w:line="240" w:lineRule="exact"/>
              <w:contextualSpacing/>
              <w:rPr>
                <w:rFonts w:ascii="Times New Roman" w:hAnsi="Times New Roman" w:cs="Times New Roman" w:eastAsiaTheme="minorEastAsia"/>
                <w:szCs w:val="21"/>
              </w:rPr>
            </w:pPr>
          </w:p>
        </w:tc>
      </w:tr>
      <w:tr w14:paraId="476D5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14:paraId="1DECEDF9">
            <w:pPr>
              <w:spacing w:line="240" w:lineRule="exact"/>
              <w:contextualSpacing/>
              <w:rPr>
                <w:rFonts w:ascii="Times New Roman" w:hAnsi="Times New Roman" w:cs="Times New Roman" w:eastAsiaTheme="minorEastAsia"/>
                <w:kern w:val="0"/>
                <w:szCs w:val="21"/>
              </w:rPr>
            </w:pPr>
          </w:p>
        </w:tc>
        <w:tc>
          <w:tcPr>
            <w:tcW w:w="1296" w:type="dxa"/>
            <w:vAlign w:val="center"/>
          </w:tcPr>
          <w:p w14:paraId="2FFE4D8F">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风扇运行状态</w:t>
            </w:r>
          </w:p>
        </w:tc>
        <w:tc>
          <w:tcPr>
            <w:tcW w:w="1070" w:type="dxa"/>
            <w:vAlign w:val="center"/>
          </w:tcPr>
          <w:p w14:paraId="69AFE83B">
            <w:pPr>
              <w:spacing w:line="240" w:lineRule="exact"/>
              <w:contextualSpacing/>
              <w:rPr>
                <w:rFonts w:ascii="Times New Roman" w:hAnsi="Times New Roman" w:cs="Times New Roman" w:eastAsiaTheme="minorEastAsia"/>
                <w:kern w:val="0"/>
                <w:szCs w:val="21"/>
              </w:rPr>
            </w:pPr>
          </w:p>
        </w:tc>
        <w:tc>
          <w:tcPr>
            <w:tcW w:w="1136" w:type="dxa"/>
            <w:vAlign w:val="center"/>
          </w:tcPr>
          <w:p w14:paraId="73D42450">
            <w:pPr>
              <w:spacing w:line="240" w:lineRule="exact"/>
              <w:contextualSpacing/>
              <w:rPr>
                <w:rFonts w:ascii="Times New Roman" w:hAnsi="Times New Roman" w:cs="Times New Roman" w:eastAsiaTheme="minorEastAsia"/>
                <w:kern w:val="0"/>
                <w:szCs w:val="21"/>
              </w:rPr>
            </w:pPr>
          </w:p>
        </w:tc>
        <w:tc>
          <w:tcPr>
            <w:tcW w:w="1699" w:type="dxa"/>
            <w:vAlign w:val="center"/>
          </w:tcPr>
          <w:p w14:paraId="57CA8465">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□正常   □异常</w:t>
            </w:r>
          </w:p>
        </w:tc>
        <w:tc>
          <w:tcPr>
            <w:tcW w:w="850" w:type="dxa"/>
            <w:vAlign w:val="center"/>
          </w:tcPr>
          <w:p w14:paraId="2662DBF2">
            <w:pPr>
              <w:spacing w:line="240" w:lineRule="exact"/>
              <w:contextualSpacing/>
              <w:rPr>
                <w:rFonts w:ascii="Times New Roman" w:hAnsi="Times New Roman" w:cs="Times New Roman" w:eastAsiaTheme="minorEastAsia"/>
                <w:kern w:val="0"/>
                <w:szCs w:val="21"/>
              </w:rPr>
            </w:pPr>
          </w:p>
        </w:tc>
        <w:tc>
          <w:tcPr>
            <w:tcW w:w="709" w:type="dxa"/>
            <w:vAlign w:val="center"/>
          </w:tcPr>
          <w:p w14:paraId="4A0E03DD">
            <w:pPr>
              <w:spacing w:line="240" w:lineRule="exact"/>
              <w:contextualSpacing/>
              <w:rPr>
                <w:rFonts w:ascii="Times New Roman" w:hAnsi="Times New Roman" w:cs="Times New Roman" w:eastAsiaTheme="minorEastAsia"/>
                <w:szCs w:val="21"/>
              </w:rPr>
            </w:pPr>
          </w:p>
        </w:tc>
      </w:tr>
      <w:tr w14:paraId="00DF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14:paraId="567B9400">
            <w:pPr>
              <w:spacing w:line="240" w:lineRule="exact"/>
              <w:contextualSpacing/>
              <w:rPr>
                <w:rFonts w:ascii="Times New Roman" w:hAnsi="Times New Roman" w:cs="Times New Roman" w:eastAsiaTheme="minorEastAsia"/>
                <w:kern w:val="0"/>
                <w:szCs w:val="21"/>
              </w:rPr>
            </w:pPr>
          </w:p>
        </w:tc>
        <w:tc>
          <w:tcPr>
            <w:tcW w:w="1296" w:type="dxa"/>
            <w:vAlign w:val="center"/>
          </w:tcPr>
          <w:p w14:paraId="3A35CFCC">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模块运行状态</w:t>
            </w:r>
          </w:p>
        </w:tc>
        <w:tc>
          <w:tcPr>
            <w:tcW w:w="1070" w:type="dxa"/>
            <w:vAlign w:val="center"/>
          </w:tcPr>
          <w:p w14:paraId="4BCA8A37">
            <w:pPr>
              <w:spacing w:line="240" w:lineRule="exact"/>
              <w:contextualSpacing/>
              <w:rPr>
                <w:rFonts w:ascii="Times New Roman" w:hAnsi="Times New Roman" w:cs="Times New Roman" w:eastAsiaTheme="minorEastAsia"/>
                <w:kern w:val="0"/>
                <w:szCs w:val="21"/>
              </w:rPr>
            </w:pPr>
          </w:p>
        </w:tc>
        <w:tc>
          <w:tcPr>
            <w:tcW w:w="1136" w:type="dxa"/>
            <w:vAlign w:val="center"/>
          </w:tcPr>
          <w:p w14:paraId="28841440">
            <w:pPr>
              <w:spacing w:line="240" w:lineRule="exact"/>
              <w:contextualSpacing/>
              <w:rPr>
                <w:rFonts w:ascii="Times New Roman" w:hAnsi="Times New Roman" w:cs="Times New Roman" w:eastAsiaTheme="minorEastAsia"/>
                <w:kern w:val="0"/>
                <w:szCs w:val="21"/>
              </w:rPr>
            </w:pPr>
          </w:p>
        </w:tc>
        <w:tc>
          <w:tcPr>
            <w:tcW w:w="1699" w:type="dxa"/>
            <w:vAlign w:val="center"/>
          </w:tcPr>
          <w:p w14:paraId="2086CDDC">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□正常   □异常</w:t>
            </w:r>
          </w:p>
        </w:tc>
        <w:tc>
          <w:tcPr>
            <w:tcW w:w="850" w:type="dxa"/>
            <w:vAlign w:val="center"/>
          </w:tcPr>
          <w:p w14:paraId="14A0B83A">
            <w:pPr>
              <w:spacing w:line="240" w:lineRule="exact"/>
              <w:contextualSpacing/>
              <w:rPr>
                <w:rFonts w:ascii="Times New Roman" w:hAnsi="Times New Roman" w:cs="Times New Roman" w:eastAsiaTheme="minorEastAsia"/>
                <w:kern w:val="0"/>
                <w:szCs w:val="21"/>
              </w:rPr>
            </w:pPr>
          </w:p>
        </w:tc>
        <w:tc>
          <w:tcPr>
            <w:tcW w:w="709" w:type="dxa"/>
            <w:vAlign w:val="center"/>
          </w:tcPr>
          <w:p w14:paraId="08DC9CC0">
            <w:pPr>
              <w:spacing w:line="240" w:lineRule="exact"/>
              <w:contextualSpacing/>
              <w:rPr>
                <w:rFonts w:ascii="Times New Roman" w:hAnsi="Times New Roman" w:cs="Times New Roman" w:eastAsiaTheme="minorEastAsia"/>
                <w:szCs w:val="21"/>
              </w:rPr>
            </w:pPr>
          </w:p>
        </w:tc>
      </w:tr>
      <w:tr w14:paraId="1C4D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restart"/>
            <w:vAlign w:val="center"/>
          </w:tcPr>
          <w:p w14:paraId="6EB34BDE">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系统运行状态检查</w:t>
            </w:r>
          </w:p>
        </w:tc>
        <w:tc>
          <w:tcPr>
            <w:tcW w:w="1296" w:type="dxa"/>
            <w:vAlign w:val="center"/>
          </w:tcPr>
          <w:p w14:paraId="0A90E720">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VLAN状态</w:t>
            </w:r>
          </w:p>
        </w:tc>
        <w:tc>
          <w:tcPr>
            <w:tcW w:w="1070" w:type="dxa"/>
            <w:vAlign w:val="center"/>
          </w:tcPr>
          <w:p w14:paraId="70AF79C3">
            <w:pPr>
              <w:spacing w:line="240" w:lineRule="exact"/>
              <w:contextualSpacing/>
              <w:rPr>
                <w:rFonts w:ascii="Times New Roman" w:hAnsi="Times New Roman" w:cs="Times New Roman" w:eastAsiaTheme="minorEastAsia"/>
                <w:kern w:val="0"/>
                <w:szCs w:val="21"/>
              </w:rPr>
            </w:pPr>
          </w:p>
        </w:tc>
        <w:tc>
          <w:tcPr>
            <w:tcW w:w="1136" w:type="dxa"/>
            <w:vAlign w:val="center"/>
          </w:tcPr>
          <w:p w14:paraId="5EB5A034">
            <w:pPr>
              <w:spacing w:line="240" w:lineRule="exact"/>
              <w:contextualSpacing/>
              <w:rPr>
                <w:rFonts w:ascii="Times New Roman" w:hAnsi="Times New Roman" w:cs="Times New Roman" w:eastAsiaTheme="minorEastAsia"/>
                <w:kern w:val="0"/>
                <w:szCs w:val="21"/>
              </w:rPr>
            </w:pPr>
          </w:p>
        </w:tc>
        <w:tc>
          <w:tcPr>
            <w:tcW w:w="1699" w:type="dxa"/>
            <w:vAlign w:val="center"/>
          </w:tcPr>
          <w:p w14:paraId="3C013943">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□正常   □异常</w:t>
            </w:r>
          </w:p>
        </w:tc>
        <w:tc>
          <w:tcPr>
            <w:tcW w:w="850" w:type="dxa"/>
            <w:vAlign w:val="center"/>
          </w:tcPr>
          <w:p w14:paraId="6B748276">
            <w:pPr>
              <w:spacing w:line="240" w:lineRule="exact"/>
              <w:contextualSpacing/>
              <w:rPr>
                <w:rFonts w:ascii="Times New Roman" w:hAnsi="Times New Roman" w:cs="Times New Roman" w:eastAsiaTheme="minorEastAsia"/>
                <w:kern w:val="0"/>
                <w:szCs w:val="21"/>
              </w:rPr>
            </w:pPr>
          </w:p>
        </w:tc>
        <w:tc>
          <w:tcPr>
            <w:tcW w:w="709" w:type="dxa"/>
            <w:vAlign w:val="center"/>
          </w:tcPr>
          <w:p w14:paraId="513FB09A">
            <w:pPr>
              <w:spacing w:line="240" w:lineRule="exact"/>
              <w:contextualSpacing/>
              <w:rPr>
                <w:rFonts w:ascii="Times New Roman" w:hAnsi="Times New Roman" w:cs="Times New Roman" w:eastAsiaTheme="minorEastAsia"/>
                <w:szCs w:val="21"/>
              </w:rPr>
            </w:pPr>
          </w:p>
        </w:tc>
      </w:tr>
      <w:tr w14:paraId="51C90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61" w:type="dxa"/>
            <w:vMerge w:val="continue"/>
            <w:vAlign w:val="center"/>
          </w:tcPr>
          <w:p w14:paraId="54EB7844">
            <w:pPr>
              <w:spacing w:line="240" w:lineRule="exact"/>
              <w:contextualSpacing/>
              <w:rPr>
                <w:rFonts w:ascii="Times New Roman" w:hAnsi="Times New Roman" w:cs="Times New Roman" w:eastAsiaTheme="minorEastAsia"/>
                <w:kern w:val="0"/>
                <w:szCs w:val="21"/>
              </w:rPr>
            </w:pPr>
          </w:p>
        </w:tc>
        <w:tc>
          <w:tcPr>
            <w:tcW w:w="1296" w:type="dxa"/>
            <w:vAlign w:val="center"/>
          </w:tcPr>
          <w:p w14:paraId="675BFA98">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配置状态</w:t>
            </w:r>
          </w:p>
        </w:tc>
        <w:tc>
          <w:tcPr>
            <w:tcW w:w="1070" w:type="dxa"/>
            <w:vAlign w:val="center"/>
          </w:tcPr>
          <w:p w14:paraId="011F2A2D">
            <w:pPr>
              <w:spacing w:line="240" w:lineRule="exact"/>
              <w:contextualSpacing/>
              <w:rPr>
                <w:rFonts w:ascii="Times New Roman" w:hAnsi="Times New Roman" w:cs="Times New Roman" w:eastAsiaTheme="minorEastAsia"/>
                <w:kern w:val="0"/>
                <w:szCs w:val="21"/>
              </w:rPr>
            </w:pPr>
          </w:p>
        </w:tc>
        <w:tc>
          <w:tcPr>
            <w:tcW w:w="1136" w:type="dxa"/>
            <w:vAlign w:val="center"/>
          </w:tcPr>
          <w:p w14:paraId="598942D4">
            <w:pPr>
              <w:spacing w:line="240" w:lineRule="exact"/>
              <w:contextualSpacing/>
              <w:rPr>
                <w:rFonts w:ascii="Times New Roman" w:hAnsi="Times New Roman" w:cs="Times New Roman" w:eastAsiaTheme="minorEastAsia"/>
                <w:kern w:val="0"/>
                <w:szCs w:val="21"/>
              </w:rPr>
            </w:pPr>
          </w:p>
        </w:tc>
        <w:tc>
          <w:tcPr>
            <w:tcW w:w="1699" w:type="dxa"/>
            <w:vAlign w:val="center"/>
          </w:tcPr>
          <w:p w14:paraId="3F511108">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□正常   □异常</w:t>
            </w:r>
          </w:p>
        </w:tc>
        <w:tc>
          <w:tcPr>
            <w:tcW w:w="850" w:type="dxa"/>
            <w:vAlign w:val="center"/>
          </w:tcPr>
          <w:p w14:paraId="745DC6FF">
            <w:pPr>
              <w:spacing w:line="240" w:lineRule="exact"/>
              <w:contextualSpacing/>
              <w:rPr>
                <w:rFonts w:ascii="Times New Roman" w:hAnsi="Times New Roman" w:cs="Times New Roman" w:eastAsiaTheme="minorEastAsia"/>
                <w:kern w:val="0"/>
                <w:szCs w:val="21"/>
              </w:rPr>
            </w:pPr>
          </w:p>
        </w:tc>
        <w:tc>
          <w:tcPr>
            <w:tcW w:w="709" w:type="dxa"/>
            <w:vAlign w:val="center"/>
          </w:tcPr>
          <w:p w14:paraId="651DEAEF">
            <w:pPr>
              <w:spacing w:line="240" w:lineRule="exact"/>
              <w:contextualSpacing/>
              <w:rPr>
                <w:rFonts w:ascii="Times New Roman" w:hAnsi="Times New Roman" w:cs="Times New Roman" w:eastAsiaTheme="minorEastAsia"/>
                <w:szCs w:val="21"/>
              </w:rPr>
            </w:pPr>
          </w:p>
        </w:tc>
      </w:tr>
      <w:tr w14:paraId="2EBE0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61" w:type="dxa"/>
            <w:vMerge w:val="continue"/>
            <w:vAlign w:val="center"/>
          </w:tcPr>
          <w:p w14:paraId="2879A48A">
            <w:pPr>
              <w:spacing w:line="240" w:lineRule="exact"/>
              <w:contextualSpacing/>
              <w:rPr>
                <w:rFonts w:ascii="Times New Roman" w:hAnsi="Times New Roman" w:cs="Times New Roman" w:eastAsiaTheme="minorEastAsia"/>
                <w:kern w:val="0"/>
                <w:szCs w:val="21"/>
              </w:rPr>
            </w:pPr>
          </w:p>
        </w:tc>
        <w:tc>
          <w:tcPr>
            <w:tcW w:w="1296" w:type="dxa"/>
            <w:vAlign w:val="center"/>
          </w:tcPr>
          <w:p w14:paraId="3F594720">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OSPF状态</w:t>
            </w:r>
          </w:p>
        </w:tc>
        <w:tc>
          <w:tcPr>
            <w:tcW w:w="1070" w:type="dxa"/>
            <w:vAlign w:val="center"/>
          </w:tcPr>
          <w:p w14:paraId="470E56F4">
            <w:pPr>
              <w:spacing w:line="240" w:lineRule="exact"/>
              <w:contextualSpacing/>
              <w:rPr>
                <w:rFonts w:ascii="Times New Roman" w:hAnsi="Times New Roman" w:cs="Times New Roman" w:eastAsiaTheme="minorEastAsia"/>
                <w:kern w:val="0"/>
                <w:szCs w:val="21"/>
              </w:rPr>
            </w:pPr>
          </w:p>
        </w:tc>
        <w:tc>
          <w:tcPr>
            <w:tcW w:w="1136" w:type="dxa"/>
            <w:vAlign w:val="center"/>
          </w:tcPr>
          <w:p w14:paraId="196103D9">
            <w:pPr>
              <w:spacing w:line="240" w:lineRule="exact"/>
              <w:contextualSpacing/>
              <w:rPr>
                <w:rFonts w:ascii="Times New Roman" w:hAnsi="Times New Roman" w:cs="Times New Roman" w:eastAsiaTheme="minorEastAsia"/>
                <w:kern w:val="0"/>
                <w:szCs w:val="21"/>
              </w:rPr>
            </w:pPr>
          </w:p>
        </w:tc>
        <w:tc>
          <w:tcPr>
            <w:tcW w:w="1699" w:type="dxa"/>
            <w:vAlign w:val="center"/>
          </w:tcPr>
          <w:p w14:paraId="5EC6B3E9">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□正常   □异常</w:t>
            </w:r>
          </w:p>
        </w:tc>
        <w:tc>
          <w:tcPr>
            <w:tcW w:w="850" w:type="dxa"/>
            <w:vAlign w:val="center"/>
          </w:tcPr>
          <w:p w14:paraId="3E938E86">
            <w:pPr>
              <w:spacing w:line="240" w:lineRule="exact"/>
              <w:contextualSpacing/>
              <w:rPr>
                <w:rFonts w:ascii="Times New Roman" w:hAnsi="Times New Roman" w:cs="Times New Roman" w:eastAsiaTheme="minorEastAsia"/>
                <w:kern w:val="0"/>
                <w:szCs w:val="21"/>
              </w:rPr>
            </w:pPr>
          </w:p>
        </w:tc>
        <w:tc>
          <w:tcPr>
            <w:tcW w:w="709" w:type="dxa"/>
            <w:vAlign w:val="center"/>
          </w:tcPr>
          <w:p w14:paraId="033FBB36">
            <w:pPr>
              <w:spacing w:line="240" w:lineRule="exact"/>
              <w:contextualSpacing/>
              <w:rPr>
                <w:rFonts w:ascii="Times New Roman" w:hAnsi="Times New Roman" w:cs="Times New Roman" w:eastAsiaTheme="minorEastAsia"/>
                <w:szCs w:val="21"/>
              </w:rPr>
            </w:pPr>
          </w:p>
        </w:tc>
      </w:tr>
      <w:tr w14:paraId="1A723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1" w:type="dxa"/>
            <w:vAlign w:val="center"/>
          </w:tcPr>
          <w:p w14:paraId="68E2091A">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日志</w:t>
            </w:r>
          </w:p>
          <w:p w14:paraId="5B7CDA86">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检查</w:t>
            </w:r>
          </w:p>
        </w:tc>
        <w:tc>
          <w:tcPr>
            <w:tcW w:w="1296" w:type="dxa"/>
            <w:vAlign w:val="center"/>
          </w:tcPr>
          <w:p w14:paraId="5331B807">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日志状态</w:t>
            </w:r>
          </w:p>
        </w:tc>
        <w:tc>
          <w:tcPr>
            <w:tcW w:w="1070" w:type="dxa"/>
            <w:vAlign w:val="center"/>
          </w:tcPr>
          <w:p w14:paraId="78D6C3DE">
            <w:pPr>
              <w:spacing w:line="240" w:lineRule="exact"/>
              <w:contextualSpacing/>
              <w:rPr>
                <w:rFonts w:ascii="Times New Roman" w:hAnsi="Times New Roman" w:cs="Times New Roman" w:eastAsiaTheme="minorEastAsia"/>
                <w:kern w:val="0"/>
                <w:szCs w:val="21"/>
              </w:rPr>
            </w:pPr>
          </w:p>
        </w:tc>
        <w:tc>
          <w:tcPr>
            <w:tcW w:w="1136" w:type="dxa"/>
            <w:vAlign w:val="center"/>
          </w:tcPr>
          <w:p w14:paraId="73065971">
            <w:pPr>
              <w:spacing w:line="240" w:lineRule="exact"/>
              <w:contextualSpacing/>
              <w:rPr>
                <w:rFonts w:ascii="Times New Roman" w:hAnsi="Times New Roman" w:cs="Times New Roman" w:eastAsiaTheme="minorEastAsia"/>
                <w:kern w:val="0"/>
                <w:szCs w:val="21"/>
              </w:rPr>
            </w:pPr>
          </w:p>
        </w:tc>
        <w:tc>
          <w:tcPr>
            <w:tcW w:w="1699" w:type="dxa"/>
            <w:vAlign w:val="center"/>
          </w:tcPr>
          <w:p w14:paraId="6E1871ED">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□正常   □异常</w:t>
            </w:r>
          </w:p>
        </w:tc>
        <w:tc>
          <w:tcPr>
            <w:tcW w:w="850" w:type="dxa"/>
            <w:vAlign w:val="center"/>
          </w:tcPr>
          <w:p w14:paraId="0C1A2E08">
            <w:pPr>
              <w:spacing w:line="240" w:lineRule="exact"/>
              <w:contextualSpacing/>
              <w:rPr>
                <w:rFonts w:ascii="Times New Roman" w:hAnsi="Times New Roman" w:cs="Times New Roman" w:eastAsiaTheme="minorEastAsia"/>
                <w:kern w:val="0"/>
                <w:szCs w:val="21"/>
              </w:rPr>
            </w:pPr>
          </w:p>
        </w:tc>
        <w:tc>
          <w:tcPr>
            <w:tcW w:w="709" w:type="dxa"/>
            <w:vAlign w:val="center"/>
          </w:tcPr>
          <w:p w14:paraId="75384480">
            <w:pPr>
              <w:spacing w:line="240" w:lineRule="exact"/>
              <w:contextualSpacing/>
              <w:rPr>
                <w:rFonts w:ascii="Times New Roman" w:hAnsi="Times New Roman" w:cs="Times New Roman" w:eastAsiaTheme="minorEastAsia"/>
                <w:szCs w:val="21"/>
              </w:rPr>
            </w:pPr>
          </w:p>
        </w:tc>
      </w:tr>
      <w:tr w14:paraId="32987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restart"/>
            <w:vAlign w:val="center"/>
          </w:tcPr>
          <w:p w14:paraId="7F999632">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其他检查内容</w:t>
            </w:r>
          </w:p>
        </w:tc>
        <w:tc>
          <w:tcPr>
            <w:tcW w:w="1296" w:type="dxa"/>
            <w:vAlign w:val="center"/>
          </w:tcPr>
          <w:p w14:paraId="7F744085">
            <w:pPr>
              <w:spacing w:line="240" w:lineRule="exact"/>
              <w:contextualSpacing/>
              <w:rPr>
                <w:rFonts w:ascii="Times New Roman" w:hAnsi="Times New Roman" w:cs="Times New Roman" w:eastAsiaTheme="minorEastAsia"/>
                <w:kern w:val="0"/>
                <w:szCs w:val="21"/>
              </w:rPr>
            </w:pPr>
          </w:p>
        </w:tc>
        <w:tc>
          <w:tcPr>
            <w:tcW w:w="1070" w:type="dxa"/>
            <w:vAlign w:val="center"/>
          </w:tcPr>
          <w:p w14:paraId="7BF26418">
            <w:pPr>
              <w:spacing w:line="240" w:lineRule="exact"/>
              <w:contextualSpacing/>
              <w:rPr>
                <w:rFonts w:ascii="Times New Roman" w:hAnsi="Times New Roman" w:cs="Times New Roman" w:eastAsiaTheme="minorEastAsia"/>
                <w:kern w:val="0"/>
                <w:szCs w:val="21"/>
              </w:rPr>
            </w:pPr>
          </w:p>
        </w:tc>
        <w:tc>
          <w:tcPr>
            <w:tcW w:w="1136" w:type="dxa"/>
            <w:vAlign w:val="center"/>
          </w:tcPr>
          <w:p w14:paraId="746BFBE9">
            <w:pPr>
              <w:spacing w:line="240" w:lineRule="exact"/>
              <w:contextualSpacing/>
              <w:rPr>
                <w:rFonts w:ascii="Times New Roman" w:hAnsi="Times New Roman" w:cs="Times New Roman" w:eastAsiaTheme="minorEastAsia"/>
                <w:kern w:val="0"/>
                <w:szCs w:val="21"/>
              </w:rPr>
            </w:pPr>
          </w:p>
        </w:tc>
        <w:tc>
          <w:tcPr>
            <w:tcW w:w="1699" w:type="dxa"/>
            <w:vAlign w:val="center"/>
          </w:tcPr>
          <w:p w14:paraId="122AF65D">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□正常   □异常</w:t>
            </w:r>
          </w:p>
        </w:tc>
        <w:tc>
          <w:tcPr>
            <w:tcW w:w="850" w:type="dxa"/>
            <w:vAlign w:val="center"/>
          </w:tcPr>
          <w:p w14:paraId="4C09ED33">
            <w:pPr>
              <w:spacing w:line="240" w:lineRule="exact"/>
              <w:contextualSpacing/>
              <w:rPr>
                <w:rFonts w:ascii="Times New Roman" w:hAnsi="Times New Roman" w:cs="Times New Roman" w:eastAsiaTheme="minorEastAsia"/>
                <w:kern w:val="0"/>
                <w:szCs w:val="21"/>
              </w:rPr>
            </w:pPr>
          </w:p>
        </w:tc>
        <w:tc>
          <w:tcPr>
            <w:tcW w:w="709" w:type="dxa"/>
            <w:vAlign w:val="center"/>
          </w:tcPr>
          <w:p w14:paraId="4FC227C4">
            <w:pPr>
              <w:spacing w:line="240" w:lineRule="exact"/>
              <w:contextualSpacing/>
              <w:rPr>
                <w:rFonts w:ascii="Times New Roman" w:hAnsi="Times New Roman" w:cs="Times New Roman" w:eastAsiaTheme="minorEastAsia"/>
                <w:kern w:val="0"/>
                <w:szCs w:val="21"/>
              </w:rPr>
            </w:pPr>
          </w:p>
        </w:tc>
      </w:tr>
      <w:tr w14:paraId="0DB49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14:paraId="36709D30">
            <w:pPr>
              <w:spacing w:line="240" w:lineRule="exact"/>
              <w:contextualSpacing/>
              <w:rPr>
                <w:rFonts w:ascii="Times New Roman" w:hAnsi="Times New Roman" w:cs="Times New Roman" w:eastAsiaTheme="minorEastAsia"/>
                <w:kern w:val="0"/>
                <w:szCs w:val="21"/>
              </w:rPr>
            </w:pPr>
          </w:p>
        </w:tc>
        <w:tc>
          <w:tcPr>
            <w:tcW w:w="1296" w:type="dxa"/>
            <w:vAlign w:val="center"/>
          </w:tcPr>
          <w:p w14:paraId="71AB4122">
            <w:pPr>
              <w:spacing w:line="240" w:lineRule="exact"/>
              <w:contextualSpacing/>
              <w:rPr>
                <w:rFonts w:ascii="Times New Roman" w:hAnsi="Times New Roman" w:cs="Times New Roman" w:eastAsiaTheme="minorEastAsia"/>
                <w:kern w:val="0"/>
                <w:szCs w:val="21"/>
              </w:rPr>
            </w:pPr>
          </w:p>
        </w:tc>
        <w:tc>
          <w:tcPr>
            <w:tcW w:w="1070" w:type="dxa"/>
            <w:vAlign w:val="center"/>
          </w:tcPr>
          <w:p w14:paraId="273FA1E3">
            <w:pPr>
              <w:spacing w:line="240" w:lineRule="exact"/>
              <w:contextualSpacing/>
              <w:rPr>
                <w:rFonts w:ascii="Times New Roman" w:hAnsi="Times New Roman" w:cs="Times New Roman" w:eastAsiaTheme="minorEastAsia"/>
                <w:kern w:val="0"/>
                <w:szCs w:val="21"/>
              </w:rPr>
            </w:pPr>
          </w:p>
        </w:tc>
        <w:tc>
          <w:tcPr>
            <w:tcW w:w="1136" w:type="dxa"/>
            <w:vAlign w:val="center"/>
          </w:tcPr>
          <w:p w14:paraId="4C2633E9">
            <w:pPr>
              <w:spacing w:line="240" w:lineRule="exact"/>
              <w:contextualSpacing/>
              <w:rPr>
                <w:rFonts w:ascii="Times New Roman" w:hAnsi="Times New Roman" w:cs="Times New Roman" w:eastAsiaTheme="minorEastAsia"/>
                <w:kern w:val="0"/>
                <w:szCs w:val="21"/>
              </w:rPr>
            </w:pPr>
          </w:p>
        </w:tc>
        <w:tc>
          <w:tcPr>
            <w:tcW w:w="1699" w:type="dxa"/>
            <w:vAlign w:val="center"/>
          </w:tcPr>
          <w:p w14:paraId="71724990">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□正常   □异常</w:t>
            </w:r>
          </w:p>
        </w:tc>
        <w:tc>
          <w:tcPr>
            <w:tcW w:w="850" w:type="dxa"/>
            <w:vAlign w:val="center"/>
          </w:tcPr>
          <w:p w14:paraId="74179707">
            <w:pPr>
              <w:spacing w:line="240" w:lineRule="exact"/>
              <w:contextualSpacing/>
              <w:rPr>
                <w:rFonts w:ascii="Times New Roman" w:hAnsi="Times New Roman" w:cs="Times New Roman" w:eastAsiaTheme="minorEastAsia"/>
                <w:kern w:val="0"/>
                <w:szCs w:val="21"/>
              </w:rPr>
            </w:pPr>
          </w:p>
        </w:tc>
        <w:tc>
          <w:tcPr>
            <w:tcW w:w="709" w:type="dxa"/>
            <w:vAlign w:val="center"/>
          </w:tcPr>
          <w:p w14:paraId="0D33383C">
            <w:pPr>
              <w:spacing w:line="240" w:lineRule="exact"/>
              <w:contextualSpacing/>
              <w:rPr>
                <w:rFonts w:ascii="Times New Roman" w:hAnsi="Times New Roman" w:cs="Times New Roman" w:eastAsiaTheme="minorEastAsia"/>
                <w:kern w:val="0"/>
                <w:szCs w:val="21"/>
              </w:rPr>
            </w:pPr>
          </w:p>
        </w:tc>
      </w:tr>
      <w:tr w14:paraId="54EC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14:paraId="114E6444">
            <w:pPr>
              <w:spacing w:line="240" w:lineRule="exact"/>
              <w:contextualSpacing/>
              <w:rPr>
                <w:rFonts w:ascii="Times New Roman" w:hAnsi="Times New Roman" w:cs="Times New Roman" w:eastAsiaTheme="minorEastAsia"/>
                <w:kern w:val="0"/>
                <w:szCs w:val="21"/>
              </w:rPr>
            </w:pPr>
          </w:p>
        </w:tc>
        <w:tc>
          <w:tcPr>
            <w:tcW w:w="1296" w:type="dxa"/>
            <w:vAlign w:val="center"/>
          </w:tcPr>
          <w:p w14:paraId="6982B045">
            <w:pPr>
              <w:spacing w:line="240" w:lineRule="exact"/>
              <w:contextualSpacing/>
              <w:rPr>
                <w:rFonts w:ascii="Times New Roman" w:hAnsi="Times New Roman" w:cs="Times New Roman" w:eastAsiaTheme="minorEastAsia"/>
                <w:kern w:val="0"/>
                <w:szCs w:val="21"/>
              </w:rPr>
            </w:pPr>
          </w:p>
        </w:tc>
        <w:tc>
          <w:tcPr>
            <w:tcW w:w="1070" w:type="dxa"/>
            <w:vAlign w:val="center"/>
          </w:tcPr>
          <w:p w14:paraId="6BB1F2E3">
            <w:pPr>
              <w:spacing w:line="240" w:lineRule="exact"/>
              <w:contextualSpacing/>
              <w:rPr>
                <w:rFonts w:ascii="Times New Roman" w:hAnsi="Times New Roman" w:cs="Times New Roman" w:eastAsiaTheme="minorEastAsia"/>
                <w:kern w:val="0"/>
                <w:szCs w:val="21"/>
              </w:rPr>
            </w:pPr>
          </w:p>
        </w:tc>
        <w:tc>
          <w:tcPr>
            <w:tcW w:w="1136" w:type="dxa"/>
            <w:vAlign w:val="center"/>
          </w:tcPr>
          <w:p w14:paraId="18DA8BC4">
            <w:pPr>
              <w:spacing w:line="240" w:lineRule="exact"/>
              <w:contextualSpacing/>
              <w:rPr>
                <w:rFonts w:ascii="Times New Roman" w:hAnsi="Times New Roman" w:cs="Times New Roman" w:eastAsiaTheme="minorEastAsia"/>
                <w:kern w:val="0"/>
                <w:szCs w:val="21"/>
              </w:rPr>
            </w:pPr>
          </w:p>
        </w:tc>
        <w:tc>
          <w:tcPr>
            <w:tcW w:w="1699" w:type="dxa"/>
            <w:vAlign w:val="center"/>
          </w:tcPr>
          <w:p w14:paraId="790B0797">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□正常   □异常</w:t>
            </w:r>
          </w:p>
        </w:tc>
        <w:tc>
          <w:tcPr>
            <w:tcW w:w="850" w:type="dxa"/>
            <w:vAlign w:val="center"/>
          </w:tcPr>
          <w:p w14:paraId="2FF3DB81">
            <w:pPr>
              <w:spacing w:line="240" w:lineRule="exact"/>
              <w:contextualSpacing/>
              <w:rPr>
                <w:rFonts w:ascii="Times New Roman" w:hAnsi="Times New Roman" w:cs="Times New Roman" w:eastAsiaTheme="minorEastAsia"/>
                <w:kern w:val="0"/>
                <w:szCs w:val="21"/>
              </w:rPr>
            </w:pPr>
          </w:p>
        </w:tc>
        <w:tc>
          <w:tcPr>
            <w:tcW w:w="709" w:type="dxa"/>
            <w:vAlign w:val="center"/>
          </w:tcPr>
          <w:p w14:paraId="58A7C912">
            <w:pPr>
              <w:spacing w:line="240" w:lineRule="exact"/>
              <w:contextualSpacing/>
              <w:rPr>
                <w:rFonts w:ascii="Times New Roman" w:hAnsi="Times New Roman" w:cs="Times New Roman" w:eastAsiaTheme="minorEastAsia"/>
                <w:kern w:val="0"/>
                <w:szCs w:val="21"/>
              </w:rPr>
            </w:pPr>
          </w:p>
        </w:tc>
      </w:tr>
    </w:tbl>
    <w:p w14:paraId="0B647DBF">
      <w:pPr>
        <w:spacing w:line="380" w:lineRule="exact"/>
        <w:ind w:firstLine="480" w:firstLineChars="200"/>
        <w:rPr>
          <w:rFonts w:ascii="Times New Roman" w:hAnsi="Times New Roman" w:cs="Times New Roman" w:eastAsiaTheme="minorEastAsia"/>
          <w:sz w:val="24"/>
          <w:szCs w:val="24"/>
        </w:rPr>
      </w:pPr>
      <w:bookmarkStart w:id="172" w:name="_Toc425892206"/>
      <w:bookmarkStart w:id="173" w:name="_Toc362101656"/>
      <w:bookmarkStart w:id="174" w:name="_Toc18052"/>
      <w:bookmarkStart w:id="175" w:name="_Toc12910"/>
      <w:r>
        <w:rPr>
          <w:rFonts w:ascii="Times New Roman" w:hAnsi="Times New Roman" w:cs="Times New Roman" w:eastAsiaTheme="minorEastAsia"/>
          <w:sz w:val="24"/>
          <w:szCs w:val="24"/>
        </w:rPr>
        <w:t>2.3.9.3网络运行分析与管理服务</w:t>
      </w:r>
      <w:bookmarkEnd w:id="172"/>
      <w:bookmarkEnd w:id="173"/>
    </w:p>
    <w:p w14:paraId="79C2E423">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运维服务工程师须在通过对网络运行状况、网络问题进行周期性检查、分析后，为用户提出指导性建议。</w:t>
      </w:r>
    </w:p>
    <w:p w14:paraId="3291D9DE">
      <w:pPr>
        <w:spacing w:line="380" w:lineRule="exact"/>
        <w:ind w:firstLine="480" w:firstLineChars="200"/>
        <w:rPr>
          <w:rFonts w:ascii="Times New Roman" w:hAnsi="Times New Roman" w:cs="Times New Roman" w:eastAsiaTheme="minorEastAsia"/>
          <w:sz w:val="24"/>
          <w:szCs w:val="24"/>
        </w:rPr>
      </w:pPr>
      <w:bookmarkStart w:id="176" w:name="_Toc425892208"/>
      <w:bookmarkStart w:id="177" w:name="_Toc15621"/>
      <w:bookmarkStart w:id="178" w:name="_Toc498350098"/>
      <w:r>
        <w:rPr>
          <w:rFonts w:ascii="Times New Roman" w:hAnsi="Times New Roman" w:cs="Times New Roman" w:eastAsiaTheme="minorEastAsia"/>
          <w:sz w:val="24"/>
          <w:szCs w:val="24"/>
        </w:rPr>
        <w:t>2.3.10系统安全维护服务</w:t>
      </w:r>
      <w:bookmarkEnd w:id="176"/>
      <w:r>
        <w:rPr>
          <w:rFonts w:ascii="Times New Roman" w:hAnsi="Times New Roman" w:cs="Times New Roman" w:eastAsiaTheme="minorEastAsia"/>
          <w:sz w:val="24"/>
          <w:szCs w:val="24"/>
        </w:rPr>
        <w:t>标准</w:t>
      </w:r>
      <w:bookmarkEnd w:id="177"/>
      <w:bookmarkEnd w:id="178"/>
    </w:p>
    <w:p w14:paraId="690033B1">
      <w:pPr>
        <w:spacing w:line="380" w:lineRule="exact"/>
        <w:ind w:firstLine="480" w:firstLineChars="200"/>
        <w:rPr>
          <w:rFonts w:ascii="Times New Roman" w:hAnsi="Times New Roman" w:cs="Times New Roman" w:eastAsiaTheme="minorEastAsia"/>
          <w:sz w:val="24"/>
          <w:szCs w:val="24"/>
        </w:rPr>
      </w:pPr>
      <w:bookmarkStart w:id="179" w:name="_Toc425892209"/>
      <w:r>
        <w:rPr>
          <w:rFonts w:ascii="Times New Roman" w:hAnsi="Times New Roman" w:cs="Times New Roman" w:eastAsiaTheme="minorEastAsia"/>
          <w:sz w:val="24"/>
          <w:szCs w:val="24"/>
        </w:rPr>
        <w:t>2.3.10.1防病毒服务需求</w:t>
      </w:r>
      <w:bookmarkEnd w:id="179"/>
    </w:p>
    <w:p w14:paraId="7B48FD67">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在用户的指导下完成防杀病毒工作。</w:t>
      </w:r>
    </w:p>
    <w:p w14:paraId="2FE2CC00">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（1）范围包括设备机房内的服务器；</w:t>
      </w:r>
    </w:p>
    <w:p w14:paraId="5AB028D1">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（2）对现有的杀毒软件客户端进行升级维护；  </w:t>
      </w:r>
    </w:p>
    <w:p w14:paraId="1B426F6D">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（3）无法解决的病毒问题需在得到用户技术管理部门确认后进行系统重装。</w:t>
      </w:r>
    </w:p>
    <w:p w14:paraId="472B22E4">
      <w:pPr>
        <w:spacing w:line="380" w:lineRule="exact"/>
        <w:ind w:firstLine="480" w:firstLineChars="200"/>
        <w:rPr>
          <w:rFonts w:ascii="Times New Roman" w:hAnsi="Times New Roman" w:cs="Times New Roman" w:eastAsiaTheme="minorEastAsia"/>
          <w:sz w:val="24"/>
          <w:szCs w:val="24"/>
        </w:rPr>
      </w:pPr>
      <w:bookmarkStart w:id="180" w:name="_Toc425892210"/>
      <w:r>
        <w:rPr>
          <w:rFonts w:ascii="Times New Roman" w:hAnsi="Times New Roman" w:cs="Times New Roman" w:eastAsiaTheme="minorEastAsia"/>
          <w:sz w:val="24"/>
          <w:szCs w:val="24"/>
        </w:rPr>
        <w:t>2.3.10.2制定合理的防病毒策略和安全管理制度</w:t>
      </w:r>
      <w:bookmarkEnd w:id="180"/>
    </w:p>
    <w:p w14:paraId="1EDE1643">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运维服务团队制定合理防病毒策略和安全管理制度，并设立防病毒管理员，他的工作职责是：收集和整理整个网络内防毒相关信息；配合防病毒厂家专职服务人员建立用户数据库档案；在病毒事件中，第一时间与防病毒厂家专职服务人员进行联系，并通过Web方式在线提交可疑文件；与防病毒厂家专职服务人员进行沟通，发出远程支持或现场支持的申请；接收到防病毒厂家专职服务人员提供的预警信息后，及时在全网内部进行通告</w:t>
      </w:r>
    </w:p>
    <w:p w14:paraId="576DAB8D">
      <w:pPr>
        <w:spacing w:line="380" w:lineRule="exact"/>
        <w:ind w:firstLine="480" w:firstLineChars="200"/>
        <w:rPr>
          <w:rFonts w:ascii="Times New Roman" w:hAnsi="Times New Roman" w:cs="Times New Roman" w:eastAsiaTheme="minorEastAsia"/>
          <w:sz w:val="24"/>
          <w:szCs w:val="24"/>
        </w:rPr>
      </w:pPr>
      <w:bookmarkStart w:id="181" w:name="_Toc425892212"/>
      <w:r>
        <w:rPr>
          <w:rFonts w:ascii="Times New Roman" w:hAnsi="Times New Roman" w:cs="Times New Roman" w:eastAsiaTheme="minorEastAsia"/>
          <w:sz w:val="24"/>
          <w:szCs w:val="24"/>
        </w:rPr>
        <w:t>2.3.10.3防毒组件及时更新</w:t>
      </w:r>
      <w:bookmarkEnd w:id="181"/>
    </w:p>
    <w:p w14:paraId="4904F384">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定期（每季度）查看各类防病毒软件，确保病毒码、扫描引擎已更新至最新，包括服务器端或客户端。通过防病毒软件的集中管理功能实现管理工作，如发现有未及时更新的情况，应迅速处理。</w:t>
      </w:r>
    </w:p>
    <w:p w14:paraId="1EED73EC">
      <w:pPr>
        <w:spacing w:line="380" w:lineRule="exact"/>
        <w:ind w:firstLine="480" w:firstLineChars="200"/>
        <w:rPr>
          <w:rFonts w:ascii="Times New Roman" w:hAnsi="Times New Roman" w:cs="Times New Roman" w:eastAsiaTheme="minorEastAsia"/>
          <w:sz w:val="24"/>
          <w:szCs w:val="24"/>
        </w:rPr>
      </w:pPr>
      <w:bookmarkStart w:id="182" w:name="_Toc425892213"/>
      <w:r>
        <w:rPr>
          <w:rFonts w:ascii="Times New Roman" w:hAnsi="Times New Roman" w:cs="Times New Roman" w:eastAsiaTheme="minorEastAsia"/>
          <w:sz w:val="24"/>
          <w:szCs w:val="24"/>
        </w:rPr>
        <w:t>2.3.10.4每季度防毒系统部署情况统计</w:t>
      </w:r>
      <w:bookmarkEnd w:id="182"/>
    </w:p>
    <w:p w14:paraId="4B2DA161">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使用防病毒厂家扫描工具定期（每季度）对所辖网络中的不同网段进行扫描，确保在线的服务器病毒码及扫描引擎已更新至最新，同时生成未安装防毒软件机器的列表，对未安装防毒软件的机器进行强制安装或通知安装。</w:t>
      </w:r>
    </w:p>
    <w:p w14:paraId="46D82BFF">
      <w:pPr>
        <w:spacing w:line="380" w:lineRule="exact"/>
        <w:ind w:firstLine="480" w:firstLineChars="200"/>
        <w:rPr>
          <w:rFonts w:ascii="Times New Roman" w:hAnsi="Times New Roman" w:cs="Times New Roman" w:eastAsiaTheme="minorEastAsia"/>
          <w:sz w:val="24"/>
          <w:szCs w:val="24"/>
        </w:rPr>
      </w:pPr>
      <w:bookmarkStart w:id="183" w:name="_Toc425892214"/>
      <w:r>
        <w:rPr>
          <w:rFonts w:ascii="Times New Roman" w:hAnsi="Times New Roman" w:cs="Times New Roman" w:eastAsiaTheme="minorEastAsia"/>
          <w:sz w:val="24"/>
          <w:szCs w:val="24"/>
        </w:rPr>
        <w:t>2.3.10.5每季度对产生的病毒事件进行评估</w:t>
      </w:r>
      <w:bookmarkEnd w:id="183"/>
    </w:p>
    <w:p w14:paraId="33F9852D">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将每季度发生的病毒事件进行详细评估，查找病毒感染原因，并将此报告提交至感染较严重者的部门管理人员，督促相关人员增强自身管理。</w:t>
      </w:r>
    </w:p>
    <w:p w14:paraId="7CA63210">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收集各病毒管理员提交的安全评估报告，进行总结，提交上级领导。</w:t>
      </w:r>
    </w:p>
    <w:p w14:paraId="051FB11E">
      <w:pPr>
        <w:spacing w:line="380" w:lineRule="exact"/>
        <w:ind w:firstLine="480" w:firstLineChars="200"/>
        <w:rPr>
          <w:rFonts w:ascii="Times New Roman" w:hAnsi="Times New Roman" w:cs="Times New Roman" w:eastAsiaTheme="minorEastAsia"/>
          <w:sz w:val="24"/>
          <w:szCs w:val="24"/>
        </w:rPr>
      </w:pPr>
      <w:bookmarkStart w:id="184" w:name="_Toc425892215"/>
      <w:bookmarkStart w:id="185" w:name="_Toc362101662"/>
      <w:bookmarkStart w:id="186" w:name="_Toc498350099"/>
      <w:bookmarkStart w:id="187" w:name="_Toc11560"/>
      <w:r>
        <w:rPr>
          <w:rFonts w:ascii="Times New Roman" w:hAnsi="Times New Roman" w:cs="Times New Roman" w:eastAsiaTheme="minorEastAsia"/>
          <w:sz w:val="24"/>
          <w:szCs w:val="24"/>
        </w:rPr>
        <w:t>2.3.11系统管理服务</w:t>
      </w:r>
      <w:bookmarkEnd w:id="184"/>
      <w:bookmarkEnd w:id="185"/>
      <w:r>
        <w:rPr>
          <w:rFonts w:ascii="Times New Roman" w:hAnsi="Times New Roman" w:cs="Times New Roman" w:eastAsiaTheme="minorEastAsia"/>
          <w:sz w:val="24"/>
          <w:szCs w:val="24"/>
        </w:rPr>
        <w:t>要求</w:t>
      </w:r>
      <w:bookmarkEnd w:id="186"/>
      <w:bookmarkEnd w:id="187"/>
    </w:p>
    <w:p w14:paraId="76CD0B2B">
      <w:pPr>
        <w:spacing w:line="380" w:lineRule="exact"/>
        <w:ind w:firstLine="480" w:firstLineChars="200"/>
        <w:rPr>
          <w:rFonts w:ascii="Times New Roman" w:hAnsi="Times New Roman" w:cs="Times New Roman" w:eastAsiaTheme="minorEastAsia"/>
          <w:sz w:val="24"/>
          <w:szCs w:val="24"/>
        </w:rPr>
      </w:pPr>
      <w:bookmarkStart w:id="188" w:name="_Toc425892216"/>
      <w:bookmarkStart w:id="189" w:name="_Toc304796628"/>
      <w:bookmarkStart w:id="190" w:name="_Toc266218330"/>
      <w:bookmarkStart w:id="191" w:name="_Toc362101663"/>
      <w:r>
        <w:rPr>
          <w:rFonts w:ascii="Times New Roman" w:hAnsi="Times New Roman" w:cs="Times New Roman" w:eastAsiaTheme="minorEastAsia"/>
          <w:sz w:val="24"/>
          <w:szCs w:val="24"/>
        </w:rPr>
        <w:t>2.3.11.1服务范围</w:t>
      </w:r>
      <w:bookmarkEnd w:id="188"/>
      <w:bookmarkEnd w:id="189"/>
      <w:bookmarkEnd w:id="190"/>
      <w:bookmarkEnd w:id="191"/>
    </w:p>
    <w:p w14:paraId="155BA9A2">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保障整个系统项目稳定、高效运行，为系统运营提供维护技术支持服务。</w:t>
      </w:r>
    </w:p>
    <w:p w14:paraId="2E1EBAE3">
      <w:pPr>
        <w:spacing w:line="380" w:lineRule="exact"/>
        <w:ind w:firstLine="480" w:firstLineChars="200"/>
        <w:rPr>
          <w:rFonts w:ascii="Times New Roman" w:hAnsi="Times New Roman" w:cs="Times New Roman" w:eastAsiaTheme="minorEastAsia"/>
          <w:sz w:val="24"/>
          <w:szCs w:val="24"/>
        </w:rPr>
      </w:pPr>
      <w:bookmarkStart w:id="192" w:name="_Toc304796629"/>
      <w:bookmarkStart w:id="193" w:name="_Toc362101664"/>
      <w:bookmarkStart w:id="194" w:name="_Toc266218331"/>
      <w:bookmarkStart w:id="195" w:name="_Toc425892217"/>
      <w:r>
        <w:rPr>
          <w:rFonts w:ascii="Times New Roman" w:hAnsi="Times New Roman" w:cs="Times New Roman" w:eastAsiaTheme="minorEastAsia"/>
          <w:sz w:val="24"/>
          <w:szCs w:val="24"/>
        </w:rPr>
        <w:t>2.3.11.2服务内容</w:t>
      </w:r>
      <w:bookmarkEnd w:id="192"/>
      <w:bookmarkEnd w:id="193"/>
      <w:bookmarkEnd w:id="194"/>
      <w:bookmarkEnd w:id="195"/>
    </w:p>
    <w:p w14:paraId="5ECD4DB6">
      <w:pPr>
        <w:spacing w:line="380" w:lineRule="exact"/>
        <w:ind w:firstLine="480" w:firstLineChars="200"/>
        <w:outlineLvl w:val="1"/>
        <w:rPr>
          <w:rFonts w:ascii="Times New Roman" w:hAnsi="Times New Roman" w:cs="Times New Roman" w:eastAsiaTheme="minorEastAsia"/>
          <w:sz w:val="24"/>
          <w:szCs w:val="24"/>
        </w:rPr>
      </w:pPr>
      <w:r>
        <w:rPr>
          <w:rFonts w:ascii="Times New Roman" w:hAnsi="Times New Roman" w:cs="Times New Roman" w:eastAsiaTheme="minorEastAsia"/>
          <w:sz w:val="24"/>
          <w:szCs w:val="24"/>
        </w:rPr>
        <w:t>调度运行中心的运维是一个复杂的系统过程，需要建立科学的流程规范才能保证系统的可用性、可靠性。整个系统运维服务包括以下内容：系统变更管理服务、系统运行管理服务、系统支持服务、系统优化服务和设备维护服务。</w:t>
      </w:r>
    </w:p>
    <w:tbl>
      <w:tblPr>
        <w:tblStyle w:val="24"/>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1933"/>
        <w:gridCol w:w="6374"/>
      </w:tblGrid>
      <w:tr w14:paraId="10BB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blCellSpacing w:w="0" w:type="dxa"/>
        </w:trPr>
        <w:tc>
          <w:tcPr>
            <w:tcW w:w="1933" w:type="dxa"/>
            <w:vAlign w:val="center"/>
          </w:tcPr>
          <w:p w14:paraId="5D177A64">
            <w:pPr>
              <w:spacing w:line="240" w:lineRule="exact"/>
              <w:jc w:val="center"/>
              <w:rPr>
                <w:rFonts w:ascii="Times New Roman" w:hAnsi="Times New Roman" w:cs="Times New Roman" w:eastAsiaTheme="minorEastAsia"/>
                <w:b/>
                <w:szCs w:val="21"/>
              </w:rPr>
            </w:pPr>
            <w:r>
              <w:rPr>
                <w:rFonts w:ascii="Times New Roman" w:hAnsi="Times New Roman" w:cs="Times New Roman" w:eastAsiaTheme="minorEastAsia"/>
                <w:b/>
                <w:szCs w:val="21"/>
              </w:rPr>
              <w:t>服务内容</w:t>
            </w:r>
          </w:p>
        </w:tc>
        <w:tc>
          <w:tcPr>
            <w:tcW w:w="6374" w:type="dxa"/>
            <w:vAlign w:val="center"/>
          </w:tcPr>
          <w:p w14:paraId="56A3EE50">
            <w:pPr>
              <w:spacing w:line="240" w:lineRule="exact"/>
              <w:jc w:val="center"/>
              <w:rPr>
                <w:rFonts w:ascii="Times New Roman" w:hAnsi="Times New Roman" w:cs="Times New Roman" w:eastAsiaTheme="minorEastAsia"/>
                <w:b/>
                <w:szCs w:val="21"/>
              </w:rPr>
            </w:pPr>
            <w:r>
              <w:rPr>
                <w:rFonts w:ascii="Times New Roman" w:hAnsi="Times New Roman" w:cs="Times New Roman" w:eastAsiaTheme="minorEastAsia"/>
                <w:b/>
                <w:szCs w:val="21"/>
              </w:rPr>
              <w:t>主要活动</w:t>
            </w:r>
          </w:p>
        </w:tc>
      </w:tr>
      <w:tr w14:paraId="40977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blCellSpacing w:w="0" w:type="dxa"/>
        </w:trPr>
        <w:tc>
          <w:tcPr>
            <w:tcW w:w="1933" w:type="dxa"/>
            <w:vAlign w:val="center"/>
          </w:tcPr>
          <w:p w14:paraId="69C72F50">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变更管理服务</w:t>
            </w:r>
          </w:p>
        </w:tc>
        <w:tc>
          <w:tcPr>
            <w:tcW w:w="6374" w:type="dxa"/>
            <w:vAlign w:val="center"/>
          </w:tcPr>
          <w:p w14:paraId="48038C55">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 xml:space="preserve">提供因解决方案、技术、系统、应用程序、硬件和业务流程等变化而导致的系统变更的服务支持。 </w:t>
            </w:r>
          </w:p>
        </w:tc>
      </w:tr>
      <w:tr w14:paraId="3E898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blCellSpacing w:w="0" w:type="dxa"/>
        </w:trPr>
        <w:tc>
          <w:tcPr>
            <w:tcW w:w="1933" w:type="dxa"/>
            <w:vAlign w:val="center"/>
          </w:tcPr>
          <w:p w14:paraId="63232E8E">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运行管理服务</w:t>
            </w:r>
          </w:p>
        </w:tc>
        <w:tc>
          <w:tcPr>
            <w:tcW w:w="6374" w:type="dxa"/>
            <w:vAlign w:val="center"/>
          </w:tcPr>
          <w:p w14:paraId="2E5B5AC0">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提供系统日常运行管理服务，如：系统参数维护、用户维护管理、数据维护等。</w:t>
            </w:r>
          </w:p>
        </w:tc>
      </w:tr>
      <w:tr w14:paraId="0483E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blCellSpacing w:w="0" w:type="dxa"/>
        </w:trPr>
        <w:tc>
          <w:tcPr>
            <w:tcW w:w="1933" w:type="dxa"/>
            <w:vAlign w:val="center"/>
          </w:tcPr>
          <w:p w14:paraId="3A09EB54">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运行支持服务</w:t>
            </w:r>
          </w:p>
        </w:tc>
        <w:tc>
          <w:tcPr>
            <w:tcW w:w="6374" w:type="dxa"/>
            <w:vAlign w:val="center"/>
          </w:tcPr>
          <w:p w14:paraId="0E6CA78B">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快速解决意外事件、问题和查询，确保系统的可用性。</w:t>
            </w:r>
          </w:p>
        </w:tc>
      </w:tr>
      <w:tr w14:paraId="4AF6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blCellSpacing w:w="0" w:type="dxa"/>
        </w:trPr>
        <w:tc>
          <w:tcPr>
            <w:tcW w:w="1933" w:type="dxa"/>
            <w:vAlign w:val="center"/>
          </w:tcPr>
          <w:p w14:paraId="1A794EB3">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系统优化服务</w:t>
            </w:r>
          </w:p>
        </w:tc>
        <w:tc>
          <w:tcPr>
            <w:tcW w:w="6374" w:type="dxa"/>
            <w:vAlign w:val="center"/>
          </w:tcPr>
          <w:p w14:paraId="31E56096">
            <w:pPr>
              <w:spacing w:line="240" w:lineRule="exact"/>
              <w:rPr>
                <w:rFonts w:ascii="Times New Roman" w:hAnsi="Times New Roman" w:cs="Times New Roman" w:eastAsiaTheme="minorEastAsia"/>
                <w:szCs w:val="21"/>
              </w:rPr>
            </w:pPr>
            <w:r>
              <w:rPr>
                <w:rFonts w:ascii="Times New Roman" w:hAnsi="Times New Roman" w:cs="Times New Roman" w:eastAsiaTheme="minorEastAsia"/>
                <w:szCs w:val="21"/>
              </w:rPr>
              <w:t>定期优化系统，保证系统处于稳定、高效的状况下运行。</w:t>
            </w:r>
          </w:p>
        </w:tc>
      </w:tr>
    </w:tbl>
    <w:p w14:paraId="11F3FA3C">
      <w:pPr>
        <w:spacing w:line="380" w:lineRule="exact"/>
        <w:rPr>
          <w:rFonts w:ascii="Times New Roman" w:hAnsi="Times New Roman" w:cs="Times New Roman" w:eastAsiaTheme="minorEastAsia"/>
          <w:sz w:val="24"/>
          <w:szCs w:val="24"/>
        </w:rPr>
      </w:pPr>
      <w:bookmarkStart w:id="196" w:name="_Toc31121"/>
      <w:bookmarkStart w:id="197" w:name="_Toc498350101"/>
      <w:r>
        <w:rPr>
          <w:rFonts w:ascii="Times New Roman" w:hAnsi="Times New Roman" w:cs="Times New Roman" w:eastAsiaTheme="minorEastAsia"/>
          <w:sz w:val="24"/>
          <w:szCs w:val="24"/>
        </w:rPr>
        <w:t>2.4.1服务清单及内容</w:t>
      </w:r>
      <w:bookmarkEnd w:id="196"/>
      <w:bookmarkEnd w:id="197"/>
    </w:p>
    <w:p w14:paraId="702DDBE5">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每月1次进行例行巡检即预防性维护，并出具《例行巡检报告》，检查设备运行物理状态、电源稳定性和线路检查、系统性能检查、系统硬件诊断、数据安全存储检查、系统错误报告的分析、记录和清理并在8小时之内维修更换损坏的部件；每季度1次的系统运行性能诊断并提供《季度运行报告》；每次硬件故障处理后提供硬件处理和损坏件更换报告；提供专业维保服务；每年1次综合维护检查并提供《年度服务报告》。</w:t>
      </w:r>
    </w:p>
    <w:p w14:paraId="75C782B0">
      <w:pPr>
        <w:spacing w:line="380" w:lineRule="exact"/>
        <w:ind w:firstLine="480" w:firstLineChars="200"/>
        <w:rPr>
          <w:rFonts w:ascii="Times New Roman" w:hAnsi="Times New Roman" w:cs="Times New Roman" w:eastAsiaTheme="minorEastAsia"/>
          <w:sz w:val="24"/>
          <w:szCs w:val="24"/>
        </w:rPr>
      </w:pPr>
      <w:bookmarkStart w:id="198" w:name="_Toc28448"/>
      <w:bookmarkStart w:id="199" w:name="_Toc498350102"/>
      <w:r>
        <w:rPr>
          <w:rFonts w:ascii="Times New Roman" w:hAnsi="Times New Roman" w:cs="Times New Roman" w:eastAsiaTheme="minorEastAsia"/>
          <w:sz w:val="24"/>
          <w:szCs w:val="24"/>
        </w:rPr>
        <w:t>2.4.2服务详细内容</w:t>
      </w:r>
      <w:bookmarkEnd w:id="198"/>
      <w:bookmarkEnd w:id="199"/>
    </w:p>
    <w:p w14:paraId="0CD11C61">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2.4.2.1日常运维服务</w:t>
      </w:r>
    </w:p>
    <w:p w14:paraId="2E86A7A1">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定期巡检的目的在于及时发现和预防可能出现的硬件和系统问题，从而在最大程度上为系统的连续稳定运行提供保证，巡检内容及规范动作见下表：</w:t>
      </w:r>
    </w:p>
    <w:tbl>
      <w:tblPr>
        <w:tblStyle w:val="24"/>
        <w:tblW w:w="8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794"/>
        <w:gridCol w:w="848"/>
        <w:gridCol w:w="1196"/>
        <w:gridCol w:w="4081"/>
      </w:tblGrid>
      <w:tr w14:paraId="0300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14:paraId="3E4FCA19">
            <w:pPr>
              <w:spacing w:line="240" w:lineRule="exact"/>
              <w:contextualSpacing/>
              <w:jc w:val="center"/>
              <w:rPr>
                <w:rFonts w:ascii="Times New Roman" w:hAnsi="Times New Roman" w:cs="Times New Roman" w:eastAsiaTheme="minorEastAsia"/>
                <w:b/>
                <w:kern w:val="0"/>
                <w:szCs w:val="21"/>
              </w:rPr>
            </w:pPr>
            <w:r>
              <w:rPr>
                <w:rFonts w:ascii="Times New Roman" w:hAnsi="Times New Roman" w:cs="Times New Roman" w:eastAsiaTheme="minorEastAsia"/>
                <w:b/>
                <w:kern w:val="0"/>
                <w:szCs w:val="21"/>
              </w:rPr>
              <w:t>大项</w:t>
            </w:r>
          </w:p>
        </w:tc>
        <w:tc>
          <w:tcPr>
            <w:tcW w:w="1794" w:type="dxa"/>
            <w:vAlign w:val="center"/>
          </w:tcPr>
          <w:p w14:paraId="621B2ACA">
            <w:pPr>
              <w:spacing w:line="240" w:lineRule="exact"/>
              <w:contextualSpacing/>
              <w:jc w:val="center"/>
              <w:rPr>
                <w:rFonts w:ascii="Times New Roman" w:hAnsi="Times New Roman" w:cs="Times New Roman" w:eastAsiaTheme="minorEastAsia"/>
                <w:b/>
                <w:kern w:val="0"/>
                <w:szCs w:val="21"/>
              </w:rPr>
            </w:pPr>
            <w:r>
              <w:rPr>
                <w:rFonts w:ascii="Times New Roman" w:hAnsi="Times New Roman" w:cs="Times New Roman" w:eastAsiaTheme="minorEastAsia"/>
                <w:b/>
                <w:kern w:val="0"/>
                <w:szCs w:val="21"/>
              </w:rPr>
              <w:t>规范动作</w:t>
            </w:r>
          </w:p>
        </w:tc>
        <w:tc>
          <w:tcPr>
            <w:tcW w:w="848" w:type="dxa"/>
            <w:vAlign w:val="center"/>
          </w:tcPr>
          <w:p w14:paraId="4B502EF9">
            <w:pPr>
              <w:spacing w:line="240" w:lineRule="exact"/>
              <w:contextualSpacing/>
              <w:jc w:val="center"/>
              <w:rPr>
                <w:rFonts w:ascii="Times New Roman" w:hAnsi="Times New Roman" w:cs="Times New Roman" w:eastAsiaTheme="minorEastAsia"/>
                <w:b/>
                <w:kern w:val="0"/>
                <w:szCs w:val="21"/>
              </w:rPr>
            </w:pPr>
            <w:r>
              <w:rPr>
                <w:rFonts w:ascii="Times New Roman" w:hAnsi="Times New Roman" w:cs="Times New Roman" w:eastAsiaTheme="minorEastAsia"/>
                <w:b/>
                <w:kern w:val="0"/>
                <w:szCs w:val="21"/>
              </w:rPr>
              <w:t>巡检周期</w:t>
            </w:r>
          </w:p>
        </w:tc>
        <w:tc>
          <w:tcPr>
            <w:tcW w:w="1196" w:type="dxa"/>
            <w:vAlign w:val="center"/>
          </w:tcPr>
          <w:p w14:paraId="04ED3DB1">
            <w:pPr>
              <w:spacing w:line="240" w:lineRule="exact"/>
              <w:contextualSpacing/>
              <w:jc w:val="center"/>
              <w:rPr>
                <w:rFonts w:ascii="Times New Roman" w:hAnsi="Times New Roman" w:cs="Times New Roman" w:eastAsiaTheme="minorEastAsia"/>
                <w:b/>
                <w:kern w:val="0"/>
                <w:szCs w:val="21"/>
              </w:rPr>
            </w:pPr>
            <w:r>
              <w:rPr>
                <w:rFonts w:ascii="Times New Roman" w:hAnsi="Times New Roman" w:cs="Times New Roman" w:eastAsiaTheme="minorEastAsia"/>
                <w:b/>
                <w:kern w:val="0"/>
                <w:szCs w:val="21"/>
              </w:rPr>
              <w:t>巡检方式</w:t>
            </w:r>
          </w:p>
        </w:tc>
        <w:tc>
          <w:tcPr>
            <w:tcW w:w="4081" w:type="dxa"/>
            <w:vAlign w:val="center"/>
          </w:tcPr>
          <w:p w14:paraId="7CF81ECB">
            <w:pPr>
              <w:spacing w:line="240" w:lineRule="exact"/>
              <w:contextualSpacing/>
              <w:jc w:val="center"/>
              <w:rPr>
                <w:rFonts w:ascii="Times New Roman" w:hAnsi="Times New Roman" w:cs="Times New Roman" w:eastAsiaTheme="minorEastAsia"/>
                <w:b/>
                <w:kern w:val="0"/>
                <w:szCs w:val="21"/>
              </w:rPr>
            </w:pPr>
            <w:r>
              <w:rPr>
                <w:rFonts w:ascii="Times New Roman" w:hAnsi="Times New Roman" w:cs="Times New Roman" w:eastAsiaTheme="minorEastAsia"/>
                <w:b/>
                <w:kern w:val="0"/>
                <w:szCs w:val="21"/>
              </w:rPr>
              <w:t>评估标准和说明</w:t>
            </w:r>
          </w:p>
        </w:tc>
      </w:tr>
      <w:tr w14:paraId="6A1B2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Merge w:val="restart"/>
            <w:vAlign w:val="center"/>
          </w:tcPr>
          <w:p w14:paraId="78E39471">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自动化设备巡检</w:t>
            </w:r>
          </w:p>
        </w:tc>
        <w:tc>
          <w:tcPr>
            <w:tcW w:w="1794" w:type="dxa"/>
            <w:vAlign w:val="center"/>
          </w:tcPr>
          <w:p w14:paraId="1D793785">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设备运行版本</w:t>
            </w:r>
          </w:p>
        </w:tc>
        <w:tc>
          <w:tcPr>
            <w:tcW w:w="848" w:type="dxa"/>
            <w:vMerge w:val="restart"/>
            <w:vAlign w:val="center"/>
          </w:tcPr>
          <w:p w14:paraId="353528EE">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每月不少于2次</w:t>
            </w:r>
          </w:p>
        </w:tc>
        <w:tc>
          <w:tcPr>
            <w:tcW w:w="1196" w:type="dxa"/>
            <w:vAlign w:val="center"/>
          </w:tcPr>
          <w:p w14:paraId="52DBBA37">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人工/自动监测工具</w:t>
            </w:r>
          </w:p>
        </w:tc>
        <w:tc>
          <w:tcPr>
            <w:tcW w:w="4081" w:type="dxa"/>
            <w:vAlign w:val="center"/>
          </w:tcPr>
          <w:p w14:paraId="38190464">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版本号需与要求相符</w:t>
            </w:r>
          </w:p>
        </w:tc>
      </w:tr>
      <w:tr w14:paraId="5E86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Merge w:val="continue"/>
            <w:vAlign w:val="center"/>
          </w:tcPr>
          <w:p w14:paraId="48DBACEB">
            <w:pPr>
              <w:spacing w:line="240" w:lineRule="exact"/>
              <w:contextualSpacing/>
              <w:rPr>
                <w:rFonts w:ascii="Times New Roman" w:hAnsi="Times New Roman" w:cs="Times New Roman" w:eastAsiaTheme="minorEastAsia"/>
                <w:b/>
                <w:kern w:val="0"/>
                <w:szCs w:val="21"/>
              </w:rPr>
            </w:pPr>
          </w:p>
        </w:tc>
        <w:tc>
          <w:tcPr>
            <w:tcW w:w="1794" w:type="dxa"/>
            <w:vAlign w:val="center"/>
          </w:tcPr>
          <w:p w14:paraId="61A32217">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PLC主控制软件</w:t>
            </w:r>
          </w:p>
        </w:tc>
        <w:tc>
          <w:tcPr>
            <w:tcW w:w="848" w:type="dxa"/>
            <w:vMerge w:val="continue"/>
            <w:vAlign w:val="center"/>
          </w:tcPr>
          <w:p w14:paraId="372E634C">
            <w:pPr>
              <w:spacing w:line="240" w:lineRule="exact"/>
              <w:contextualSpacing/>
              <w:rPr>
                <w:rFonts w:ascii="Times New Roman" w:hAnsi="Times New Roman" w:cs="Times New Roman" w:eastAsiaTheme="minorEastAsia"/>
                <w:kern w:val="0"/>
                <w:szCs w:val="21"/>
              </w:rPr>
            </w:pPr>
          </w:p>
        </w:tc>
        <w:tc>
          <w:tcPr>
            <w:tcW w:w="1196" w:type="dxa"/>
            <w:vAlign w:val="center"/>
          </w:tcPr>
          <w:p w14:paraId="54BA312B">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人工/自动监测工具</w:t>
            </w:r>
          </w:p>
        </w:tc>
        <w:tc>
          <w:tcPr>
            <w:tcW w:w="4081" w:type="dxa"/>
            <w:vAlign w:val="center"/>
          </w:tcPr>
          <w:p w14:paraId="6EEBC894">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检测各项功能是否正常运行</w:t>
            </w:r>
          </w:p>
        </w:tc>
      </w:tr>
      <w:tr w14:paraId="0E2E3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Merge w:val="continue"/>
            <w:vAlign w:val="center"/>
          </w:tcPr>
          <w:p w14:paraId="60309430">
            <w:pPr>
              <w:spacing w:line="240" w:lineRule="exact"/>
              <w:contextualSpacing/>
              <w:rPr>
                <w:rFonts w:ascii="Times New Roman" w:hAnsi="Times New Roman" w:cs="Times New Roman" w:eastAsiaTheme="minorEastAsia"/>
                <w:b/>
                <w:kern w:val="0"/>
                <w:szCs w:val="21"/>
              </w:rPr>
            </w:pPr>
          </w:p>
        </w:tc>
        <w:tc>
          <w:tcPr>
            <w:tcW w:w="1794" w:type="dxa"/>
            <w:vAlign w:val="center"/>
          </w:tcPr>
          <w:p w14:paraId="594EF00E">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PLC控制柜</w:t>
            </w:r>
          </w:p>
        </w:tc>
        <w:tc>
          <w:tcPr>
            <w:tcW w:w="848" w:type="dxa"/>
            <w:vMerge w:val="continue"/>
            <w:vAlign w:val="center"/>
          </w:tcPr>
          <w:p w14:paraId="69D0567B">
            <w:pPr>
              <w:spacing w:line="240" w:lineRule="exact"/>
              <w:contextualSpacing/>
              <w:rPr>
                <w:rFonts w:ascii="Times New Roman" w:hAnsi="Times New Roman" w:cs="Times New Roman" w:eastAsiaTheme="minorEastAsia"/>
                <w:kern w:val="0"/>
                <w:szCs w:val="21"/>
              </w:rPr>
            </w:pPr>
          </w:p>
        </w:tc>
        <w:tc>
          <w:tcPr>
            <w:tcW w:w="1196" w:type="dxa"/>
            <w:vAlign w:val="center"/>
          </w:tcPr>
          <w:p w14:paraId="4421A64B">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人工/自动监测工具</w:t>
            </w:r>
          </w:p>
        </w:tc>
        <w:tc>
          <w:tcPr>
            <w:tcW w:w="4081" w:type="dxa"/>
            <w:vAlign w:val="center"/>
          </w:tcPr>
          <w:p w14:paraId="2FD91425">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检测柜体状态，有无破坏、破损等</w:t>
            </w:r>
          </w:p>
        </w:tc>
      </w:tr>
      <w:tr w14:paraId="07D10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Merge w:val="continue"/>
            <w:vAlign w:val="center"/>
          </w:tcPr>
          <w:p w14:paraId="343B2116">
            <w:pPr>
              <w:spacing w:line="240" w:lineRule="exact"/>
              <w:contextualSpacing/>
              <w:rPr>
                <w:rFonts w:ascii="Times New Roman" w:hAnsi="Times New Roman" w:cs="Times New Roman" w:eastAsiaTheme="minorEastAsia"/>
                <w:b/>
                <w:kern w:val="0"/>
                <w:szCs w:val="21"/>
              </w:rPr>
            </w:pPr>
          </w:p>
        </w:tc>
        <w:tc>
          <w:tcPr>
            <w:tcW w:w="1794" w:type="dxa"/>
            <w:vAlign w:val="center"/>
          </w:tcPr>
          <w:p w14:paraId="155E9530">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超声波流量计</w:t>
            </w:r>
          </w:p>
        </w:tc>
        <w:tc>
          <w:tcPr>
            <w:tcW w:w="848" w:type="dxa"/>
            <w:vMerge w:val="continue"/>
            <w:vAlign w:val="center"/>
          </w:tcPr>
          <w:p w14:paraId="54334BF6">
            <w:pPr>
              <w:spacing w:line="240" w:lineRule="exact"/>
              <w:contextualSpacing/>
              <w:rPr>
                <w:rFonts w:ascii="Times New Roman" w:hAnsi="Times New Roman" w:cs="Times New Roman" w:eastAsiaTheme="minorEastAsia"/>
                <w:kern w:val="0"/>
                <w:szCs w:val="21"/>
              </w:rPr>
            </w:pPr>
          </w:p>
        </w:tc>
        <w:tc>
          <w:tcPr>
            <w:tcW w:w="1196" w:type="dxa"/>
            <w:vAlign w:val="center"/>
          </w:tcPr>
          <w:p w14:paraId="18AEDC98">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人工/自动监测工具</w:t>
            </w:r>
          </w:p>
        </w:tc>
        <w:tc>
          <w:tcPr>
            <w:tcW w:w="4081" w:type="dxa"/>
            <w:vAlign w:val="center"/>
          </w:tcPr>
          <w:p w14:paraId="7592363E">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检测传感器报数是否正常，检测外观是否正常</w:t>
            </w:r>
          </w:p>
        </w:tc>
      </w:tr>
      <w:tr w14:paraId="3483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65" w:type="dxa"/>
            <w:vMerge w:val="continue"/>
            <w:vAlign w:val="center"/>
          </w:tcPr>
          <w:p w14:paraId="399B1646">
            <w:pPr>
              <w:spacing w:line="240" w:lineRule="exact"/>
              <w:contextualSpacing/>
              <w:rPr>
                <w:rFonts w:ascii="Times New Roman" w:hAnsi="Times New Roman" w:cs="Times New Roman" w:eastAsiaTheme="minorEastAsia"/>
                <w:kern w:val="0"/>
                <w:szCs w:val="21"/>
              </w:rPr>
            </w:pPr>
          </w:p>
        </w:tc>
        <w:tc>
          <w:tcPr>
            <w:tcW w:w="1794" w:type="dxa"/>
            <w:vAlign w:val="center"/>
          </w:tcPr>
          <w:p w14:paraId="10A718AA">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检查软件包</w:t>
            </w:r>
          </w:p>
        </w:tc>
        <w:tc>
          <w:tcPr>
            <w:tcW w:w="848" w:type="dxa"/>
            <w:vMerge w:val="continue"/>
            <w:vAlign w:val="center"/>
          </w:tcPr>
          <w:p w14:paraId="7A0B4AA1">
            <w:pPr>
              <w:spacing w:line="240" w:lineRule="exact"/>
              <w:contextualSpacing/>
              <w:rPr>
                <w:rFonts w:ascii="Times New Roman" w:hAnsi="Times New Roman" w:cs="Times New Roman" w:eastAsiaTheme="minorEastAsia"/>
                <w:kern w:val="0"/>
                <w:szCs w:val="21"/>
              </w:rPr>
            </w:pPr>
          </w:p>
        </w:tc>
        <w:tc>
          <w:tcPr>
            <w:tcW w:w="1196" w:type="dxa"/>
            <w:vAlign w:val="center"/>
          </w:tcPr>
          <w:p w14:paraId="66E45A13">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人工/自动监测工具</w:t>
            </w:r>
          </w:p>
        </w:tc>
        <w:tc>
          <w:tcPr>
            <w:tcW w:w="4081" w:type="dxa"/>
            <w:vAlign w:val="center"/>
          </w:tcPr>
          <w:p w14:paraId="6B7E80B3">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设备正在使用及下次启动时将要加载的产品软件版本和配置文件名正确。</w:t>
            </w:r>
          </w:p>
        </w:tc>
      </w:tr>
      <w:tr w14:paraId="14E56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65" w:type="dxa"/>
            <w:vMerge w:val="continue"/>
            <w:vAlign w:val="center"/>
          </w:tcPr>
          <w:p w14:paraId="41884A2C">
            <w:pPr>
              <w:spacing w:line="240" w:lineRule="exact"/>
              <w:contextualSpacing/>
              <w:rPr>
                <w:rFonts w:ascii="Times New Roman" w:hAnsi="Times New Roman" w:cs="Times New Roman" w:eastAsiaTheme="minorEastAsia"/>
                <w:kern w:val="0"/>
                <w:szCs w:val="21"/>
              </w:rPr>
            </w:pPr>
          </w:p>
        </w:tc>
        <w:tc>
          <w:tcPr>
            <w:tcW w:w="1794" w:type="dxa"/>
            <w:vAlign w:val="center"/>
          </w:tcPr>
          <w:p w14:paraId="5CAF4571">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检查系统时间</w:t>
            </w:r>
          </w:p>
        </w:tc>
        <w:tc>
          <w:tcPr>
            <w:tcW w:w="848" w:type="dxa"/>
            <w:vMerge w:val="continue"/>
            <w:vAlign w:val="center"/>
          </w:tcPr>
          <w:p w14:paraId="53E2D2EE">
            <w:pPr>
              <w:spacing w:line="240" w:lineRule="exact"/>
              <w:contextualSpacing/>
              <w:rPr>
                <w:rFonts w:ascii="Times New Roman" w:hAnsi="Times New Roman" w:cs="Times New Roman" w:eastAsiaTheme="minorEastAsia"/>
                <w:kern w:val="0"/>
                <w:szCs w:val="21"/>
              </w:rPr>
            </w:pPr>
          </w:p>
        </w:tc>
        <w:tc>
          <w:tcPr>
            <w:tcW w:w="1196" w:type="dxa"/>
            <w:vAlign w:val="center"/>
          </w:tcPr>
          <w:p w14:paraId="1BE495B6">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人工/自动监测工具</w:t>
            </w:r>
          </w:p>
        </w:tc>
        <w:tc>
          <w:tcPr>
            <w:tcW w:w="4081" w:type="dxa"/>
            <w:vAlign w:val="center"/>
          </w:tcPr>
          <w:p w14:paraId="679B6BB3">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时间应与当地时间一致（时间差不大于5分钟），便于故障时通过时间精准定位，，如果不合格，修改系统时间。</w:t>
            </w:r>
          </w:p>
        </w:tc>
      </w:tr>
      <w:tr w14:paraId="020E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65" w:type="dxa"/>
            <w:vMerge w:val="continue"/>
            <w:vAlign w:val="center"/>
          </w:tcPr>
          <w:p w14:paraId="7B401977">
            <w:pPr>
              <w:spacing w:line="240" w:lineRule="exact"/>
              <w:contextualSpacing/>
              <w:rPr>
                <w:rFonts w:ascii="Times New Roman" w:hAnsi="Times New Roman" w:cs="Times New Roman" w:eastAsiaTheme="minorEastAsia"/>
                <w:kern w:val="0"/>
                <w:szCs w:val="21"/>
              </w:rPr>
            </w:pPr>
          </w:p>
        </w:tc>
        <w:tc>
          <w:tcPr>
            <w:tcW w:w="1794" w:type="dxa"/>
            <w:vAlign w:val="center"/>
          </w:tcPr>
          <w:p w14:paraId="51EA5477">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检查配置正确性</w:t>
            </w:r>
          </w:p>
        </w:tc>
        <w:tc>
          <w:tcPr>
            <w:tcW w:w="848" w:type="dxa"/>
            <w:vMerge w:val="continue"/>
            <w:vAlign w:val="center"/>
          </w:tcPr>
          <w:p w14:paraId="6C372944">
            <w:pPr>
              <w:spacing w:line="240" w:lineRule="exact"/>
              <w:contextualSpacing/>
              <w:rPr>
                <w:rFonts w:ascii="Times New Roman" w:hAnsi="Times New Roman" w:cs="Times New Roman" w:eastAsiaTheme="minorEastAsia"/>
                <w:kern w:val="0"/>
                <w:szCs w:val="21"/>
              </w:rPr>
            </w:pPr>
          </w:p>
        </w:tc>
        <w:tc>
          <w:tcPr>
            <w:tcW w:w="1196" w:type="dxa"/>
            <w:vAlign w:val="center"/>
          </w:tcPr>
          <w:p w14:paraId="245C8EAC">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人工/自动监测工具</w:t>
            </w:r>
          </w:p>
        </w:tc>
        <w:tc>
          <w:tcPr>
            <w:tcW w:w="4081" w:type="dxa"/>
            <w:vAlign w:val="center"/>
          </w:tcPr>
          <w:p w14:paraId="0C5D04D3">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通过查看当前生效的配置参数，其需验证设备配置是否正确。</w:t>
            </w:r>
          </w:p>
        </w:tc>
      </w:tr>
      <w:tr w14:paraId="64C5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65" w:type="dxa"/>
            <w:vMerge w:val="continue"/>
            <w:vAlign w:val="center"/>
          </w:tcPr>
          <w:p w14:paraId="05A9FCDF">
            <w:pPr>
              <w:spacing w:line="240" w:lineRule="exact"/>
              <w:contextualSpacing/>
              <w:rPr>
                <w:rFonts w:ascii="Times New Roman" w:hAnsi="Times New Roman" w:cs="Times New Roman" w:eastAsiaTheme="minorEastAsia"/>
                <w:kern w:val="0"/>
                <w:szCs w:val="21"/>
              </w:rPr>
            </w:pPr>
          </w:p>
        </w:tc>
        <w:tc>
          <w:tcPr>
            <w:tcW w:w="1794" w:type="dxa"/>
            <w:vAlign w:val="center"/>
          </w:tcPr>
          <w:p w14:paraId="518873A0">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检查配置是否保存</w:t>
            </w:r>
          </w:p>
        </w:tc>
        <w:tc>
          <w:tcPr>
            <w:tcW w:w="848" w:type="dxa"/>
            <w:vMerge w:val="continue"/>
            <w:vAlign w:val="center"/>
          </w:tcPr>
          <w:p w14:paraId="49764751">
            <w:pPr>
              <w:spacing w:line="240" w:lineRule="exact"/>
              <w:contextualSpacing/>
              <w:rPr>
                <w:rFonts w:ascii="Times New Roman" w:hAnsi="Times New Roman" w:cs="Times New Roman" w:eastAsiaTheme="minorEastAsia"/>
                <w:kern w:val="0"/>
                <w:szCs w:val="21"/>
              </w:rPr>
            </w:pPr>
          </w:p>
        </w:tc>
        <w:tc>
          <w:tcPr>
            <w:tcW w:w="1196" w:type="dxa"/>
            <w:vAlign w:val="center"/>
          </w:tcPr>
          <w:p w14:paraId="5DC0DD2B">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人工/自动监测工具</w:t>
            </w:r>
          </w:p>
        </w:tc>
        <w:tc>
          <w:tcPr>
            <w:tcW w:w="4081" w:type="dxa"/>
            <w:vAlign w:val="center"/>
          </w:tcPr>
          <w:p w14:paraId="523DFF66">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业务配置正常后，要进行保存，运行配置需要与保存过的配置相同。</w:t>
            </w:r>
          </w:p>
        </w:tc>
      </w:tr>
      <w:tr w14:paraId="0F56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65" w:type="dxa"/>
            <w:vMerge w:val="continue"/>
            <w:vAlign w:val="center"/>
          </w:tcPr>
          <w:p w14:paraId="05D310BA">
            <w:pPr>
              <w:spacing w:line="240" w:lineRule="exact"/>
              <w:contextualSpacing/>
              <w:rPr>
                <w:rFonts w:ascii="Times New Roman" w:hAnsi="Times New Roman" w:cs="Times New Roman" w:eastAsiaTheme="minorEastAsia"/>
                <w:kern w:val="0"/>
                <w:szCs w:val="21"/>
              </w:rPr>
            </w:pPr>
          </w:p>
        </w:tc>
        <w:tc>
          <w:tcPr>
            <w:tcW w:w="1794" w:type="dxa"/>
            <w:vAlign w:val="center"/>
          </w:tcPr>
          <w:p w14:paraId="78F34BAD">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设备复位情况</w:t>
            </w:r>
          </w:p>
        </w:tc>
        <w:tc>
          <w:tcPr>
            <w:tcW w:w="848" w:type="dxa"/>
            <w:vMerge w:val="continue"/>
            <w:vAlign w:val="center"/>
          </w:tcPr>
          <w:p w14:paraId="020F2DBA">
            <w:pPr>
              <w:spacing w:line="240" w:lineRule="exact"/>
              <w:contextualSpacing/>
              <w:rPr>
                <w:rFonts w:ascii="Times New Roman" w:hAnsi="Times New Roman" w:cs="Times New Roman" w:eastAsiaTheme="minorEastAsia"/>
                <w:kern w:val="0"/>
                <w:szCs w:val="21"/>
              </w:rPr>
            </w:pPr>
          </w:p>
        </w:tc>
        <w:tc>
          <w:tcPr>
            <w:tcW w:w="1196" w:type="dxa"/>
            <w:vAlign w:val="center"/>
          </w:tcPr>
          <w:p w14:paraId="5673827A">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人工/自动监测工具</w:t>
            </w:r>
          </w:p>
        </w:tc>
        <w:tc>
          <w:tcPr>
            <w:tcW w:w="4081" w:type="dxa"/>
            <w:vAlign w:val="center"/>
          </w:tcPr>
          <w:p w14:paraId="788396D8">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通过查看复位信息（包括复位时间、服务类型），确认无非正常复位。</w:t>
            </w:r>
          </w:p>
        </w:tc>
      </w:tr>
      <w:tr w14:paraId="3D2E4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65" w:type="dxa"/>
            <w:vMerge w:val="restart"/>
            <w:vAlign w:val="center"/>
          </w:tcPr>
          <w:p w14:paraId="73B4AD6E">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服务器、存储设备巡检</w:t>
            </w:r>
          </w:p>
        </w:tc>
        <w:tc>
          <w:tcPr>
            <w:tcW w:w="1794" w:type="dxa"/>
            <w:vAlign w:val="center"/>
          </w:tcPr>
          <w:p w14:paraId="6F10E315">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设备温度</w:t>
            </w:r>
          </w:p>
        </w:tc>
        <w:tc>
          <w:tcPr>
            <w:tcW w:w="848" w:type="dxa"/>
            <w:vMerge w:val="continue"/>
            <w:vAlign w:val="center"/>
          </w:tcPr>
          <w:p w14:paraId="0DFAACB2">
            <w:pPr>
              <w:spacing w:line="240" w:lineRule="exact"/>
              <w:contextualSpacing/>
              <w:rPr>
                <w:rFonts w:ascii="Times New Roman" w:hAnsi="Times New Roman" w:cs="Times New Roman" w:eastAsiaTheme="minorEastAsia"/>
                <w:kern w:val="0"/>
                <w:szCs w:val="21"/>
              </w:rPr>
            </w:pPr>
          </w:p>
        </w:tc>
        <w:tc>
          <w:tcPr>
            <w:tcW w:w="1196" w:type="dxa"/>
            <w:vAlign w:val="center"/>
          </w:tcPr>
          <w:p w14:paraId="61B0E6A1">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人工/自动监测工具</w:t>
            </w:r>
          </w:p>
        </w:tc>
        <w:tc>
          <w:tcPr>
            <w:tcW w:w="4081" w:type="dxa"/>
            <w:vAlign w:val="center"/>
          </w:tcPr>
          <w:p w14:paraId="2BB0E666">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各个模块当前温度应该在上下限之间。</w:t>
            </w:r>
          </w:p>
        </w:tc>
      </w:tr>
      <w:tr w14:paraId="161AA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65" w:type="dxa"/>
            <w:vMerge w:val="continue"/>
            <w:vAlign w:val="center"/>
          </w:tcPr>
          <w:p w14:paraId="3A9B3AE2">
            <w:pPr>
              <w:spacing w:line="240" w:lineRule="exact"/>
              <w:contextualSpacing/>
              <w:rPr>
                <w:rFonts w:ascii="Times New Roman" w:hAnsi="Times New Roman" w:cs="Times New Roman" w:eastAsiaTheme="minorEastAsia"/>
                <w:kern w:val="0"/>
                <w:szCs w:val="21"/>
              </w:rPr>
            </w:pPr>
          </w:p>
        </w:tc>
        <w:tc>
          <w:tcPr>
            <w:tcW w:w="1794" w:type="dxa"/>
            <w:vAlign w:val="center"/>
          </w:tcPr>
          <w:p w14:paraId="4221A357">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告警信息</w:t>
            </w:r>
          </w:p>
        </w:tc>
        <w:tc>
          <w:tcPr>
            <w:tcW w:w="848" w:type="dxa"/>
            <w:vMerge w:val="continue"/>
            <w:vAlign w:val="center"/>
          </w:tcPr>
          <w:p w14:paraId="5BF8CE1E">
            <w:pPr>
              <w:spacing w:line="240" w:lineRule="exact"/>
              <w:contextualSpacing/>
              <w:rPr>
                <w:rFonts w:ascii="Times New Roman" w:hAnsi="Times New Roman" w:cs="Times New Roman" w:eastAsiaTheme="minorEastAsia"/>
                <w:kern w:val="0"/>
                <w:szCs w:val="21"/>
              </w:rPr>
            </w:pPr>
          </w:p>
        </w:tc>
        <w:tc>
          <w:tcPr>
            <w:tcW w:w="1196" w:type="dxa"/>
            <w:vAlign w:val="center"/>
          </w:tcPr>
          <w:p w14:paraId="3B9CD2B7">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人工/自动监测工具</w:t>
            </w:r>
          </w:p>
        </w:tc>
        <w:tc>
          <w:tcPr>
            <w:tcW w:w="4081" w:type="dxa"/>
            <w:vAlign w:val="center"/>
          </w:tcPr>
          <w:p w14:paraId="455C9878">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其无告警信息，如果有告警，需要记录，对于严重以上告警需并立分析并处理。</w:t>
            </w:r>
          </w:p>
        </w:tc>
      </w:tr>
      <w:tr w14:paraId="69867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65" w:type="dxa"/>
            <w:vMerge w:val="continue"/>
            <w:vAlign w:val="center"/>
          </w:tcPr>
          <w:p w14:paraId="6E7193BC">
            <w:pPr>
              <w:spacing w:line="240" w:lineRule="exact"/>
              <w:contextualSpacing/>
              <w:rPr>
                <w:rFonts w:ascii="Times New Roman" w:hAnsi="Times New Roman" w:cs="Times New Roman" w:eastAsiaTheme="minorEastAsia"/>
                <w:kern w:val="0"/>
                <w:szCs w:val="21"/>
              </w:rPr>
            </w:pPr>
          </w:p>
        </w:tc>
        <w:tc>
          <w:tcPr>
            <w:tcW w:w="1794" w:type="dxa"/>
            <w:vAlign w:val="center"/>
          </w:tcPr>
          <w:p w14:paraId="5984D3B1">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CPU状态</w:t>
            </w:r>
          </w:p>
        </w:tc>
        <w:tc>
          <w:tcPr>
            <w:tcW w:w="848" w:type="dxa"/>
            <w:vMerge w:val="continue"/>
            <w:vAlign w:val="center"/>
          </w:tcPr>
          <w:p w14:paraId="163DE116">
            <w:pPr>
              <w:spacing w:line="240" w:lineRule="exact"/>
              <w:contextualSpacing/>
              <w:rPr>
                <w:rFonts w:ascii="Times New Roman" w:hAnsi="Times New Roman" w:cs="Times New Roman" w:eastAsiaTheme="minorEastAsia"/>
                <w:kern w:val="0"/>
                <w:szCs w:val="21"/>
              </w:rPr>
            </w:pPr>
          </w:p>
        </w:tc>
        <w:tc>
          <w:tcPr>
            <w:tcW w:w="1196" w:type="dxa"/>
            <w:vAlign w:val="center"/>
          </w:tcPr>
          <w:p w14:paraId="1CC3AF71">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人工/自动监测工具</w:t>
            </w:r>
          </w:p>
        </w:tc>
        <w:tc>
          <w:tcPr>
            <w:tcW w:w="4081" w:type="dxa"/>
            <w:vAlign w:val="center"/>
          </w:tcPr>
          <w:p w14:paraId="5BE30065">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各模块的CPU占用率正常，如果CPU占用率超过80%，建议重点关注。</w:t>
            </w:r>
          </w:p>
        </w:tc>
      </w:tr>
      <w:tr w14:paraId="4B750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65" w:type="dxa"/>
            <w:vMerge w:val="continue"/>
            <w:vAlign w:val="center"/>
          </w:tcPr>
          <w:p w14:paraId="53BE69C8">
            <w:pPr>
              <w:spacing w:line="240" w:lineRule="exact"/>
              <w:contextualSpacing/>
              <w:rPr>
                <w:rFonts w:ascii="Times New Roman" w:hAnsi="Times New Roman" w:cs="Times New Roman" w:eastAsiaTheme="minorEastAsia"/>
                <w:kern w:val="0"/>
                <w:szCs w:val="21"/>
              </w:rPr>
            </w:pPr>
          </w:p>
        </w:tc>
        <w:tc>
          <w:tcPr>
            <w:tcW w:w="1794" w:type="dxa"/>
            <w:vAlign w:val="center"/>
          </w:tcPr>
          <w:p w14:paraId="053F3C65">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内存占用率</w:t>
            </w:r>
          </w:p>
        </w:tc>
        <w:tc>
          <w:tcPr>
            <w:tcW w:w="848" w:type="dxa"/>
            <w:vMerge w:val="continue"/>
            <w:vAlign w:val="center"/>
          </w:tcPr>
          <w:p w14:paraId="51A88AF5">
            <w:pPr>
              <w:spacing w:line="240" w:lineRule="exact"/>
              <w:contextualSpacing/>
              <w:rPr>
                <w:rFonts w:ascii="Times New Roman" w:hAnsi="Times New Roman" w:cs="Times New Roman" w:eastAsiaTheme="minorEastAsia"/>
                <w:kern w:val="0"/>
                <w:szCs w:val="21"/>
              </w:rPr>
            </w:pPr>
          </w:p>
        </w:tc>
        <w:tc>
          <w:tcPr>
            <w:tcW w:w="1196" w:type="dxa"/>
            <w:vAlign w:val="center"/>
          </w:tcPr>
          <w:p w14:paraId="401A34AF">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人工/自动监测工具</w:t>
            </w:r>
          </w:p>
        </w:tc>
        <w:tc>
          <w:tcPr>
            <w:tcW w:w="4081" w:type="dxa"/>
            <w:vAlign w:val="center"/>
          </w:tcPr>
          <w:p w14:paraId="714914CE">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内存占用情况正常，如果“Memory UsingPercentage”超过60%时需要关注。</w:t>
            </w:r>
          </w:p>
        </w:tc>
      </w:tr>
      <w:tr w14:paraId="39424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65" w:type="dxa"/>
            <w:vMerge w:val="continue"/>
            <w:vAlign w:val="center"/>
          </w:tcPr>
          <w:p w14:paraId="441CAE3C">
            <w:pPr>
              <w:spacing w:line="240" w:lineRule="exact"/>
              <w:contextualSpacing/>
              <w:rPr>
                <w:rFonts w:ascii="Times New Roman" w:hAnsi="Times New Roman" w:cs="Times New Roman" w:eastAsiaTheme="minorEastAsia"/>
                <w:kern w:val="0"/>
                <w:szCs w:val="21"/>
              </w:rPr>
            </w:pPr>
          </w:p>
        </w:tc>
        <w:tc>
          <w:tcPr>
            <w:tcW w:w="1794" w:type="dxa"/>
            <w:vAlign w:val="center"/>
          </w:tcPr>
          <w:p w14:paraId="64A0D3E2">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日志信息</w:t>
            </w:r>
          </w:p>
        </w:tc>
        <w:tc>
          <w:tcPr>
            <w:tcW w:w="848" w:type="dxa"/>
            <w:vMerge w:val="continue"/>
            <w:vAlign w:val="center"/>
          </w:tcPr>
          <w:p w14:paraId="241348F8">
            <w:pPr>
              <w:spacing w:line="240" w:lineRule="exact"/>
              <w:contextualSpacing/>
              <w:rPr>
                <w:rFonts w:ascii="Times New Roman" w:hAnsi="Times New Roman" w:cs="Times New Roman" w:eastAsiaTheme="minorEastAsia"/>
                <w:kern w:val="0"/>
                <w:szCs w:val="21"/>
              </w:rPr>
            </w:pPr>
          </w:p>
        </w:tc>
        <w:tc>
          <w:tcPr>
            <w:tcW w:w="1196" w:type="dxa"/>
            <w:vAlign w:val="center"/>
          </w:tcPr>
          <w:p w14:paraId="65766F92">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人工/自动监测工具</w:t>
            </w:r>
          </w:p>
        </w:tc>
        <w:tc>
          <w:tcPr>
            <w:tcW w:w="4081" w:type="dxa"/>
            <w:vAlign w:val="center"/>
          </w:tcPr>
          <w:p w14:paraId="5D111874">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其需确认不存在异常信息。</w:t>
            </w:r>
          </w:p>
        </w:tc>
      </w:tr>
      <w:tr w14:paraId="038BE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65" w:type="dxa"/>
            <w:vMerge w:val="restart"/>
            <w:vAlign w:val="center"/>
          </w:tcPr>
          <w:p w14:paraId="7638355D">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系统软件巡检</w:t>
            </w:r>
          </w:p>
        </w:tc>
        <w:tc>
          <w:tcPr>
            <w:tcW w:w="1794" w:type="dxa"/>
            <w:vAlign w:val="center"/>
          </w:tcPr>
          <w:p w14:paraId="5E48C1D7">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应用支撑平台</w:t>
            </w:r>
          </w:p>
        </w:tc>
        <w:tc>
          <w:tcPr>
            <w:tcW w:w="848" w:type="dxa"/>
            <w:vAlign w:val="center"/>
          </w:tcPr>
          <w:p w14:paraId="4C4DA456">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自动</w:t>
            </w:r>
          </w:p>
        </w:tc>
        <w:tc>
          <w:tcPr>
            <w:tcW w:w="1196" w:type="dxa"/>
            <w:vAlign w:val="center"/>
          </w:tcPr>
          <w:p w14:paraId="5EFEBE32">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人工/自动监测工具</w:t>
            </w:r>
          </w:p>
        </w:tc>
        <w:tc>
          <w:tcPr>
            <w:tcW w:w="4081" w:type="dxa"/>
            <w:vAlign w:val="center"/>
          </w:tcPr>
          <w:p w14:paraId="136738D6">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应用服务平台、应用集成平台和水调业务中间件运行状态检测</w:t>
            </w:r>
          </w:p>
        </w:tc>
      </w:tr>
      <w:tr w14:paraId="1CE94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65" w:type="dxa"/>
            <w:vMerge w:val="continue"/>
            <w:vAlign w:val="center"/>
          </w:tcPr>
          <w:p w14:paraId="67593C0D">
            <w:pPr>
              <w:spacing w:line="240" w:lineRule="exact"/>
              <w:contextualSpacing/>
              <w:rPr>
                <w:rFonts w:ascii="Times New Roman" w:hAnsi="Times New Roman" w:cs="Times New Roman" w:eastAsiaTheme="minorEastAsia"/>
                <w:kern w:val="0"/>
                <w:szCs w:val="21"/>
              </w:rPr>
            </w:pPr>
          </w:p>
        </w:tc>
        <w:tc>
          <w:tcPr>
            <w:tcW w:w="1794" w:type="dxa"/>
            <w:vAlign w:val="center"/>
          </w:tcPr>
          <w:p w14:paraId="1DFF992D">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数据资源管理平台</w:t>
            </w:r>
          </w:p>
        </w:tc>
        <w:tc>
          <w:tcPr>
            <w:tcW w:w="848" w:type="dxa"/>
            <w:vAlign w:val="center"/>
          </w:tcPr>
          <w:p w14:paraId="5A1DE3CB">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自动</w:t>
            </w:r>
          </w:p>
        </w:tc>
        <w:tc>
          <w:tcPr>
            <w:tcW w:w="1196" w:type="dxa"/>
            <w:vAlign w:val="center"/>
          </w:tcPr>
          <w:p w14:paraId="3C728BDF">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人工/自动监测工具</w:t>
            </w:r>
          </w:p>
        </w:tc>
        <w:tc>
          <w:tcPr>
            <w:tcW w:w="4081" w:type="dxa"/>
            <w:vAlign w:val="center"/>
          </w:tcPr>
          <w:p w14:paraId="520A44F1">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综合数据库、元数据库、数据库管理系统、数据存储系统、数据备份系统、及数据灾备系统运行状态检测</w:t>
            </w:r>
          </w:p>
        </w:tc>
      </w:tr>
      <w:tr w14:paraId="4F7C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65" w:type="dxa"/>
            <w:vMerge w:val="continue"/>
            <w:vAlign w:val="center"/>
          </w:tcPr>
          <w:p w14:paraId="26612B13">
            <w:pPr>
              <w:spacing w:line="240" w:lineRule="exact"/>
              <w:contextualSpacing/>
              <w:rPr>
                <w:rFonts w:ascii="Times New Roman" w:hAnsi="Times New Roman" w:cs="Times New Roman" w:eastAsiaTheme="minorEastAsia"/>
                <w:kern w:val="0"/>
                <w:szCs w:val="21"/>
              </w:rPr>
            </w:pPr>
          </w:p>
        </w:tc>
        <w:tc>
          <w:tcPr>
            <w:tcW w:w="1794" w:type="dxa"/>
            <w:vAlign w:val="center"/>
          </w:tcPr>
          <w:p w14:paraId="36762063">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信息采集系统</w:t>
            </w:r>
          </w:p>
        </w:tc>
        <w:tc>
          <w:tcPr>
            <w:tcW w:w="848" w:type="dxa"/>
            <w:vAlign w:val="center"/>
          </w:tcPr>
          <w:p w14:paraId="26874EAE">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自动</w:t>
            </w:r>
          </w:p>
        </w:tc>
        <w:tc>
          <w:tcPr>
            <w:tcW w:w="1196" w:type="dxa"/>
            <w:vAlign w:val="center"/>
          </w:tcPr>
          <w:p w14:paraId="2A6827BB">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人工/自动监测工具</w:t>
            </w:r>
          </w:p>
        </w:tc>
        <w:tc>
          <w:tcPr>
            <w:tcW w:w="4081" w:type="dxa"/>
            <w:vAlign w:val="center"/>
          </w:tcPr>
          <w:p w14:paraId="5A7CB83E">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自动采集、人工上报及与外部系统进行数据交换获得的各类信息是否正常，与外界的信息交互是否正常</w:t>
            </w:r>
          </w:p>
        </w:tc>
      </w:tr>
      <w:tr w14:paraId="44F2F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65" w:type="dxa"/>
            <w:vMerge w:val="continue"/>
            <w:vAlign w:val="center"/>
          </w:tcPr>
          <w:p w14:paraId="23C57927">
            <w:pPr>
              <w:spacing w:line="240" w:lineRule="exact"/>
              <w:contextualSpacing/>
              <w:rPr>
                <w:rFonts w:ascii="Times New Roman" w:hAnsi="Times New Roman" w:cs="Times New Roman" w:eastAsiaTheme="minorEastAsia"/>
                <w:kern w:val="0"/>
                <w:szCs w:val="21"/>
              </w:rPr>
            </w:pPr>
          </w:p>
        </w:tc>
        <w:tc>
          <w:tcPr>
            <w:tcW w:w="1794" w:type="dxa"/>
            <w:vAlign w:val="center"/>
          </w:tcPr>
          <w:p w14:paraId="7DE1E40E">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操作系统性能监控</w:t>
            </w:r>
          </w:p>
        </w:tc>
        <w:tc>
          <w:tcPr>
            <w:tcW w:w="848" w:type="dxa"/>
            <w:vAlign w:val="center"/>
          </w:tcPr>
          <w:p w14:paraId="54EACAF4">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自动</w:t>
            </w:r>
          </w:p>
        </w:tc>
        <w:tc>
          <w:tcPr>
            <w:tcW w:w="1196" w:type="dxa"/>
            <w:vAlign w:val="center"/>
          </w:tcPr>
          <w:p w14:paraId="0228A378">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自动监测工具</w:t>
            </w:r>
          </w:p>
        </w:tc>
        <w:tc>
          <w:tcPr>
            <w:tcW w:w="4081" w:type="dxa"/>
            <w:vAlign w:val="center"/>
          </w:tcPr>
          <w:p w14:paraId="457CA5DC">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其要考虑监控性能指标（设备CPU占用率、内存使用率、磁盘占用率、网络端口使用率等）是否接近或超过阈值，接近或超过阈值时候，分析是否存在异常，否则及时进行资源调整。</w:t>
            </w:r>
          </w:p>
        </w:tc>
      </w:tr>
      <w:tr w14:paraId="3A0D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65" w:type="dxa"/>
            <w:vMerge w:val="continue"/>
            <w:vAlign w:val="center"/>
          </w:tcPr>
          <w:p w14:paraId="3D84FABB">
            <w:pPr>
              <w:spacing w:line="240" w:lineRule="exact"/>
              <w:contextualSpacing/>
              <w:rPr>
                <w:rFonts w:ascii="Times New Roman" w:hAnsi="Times New Roman" w:cs="Times New Roman" w:eastAsiaTheme="minorEastAsia"/>
                <w:kern w:val="0"/>
                <w:szCs w:val="21"/>
              </w:rPr>
            </w:pPr>
          </w:p>
        </w:tc>
        <w:tc>
          <w:tcPr>
            <w:tcW w:w="1794" w:type="dxa"/>
            <w:vAlign w:val="center"/>
          </w:tcPr>
          <w:p w14:paraId="36D1B4D8">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操作系统告警监控</w:t>
            </w:r>
          </w:p>
        </w:tc>
        <w:tc>
          <w:tcPr>
            <w:tcW w:w="848" w:type="dxa"/>
            <w:vAlign w:val="center"/>
          </w:tcPr>
          <w:p w14:paraId="44E480EC">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自动</w:t>
            </w:r>
          </w:p>
        </w:tc>
        <w:tc>
          <w:tcPr>
            <w:tcW w:w="1196" w:type="dxa"/>
            <w:vAlign w:val="center"/>
          </w:tcPr>
          <w:p w14:paraId="3A89616F">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自动监测工具</w:t>
            </w:r>
          </w:p>
        </w:tc>
        <w:tc>
          <w:tcPr>
            <w:tcW w:w="4081" w:type="dxa"/>
            <w:vAlign w:val="center"/>
          </w:tcPr>
          <w:p w14:paraId="41A8A685">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其要发现系统告警和异常事件，根据详细信息和相关处理建议进行针对的处理。</w:t>
            </w:r>
          </w:p>
        </w:tc>
      </w:tr>
      <w:tr w14:paraId="29EB5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65" w:type="dxa"/>
            <w:vMerge w:val="continue"/>
            <w:vAlign w:val="center"/>
          </w:tcPr>
          <w:p w14:paraId="3F3CBC22">
            <w:pPr>
              <w:spacing w:line="240" w:lineRule="exact"/>
              <w:contextualSpacing/>
              <w:rPr>
                <w:rFonts w:ascii="Times New Roman" w:hAnsi="Times New Roman" w:cs="Times New Roman" w:eastAsiaTheme="minorEastAsia"/>
                <w:kern w:val="0"/>
                <w:szCs w:val="21"/>
              </w:rPr>
            </w:pPr>
          </w:p>
        </w:tc>
        <w:tc>
          <w:tcPr>
            <w:tcW w:w="1794" w:type="dxa"/>
            <w:vAlign w:val="center"/>
          </w:tcPr>
          <w:p w14:paraId="626AA9C3">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数据库性能监控</w:t>
            </w:r>
          </w:p>
        </w:tc>
        <w:tc>
          <w:tcPr>
            <w:tcW w:w="848" w:type="dxa"/>
            <w:vAlign w:val="center"/>
          </w:tcPr>
          <w:p w14:paraId="422D8397">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自动</w:t>
            </w:r>
          </w:p>
        </w:tc>
        <w:tc>
          <w:tcPr>
            <w:tcW w:w="1196" w:type="dxa"/>
            <w:vAlign w:val="center"/>
          </w:tcPr>
          <w:p w14:paraId="2B70D4B7">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自动监测工具</w:t>
            </w:r>
          </w:p>
        </w:tc>
        <w:tc>
          <w:tcPr>
            <w:tcW w:w="4081" w:type="dxa"/>
            <w:vAlign w:val="center"/>
          </w:tcPr>
          <w:p w14:paraId="32E0E82E">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重点关注上层应用系统运行状态，查看数据库处理能力指标，并分析是否存在异常，否则及时进行性能优化或资源调整。</w:t>
            </w:r>
          </w:p>
        </w:tc>
      </w:tr>
      <w:tr w14:paraId="6F548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65" w:type="dxa"/>
            <w:vMerge w:val="continue"/>
            <w:vAlign w:val="center"/>
          </w:tcPr>
          <w:p w14:paraId="577F12E1">
            <w:pPr>
              <w:spacing w:line="240" w:lineRule="exact"/>
              <w:contextualSpacing/>
              <w:rPr>
                <w:rFonts w:ascii="Times New Roman" w:hAnsi="Times New Roman" w:cs="Times New Roman" w:eastAsiaTheme="minorEastAsia"/>
                <w:kern w:val="0"/>
                <w:szCs w:val="21"/>
              </w:rPr>
            </w:pPr>
          </w:p>
        </w:tc>
        <w:tc>
          <w:tcPr>
            <w:tcW w:w="1794" w:type="dxa"/>
            <w:vAlign w:val="center"/>
          </w:tcPr>
          <w:p w14:paraId="021ECFDF">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数据库告警监控</w:t>
            </w:r>
          </w:p>
        </w:tc>
        <w:tc>
          <w:tcPr>
            <w:tcW w:w="848" w:type="dxa"/>
            <w:vAlign w:val="center"/>
          </w:tcPr>
          <w:p w14:paraId="142D81C2">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自动</w:t>
            </w:r>
          </w:p>
        </w:tc>
        <w:tc>
          <w:tcPr>
            <w:tcW w:w="1196" w:type="dxa"/>
            <w:vAlign w:val="center"/>
          </w:tcPr>
          <w:p w14:paraId="187A6486">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自动监测工具</w:t>
            </w:r>
          </w:p>
        </w:tc>
        <w:tc>
          <w:tcPr>
            <w:tcW w:w="4081" w:type="dxa"/>
            <w:vAlign w:val="center"/>
          </w:tcPr>
          <w:p w14:paraId="46441060">
            <w:pPr>
              <w:spacing w:line="240" w:lineRule="exact"/>
              <w:contextualSpacing/>
              <w:rPr>
                <w:rFonts w:ascii="Times New Roman" w:hAnsi="Times New Roman" w:cs="Times New Roman" w:eastAsiaTheme="minorEastAsia"/>
                <w:kern w:val="0"/>
                <w:szCs w:val="21"/>
              </w:rPr>
            </w:pPr>
            <w:r>
              <w:rPr>
                <w:rFonts w:ascii="Times New Roman" w:hAnsi="Times New Roman" w:cs="Times New Roman" w:eastAsiaTheme="minorEastAsia"/>
                <w:kern w:val="0"/>
                <w:szCs w:val="21"/>
              </w:rPr>
              <w:t>其要发现系统告警和异常事件，根据详细信息和相关处理建议进行针对的处理。</w:t>
            </w:r>
          </w:p>
        </w:tc>
      </w:tr>
    </w:tbl>
    <w:p w14:paraId="1B188CA6">
      <w:pPr>
        <w:spacing w:line="380" w:lineRule="exact"/>
        <w:ind w:firstLine="480" w:firstLineChars="200"/>
        <w:rPr>
          <w:rFonts w:ascii="Times New Roman" w:hAnsi="Times New Roman" w:cs="Times New Roman" w:eastAsiaTheme="minorEastAsia"/>
          <w:sz w:val="24"/>
          <w:szCs w:val="24"/>
        </w:rPr>
      </w:pPr>
      <w:bookmarkStart w:id="200" w:name="_Toc32269"/>
      <w:bookmarkStart w:id="201" w:name="_Toc498350103"/>
      <w:bookmarkStart w:id="202" w:name="_Toc425892197"/>
      <w:r>
        <w:rPr>
          <w:rFonts w:ascii="Times New Roman" w:hAnsi="Times New Roman" w:cs="Times New Roman" w:eastAsiaTheme="minorEastAsia"/>
          <w:sz w:val="24"/>
          <w:szCs w:val="24"/>
        </w:rPr>
        <w:t>2.4.2日常运维服务要求和标准</w:t>
      </w:r>
      <w:bookmarkEnd w:id="200"/>
      <w:bookmarkEnd w:id="201"/>
    </w:p>
    <w:p w14:paraId="2CA54444">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2.4.2.1零部件完整齐全，质量符合要求</w:t>
      </w:r>
    </w:p>
    <w:p w14:paraId="4A639D22">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主、辅机的零部件完整齐全，质量符合要求；仪表、计器、信号连锁和各种安全装置、自动调节装置齐全完整、灵敏、准确；基础、机座稳固可靠，地脚螺栓和各部螺栓连接紧固、齐整，符合技术要求；管线、管件、阀门、支架等安装合理，牢固完整，标志分明，符合要求；防腐、保温、防冻设施完整有效，符合要求。 </w:t>
      </w:r>
    </w:p>
    <w:p w14:paraId="1B90E497">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2.4.2.2设备运转正常，性能良好 </w:t>
      </w:r>
    </w:p>
    <w:p w14:paraId="6B2C4C57">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设备润滑良好，润滑系统畅通，油质符合要求；无振动、松动、杂音等不正常现象；各部温度、压力、转速、流量、电流等运行参数符合规程要求；生产能力达到铭牌能力或查定能力。 </w:t>
      </w:r>
    </w:p>
    <w:p w14:paraId="50A5C7C9">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2.4.2.3技术资料齐全、准确</w:t>
      </w:r>
    </w:p>
    <w:p w14:paraId="1F86032D">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设备档案，检修及验收记录齐全；设备运转时间和累计运转时间有统计、记录；设备易损件有图纸；设备操作规程、检修规程、维护保养规程齐全；设备及环境整齐、清洁，无“跑、冒、滴、漏”现象。 </w:t>
      </w:r>
    </w:p>
    <w:p w14:paraId="3988490C">
      <w:pPr>
        <w:spacing w:line="380" w:lineRule="exact"/>
        <w:ind w:firstLine="480" w:firstLineChars="200"/>
        <w:rPr>
          <w:rFonts w:ascii="Times New Roman" w:hAnsi="Times New Roman" w:cs="Times New Roman" w:eastAsiaTheme="minorEastAsia"/>
          <w:sz w:val="24"/>
          <w:szCs w:val="24"/>
        </w:rPr>
      </w:pPr>
      <w:bookmarkStart w:id="203" w:name="_Toc498350104"/>
      <w:bookmarkStart w:id="204" w:name="_Toc27942"/>
      <w:r>
        <w:rPr>
          <w:rFonts w:ascii="Times New Roman" w:hAnsi="Times New Roman" w:cs="Times New Roman" w:eastAsiaTheme="minorEastAsia"/>
          <w:sz w:val="24"/>
          <w:szCs w:val="24"/>
        </w:rPr>
        <w:t>2.4.3自动化设备（PLC等）运维标准</w:t>
      </w:r>
      <w:bookmarkEnd w:id="203"/>
      <w:bookmarkEnd w:id="204"/>
    </w:p>
    <w:p w14:paraId="09F1D6BE">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电气自动化设备在使用期间应按一定周期（设备使用说明书）间隔进行检查、校验、鉴定和确认，不得使用超周期或已有缺陷的电气自动化设备，严禁超量程、超负荷使用电气自动化设备；应保持与自动化设备厂商的技术联系，出现重大问题时，取得及时的技术支持；现场自动化控制系统设备应保持清洁，每月巡检2次，对各接线箱、控制箱应防尘、防水、防火，并定期对控制箱内接线进行检查、紧线，发现问题及时处理。对控制室内仪表、PC机、计算机、DCS系统等自动化设备应按同样周期擦拭一次保持室内清洁，并加强其密封性能；对所有自动化控制系统设备的接线及控制回路不得擅自更改，如因特殊原因需短接线的应有明确记录，在处理完毕后应立即去掉短接线，凡重要的岗位不得短接投入运行，凡因此类情况而发生事故的，对主管技术人员及责任者将给予严肃处理；安装有PLC的电器控制柜要有整洁干燥的环境，内部应安放吸湿干燥物，并防止冷却液，油雾的飞溅。</w:t>
      </w:r>
    </w:p>
    <w:p w14:paraId="6D331128">
      <w:pPr>
        <w:spacing w:line="380" w:lineRule="exact"/>
        <w:ind w:firstLine="480" w:firstLineChars="200"/>
        <w:rPr>
          <w:rFonts w:ascii="Times New Roman" w:hAnsi="Times New Roman" w:cs="Times New Roman" w:eastAsiaTheme="minorEastAsia"/>
          <w:sz w:val="24"/>
          <w:szCs w:val="24"/>
        </w:rPr>
      </w:pPr>
      <w:bookmarkStart w:id="205" w:name="_Toc498350105"/>
      <w:bookmarkStart w:id="206" w:name="_Toc19500"/>
      <w:r>
        <w:rPr>
          <w:rFonts w:ascii="Times New Roman" w:hAnsi="Times New Roman" w:cs="Times New Roman" w:eastAsiaTheme="minorEastAsia"/>
          <w:sz w:val="24"/>
          <w:szCs w:val="24"/>
        </w:rPr>
        <w:t>2.4.4传感器运维服务标准</w:t>
      </w:r>
      <w:bookmarkEnd w:id="205"/>
      <w:bookmarkEnd w:id="206"/>
    </w:p>
    <w:p w14:paraId="232A3D20">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2.4.4.1流量计运维标准</w:t>
      </w:r>
    </w:p>
    <w:p w14:paraId="39BE56E0">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检查周期：每月1次进行定期巡检；电气连接：检查条状和块状终端接线端子的电缆连接。确认终端连接的牢固性，并确认有无湿气进入封装；远传封装：确认为就地封装和远传封装内的电子部分防止湿气入侵的阻隔物和密封物完好无损，并确认有无湿气进入封装；电气接线：对系统内的电缆连接、导线连接及流量元件接线与环境有关的特性进行常规性检查。另外，要检查导线是否受到腐蚀，电缆的绝缘性是否受老化的影响；流量元件连接：确认所有密封都正常，并且没有过程介质泄漏的情况出现。检查垫圈及环境密封的老化情况；流量元件部件：根据沉积异物和吸附物的历史记录和停产的计划安排，周期性地取出传感头检查腐蚀、氧化物、异物和盐等情况，热套管不能受过度污染，热套管间不能通过物体连接，任何吸附物都能造成测量不准确，因此有必要时用软刷或可用的溶剂(适合于不锈钢的)进行清洗。</w:t>
      </w:r>
    </w:p>
    <w:p w14:paraId="4798CFA0">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2.4.4.2水位计运维标准</w:t>
      </w:r>
    </w:p>
    <w:p w14:paraId="5872BF29">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仪器电板装入后，仪器即处于待机或工作状态，因此仪器长时间不用或处于运输过程中，应把仪器电池取出；更换设备部件要求无电操作，即关闭主机电源后再拆或连接安装；发现仪器信号不好或怀疑仪器工作不正常，先关闭主机电源再检查电缆两端接头检查完毕确认无误再接通电源开机；电缆线应绕圈收放，不能折叠；在工地现场注意保护仪器，轻拿、轻放，避免人为损坏，电缆线应避免机械轧、拉，重物压损等现象造成断裂，避免长期在地面磨损；如发现没有接收到信号，应联系检查电源电池是否连接、电池是否有电、关闭再开机检查仪器是否有信号、用不同的电缆比对信号等，如初步判断某处有问题或发现不到问题，请及时联系厂家；电缆连接防止虚接。联机时注意电缆接口方向，电缆接头应与面板垂直，拧紧，与主机端旋转至红线处；避免雷雨天操作。</w:t>
      </w:r>
    </w:p>
    <w:p w14:paraId="7F015205">
      <w:pPr>
        <w:spacing w:line="380" w:lineRule="exact"/>
        <w:ind w:firstLine="480" w:firstLineChars="200"/>
        <w:rPr>
          <w:rFonts w:ascii="Times New Roman" w:hAnsi="Times New Roman" w:cs="Times New Roman" w:eastAsiaTheme="minorEastAsia"/>
          <w:sz w:val="24"/>
          <w:szCs w:val="24"/>
        </w:rPr>
      </w:pPr>
      <w:bookmarkStart w:id="207" w:name="_Toc498350106"/>
      <w:bookmarkStart w:id="208" w:name="_Toc27220"/>
      <w:r>
        <w:rPr>
          <w:rFonts w:ascii="Times New Roman" w:hAnsi="Times New Roman" w:cs="Times New Roman" w:eastAsiaTheme="minorEastAsia"/>
          <w:sz w:val="24"/>
          <w:szCs w:val="24"/>
        </w:rPr>
        <w:t>2.4.5视频监控设备运维标准</w:t>
      </w:r>
      <w:bookmarkEnd w:id="207"/>
      <w:bookmarkEnd w:id="208"/>
    </w:p>
    <w:p w14:paraId="5524813E">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2.4.5.1维保服务内容</w:t>
      </w:r>
    </w:p>
    <w:p w14:paraId="6FB15720">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维保内容包含线路维护、报警设备维护、监控软件维护、硬盘录像机设备及其附属设备维护。维保服务内容：视频信号线路、摄像机云台控制线路的检测、故障排除、隐患排查，所有接口、线路接口的焊点的检测、视频头的更换等；监控系统前端摄像机的镜头清理、设备除尘、位置调整、设备维修及更换、故障排除等；监控主机设备检测、设备除尘、系统维护、设备维护、系统扩容、故障排除等；监控软件检测、软件升级、软件维护、数据备份、故障排除等。</w:t>
      </w:r>
    </w:p>
    <w:p w14:paraId="4A4E9AAC">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2.4.5.2日常运维标准</w:t>
      </w:r>
    </w:p>
    <w:p w14:paraId="3D79297C">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监控摄像机的日常运维标准：</w:t>
      </w:r>
    </w:p>
    <w:p w14:paraId="30D627CA">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运维服务人员应保证摄像机防护罩及防护玻璃的清洁，每季度由设备维护人员拆下摄像机的防护罩进行内部（镜头除外）及防护玻璃的清洁除尘，清洁除尘时应避免产生静电、磨花、腐蚀摄像机镜头，并做好记录；对带云台的摄像机，运维服务人员应保证云台的机械转动部分转动灵活，无异响。维护保养带云台的摄像机时，运维服务人员应对云台的机械转动部分添加适量的润滑机油，以延长云台的使用寿命；对室外的监控摄像机，运维服务人员在清洁后应保证防护罩接合部位的密封，以防止雨水等渗入摄像机防护罩内，造成起雾现象，运维服务人员在每次清洁除尘、安装防护罩时，注意用防水胶圈或胶布密封接合部位；运维服务人员应保证摄像机及镜头部分的清洁。运维服务人员在对摄像机镜头清洁除尘时，注意不要用手触摸摄像镜头，只能使用专用擦拭布或镜头纸对摄像镜头进行擦拭，并做好记录。</w:t>
      </w:r>
    </w:p>
    <w:p w14:paraId="2390428F">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监控中心部分的日常运维标准：应保证系统主机、监视器等监控设备的外部清洁，每季度应对系统主机、监视器等监控设备进行除尘；应保证系统主机、监视器等监控设备的传输线路连接牢固，无松动，定期检查系统主机、监视器等监控设备的视频线及BNC接头有无松动现象，如有须及时处理；应保证系统主机及各指示灯的正常运行，定期检查主机上的各指示灯是否正常，做好检查记录，并及时对报警情况进行处理；应保证系统主机内部的清洁，做好系统主机内部的除尘工作，并记录。</w:t>
      </w:r>
    </w:p>
    <w:p w14:paraId="20BABCE4">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电源部分的日常运维标准：应保证摄像机电源和控制中心内监控设备的电源电压，符合运行要求，每半年对摄像机电源和控制中心内的监控设备电源的电压进行测量；应保证监控系统的防雷接地等保护设施的性能良好，定期重点检查监控系统的防雷接地保护设施是否处于良好状态，并做好记录。</w:t>
      </w:r>
    </w:p>
    <w:bookmarkEnd w:id="202"/>
    <w:p w14:paraId="65964515">
      <w:pPr>
        <w:keepNext/>
        <w:keepLines/>
        <w:spacing w:line="380" w:lineRule="exact"/>
        <w:ind w:firstLine="482" w:firstLineChars="200"/>
        <w:rPr>
          <w:rFonts w:ascii="Times New Roman" w:hAnsi="Times New Roman" w:cs="Times New Roman" w:eastAsiaTheme="minorEastAsia"/>
          <w:b/>
          <w:bCs/>
          <w:kern w:val="0"/>
          <w:sz w:val="24"/>
          <w:szCs w:val="24"/>
          <w:lang w:val="zh-CN"/>
        </w:rPr>
      </w:pPr>
      <w:bookmarkStart w:id="209" w:name="_Toc425892222"/>
      <w:bookmarkStart w:id="210" w:name="_Toc498350107"/>
      <w:bookmarkStart w:id="211" w:name="_Toc23970"/>
      <w:r>
        <w:rPr>
          <w:rFonts w:ascii="Times New Roman" w:hAnsi="Times New Roman" w:cs="Times New Roman" w:eastAsiaTheme="minorEastAsia"/>
          <w:b/>
          <w:bCs/>
          <w:kern w:val="0"/>
          <w:sz w:val="24"/>
          <w:szCs w:val="24"/>
        </w:rPr>
        <w:t>2</w:t>
      </w:r>
      <w:r>
        <w:rPr>
          <w:rFonts w:ascii="Times New Roman" w:hAnsi="Times New Roman" w:cs="Times New Roman" w:eastAsiaTheme="minorEastAsia"/>
          <w:b/>
          <w:bCs/>
          <w:kern w:val="0"/>
          <w:sz w:val="24"/>
          <w:szCs w:val="24"/>
          <w:lang w:val="zh-CN"/>
        </w:rPr>
        <w:t>.5应急事件处理</w:t>
      </w:r>
      <w:bookmarkEnd w:id="209"/>
      <w:r>
        <w:rPr>
          <w:rFonts w:ascii="Times New Roman" w:hAnsi="Times New Roman" w:cs="Times New Roman" w:eastAsiaTheme="minorEastAsia"/>
          <w:b/>
          <w:bCs/>
          <w:kern w:val="0"/>
          <w:sz w:val="24"/>
          <w:szCs w:val="24"/>
          <w:lang w:val="zh-CN"/>
        </w:rPr>
        <w:t>要求</w:t>
      </w:r>
      <w:bookmarkEnd w:id="210"/>
      <w:bookmarkEnd w:id="211"/>
    </w:p>
    <w:p w14:paraId="604A5A27">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在服务维护过程中，突发性意外情况将难以完全避免，成交供应商须针对突发性意外情况，设计相应的预防与解决预案，每年进行不少于2次的应急演练，同时提供完整的应急处理措施，保证系统的业务连续性。</w:t>
      </w:r>
    </w:p>
    <w:p w14:paraId="649A979B">
      <w:pPr>
        <w:spacing w:line="380" w:lineRule="exact"/>
        <w:ind w:firstLine="480" w:firstLineChars="200"/>
        <w:rPr>
          <w:rFonts w:ascii="Times New Roman" w:hAnsi="Times New Roman" w:cs="Times New Roman" w:eastAsiaTheme="minorEastAsia"/>
          <w:sz w:val="24"/>
          <w:szCs w:val="24"/>
        </w:rPr>
      </w:pPr>
      <w:bookmarkStart w:id="212" w:name="_Toc23577"/>
      <w:bookmarkStart w:id="213" w:name="_Toc498350108"/>
      <w:bookmarkStart w:id="214" w:name="_Toc425892223"/>
      <w:r>
        <w:rPr>
          <w:rFonts w:ascii="Times New Roman" w:hAnsi="Times New Roman" w:cs="Times New Roman" w:eastAsiaTheme="minorEastAsia"/>
          <w:sz w:val="24"/>
          <w:szCs w:val="24"/>
        </w:rPr>
        <w:t>2.5.1应急突发事件种类</w:t>
      </w:r>
      <w:bookmarkEnd w:id="212"/>
      <w:bookmarkEnd w:id="213"/>
      <w:bookmarkEnd w:id="214"/>
    </w:p>
    <w:p w14:paraId="026AA790">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突发性网络中断；关键业务中断或系统崩溃；大范围病毒爆发；系统或数据受到严重破坏。</w:t>
      </w:r>
    </w:p>
    <w:p w14:paraId="72FC1A25">
      <w:pPr>
        <w:spacing w:line="380" w:lineRule="exact"/>
        <w:ind w:firstLine="480" w:firstLineChars="200"/>
        <w:rPr>
          <w:rFonts w:ascii="Times New Roman" w:hAnsi="Times New Roman" w:cs="Times New Roman" w:eastAsiaTheme="minorEastAsia"/>
          <w:sz w:val="24"/>
          <w:szCs w:val="24"/>
        </w:rPr>
      </w:pPr>
      <w:bookmarkStart w:id="215" w:name="_Toc21118"/>
      <w:bookmarkStart w:id="216" w:name="_Toc425892224"/>
      <w:bookmarkStart w:id="217" w:name="_Toc498350109"/>
      <w:r>
        <w:rPr>
          <w:rFonts w:ascii="Times New Roman" w:hAnsi="Times New Roman" w:cs="Times New Roman" w:eastAsiaTheme="minorEastAsia"/>
          <w:sz w:val="24"/>
          <w:szCs w:val="24"/>
        </w:rPr>
        <w:t>2.5.2应急预案及服务流程</w:t>
      </w:r>
      <w:bookmarkEnd w:id="215"/>
      <w:bookmarkEnd w:id="216"/>
      <w:bookmarkEnd w:id="217"/>
    </w:p>
    <w:p w14:paraId="5573DFD7">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当紧急事件发生时，成交供应商的运行人员首先要进行故障分析，确定故障的范围和程度，确认为紧急故障的，在查找原因和解决问题的同时，要同步将故障解决情况通报给部门领导、及向客服中说明事件发生的状况。如需其他部门协助的，需要请求相关部门共同尽快解决故障。</w:t>
      </w:r>
    </w:p>
    <w:p w14:paraId="24214149">
      <w:pPr>
        <w:spacing w:line="380" w:lineRule="exact"/>
        <w:ind w:firstLine="480" w:firstLineChars="200"/>
        <w:rPr>
          <w:rFonts w:ascii="Times New Roman" w:hAnsi="Times New Roman" w:cs="Times New Roman" w:eastAsiaTheme="minorEastAsia"/>
          <w:sz w:val="24"/>
          <w:szCs w:val="24"/>
        </w:rPr>
      </w:pPr>
      <w:bookmarkStart w:id="218" w:name="_Toc498350110"/>
      <w:bookmarkStart w:id="219" w:name="_Toc26913"/>
      <w:bookmarkStart w:id="220" w:name="_Toc425892225"/>
      <w:r>
        <w:rPr>
          <w:rFonts w:ascii="Times New Roman" w:hAnsi="Times New Roman" w:cs="Times New Roman" w:eastAsiaTheme="minorEastAsia"/>
          <w:sz w:val="24"/>
          <w:szCs w:val="24"/>
        </w:rPr>
        <w:t>2.5.3应急事件处理原则</w:t>
      </w:r>
      <w:bookmarkEnd w:id="218"/>
      <w:bookmarkEnd w:id="219"/>
      <w:bookmarkEnd w:id="220"/>
    </w:p>
    <w:p w14:paraId="42DE6A56">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1.预防为主。立足安全防护，加强预警，重点保护基础信息网络和关系信息安全、稳定的重要信息系统，在管理、技术、人员等方面采取多种措施充分发挥各方面的作用，共同构筑信息与网络安全保障体系。</w:t>
      </w:r>
    </w:p>
    <w:p w14:paraId="0BB855FD">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2.快速反应。突发事件发生时，按照快速反应机制，及时获取充分而准确的信息，跟踪研判，果断决策，迅速处置，最大程度地减少危害和影响。</w:t>
      </w:r>
    </w:p>
    <w:p w14:paraId="001820C4">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3.分级负责。按照“谁主管，谁负责”的原则，建立和完善安全责任制及联动工作机制。根据各负责人的职能，各司其职，加强各负责人的协调与配合，共同履行应急处置工作的管理职责。</w:t>
      </w:r>
    </w:p>
    <w:p w14:paraId="3FACEB07">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4.以人为本。把保障人员以及核心应用的安全作为首要任务。</w:t>
      </w:r>
    </w:p>
    <w:p w14:paraId="5373037B">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5.常备不懈。加强技术储备，规范应急处置措施与操作流程，定期进行预案演练，确保应急预案切实有效，实现突发应急事件处置的科学化、程序化与规范化。</w:t>
      </w:r>
    </w:p>
    <w:p w14:paraId="37D645D7">
      <w:pPr>
        <w:keepNext/>
        <w:keepLines/>
        <w:spacing w:line="380" w:lineRule="exact"/>
        <w:ind w:firstLine="482" w:firstLineChars="200"/>
        <w:rPr>
          <w:rFonts w:ascii="Times New Roman" w:hAnsi="Times New Roman" w:cs="Times New Roman" w:eastAsiaTheme="minorEastAsia"/>
          <w:b/>
          <w:bCs/>
          <w:kern w:val="0"/>
          <w:sz w:val="24"/>
          <w:szCs w:val="24"/>
          <w:lang w:val="zh-CN"/>
        </w:rPr>
      </w:pPr>
      <w:bookmarkStart w:id="221" w:name="_Toc423340590"/>
      <w:bookmarkStart w:id="222" w:name="_Toc422836434"/>
      <w:bookmarkStart w:id="223" w:name="_Toc425892237"/>
      <w:bookmarkStart w:id="224" w:name="_Toc2612"/>
      <w:bookmarkStart w:id="225" w:name="_Toc498350111"/>
      <w:r>
        <w:rPr>
          <w:rFonts w:ascii="Times New Roman" w:hAnsi="Times New Roman" w:cs="Times New Roman" w:eastAsiaTheme="minorEastAsia"/>
          <w:b/>
          <w:bCs/>
          <w:kern w:val="0"/>
          <w:sz w:val="24"/>
          <w:szCs w:val="24"/>
        </w:rPr>
        <w:t>3</w:t>
      </w:r>
      <w:r>
        <w:rPr>
          <w:rFonts w:ascii="Times New Roman" w:hAnsi="Times New Roman" w:cs="Times New Roman" w:eastAsiaTheme="minorEastAsia"/>
          <w:b/>
          <w:bCs/>
          <w:kern w:val="0"/>
          <w:sz w:val="24"/>
          <w:szCs w:val="24"/>
          <w:lang w:val="zh-CN"/>
        </w:rPr>
        <w:t>.运维服务能力</w:t>
      </w:r>
      <w:bookmarkEnd w:id="221"/>
      <w:bookmarkEnd w:id="222"/>
      <w:r>
        <w:rPr>
          <w:rFonts w:ascii="Times New Roman" w:hAnsi="Times New Roman" w:cs="Times New Roman" w:eastAsiaTheme="minorEastAsia"/>
          <w:b/>
          <w:bCs/>
          <w:kern w:val="0"/>
          <w:sz w:val="24"/>
          <w:szCs w:val="24"/>
          <w:lang w:val="zh-CN"/>
        </w:rPr>
        <w:t>服务</w:t>
      </w:r>
      <w:bookmarkEnd w:id="223"/>
      <w:r>
        <w:rPr>
          <w:rFonts w:ascii="Times New Roman" w:hAnsi="Times New Roman" w:cs="Times New Roman" w:eastAsiaTheme="minorEastAsia"/>
          <w:b/>
          <w:bCs/>
          <w:kern w:val="0"/>
          <w:sz w:val="24"/>
          <w:szCs w:val="24"/>
          <w:lang w:val="zh-CN"/>
        </w:rPr>
        <w:t>要求</w:t>
      </w:r>
      <w:bookmarkEnd w:id="224"/>
      <w:bookmarkEnd w:id="225"/>
    </w:p>
    <w:p w14:paraId="7A62104C">
      <w:pPr>
        <w:keepNext/>
        <w:keepLines/>
        <w:spacing w:line="380" w:lineRule="exact"/>
        <w:ind w:firstLine="482" w:firstLineChars="200"/>
        <w:rPr>
          <w:rFonts w:ascii="Times New Roman" w:hAnsi="Times New Roman" w:cs="Times New Roman" w:eastAsiaTheme="minorEastAsia"/>
          <w:b/>
          <w:bCs/>
          <w:kern w:val="0"/>
          <w:sz w:val="24"/>
          <w:szCs w:val="24"/>
          <w:lang w:val="zh-CN"/>
        </w:rPr>
      </w:pPr>
      <w:bookmarkStart w:id="226" w:name="_Toc425892238"/>
      <w:bookmarkStart w:id="227" w:name="_Toc498350112"/>
      <w:bookmarkStart w:id="228" w:name="_Toc16570"/>
      <w:r>
        <w:rPr>
          <w:rFonts w:ascii="Times New Roman" w:hAnsi="Times New Roman" w:cs="Times New Roman" w:eastAsiaTheme="minorEastAsia"/>
          <w:b/>
          <w:bCs/>
          <w:kern w:val="0"/>
          <w:sz w:val="24"/>
          <w:szCs w:val="24"/>
        </w:rPr>
        <w:t>3</w:t>
      </w:r>
      <w:r>
        <w:rPr>
          <w:rFonts w:ascii="Times New Roman" w:hAnsi="Times New Roman" w:cs="Times New Roman" w:eastAsiaTheme="minorEastAsia"/>
          <w:b/>
          <w:bCs/>
          <w:kern w:val="0"/>
          <w:sz w:val="24"/>
          <w:szCs w:val="24"/>
          <w:lang w:val="zh-CN"/>
        </w:rPr>
        <w:t>.1服务清单及内容</w:t>
      </w:r>
      <w:bookmarkEnd w:id="226"/>
      <w:bookmarkEnd w:id="227"/>
      <w:bookmarkEnd w:id="228"/>
    </w:p>
    <w:p w14:paraId="19D8A3F0">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成交供应商须结合现有资源及多年运营经验，为淮水北调工程调度运行中心及省管泵站中控室运维服务项目制定完善的运维服务能力体系，建立预防、检测、修改和纠正机制，形成标准规范，完善和优化运维服务策略、方法和流程，提升系统的安全性、可用性、持续性，降低运维服务风险，提升运维服务价值。</w:t>
      </w:r>
    </w:p>
    <w:p w14:paraId="296CED89">
      <w:pPr>
        <w:keepNext/>
        <w:keepLines/>
        <w:spacing w:line="380" w:lineRule="exact"/>
        <w:ind w:firstLine="482" w:firstLineChars="200"/>
        <w:rPr>
          <w:rFonts w:ascii="Times New Roman" w:hAnsi="Times New Roman" w:cs="Times New Roman" w:eastAsiaTheme="minorEastAsia"/>
          <w:b/>
          <w:bCs/>
          <w:kern w:val="0"/>
          <w:sz w:val="24"/>
          <w:szCs w:val="24"/>
          <w:lang w:val="zh-CN"/>
        </w:rPr>
      </w:pPr>
      <w:bookmarkStart w:id="229" w:name="_Toc13782"/>
      <w:bookmarkStart w:id="230" w:name="_Toc425892239"/>
      <w:bookmarkStart w:id="231" w:name="_Toc498350113"/>
      <w:r>
        <w:rPr>
          <w:rFonts w:ascii="Times New Roman" w:hAnsi="Times New Roman" w:cs="Times New Roman" w:eastAsiaTheme="minorEastAsia"/>
          <w:b/>
          <w:bCs/>
          <w:kern w:val="0"/>
          <w:sz w:val="24"/>
          <w:szCs w:val="24"/>
        </w:rPr>
        <w:t>3</w:t>
      </w:r>
      <w:r>
        <w:rPr>
          <w:rFonts w:ascii="Times New Roman" w:hAnsi="Times New Roman" w:cs="Times New Roman" w:eastAsiaTheme="minorEastAsia"/>
          <w:b/>
          <w:bCs/>
          <w:kern w:val="0"/>
          <w:sz w:val="24"/>
          <w:szCs w:val="24"/>
          <w:lang w:val="zh-CN"/>
        </w:rPr>
        <w:t>.2建设运维服务体系建设</w:t>
      </w:r>
      <w:bookmarkEnd w:id="229"/>
      <w:bookmarkEnd w:id="230"/>
      <w:bookmarkEnd w:id="231"/>
    </w:p>
    <w:p w14:paraId="49D36832">
      <w:pPr>
        <w:spacing w:line="380" w:lineRule="exact"/>
        <w:ind w:firstLine="480" w:firstLineChars="200"/>
        <w:rPr>
          <w:rFonts w:ascii="Times New Roman" w:hAnsi="Times New Roman" w:cs="Times New Roman" w:eastAsiaTheme="minorEastAsia"/>
          <w:sz w:val="24"/>
          <w:szCs w:val="24"/>
        </w:rPr>
      </w:pPr>
      <w:bookmarkStart w:id="232" w:name="_bookmark34"/>
      <w:bookmarkEnd w:id="232"/>
      <w:bookmarkStart w:id="233" w:name="_Toc498350114"/>
      <w:bookmarkStart w:id="234" w:name="_Toc425892240"/>
      <w:bookmarkStart w:id="235" w:name="_Toc6824"/>
      <w:r>
        <w:rPr>
          <w:rFonts w:ascii="Times New Roman" w:hAnsi="Times New Roman" w:cs="Times New Roman" w:eastAsiaTheme="minorEastAsia"/>
          <w:sz w:val="24"/>
          <w:szCs w:val="24"/>
        </w:rPr>
        <w:t>3.2.1运维服务质量指标体系</w:t>
      </w:r>
      <w:bookmarkEnd w:id="233"/>
      <w:bookmarkEnd w:id="234"/>
      <w:bookmarkEnd w:id="235"/>
    </w:p>
    <w:p w14:paraId="1776FEFD">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成交供应商须建立面向用户感知的运维服务质量指标体系。成交供应商的运维服务质量指标体系要更关注用户的实际感受，从客户体验的角度出发，从提高客户对运维服务的感知度和满意度出发，考虑客户使用中的各个环节，在运维服务指标和现行维护工作的基础之上，将运维服务中最影响用户使用和感知的质量问题用指标表示出来。</w:t>
      </w:r>
    </w:p>
    <w:p w14:paraId="03FDBB52">
      <w:pPr>
        <w:spacing w:line="380" w:lineRule="exact"/>
        <w:ind w:firstLine="480" w:firstLineChars="200"/>
        <w:rPr>
          <w:rFonts w:ascii="Times New Roman" w:hAnsi="Times New Roman" w:cs="Times New Roman" w:eastAsiaTheme="minorEastAsia"/>
          <w:sz w:val="24"/>
          <w:szCs w:val="24"/>
        </w:rPr>
      </w:pPr>
      <w:bookmarkStart w:id="236" w:name="_bookmark35"/>
      <w:bookmarkEnd w:id="236"/>
      <w:bookmarkStart w:id="237" w:name="_Toc498350115"/>
      <w:bookmarkStart w:id="238" w:name="_Toc425892241"/>
      <w:bookmarkStart w:id="239" w:name="_Toc13615"/>
      <w:r>
        <w:rPr>
          <w:rFonts w:ascii="Times New Roman" w:hAnsi="Times New Roman" w:cs="Times New Roman" w:eastAsiaTheme="minorEastAsia"/>
          <w:sz w:val="24"/>
          <w:szCs w:val="24"/>
        </w:rPr>
        <w:t>3.2.2运维服务资源管理指标体系</w:t>
      </w:r>
      <w:bookmarkEnd w:id="237"/>
      <w:bookmarkEnd w:id="238"/>
      <w:bookmarkEnd w:id="239"/>
    </w:p>
    <w:p w14:paraId="2A6403BC">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成交供应商须建立运维服务资源管理指标体系。成交供应商的运维服务资源管理是成为精确化运维管理的重要内容，提高运维服务资源管理水平是降低成本增强竞争力的重要方面。</w:t>
      </w:r>
    </w:p>
    <w:p w14:paraId="2413F002">
      <w:pPr>
        <w:spacing w:line="380" w:lineRule="exact"/>
        <w:ind w:firstLine="480" w:firstLineChars="200"/>
        <w:rPr>
          <w:rFonts w:ascii="Times New Roman" w:hAnsi="Times New Roman" w:cs="Times New Roman" w:eastAsiaTheme="minorEastAsia"/>
          <w:sz w:val="24"/>
          <w:szCs w:val="24"/>
        </w:rPr>
      </w:pPr>
      <w:bookmarkStart w:id="240" w:name="_bookmark36"/>
      <w:bookmarkEnd w:id="240"/>
      <w:r>
        <w:rPr>
          <w:rFonts w:ascii="Times New Roman" w:hAnsi="Times New Roman" w:cs="Times New Roman" w:eastAsiaTheme="minorEastAsia"/>
          <w:sz w:val="24"/>
          <w:szCs w:val="24"/>
        </w:rPr>
        <w:t>运维服务资源配置流程涵盖从业务发起到业务实现的整个过程，涉及到维护、建设等各环节，甚至涉及到响应的原厂商。成交供应商要考虑成本效益、业务协议、资源合理使用、用户对运为服务的具体要求等因素，形成快速闭合的配置流程，缩短解决问题时间，以提高运维服务资源对采购人的快速响应能力。</w:t>
      </w:r>
    </w:p>
    <w:p w14:paraId="65C987A3">
      <w:pPr>
        <w:spacing w:line="380" w:lineRule="exact"/>
        <w:ind w:firstLine="480" w:firstLineChars="200"/>
        <w:rPr>
          <w:rFonts w:ascii="Times New Roman" w:hAnsi="Times New Roman" w:cs="Times New Roman" w:eastAsiaTheme="minorEastAsia"/>
          <w:sz w:val="24"/>
          <w:szCs w:val="24"/>
        </w:rPr>
      </w:pPr>
      <w:bookmarkStart w:id="241" w:name="_bookmark37"/>
      <w:bookmarkEnd w:id="241"/>
      <w:r>
        <w:rPr>
          <w:rFonts w:ascii="Times New Roman" w:hAnsi="Times New Roman" w:cs="Times New Roman" w:eastAsiaTheme="minorEastAsia"/>
          <w:sz w:val="24"/>
          <w:szCs w:val="24"/>
        </w:rPr>
        <w:t>成交供应商对运维服务的日常保障，应该根据服务协议和采购人等级安排日常测试，根据运为服务变化情况安排优化调整。当发生故障时，协调内部、外部人力和物力资源迅速发现确认故障，快速处理恢复业务，做好用户协调。当发生重大故障时，还需做好用户的用户告知工作。</w:t>
      </w:r>
    </w:p>
    <w:p w14:paraId="3371C12D">
      <w:pPr>
        <w:spacing w:line="380" w:lineRule="exact"/>
        <w:ind w:firstLine="480" w:firstLineChars="200"/>
        <w:rPr>
          <w:rFonts w:ascii="Times New Roman" w:hAnsi="Times New Roman" w:cs="Times New Roman" w:eastAsiaTheme="minorEastAsia"/>
          <w:sz w:val="24"/>
          <w:szCs w:val="24"/>
        </w:rPr>
      </w:pPr>
      <w:bookmarkStart w:id="242" w:name="_bookmark38"/>
      <w:bookmarkEnd w:id="242"/>
      <w:bookmarkStart w:id="243" w:name="_Toc425892244"/>
      <w:bookmarkStart w:id="244" w:name="_Toc498350116"/>
      <w:bookmarkStart w:id="245" w:name="_Toc2646"/>
      <w:r>
        <w:rPr>
          <w:rFonts w:ascii="Times New Roman" w:hAnsi="Times New Roman" w:cs="Times New Roman" w:eastAsiaTheme="minorEastAsia"/>
          <w:sz w:val="24"/>
          <w:szCs w:val="24"/>
        </w:rPr>
        <w:t>3.2.3系统</w:t>
      </w:r>
      <w:bookmarkEnd w:id="243"/>
      <w:r>
        <w:rPr>
          <w:rFonts w:ascii="Times New Roman" w:hAnsi="Times New Roman" w:cs="Times New Roman" w:eastAsiaTheme="minorEastAsia"/>
          <w:sz w:val="24"/>
          <w:szCs w:val="24"/>
        </w:rPr>
        <w:t>运维服务目标</w:t>
      </w:r>
      <w:bookmarkEnd w:id="244"/>
      <w:bookmarkEnd w:id="245"/>
    </w:p>
    <w:p w14:paraId="4C0EED38">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系统运维服务的终极目标是：借助专业的服务力量，最大限度的避免因设备、系统故障，给业务系统带来的任何影响。</w:t>
      </w:r>
    </w:p>
    <w:p w14:paraId="611EC9CA">
      <w:pPr>
        <w:spacing w:line="380" w:lineRule="exact"/>
        <w:ind w:firstLine="480" w:firstLineChars="200"/>
        <w:rPr>
          <w:rFonts w:ascii="Times New Roman" w:hAnsi="Times New Roman" w:cs="Times New Roman" w:eastAsiaTheme="minorEastAsia"/>
          <w:sz w:val="24"/>
          <w:szCs w:val="24"/>
        </w:rPr>
      </w:pPr>
      <w:bookmarkStart w:id="246" w:name="_bookmark39"/>
      <w:bookmarkEnd w:id="246"/>
      <w:bookmarkStart w:id="247" w:name="_Toc425892245"/>
      <w:bookmarkStart w:id="248" w:name="_Toc498350117"/>
      <w:bookmarkStart w:id="249" w:name="_Toc23965"/>
      <w:r>
        <w:rPr>
          <w:rFonts w:ascii="Times New Roman" w:hAnsi="Times New Roman" w:cs="Times New Roman" w:eastAsiaTheme="minorEastAsia"/>
          <w:sz w:val="24"/>
          <w:szCs w:val="24"/>
        </w:rPr>
        <w:t>3.2.4问题管理体系</w:t>
      </w:r>
      <w:bookmarkEnd w:id="247"/>
      <w:r>
        <w:rPr>
          <w:rFonts w:ascii="Times New Roman" w:hAnsi="Times New Roman" w:cs="Times New Roman" w:eastAsiaTheme="minorEastAsia"/>
          <w:sz w:val="24"/>
          <w:szCs w:val="24"/>
        </w:rPr>
        <w:t>建设</w:t>
      </w:r>
      <w:bookmarkEnd w:id="248"/>
      <w:bookmarkEnd w:id="249"/>
    </w:p>
    <w:p w14:paraId="74A93A23">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问题管理体系的目标是加强对采购人问题的及时反馈和集中管理，落实每个问题的责任人，确保采购人问题得到迅速有效的解决。</w:t>
      </w:r>
    </w:p>
    <w:p w14:paraId="0D03E50C">
      <w:pPr>
        <w:spacing w:line="380" w:lineRule="exact"/>
        <w:ind w:firstLine="480" w:firstLineChars="200"/>
        <w:rPr>
          <w:rFonts w:ascii="Times New Roman" w:hAnsi="Times New Roman" w:cs="Times New Roman" w:eastAsiaTheme="minorEastAsia"/>
          <w:sz w:val="24"/>
          <w:szCs w:val="24"/>
        </w:rPr>
      </w:pPr>
      <w:bookmarkStart w:id="250" w:name="_bookmark42"/>
      <w:bookmarkEnd w:id="250"/>
      <w:bookmarkStart w:id="251" w:name="_Toc425892246"/>
      <w:bookmarkStart w:id="252" w:name="_Toc26816"/>
      <w:bookmarkStart w:id="253" w:name="_Toc498350118"/>
      <w:r>
        <w:rPr>
          <w:rFonts w:ascii="Times New Roman" w:hAnsi="Times New Roman" w:cs="Times New Roman" w:eastAsiaTheme="minorEastAsia"/>
          <w:sz w:val="24"/>
          <w:szCs w:val="24"/>
        </w:rPr>
        <w:t>3.2.5知识库</w:t>
      </w:r>
      <w:bookmarkEnd w:id="251"/>
      <w:r>
        <w:rPr>
          <w:rFonts w:ascii="Times New Roman" w:hAnsi="Times New Roman" w:cs="Times New Roman" w:eastAsiaTheme="minorEastAsia"/>
          <w:sz w:val="24"/>
          <w:szCs w:val="24"/>
        </w:rPr>
        <w:t>的建设</w:t>
      </w:r>
      <w:bookmarkEnd w:id="252"/>
      <w:bookmarkEnd w:id="253"/>
    </w:p>
    <w:p w14:paraId="2A90006A">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成交供应商在知识库的建立过程中，业务上需要严格控制知识文档的质量，使知识库成为业务实施的必备工具。</w:t>
      </w:r>
    </w:p>
    <w:p w14:paraId="7FA4BD39">
      <w:pPr>
        <w:spacing w:line="380" w:lineRule="exact"/>
        <w:ind w:firstLine="480" w:firstLineChars="200"/>
        <w:rPr>
          <w:rFonts w:ascii="Times New Roman" w:hAnsi="Times New Roman" w:cs="Times New Roman" w:eastAsiaTheme="minorEastAsia"/>
          <w:sz w:val="24"/>
          <w:szCs w:val="24"/>
        </w:rPr>
      </w:pPr>
      <w:bookmarkStart w:id="254" w:name="_bookmark44"/>
      <w:bookmarkEnd w:id="254"/>
      <w:bookmarkStart w:id="255" w:name="_bookmark43"/>
      <w:bookmarkEnd w:id="255"/>
      <w:bookmarkStart w:id="256" w:name="_bookmark45"/>
      <w:bookmarkEnd w:id="256"/>
      <w:bookmarkStart w:id="257" w:name="_Toc425892248"/>
      <w:bookmarkStart w:id="258" w:name="_Toc498350119"/>
      <w:bookmarkStart w:id="259" w:name="_Toc225"/>
      <w:r>
        <w:rPr>
          <w:rFonts w:ascii="Times New Roman" w:hAnsi="Times New Roman" w:cs="Times New Roman" w:eastAsiaTheme="minorEastAsia"/>
          <w:sz w:val="24"/>
          <w:szCs w:val="24"/>
        </w:rPr>
        <w:t>3.2.6信息安全保障机制</w:t>
      </w:r>
      <w:bookmarkEnd w:id="257"/>
      <w:r>
        <w:rPr>
          <w:rFonts w:ascii="Times New Roman" w:hAnsi="Times New Roman" w:cs="Times New Roman" w:eastAsiaTheme="minorEastAsia"/>
          <w:sz w:val="24"/>
          <w:szCs w:val="24"/>
        </w:rPr>
        <w:t>的建设</w:t>
      </w:r>
      <w:bookmarkEnd w:id="258"/>
      <w:bookmarkEnd w:id="259"/>
    </w:p>
    <w:p w14:paraId="575A9A4B">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成交供应商须提高信息安全、加强内部管理、实现对外承诺，增加采购人满意度及核心竞争能力。通过建立标准的管理体系和运行模式来保障采购人信息的安全。投标人须提出明确的信息安全方针，完善信息安全策略，制定安全检查标准。</w:t>
      </w:r>
    </w:p>
    <w:p w14:paraId="56DB68CD">
      <w:pPr>
        <w:keepNext/>
        <w:keepLines/>
        <w:spacing w:line="380" w:lineRule="exact"/>
        <w:ind w:firstLine="482" w:firstLineChars="200"/>
        <w:rPr>
          <w:rFonts w:ascii="Times New Roman" w:hAnsi="Times New Roman" w:cs="Times New Roman" w:eastAsiaTheme="minorEastAsia"/>
          <w:b/>
          <w:bCs/>
          <w:kern w:val="0"/>
          <w:sz w:val="24"/>
          <w:szCs w:val="24"/>
          <w:lang w:val="zh-CN"/>
        </w:rPr>
      </w:pPr>
      <w:bookmarkStart w:id="260" w:name="_Toc29329"/>
      <w:bookmarkStart w:id="261" w:name="_Toc423340589"/>
      <w:bookmarkStart w:id="262" w:name="_Toc425892249"/>
      <w:bookmarkStart w:id="263" w:name="_Toc498350120"/>
      <w:bookmarkStart w:id="264" w:name="_Toc422836433"/>
      <w:r>
        <w:rPr>
          <w:rFonts w:ascii="Times New Roman" w:hAnsi="Times New Roman" w:cs="Times New Roman" w:eastAsiaTheme="minorEastAsia"/>
          <w:b/>
          <w:bCs/>
          <w:kern w:val="0"/>
          <w:sz w:val="24"/>
          <w:szCs w:val="24"/>
        </w:rPr>
        <w:t>4</w:t>
      </w:r>
      <w:r>
        <w:rPr>
          <w:rFonts w:ascii="Times New Roman" w:hAnsi="Times New Roman" w:cs="Times New Roman" w:eastAsiaTheme="minorEastAsia"/>
          <w:b/>
          <w:bCs/>
          <w:kern w:val="0"/>
          <w:sz w:val="24"/>
          <w:szCs w:val="24"/>
          <w:lang w:val="zh-CN"/>
        </w:rPr>
        <w:t>.咨询培训服务</w:t>
      </w:r>
      <w:bookmarkEnd w:id="260"/>
      <w:bookmarkEnd w:id="261"/>
      <w:bookmarkEnd w:id="262"/>
      <w:bookmarkEnd w:id="263"/>
      <w:bookmarkEnd w:id="264"/>
    </w:p>
    <w:p w14:paraId="2DAB97E3">
      <w:pPr>
        <w:keepNext/>
        <w:keepLines/>
        <w:spacing w:line="380" w:lineRule="exact"/>
        <w:ind w:firstLine="482" w:firstLineChars="200"/>
        <w:rPr>
          <w:rFonts w:ascii="Times New Roman" w:hAnsi="Times New Roman" w:cs="Times New Roman" w:eastAsiaTheme="minorEastAsia"/>
          <w:b/>
          <w:bCs/>
          <w:kern w:val="0"/>
          <w:sz w:val="24"/>
          <w:szCs w:val="24"/>
          <w:lang w:val="zh-CN"/>
        </w:rPr>
      </w:pPr>
      <w:bookmarkStart w:id="265" w:name="_Toc498350121"/>
      <w:bookmarkStart w:id="266" w:name="_Toc31545"/>
      <w:r>
        <w:rPr>
          <w:rFonts w:ascii="Times New Roman" w:hAnsi="Times New Roman" w:cs="Times New Roman" w:eastAsiaTheme="minorEastAsia"/>
          <w:b/>
          <w:bCs/>
          <w:kern w:val="0"/>
          <w:sz w:val="24"/>
          <w:szCs w:val="24"/>
        </w:rPr>
        <w:t>4</w:t>
      </w:r>
      <w:r>
        <w:rPr>
          <w:rFonts w:ascii="Times New Roman" w:hAnsi="Times New Roman" w:cs="Times New Roman" w:eastAsiaTheme="minorEastAsia"/>
          <w:b/>
          <w:bCs/>
          <w:kern w:val="0"/>
          <w:sz w:val="24"/>
          <w:szCs w:val="24"/>
          <w:lang w:val="zh-CN"/>
        </w:rPr>
        <w:t>.1咨询服务</w:t>
      </w:r>
      <w:bookmarkEnd w:id="265"/>
      <w:bookmarkEnd w:id="266"/>
    </w:p>
    <w:p w14:paraId="77EEC57D">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成交供应商须根据系统运行情况和预期任务，对淮水北调工程调度运行中心及省管泵站中控室运维服务项目的发展提供专业建议和咨询，为采购人提供资源优化建议，配合淮水北调工程运行管理实施中长期发展目标。</w:t>
      </w:r>
    </w:p>
    <w:p w14:paraId="58879BD3">
      <w:pPr>
        <w:spacing w:line="380" w:lineRule="exact"/>
        <w:ind w:firstLine="480" w:firstLineChars="200"/>
        <w:rPr>
          <w:rFonts w:ascii="Times New Roman" w:hAnsi="Times New Roman" w:cs="Times New Roman" w:eastAsiaTheme="minorEastAsia"/>
          <w:sz w:val="24"/>
          <w:szCs w:val="24"/>
        </w:rPr>
      </w:pPr>
      <w:bookmarkStart w:id="267" w:name="_Toc425892250"/>
      <w:bookmarkStart w:id="268" w:name="_Toc362101693"/>
      <w:bookmarkStart w:id="269" w:name="_Toc25671"/>
      <w:bookmarkStart w:id="270" w:name="_Toc498350122"/>
      <w:r>
        <w:rPr>
          <w:rFonts w:ascii="Times New Roman" w:hAnsi="Times New Roman" w:cs="Times New Roman" w:eastAsiaTheme="minorEastAsia"/>
          <w:sz w:val="24"/>
          <w:szCs w:val="24"/>
        </w:rPr>
        <w:t>4.1.2成立咨询服务团队</w:t>
      </w:r>
      <w:bookmarkEnd w:id="267"/>
      <w:bookmarkEnd w:id="268"/>
      <w:bookmarkEnd w:id="269"/>
      <w:bookmarkEnd w:id="270"/>
    </w:p>
    <w:p w14:paraId="16B4BA30">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成交供应商须为本项目建立3人的咨询团队，由专家和资深技术人员组成</w:t>
      </w:r>
      <w:bookmarkStart w:id="271" w:name="_Toc362101694"/>
      <w:bookmarkStart w:id="272" w:name="_Toc425892251"/>
      <w:r>
        <w:rPr>
          <w:rFonts w:ascii="Times New Roman" w:hAnsi="Times New Roman" w:cs="Times New Roman" w:eastAsiaTheme="minorEastAsia"/>
          <w:sz w:val="24"/>
          <w:szCs w:val="24"/>
        </w:rPr>
        <w:t>。咨询团队人员需具备本投标设计的相应资质。</w:t>
      </w:r>
    </w:p>
    <w:p w14:paraId="039B3E55">
      <w:pPr>
        <w:spacing w:line="380" w:lineRule="exact"/>
        <w:ind w:firstLine="480" w:firstLineChars="200"/>
        <w:rPr>
          <w:rFonts w:ascii="Times New Roman" w:hAnsi="Times New Roman" w:cs="Times New Roman" w:eastAsiaTheme="minorEastAsia"/>
          <w:sz w:val="24"/>
          <w:szCs w:val="24"/>
        </w:rPr>
      </w:pPr>
      <w:bookmarkStart w:id="273" w:name="_Toc2944"/>
      <w:bookmarkStart w:id="274" w:name="_Toc498350123"/>
      <w:r>
        <w:rPr>
          <w:rFonts w:ascii="Times New Roman" w:hAnsi="Times New Roman" w:cs="Times New Roman" w:eastAsiaTheme="minorEastAsia"/>
          <w:sz w:val="24"/>
          <w:szCs w:val="24"/>
        </w:rPr>
        <w:t>4.1.3明确咨询服务项目</w:t>
      </w:r>
      <w:bookmarkEnd w:id="271"/>
      <w:bookmarkEnd w:id="272"/>
      <w:bookmarkEnd w:id="273"/>
      <w:bookmarkEnd w:id="274"/>
    </w:p>
    <w:p w14:paraId="7231FAB9">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成交供应商须针对本项目提供明确的咨询服务项目。</w:t>
      </w:r>
    </w:p>
    <w:p w14:paraId="07037621">
      <w:pPr>
        <w:keepNext/>
        <w:keepLines/>
        <w:spacing w:line="380" w:lineRule="exact"/>
        <w:ind w:firstLine="482" w:firstLineChars="200"/>
        <w:rPr>
          <w:rFonts w:ascii="Times New Roman" w:hAnsi="Times New Roman" w:cs="Times New Roman" w:eastAsiaTheme="minorEastAsia"/>
          <w:b/>
          <w:bCs/>
          <w:kern w:val="0"/>
          <w:sz w:val="24"/>
          <w:szCs w:val="24"/>
          <w:lang w:val="zh-CN"/>
        </w:rPr>
      </w:pPr>
      <w:bookmarkStart w:id="275" w:name="_Toc425892252"/>
      <w:bookmarkStart w:id="276" w:name="_Toc27737"/>
      <w:bookmarkStart w:id="277" w:name="_Toc422836435"/>
      <w:bookmarkStart w:id="278" w:name="_Toc423340591"/>
      <w:bookmarkStart w:id="279" w:name="_Toc498350124"/>
      <w:r>
        <w:rPr>
          <w:rFonts w:ascii="Times New Roman" w:hAnsi="Times New Roman" w:cs="Times New Roman" w:eastAsiaTheme="minorEastAsia"/>
          <w:b/>
          <w:bCs/>
          <w:kern w:val="0"/>
          <w:sz w:val="24"/>
          <w:szCs w:val="24"/>
        </w:rPr>
        <w:t>4</w:t>
      </w:r>
      <w:r>
        <w:rPr>
          <w:rFonts w:ascii="Times New Roman" w:hAnsi="Times New Roman" w:cs="Times New Roman" w:eastAsiaTheme="minorEastAsia"/>
          <w:b/>
          <w:bCs/>
          <w:kern w:val="0"/>
          <w:sz w:val="24"/>
          <w:szCs w:val="24"/>
          <w:lang w:val="zh-CN"/>
        </w:rPr>
        <w:t>.2培训服务</w:t>
      </w:r>
      <w:bookmarkEnd w:id="275"/>
      <w:bookmarkEnd w:id="276"/>
      <w:bookmarkEnd w:id="277"/>
      <w:bookmarkEnd w:id="278"/>
      <w:bookmarkEnd w:id="279"/>
    </w:p>
    <w:p w14:paraId="5AB2F8F7">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成交供应商在运维服务地提供不少于10人次的技术培训，提供与本项目相关的全面的技术支持与专业认证培训，提升用户人员的技术水平，确保用户人员可熟练掌握日常维护及PLC自动化、信息系统平台技术。培训服务费用由成交供应商承担。</w:t>
      </w:r>
    </w:p>
    <w:p w14:paraId="18DD531F">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45.2.1培训目的</w:t>
      </w:r>
    </w:p>
    <w:p w14:paraId="128FCFD3">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在项目实施过程中，本着全面共享知识与经验的宗旨，除贯穿实施全过程的用户传帮带外，对采购人的业务办公人员和技术人员提供分层次的培训，以便对工程实施进行有效的管理，同时保证工程验收移交后，采购人能够胜任系统的全部运行、操作、维护、故障分析处理等工作。</w:t>
      </w:r>
    </w:p>
    <w:p w14:paraId="2E0266E7">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通过对采购人技术人员的培训，使采购人能够切实理解和掌握系统各种基础知识、熟练管理以及维护操作，保证系统能够正常运转，并得到优化的执行。</w:t>
      </w:r>
    </w:p>
    <w:p w14:paraId="2CC1F88E">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通过对业务办公人员的操作培训，使其熟练使用系统，充分发挥系统的作用。</w:t>
      </w:r>
    </w:p>
    <w:p w14:paraId="33F2E7B6">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4.2.2培训方式</w:t>
      </w:r>
    </w:p>
    <w:p w14:paraId="583A8E73">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培训方式采用集中培训，现场培训，热线支持等相结合的方式，针对不同层次的人员，开设不同的培训课程。</w:t>
      </w:r>
    </w:p>
    <w:p w14:paraId="7DA36A52">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4.2.2.1集中培训方式</w:t>
      </w:r>
    </w:p>
    <w:p w14:paraId="5F34CDE3">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成交供应商需提供不少于1次/年、且不少于10人次的集中技术培训。分别针对系统维护人员和系统使用人员，开设集中培训课程。重点是系统技术人员和业务办公人员，采用集中授课的方式，进行培训。成交供应商负责提供讲师及教材，会议室及参加培训人员食宿由采购人负责提供。</w:t>
      </w:r>
    </w:p>
    <w:p w14:paraId="21DC1D55">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4.2.2.2现场培训方式</w:t>
      </w:r>
    </w:p>
    <w:p w14:paraId="01CB990E">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通过面对面的单独讲解的方式，使得业务办公人员、技术人员能够更深层次的掌握系统的使用、维护以及各种日常操作等。特别是针对系统的安装、调试和排错等内容进行现场指导培训，往往比授课讲解的方式更容易让学员记忆、理解和掌握。在项目实施过程中，用户技术人员可以在培训教师的指导下，对系统进行实际地安装、调试和故障排除，在基础理论培训的基础上，为以后的系统维护工作打下良好的基础。</w:t>
      </w:r>
    </w:p>
    <w:p w14:paraId="123384FF">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4.2.2.3培训对象</w:t>
      </w:r>
    </w:p>
    <w:p w14:paraId="0A63E4E7">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培训的对象包括采购人的下列人员：a、采购人系统相关业务办公人员；b、采购人系统相关技术人员；c、采购人其它相关人员。</w:t>
      </w:r>
    </w:p>
    <w:p w14:paraId="2FFADCF7">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4.2.2.4培训师资</w:t>
      </w:r>
    </w:p>
    <w:p w14:paraId="697D5BC0">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根据不同的培训内容，由成交供应商配备相应的培训教师。为了保证培训的深度和层次，由具有下面背景的专业人员提供培训服务。</w:t>
      </w:r>
    </w:p>
    <w:tbl>
      <w:tblPr>
        <w:tblStyle w:val="24"/>
        <w:tblW w:w="85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9"/>
        <w:gridCol w:w="7109"/>
      </w:tblGrid>
      <w:tr w14:paraId="6F0D6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419" w:type="dxa"/>
            <w:vAlign w:val="center"/>
          </w:tcPr>
          <w:p w14:paraId="171B5ABB">
            <w:pPr>
              <w:spacing w:line="240" w:lineRule="exact"/>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教师</w:t>
            </w:r>
          </w:p>
        </w:tc>
        <w:tc>
          <w:tcPr>
            <w:tcW w:w="7109" w:type="dxa"/>
            <w:vAlign w:val="center"/>
          </w:tcPr>
          <w:p w14:paraId="78BDDA91">
            <w:pPr>
              <w:spacing w:line="240" w:lineRule="exact"/>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职责</w:t>
            </w:r>
          </w:p>
        </w:tc>
      </w:tr>
      <w:tr w14:paraId="097AB4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419" w:type="dxa"/>
            <w:vAlign w:val="center"/>
          </w:tcPr>
          <w:p w14:paraId="0EDD5F7D">
            <w:pPr>
              <w:spacing w:line="240" w:lineRule="exact"/>
              <w:rPr>
                <w:rFonts w:ascii="Times New Roman" w:hAnsi="Times New Roman" w:cs="Times New Roman" w:eastAsiaTheme="minorEastAsia"/>
                <w:sz w:val="24"/>
                <w:szCs w:val="24"/>
              </w:rPr>
            </w:pPr>
            <w:r>
              <w:rPr>
                <w:rFonts w:ascii="Times New Roman" w:hAnsi="Times New Roman" w:cs="Times New Roman" w:eastAsiaTheme="minorEastAsia"/>
                <w:sz w:val="24"/>
                <w:szCs w:val="24"/>
              </w:rPr>
              <w:t>资深工程师</w:t>
            </w:r>
          </w:p>
        </w:tc>
        <w:tc>
          <w:tcPr>
            <w:tcW w:w="7109" w:type="dxa"/>
          </w:tcPr>
          <w:p w14:paraId="623D0E1F">
            <w:pPr>
              <w:spacing w:line="240" w:lineRule="exact"/>
              <w:rPr>
                <w:rFonts w:ascii="Times New Roman" w:hAnsi="Times New Roman" w:cs="Times New Roman" w:eastAsiaTheme="minorEastAsia"/>
                <w:sz w:val="24"/>
                <w:szCs w:val="24"/>
              </w:rPr>
            </w:pPr>
            <w:r>
              <w:rPr>
                <w:rFonts w:ascii="Times New Roman" w:hAnsi="Times New Roman" w:cs="Times New Roman" w:eastAsiaTheme="minorEastAsia"/>
                <w:sz w:val="24"/>
                <w:szCs w:val="24"/>
              </w:rPr>
              <w:t>具有深厚理论基础及实际工作经验的技术专家，提供高层次的咨询。</w:t>
            </w:r>
          </w:p>
        </w:tc>
      </w:tr>
      <w:tr w14:paraId="42864B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3" w:hRule="atLeast"/>
          <w:jc w:val="center"/>
        </w:trPr>
        <w:tc>
          <w:tcPr>
            <w:tcW w:w="1419" w:type="dxa"/>
            <w:vAlign w:val="center"/>
          </w:tcPr>
          <w:p w14:paraId="39AD49F3">
            <w:pPr>
              <w:spacing w:line="240" w:lineRule="exact"/>
              <w:rPr>
                <w:rFonts w:ascii="Times New Roman" w:hAnsi="Times New Roman" w:cs="Times New Roman" w:eastAsiaTheme="minorEastAsia"/>
                <w:sz w:val="24"/>
                <w:szCs w:val="24"/>
              </w:rPr>
            </w:pPr>
            <w:r>
              <w:rPr>
                <w:rFonts w:ascii="Times New Roman" w:hAnsi="Times New Roman" w:cs="Times New Roman" w:eastAsiaTheme="minorEastAsia"/>
                <w:sz w:val="24"/>
                <w:szCs w:val="24"/>
              </w:rPr>
              <w:t>高级工程师</w:t>
            </w:r>
          </w:p>
        </w:tc>
        <w:tc>
          <w:tcPr>
            <w:tcW w:w="7109" w:type="dxa"/>
          </w:tcPr>
          <w:p w14:paraId="6E188605">
            <w:pPr>
              <w:spacing w:line="240" w:lineRule="exact"/>
              <w:rPr>
                <w:rFonts w:ascii="Times New Roman" w:hAnsi="Times New Roman" w:cs="Times New Roman" w:eastAsiaTheme="minorEastAsia"/>
                <w:sz w:val="24"/>
                <w:szCs w:val="24"/>
              </w:rPr>
            </w:pPr>
            <w:r>
              <w:rPr>
                <w:rFonts w:ascii="Times New Roman" w:hAnsi="Times New Roman" w:cs="Times New Roman" w:eastAsiaTheme="minorEastAsia"/>
                <w:sz w:val="24"/>
                <w:szCs w:val="24"/>
              </w:rPr>
              <w:t>作为团队领导，对整个过程完整把握，具有丰富的实施经验。</w:t>
            </w:r>
          </w:p>
        </w:tc>
      </w:tr>
      <w:tr w14:paraId="2C921D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3" w:hRule="atLeast"/>
          <w:jc w:val="center"/>
        </w:trPr>
        <w:tc>
          <w:tcPr>
            <w:tcW w:w="1419" w:type="dxa"/>
            <w:vAlign w:val="center"/>
          </w:tcPr>
          <w:p w14:paraId="0C046CBC">
            <w:pPr>
              <w:spacing w:line="240" w:lineRule="exact"/>
              <w:rPr>
                <w:rFonts w:ascii="Times New Roman" w:hAnsi="Times New Roman" w:cs="Times New Roman" w:eastAsiaTheme="minorEastAsia"/>
                <w:sz w:val="24"/>
                <w:szCs w:val="24"/>
              </w:rPr>
            </w:pPr>
            <w:r>
              <w:rPr>
                <w:rFonts w:ascii="Times New Roman" w:hAnsi="Times New Roman" w:cs="Times New Roman" w:eastAsiaTheme="minorEastAsia"/>
                <w:sz w:val="24"/>
                <w:szCs w:val="24"/>
              </w:rPr>
              <w:t>工程师</w:t>
            </w:r>
          </w:p>
        </w:tc>
        <w:tc>
          <w:tcPr>
            <w:tcW w:w="7109" w:type="dxa"/>
          </w:tcPr>
          <w:p w14:paraId="7A4C8E61">
            <w:pPr>
              <w:spacing w:line="240" w:lineRule="exact"/>
              <w:rPr>
                <w:rFonts w:ascii="Times New Roman" w:hAnsi="Times New Roman" w:cs="Times New Roman" w:eastAsiaTheme="minorEastAsia"/>
                <w:sz w:val="24"/>
                <w:szCs w:val="24"/>
              </w:rPr>
            </w:pPr>
            <w:r>
              <w:rPr>
                <w:rFonts w:ascii="Times New Roman" w:hAnsi="Times New Roman" w:cs="Times New Roman" w:eastAsiaTheme="minorEastAsia"/>
                <w:sz w:val="24"/>
                <w:szCs w:val="24"/>
              </w:rPr>
              <w:t>参与项目的成员。</w:t>
            </w:r>
          </w:p>
        </w:tc>
      </w:tr>
      <w:tr w14:paraId="2D9C14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3" w:hRule="atLeast"/>
          <w:jc w:val="center"/>
        </w:trPr>
        <w:tc>
          <w:tcPr>
            <w:tcW w:w="1419" w:type="dxa"/>
            <w:vAlign w:val="center"/>
          </w:tcPr>
          <w:p w14:paraId="383376BE">
            <w:pPr>
              <w:spacing w:line="240" w:lineRule="exact"/>
              <w:rPr>
                <w:rFonts w:ascii="Times New Roman" w:hAnsi="Times New Roman" w:cs="Times New Roman" w:eastAsiaTheme="minorEastAsia"/>
                <w:sz w:val="24"/>
                <w:szCs w:val="24"/>
              </w:rPr>
            </w:pPr>
            <w:r>
              <w:rPr>
                <w:rFonts w:ascii="Times New Roman" w:hAnsi="Times New Roman" w:cs="Times New Roman" w:eastAsiaTheme="minorEastAsia"/>
                <w:sz w:val="24"/>
                <w:szCs w:val="24"/>
              </w:rPr>
              <w:t>专业讲师</w:t>
            </w:r>
          </w:p>
        </w:tc>
        <w:tc>
          <w:tcPr>
            <w:tcW w:w="7109" w:type="dxa"/>
          </w:tcPr>
          <w:p w14:paraId="545CBF7E">
            <w:pPr>
              <w:spacing w:line="240" w:lineRule="exact"/>
              <w:rPr>
                <w:rFonts w:ascii="Times New Roman" w:hAnsi="Times New Roman" w:cs="Times New Roman" w:eastAsiaTheme="minorEastAsia"/>
                <w:sz w:val="24"/>
                <w:szCs w:val="24"/>
              </w:rPr>
            </w:pPr>
            <w:r>
              <w:rPr>
                <w:rFonts w:ascii="Times New Roman" w:hAnsi="Times New Roman" w:cs="Times New Roman" w:eastAsiaTheme="minorEastAsia"/>
                <w:sz w:val="24"/>
                <w:szCs w:val="24"/>
              </w:rPr>
              <w:t>具有不同产品或技术认证资格的专业讲师</w:t>
            </w:r>
          </w:p>
        </w:tc>
      </w:tr>
    </w:tbl>
    <w:p w14:paraId="3A154A04">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4.2.2.5培训教材</w:t>
      </w:r>
    </w:p>
    <w:p w14:paraId="2214A651">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1）系统设计方案。2）系统使用手册。3）系统安装、维护手册。4）各类软件产品技术手册。5）各类软件产品使用手册。</w:t>
      </w:r>
    </w:p>
    <w:p w14:paraId="2737D589">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4.2.2.6培训内容</w:t>
      </w:r>
    </w:p>
    <w:p w14:paraId="23315822">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根据本项目的实际情况，成交供应商为采购人提供以下的培训，包括：</w:t>
      </w:r>
    </w:p>
    <w:p w14:paraId="3FD92EF2">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1）系统培训。对系统应用模块的日常维护、监控管理、操作的培训。向采购人提供详细的日常维护方法和工作流程，为全体技术人员提供培训，能熟练完成日常使用维护。</w:t>
      </w:r>
    </w:p>
    <w:p w14:paraId="785060B2">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系统使用和操作培训。对整个系统及各个应用的操作、访问和使用，针对不同应用的不同用户群体，不同的权限组和用户级别应用提供详细的操作和使用培训，提供详细的日常维护方法和工作流程。对采购人所有用户提供培训，使其能熟练使用系统。</w:t>
      </w:r>
    </w:p>
    <w:p w14:paraId="1D29B6AE">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3）业务管理培训。针对与系统相关的各种部门之间的工作流程，制定工作流程制度，并提供相关培训。</w:t>
      </w:r>
    </w:p>
    <w:p w14:paraId="4A606988">
      <w:pPr>
        <w:autoSpaceDE w:val="0"/>
        <w:autoSpaceDN w:val="0"/>
        <w:adjustRightInd w:val="0"/>
        <w:spacing w:line="360" w:lineRule="auto"/>
        <w:ind w:firstLine="482"/>
        <w:jc w:val="left"/>
        <w:outlineLvl w:val="1"/>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（二） 安徽省淮水北调工程水质监测系统设备运维服务</w:t>
      </w:r>
    </w:p>
    <w:p w14:paraId="7FFE05B5">
      <w:pPr>
        <w:keepNext/>
        <w:keepLines/>
        <w:spacing w:line="360" w:lineRule="auto"/>
        <w:ind w:firstLine="482"/>
        <w:rPr>
          <w:rFonts w:ascii="Times New Roman" w:hAnsi="Times New Roman" w:cs="Times New Roman" w:eastAsiaTheme="minorEastAsia"/>
          <w:b/>
          <w:bCs/>
          <w:kern w:val="0"/>
          <w:sz w:val="24"/>
          <w:szCs w:val="24"/>
          <w:lang w:val="zh-CN"/>
        </w:rPr>
      </w:pPr>
      <w:r>
        <w:rPr>
          <w:rFonts w:ascii="Times New Roman" w:hAnsi="Times New Roman" w:cs="Times New Roman" w:eastAsiaTheme="minorEastAsia"/>
          <w:b/>
          <w:bCs/>
          <w:kern w:val="0"/>
          <w:sz w:val="24"/>
          <w:szCs w:val="24"/>
          <w:lang w:val="zh-CN"/>
        </w:rPr>
        <w:t>1.项目概况</w:t>
      </w:r>
    </w:p>
    <w:p w14:paraId="4A24E4D7">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安徽省淮水北调工程在调水沿线五河站、何巷闸、固镇站、南沱河地下涵、四铺站、贾窝站6个重要节点设置水质自动在线监测站点，对水质进行监测和信息采集，并进行实时数据上传和短期数据保存。淮水北调工程水质监测系统的建设初步具备了对调水工程主要控制节点的实时监控能力和对重要水体污染事故的预警能力，在调水水质安全保障方面发挥着重要作用。本次采购6个水质自动监测站及调度中心水质监测系统2026年度运行维护服务，及</w:t>
      </w:r>
      <w:r>
        <w:rPr>
          <w:rFonts w:hint="eastAsia" w:ascii="Times New Roman" w:hAnsi="Times New Roman" w:cs="Times New Roman" w:eastAsiaTheme="minorEastAsia"/>
          <w:sz w:val="24"/>
          <w:szCs w:val="24"/>
        </w:rPr>
        <w:t>何巷、四铺</w:t>
      </w:r>
      <w:r>
        <w:rPr>
          <w:rFonts w:ascii="Times New Roman" w:hAnsi="Times New Roman" w:cs="Times New Roman" w:eastAsiaTheme="minorEastAsia"/>
          <w:sz w:val="24"/>
          <w:szCs w:val="24"/>
        </w:rPr>
        <w:t>水质站的部分参数水质分析设备的更新改造。</w:t>
      </w:r>
    </w:p>
    <w:p w14:paraId="4FB65F56">
      <w:pPr>
        <w:keepNext/>
        <w:keepLines/>
        <w:spacing w:line="360" w:lineRule="auto"/>
        <w:ind w:firstLine="482"/>
        <w:rPr>
          <w:rFonts w:ascii="Times New Roman" w:hAnsi="Times New Roman" w:cs="Times New Roman" w:eastAsiaTheme="minorEastAsia"/>
          <w:b/>
          <w:bCs/>
          <w:kern w:val="0"/>
          <w:sz w:val="24"/>
          <w:szCs w:val="24"/>
          <w:lang w:val="zh-CN"/>
        </w:rPr>
      </w:pPr>
      <w:r>
        <w:rPr>
          <w:rFonts w:ascii="Times New Roman" w:hAnsi="Times New Roman" w:cs="Times New Roman" w:eastAsiaTheme="minorEastAsia"/>
          <w:b/>
          <w:bCs/>
          <w:kern w:val="0"/>
          <w:sz w:val="24"/>
          <w:szCs w:val="24"/>
          <w:lang w:val="zh-CN"/>
        </w:rPr>
        <w:t>2. 水质自动监测站及调度中心水质监测系统运行维护</w:t>
      </w:r>
    </w:p>
    <w:p w14:paraId="202E8A69">
      <w:pPr>
        <w:keepNext/>
        <w:keepLines/>
        <w:ind w:right="210" w:rightChars="100" w:firstLine="482"/>
        <w:rPr>
          <w:rFonts w:ascii="Times New Roman" w:hAnsi="Times New Roman" w:cs="Times New Roman" w:eastAsiaTheme="minorEastAsia"/>
          <w:b/>
          <w:bCs/>
          <w:kern w:val="0"/>
          <w:sz w:val="24"/>
          <w:szCs w:val="24"/>
          <w:lang w:val="zh-CN"/>
        </w:rPr>
      </w:pPr>
      <w:r>
        <w:rPr>
          <w:rFonts w:ascii="Times New Roman" w:hAnsi="Times New Roman" w:cs="Times New Roman" w:eastAsiaTheme="minorEastAsia"/>
          <w:b/>
          <w:bCs/>
          <w:kern w:val="0"/>
          <w:sz w:val="24"/>
          <w:szCs w:val="24"/>
          <w:lang w:val="zh-CN"/>
        </w:rPr>
        <w:t>2.1 采购需求</w:t>
      </w:r>
    </w:p>
    <w:p w14:paraId="65A8188C">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成交供应商是水站数据质量的第一责任人，要保证水质监测系统（包括水站）连续稳定运行、数据准确、记录完整。</w:t>
      </w:r>
    </w:p>
    <w:p w14:paraId="58E642F9">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成交供应商负责调度中心水质系统软硬件、各水站仪器设备以及整个站点的日常维护、故障维修和年度检修，负责入库与发布数据的审核、周报的制作；同时负责水站站房、采水系统、供水供电通讯等基础设施的日常检修维护，为水站站房、监测仪器和其他配套设施等的安全提供保障。如遇水电通讯条件无法满足运维需要，站房采水等基础设施出现无法解决的重大问题时，可提请采购人协调解决。</w:t>
      </w:r>
    </w:p>
    <w:p w14:paraId="2AF0B1FC">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2.运维期间，如遇采购人为水站更换或新增仪器，成交供应商要配合仪器供应公司做好新仪器的安装调试、试运行等验收前准备工作，以及数据接入系统和后续的运行维护工作。</w:t>
      </w:r>
    </w:p>
    <w:p w14:paraId="0D001F67">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3.成交供应商要积极主动联系水站设备生产厂家和建设施工单位学习运行维护技术，接受采购人对水站运维质量的监督检查。</w:t>
      </w:r>
    </w:p>
    <w:p w14:paraId="62AD295F">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目前水站配置的仪器型号、生产厂家和6个水站基本情况见下表。</w:t>
      </w:r>
    </w:p>
    <w:p w14:paraId="31BDB47C">
      <w:pPr>
        <w:spacing w:beforeLines="50"/>
        <w:ind w:firstLine="482"/>
        <w:jc w:val="center"/>
        <w:rPr>
          <w:rFonts w:ascii="Times New Roman" w:hAnsi="Times New Roman" w:cs="Times New Roman" w:eastAsiaTheme="minorEastAsia"/>
          <w:b/>
          <w:color w:val="000000"/>
          <w:kern w:val="0"/>
          <w:sz w:val="24"/>
          <w:szCs w:val="24"/>
        </w:rPr>
      </w:pPr>
      <w:r>
        <w:rPr>
          <w:rFonts w:ascii="Times New Roman" w:hAnsi="Times New Roman" w:cs="Times New Roman" w:eastAsiaTheme="minorEastAsia"/>
          <w:b/>
          <w:color w:val="000000"/>
          <w:kern w:val="0"/>
          <w:sz w:val="24"/>
          <w:szCs w:val="24"/>
        </w:rPr>
        <w:t>水站仪器设备配置情况表</w:t>
      </w:r>
    </w:p>
    <w:tbl>
      <w:tblPr>
        <w:tblStyle w:val="24"/>
        <w:tblW w:w="8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2531"/>
        <w:gridCol w:w="3254"/>
        <w:gridCol w:w="1169"/>
        <w:gridCol w:w="727"/>
      </w:tblGrid>
      <w:tr w14:paraId="0FEDA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3" w:type="dxa"/>
            <w:vAlign w:val="center"/>
          </w:tcPr>
          <w:p w14:paraId="3EE5B6B3">
            <w:pPr>
              <w:autoSpaceDE w:val="0"/>
              <w:autoSpaceDN w:val="0"/>
              <w:spacing w:line="240" w:lineRule="exact"/>
              <w:jc w:val="center"/>
              <w:rPr>
                <w:rFonts w:ascii="Times New Roman" w:hAnsi="Times New Roman" w:cs="Times New Roman" w:eastAsiaTheme="minorEastAsia"/>
                <w:b/>
                <w:color w:val="000000"/>
                <w:kern w:val="0"/>
                <w:szCs w:val="21"/>
              </w:rPr>
            </w:pPr>
            <w:r>
              <w:rPr>
                <w:rFonts w:ascii="Times New Roman" w:hAnsi="Times New Roman" w:cs="Times New Roman" w:eastAsiaTheme="minorEastAsia"/>
                <w:b/>
                <w:color w:val="000000"/>
                <w:kern w:val="0"/>
                <w:szCs w:val="21"/>
              </w:rPr>
              <w:t>序号</w:t>
            </w:r>
          </w:p>
        </w:tc>
        <w:tc>
          <w:tcPr>
            <w:tcW w:w="2531" w:type="dxa"/>
            <w:vAlign w:val="center"/>
          </w:tcPr>
          <w:p w14:paraId="5E842098">
            <w:pPr>
              <w:autoSpaceDE w:val="0"/>
              <w:autoSpaceDN w:val="0"/>
              <w:spacing w:line="240" w:lineRule="exact"/>
              <w:jc w:val="center"/>
              <w:rPr>
                <w:rFonts w:ascii="Times New Roman" w:hAnsi="Times New Roman" w:cs="Times New Roman" w:eastAsiaTheme="minorEastAsia"/>
                <w:b/>
                <w:color w:val="000000"/>
                <w:kern w:val="0"/>
                <w:szCs w:val="21"/>
              </w:rPr>
            </w:pPr>
            <w:r>
              <w:rPr>
                <w:rFonts w:ascii="Times New Roman" w:hAnsi="Times New Roman" w:cs="Times New Roman" w:eastAsiaTheme="minorEastAsia"/>
                <w:b/>
                <w:color w:val="000000"/>
                <w:kern w:val="0"/>
                <w:szCs w:val="21"/>
              </w:rPr>
              <w:t>设备名称</w:t>
            </w:r>
          </w:p>
        </w:tc>
        <w:tc>
          <w:tcPr>
            <w:tcW w:w="3254" w:type="dxa"/>
            <w:vAlign w:val="center"/>
          </w:tcPr>
          <w:p w14:paraId="530963B5">
            <w:pPr>
              <w:autoSpaceDE w:val="0"/>
              <w:autoSpaceDN w:val="0"/>
              <w:spacing w:line="240" w:lineRule="exact"/>
              <w:jc w:val="center"/>
              <w:rPr>
                <w:rFonts w:ascii="Times New Roman" w:hAnsi="Times New Roman" w:cs="Times New Roman" w:eastAsiaTheme="minorEastAsia"/>
                <w:b/>
                <w:color w:val="000000"/>
                <w:kern w:val="0"/>
                <w:szCs w:val="21"/>
              </w:rPr>
            </w:pPr>
            <w:r>
              <w:rPr>
                <w:rFonts w:ascii="Times New Roman" w:hAnsi="Times New Roman" w:cs="Times New Roman" w:eastAsiaTheme="minorEastAsia"/>
                <w:b/>
                <w:color w:val="000000"/>
                <w:kern w:val="0"/>
                <w:szCs w:val="21"/>
              </w:rPr>
              <w:t>型号</w:t>
            </w:r>
          </w:p>
        </w:tc>
        <w:tc>
          <w:tcPr>
            <w:tcW w:w="1169" w:type="dxa"/>
            <w:vAlign w:val="center"/>
          </w:tcPr>
          <w:p w14:paraId="7EC46F08">
            <w:pPr>
              <w:autoSpaceDE w:val="0"/>
              <w:autoSpaceDN w:val="0"/>
              <w:spacing w:line="240" w:lineRule="exact"/>
              <w:jc w:val="center"/>
              <w:rPr>
                <w:rFonts w:ascii="Times New Roman" w:hAnsi="Times New Roman" w:cs="Times New Roman" w:eastAsiaTheme="minorEastAsia"/>
                <w:b/>
                <w:color w:val="000000"/>
                <w:kern w:val="0"/>
                <w:szCs w:val="21"/>
              </w:rPr>
            </w:pPr>
            <w:r>
              <w:rPr>
                <w:rFonts w:ascii="Times New Roman" w:hAnsi="Times New Roman" w:cs="Times New Roman" w:eastAsiaTheme="minorEastAsia"/>
                <w:b/>
                <w:color w:val="000000"/>
                <w:kern w:val="0"/>
                <w:szCs w:val="21"/>
              </w:rPr>
              <w:t>生产厂家</w:t>
            </w:r>
          </w:p>
        </w:tc>
        <w:tc>
          <w:tcPr>
            <w:tcW w:w="727" w:type="dxa"/>
            <w:vAlign w:val="center"/>
          </w:tcPr>
          <w:p w14:paraId="2A192D69">
            <w:pPr>
              <w:autoSpaceDE w:val="0"/>
              <w:autoSpaceDN w:val="0"/>
              <w:spacing w:line="240" w:lineRule="exact"/>
              <w:jc w:val="center"/>
              <w:rPr>
                <w:rFonts w:ascii="Times New Roman" w:hAnsi="Times New Roman" w:cs="Times New Roman" w:eastAsiaTheme="minorEastAsia"/>
                <w:b/>
                <w:color w:val="000000"/>
                <w:kern w:val="0"/>
                <w:szCs w:val="21"/>
              </w:rPr>
            </w:pPr>
            <w:r>
              <w:rPr>
                <w:rFonts w:ascii="Times New Roman" w:hAnsi="Times New Roman" w:cs="Times New Roman" w:eastAsiaTheme="minorEastAsia"/>
                <w:b/>
                <w:color w:val="000000"/>
                <w:kern w:val="0"/>
                <w:szCs w:val="21"/>
              </w:rPr>
              <w:t>国别</w:t>
            </w:r>
          </w:p>
        </w:tc>
      </w:tr>
      <w:tr w14:paraId="1039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3" w:type="dxa"/>
            <w:vAlign w:val="center"/>
          </w:tcPr>
          <w:p w14:paraId="139D727C">
            <w:pPr>
              <w:autoSpaceDE w:val="0"/>
              <w:autoSpaceDN w:val="0"/>
              <w:spacing w:line="240" w:lineRule="exact"/>
              <w:jc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w:t>
            </w:r>
          </w:p>
        </w:tc>
        <w:tc>
          <w:tcPr>
            <w:tcW w:w="2531" w:type="dxa"/>
            <w:vAlign w:val="center"/>
          </w:tcPr>
          <w:p w14:paraId="0E097094">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氨氮分析仪</w:t>
            </w:r>
          </w:p>
        </w:tc>
        <w:tc>
          <w:tcPr>
            <w:tcW w:w="3254" w:type="dxa"/>
            <w:vAlign w:val="center"/>
          </w:tcPr>
          <w:p w14:paraId="3E97E5D4">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 xml:space="preserve"> A80AM-AAA11A201+AKFBN1 </w:t>
            </w:r>
          </w:p>
        </w:tc>
        <w:tc>
          <w:tcPr>
            <w:tcW w:w="1169" w:type="dxa"/>
            <w:vAlign w:val="center"/>
          </w:tcPr>
          <w:p w14:paraId="646D10A4">
            <w:pPr>
              <w:autoSpaceDE w:val="0"/>
              <w:autoSpaceDN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E+H</w:t>
            </w:r>
          </w:p>
        </w:tc>
        <w:tc>
          <w:tcPr>
            <w:tcW w:w="727" w:type="dxa"/>
            <w:vAlign w:val="center"/>
          </w:tcPr>
          <w:p w14:paraId="71439AC0">
            <w:pPr>
              <w:autoSpaceDE w:val="0"/>
              <w:autoSpaceDN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德国</w:t>
            </w:r>
          </w:p>
        </w:tc>
      </w:tr>
      <w:tr w14:paraId="3D2D9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3" w:type="dxa"/>
            <w:vAlign w:val="center"/>
          </w:tcPr>
          <w:p w14:paraId="7512E859">
            <w:pPr>
              <w:autoSpaceDE w:val="0"/>
              <w:autoSpaceDN w:val="0"/>
              <w:spacing w:line="240" w:lineRule="exact"/>
              <w:jc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2</w:t>
            </w:r>
          </w:p>
        </w:tc>
        <w:tc>
          <w:tcPr>
            <w:tcW w:w="2531" w:type="dxa"/>
            <w:vAlign w:val="center"/>
          </w:tcPr>
          <w:p w14:paraId="3D39682A">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高锰酸盐CODmn分析仪</w:t>
            </w:r>
          </w:p>
        </w:tc>
        <w:tc>
          <w:tcPr>
            <w:tcW w:w="3254" w:type="dxa"/>
            <w:vAlign w:val="center"/>
          </w:tcPr>
          <w:p w14:paraId="14C3E641">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K301COD</w:t>
            </w:r>
            <w:r>
              <w:rPr>
                <w:rFonts w:ascii="Times New Roman" w:hAnsi="Times New Roman" w:cs="Times New Roman" w:eastAsiaTheme="minorEastAsia"/>
                <w:color w:val="000000"/>
                <w:kern w:val="0"/>
                <w:szCs w:val="21"/>
                <w:vertAlign w:val="subscript"/>
              </w:rPr>
              <w:t>Mn</w:t>
            </w:r>
            <w:r>
              <w:rPr>
                <w:rFonts w:ascii="Times New Roman" w:hAnsi="Times New Roman" w:cs="Times New Roman" w:eastAsiaTheme="minorEastAsia"/>
                <w:color w:val="000000"/>
                <w:kern w:val="0"/>
                <w:szCs w:val="21"/>
              </w:rPr>
              <w:t xml:space="preserve">A </w:t>
            </w:r>
          </w:p>
        </w:tc>
        <w:tc>
          <w:tcPr>
            <w:tcW w:w="1169" w:type="dxa"/>
            <w:vAlign w:val="center"/>
          </w:tcPr>
          <w:p w14:paraId="2A7AD207">
            <w:pPr>
              <w:autoSpaceDE w:val="0"/>
              <w:autoSpaceDN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科泽</w:t>
            </w:r>
          </w:p>
        </w:tc>
        <w:tc>
          <w:tcPr>
            <w:tcW w:w="727" w:type="dxa"/>
            <w:vAlign w:val="center"/>
          </w:tcPr>
          <w:p w14:paraId="6AF27940">
            <w:pPr>
              <w:autoSpaceDE w:val="0"/>
              <w:autoSpaceDN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德国</w:t>
            </w:r>
          </w:p>
        </w:tc>
      </w:tr>
      <w:tr w14:paraId="2C625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3" w:type="dxa"/>
            <w:vAlign w:val="center"/>
          </w:tcPr>
          <w:p w14:paraId="75B2A88A">
            <w:pPr>
              <w:autoSpaceDE w:val="0"/>
              <w:autoSpaceDN w:val="0"/>
              <w:spacing w:line="240" w:lineRule="exact"/>
              <w:jc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3</w:t>
            </w:r>
          </w:p>
        </w:tc>
        <w:tc>
          <w:tcPr>
            <w:tcW w:w="2531" w:type="dxa"/>
            <w:vAlign w:val="center"/>
          </w:tcPr>
          <w:p w14:paraId="251116DE">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全天候冷藏式自动采样器</w:t>
            </w:r>
          </w:p>
        </w:tc>
        <w:tc>
          <w:tcPr>
            <w:tcW w:w="3254" w:type="dxa"/>
            <w:vAlign w:val="center"/>
          </w:tcPr>
          <w:p w14:paraId="3B1D74BB">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 xml:space="preserve"> CSF48-AA15B2H1+AK</w:t>
            </w:r>
          </w:p>
        </w:tc>
        <w:tc>
          <w:tcPr>
            <w:tcW w:w="1169" w:type="dxa"/>
            <w:vAlign w:val="center"/>
          </w:tcPr>
          <w:p w14:paraId="7D1B99FD">
            <w:pPr>
              <w:autoSpaceDE w:val="0"/>
              <w:autoSpaceDN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E+H</w:t>
            </w:r>
          </w:p>
        </w:tc>
        <w:tc>
          <w:tcPr>
            <w:tcW w:w="727" w:type="dxa"/>
            <w:vAlign w:val="center"/>
          </w:tcPr>
          <w:p w14:paraId="62A038FB">
            <w:pPr>
              <w:autoSpaceDE w:val="0"/>
              <w:autoSpaceDN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德国</w:t>
            </w:r>
          </w:p>
        </w:tc>
      </w:tr>
      <w:tr w14:paraId="3ED1D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3" w:type="dxa"/>
            <w:vAlign w:val="center"/>
          </w:tcPr>
          <w:p w14:paraId="63074BED">
            <w:pPr>
              <w:autoSpaceDE w:val="0"/>
              <w:autoSpaceDN w:val="0"/>
              <w:spacing w:line="240" w:lineRule="exact"/>
              <w:jc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4</w:t>
            </w:r>
          </w:p>
        </w:tc>
        <w:tc>
          <w:tcPr>
            <w:tcW w:w="2531" w:type="dxa"/>
            <w:vAlign w:val="center"/>
          </w:tcPr>
          <w:p w14:paraId="21C05DA1">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多参数一体机</w:t>
            </w:r>
          </w:p>
        </w:tc>
        <w:tc>
          <w:tcPr>
            <w:tcW w:w="3254" w:type="dxa"/>
            <w:vAlign w:val="center"/>
          </w:tcPr>
          <w:p w14:paraId="61A96A10">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EnvironlyzerStation</w:t>
            </w:r>
          </w:p>
        </w:tc>
        <w:tc>
          <w:tcPr>
            <w:tcW w:w="1169" w:type="dxa"/>
            <w:vAlign w:val="center"/>
          </w:tcPr>
          <w:p w14:paraId="043BA699">
            <w:pPr>
              <w:autoSpaceDE w:val="0"/>
              <w:autoSpaceDN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英凯</w:t>
            </w:r>
          </w:p>
        </w:tc>
        <w:tc>
          <w:tcPr>
            <w:tcW w:w="727" w:type="dxa"/>
            <w:vAlign w:val="center"/>
          </w:tcPr>
          <w:p w14:paraId="1EA4A887">
            <w:pPr>
              <w:autoSpaceDE w:val="0"/>
              <w:autoSpaceDN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国产</w:t>
            </w:r>
          </w:p>
        </w:tc>
      </w:tr>
    </w:tbl>
    <w:p w14:paraId="19D2A0D2">
      <w:pPr>
        <w:spacing w:beforeLines="50"/>
        <w:ind w:firstLine="482"/>
        <w:jc w:val="center"/>
        <w:rPr>
          <w:rFonts w:ascii="Times New Roman" w:hAnsi="Times New Roman" w:cs="Times New Roman" w:eastAsiaTheme="minorEastAsia"/>
          <w:b/>
          <w:color w:val="000000"/>
          <w:kern w:val="0"/>
          <w:sz w:val="24"/>
          <w:szCs w:val="24"/>
        </w:rPr>
      </w:pPr>
      <w:r>
        <w:rPr>
          <w:rFonts w:ascii="Times New Roman" w:hAnsi="Times New Roman" w:cs="Times New Roman" w:eastAsiaTheme="minorEastAsia"/>
          <w:b/>
          <w:color w:val="000000"/>
          <w:kern w:val="0"/>
          <w:sz w:val="24"/>
          <w:szCs w:val="24"/>
        </w:rPr>
        <w:t>水站基本信息一览表</w:t>
      </w:r>
    </w:p>
    <w:tbl>
      <w:tblPr>
        <w:tblStyle w:val="24"/>
        <w:tblpPr w:leftFromText="180" w:rightFromText="180" w:vertAnchor="text" w:tblpXSpec="center" w:tblpY="95"/>
        <w:tblW w:w="82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683"/>
        <w:gridCol w:w="2447"/>
        <w:gridCol w:w="3364"/>
      </w:tblGrid>
      <w:tr w14:paraId="457DC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728" w:type="dxa"/>
            <w:vAlign w:val="center"/>
          </w:tcPr>
          <w:p w14:paraId="43E0C360">
            <w:pPr>
              <w:widowControl/>
              <w:spacing w:line="240" w:lineRule="exact"/>
              <w:jc w:val="center"/>
              <w:rPr>
                <w:rFonts w:ascii="Times New Roman" w:hAnsi="Times New Roman" w:cs="Times New Roman" w:eastAsiaTheme="minorEastAsia"/>
                <w:b/>
                <w:color w:val="000000"/>
                <w:kern w:val="0"/>
                <w:szCs w:val="21"/>
              </w:rPr>
            </w:pPr>
            <w:r>
              <w:rPr>
                <w:rFonts w:ascii="Times New Roman" w:hAnsi="Times New Roman" w:cs="Times New Roman" w:eastAsiaTheme="minorEastAsia"/>
                <w:b/>
                <w:color w:val="000000"/>
                <w:kern w:val="0"/>
                <w:szCs w:val="21"/>
              </w:rPr>
              <w:t>序号</w:t>
            </w:r>
          </w:p>
        </w:tc>
        <w:tc>
          <w:tcPr>
            <w:tcW w:w="1683" w:type="dxa"/>
            <w:vAlign w:val="center"/>
          </w:tcPr>
          <w:p w14:paraId="6B626748">
            <w:pPr>
              <w:widowControl/>
              <w:spacing w:line="240" w:lineRule="exact"/>
              <w:jc w:val="center"/>
              <w:rPr>
                <w:rFonts w:ascii="Times New Roman" w:hAnsi="Times New Roman" w:cs="Times New Roman" w:eastAsiaTheme="minorEastAsia"/>
                <w:b/>
                <w:color w:val="000000"/>
                <w:kern w:val="0"/>
                <w:szCs w:val="21"/>
              </w:rPr>
            </w:pPr>
            <w:r>
              <w:rPr>
                <w:rFonts w:ascii="Times New Roman" w:hAnsi="Times New Roman" w:cs="Times New Roman" w:eastAsiaTheme="minorEastAsia"/>
                <w:b/>
                <w:color w:val="000000"/>
                <w:kern w:val="0"/>
                <w:szCs w:val="21"/>
              </w:rPr>
              <w:t>站点名称</w:t>
            </w:r>
          </w:p>
        </w:tc>
        <w:tc>
          <w:tcPr>
            <w:tcW w:w="2447" w:type="dxa"/>
            <w:vAlign w:val="center"/>
          </w:tcPr>
          <w:p w14:paraId="3215D91D">
            <w:pPr>
              <w:widowControl/>
              <w:spacing w:line="240" w:lineRule="exact"/>
              <w:jc w:val="center"/>
              <w:rPr>
                <w:rFonts w:ascii="Times New Roman" w:hAnsi="Times New Roman" w:cs="Times New Roman" w:eastAsiaTheme="minorEastAsia"/>
                <w:b/>
                <w:color w:val="000000"/>
                <w:kern w:val="0"/>
                <w:szCs w:val="21"/>
              </w:rPr>
            </w:pPr>
            <w:r>
              <w:rPr>
                <w:rFonts w:ascii="Times New Roman" w:hAnsi="Times New Roman" w:cs="Times New Roman" w:eastAsiaTheme="minorEastAsia"/>
                <w:b/>
                <w:color w:val="000000"/>
                <w:kern w:val="0"/>
                <w:szCs w:val="21"/>
              </w:rPr>
              <w:t>监测河渠</w:t>
            </w:r>
          </w:p>
        </w:tc>
        <w:tc>
          <w:tcPr>
            <w:tcW w:w="3364" w:type="dxa"/>
            <w:vAlign w:val="center"/>
          </w:tcPr>
          <w:p w14:paraId="6751776F">
            <w:pPr>
              <w:widowControl/>
              <w:spacing w:line="240" w:lineRule="exact"/>
              <w:jc w:val="center"/>
              <w:rPr>
                <w:rFonts w:ascii="Times New Roman" w:hAnsi="Times New Roman" w:cs="Times New Roman" w:eastAsiaTheme="minorEastAsia"/>
                <w:b/>
                <w:color w:val="000000"/>
                <w:kern w:val="0"/>
                <w:szCs w:val="21"/>
              </w:rPr>
            </w:pPr>
            <w:r>
              <w:rPr>
                <w:rFonts w:ascii="Times New Roman" w:hAnsi="Times New Roman" w:cs="Times New Roman" w:eastAsiaTheme="minorEastAsia"/>
                <w:b/>
                <w:color w:val="000000"/>
                <w:kern w:val="0"/>
                <w:szCs w:val="21"/>
              </w:rPr>
              <w:t>地理位置</w:t>
            </w:r>
          </w:p>
        </w:tc>
      </w:tr>
      <w:tr w14:paraId="1F72E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728" w:type="dxa"/>
            <w:vAlign w:val="center"/>
          </w:tcPr>
          <w:p w14:paraId="5356EBEE">
            <w:pPr>
              <w:widowControl/>
              <w:spacing w:line="240" w:lineRule="exact"/>
              <w:jc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w:t>
            </w:r>
          </w:p>
        </w:tc>
        <w:tc>
          <w:tcPr>
            <w:tcW w:w="1683" w:type="dxa"/>
            <w:vAlign w:val="center"/>
          </w:tcPr>
          <w:p w14:paraId="572AA977">
            <w:pPr>
              <w:widowControl/>
              <w:spacing w:line="240" w:lineRule="exact"/>
              <w:jc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何巷闸</w:t>
            </w:r>
          </w:p>
        </w:tc>
        <w:tc>
          <w:tcPr>
            <w:tcW w:w="2447" w:type="dxa"/>
            <w:vAlign w:val="center"/>
          </w:tcPr>
          <w:p w14:paraId="00FDDEAB">
            <w:pPr>
              <w:widowControl/>
              <w:spacing w:line="240" w:lineRule="exact"/>
              <w:jc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涡河</w:t>
            </w:r>
          </w:p>
        </w:tc>
        <w:tc>
          <w:tcPr>
            <w:tcW w:w="3364" w:type="dxa"/>
            <w:vAlign w:val="center"/>
          </w:tcPr>
          <w:p w14:paraId="6B70D3EE">
            <w:pPr>
              <w:widowControl/>
              <w:spacing w:line="240" w:lineRule="exact"/>
              <w:jc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蚌埠市怀远县榴城镇何巷村</w:t>
            </w:r>
          </w:p>
        </w:tc>
      </w:tr>
      <w:tr w14:paraId="28065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728" w:type="dxa"/>
            <w:vAlign w:val="center"/>
          </w:tcPr>
          <w:p w14:paraId="6CBB4D67">
            <w:pPr>
              <w:widowControl/>
              <w:spacing w:line="240" w:lineRule="exact"/>
              <w:jc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2</w:t>
            </w:r>
          </w:p>
        </w:tc>
        <w:tc>
          <w:tcPr>
            <w:tcW w:w="1683" w:type="dxa"/>
            <w:vAlign w:val="center"/>
          </w:tcPr>
          <w:p w14:paraId="33732FB2">
            <w:pPr>
              <w:widowControl/>
              <w:spacing w:line="240" w:lineRule="exact"/>
              <w:jc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五河站</w:t>
            </w:r>
          </w:p>
        </w:tc>
        <w:tc>
          <w:tcPr>
            <w:tcW w:w="2447" w:type="dxa"/>
            <w:vAlign w:val="center"/>
          </w:tcPr>
          <w:p w14:paraId="7B8D66AB">
            <w:pPr>
              <w:widowControl/>
              <w:spacing w:line="240" w:lineRule="exact"/>
              <w:jc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淮河</w:t>
            </w:r>
          </w:p>
        </w:tc>
        <w:tc>
          <w:tcPr>
            <w:tcW w:w="3364" w:type="dxa"/>
            <w:vAlign w:val="center"/>
          </w:tcPr>
          <w:p w14:paraId="7464031C">
            <w:pPr>
              <w:widowControl/>
              <w:spacing w:line="240" w:lineRule="exact"/>
              <w:jc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蚌埠市五河县头铺镇金岗村</w:t>
            </w:r>
          </w:p>
        </w:tc>
      </w:tr>
      <w:tr w14:paraId="76B91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728" w:type="dxa"/>
            <w:vAlign w:val="center"/>
          </w:tcPr>
          <w:p w14:paraId="21FF6694">
            <w:pPr>
              <w:widowControl/>
              <w:spacing w:line="240" w:lineRule="exact"/>
              <w:jc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3</w:t>
            </w:r>
          </w:p>
        </w:tc>
        <w:tc>
          <w:tcPr>
            <w:tcW w:w="1683" w:type="dxa"/>
            <w:vAlign w:val="center"/>
          </w:tcPr>
          <w:p w14:paraId="15DF7FE2">
            <w:pPr>
              <w:widowControl/>
              <w:spacing w:line="240" w:lineRule="exact"/>
              <w:jc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固镇站</w:t>
            </w:r>
          </w:p>
        </w:tc>
        <w:tc>
          <w:tcPr>
            <w:tcW w:w="2447" w:type="dxa"/>
            <w:vAlign w:val="center"/>
          </w:tcPr>
          <w:p w14:paraId="68CC08DA">
            <w:pPr>
              <w:widowControl/>
              <w:spacing w:line="240" w:lineRule="exact"/>
              <w:jc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浍河</w:t>
            </w:r>
          </w:p>
        </w:tc>
        <w:tc>
          <w:tcPr>
            <w:tcW w:w="3364" w:type="dxa"/>
            <w:vAlign w:val="center"/>
          </w:tcPr>
          <w:p w14:paraId="39D5ED35">
            <w:pPr>
              <w:widowControl/>
              <w:spacing w:line="240" w:lineRule="exact"/>
              <w:jc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蚌埠市固镇县石湖乡陡沟村</w:t>
            </w:r>
          </w:p>
        </w:tc>
      </w:tr>
      <w:tr w14:paraId="3A5C5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728" w:type="dxa"/>
            <w:vAlign w:val="center"/>
          </w:tcPr>
          <w:p w14:paraId="0A96F0E1">
            <w:pPr>
              <w:widowControl/>
              <w:spacing w:line="240" w:lineRule="exact"/>
              <w:jc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4</w:t>
            </w:r>
          </w:p>
        </w:tc>
        <w:tc>
          <w:tcPr>
            <w:tcW w:w="1683" w:type="dxa"/>
            <w:vAlign w:val="center"/>
          </w:tcPr>
          <w:p w14:paraId="7762B80C">
            <w:pPr>
              <w:widowControl/>
              <w:spacing w:line="240" w:lineRule="exact"/>
              <w:jc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沱河地下涵</w:t>
            </w:r>
          </w:p>
        </w:tc>
        <w:tc>
          <w:tcPr>
            <w:tcW w:w="2447" w:type="dxa"/>
            <w:vAlign w:val="center"/>
          </w:tcPr>
          <w:p w14:paraId="56E224B5">
            <w:pPr>
              <w:widowControl/>
              <w:spacing w:line="240" w:lineRule="exact"/>
              <w:jc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三八河</w:t>
            </w:r>
          </w:p>
        </w:tc>
        <w:tc>
          <w:tcPr>
            <w:tcW w:w="3364" w:type="dxa"/>
            <w:vAlign w:val="center"/>
          </w:tcPr>
          <w:p w14:paraId="359719AB">
            <w:pPr>
              <w:widowControl/>
              <w:spacing w:line="240" w:lineRule="exact"/>
              <w:jc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宿州市灵璧县黄湾镇王桥村</w:t>
            </w:r>
          </w:p>
        </w:tc>
      </w:tr>
      <w:tr w14:paraId="45F43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728" w:type="dxa"/>
            <w:vAlign w:val="center"/>
          </w:tcPr>
          <w:p w14:paraId="253D7A3F">
            <w:pPr>
              <w:widowControl/>
              <w:spacing w:line="240" w:lineRule="exact"/>
              <w:jc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5</w:t>
            </w:r>
          </w:p>
        </w:tc>
        <w:tc>
          <w:tcPr>
            <w:tcW w:w="1683" w:type="dxa"/>
            <w:vAlign w:val="center"/>
          </w:tcPr>
          <w:p w14:paraId="02419EF4">
            <w:pPr>
              <w:widowControl/>
              <w:spacing w:line="240" w:lineRule="exact"/>
              <w:jc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四铺站</w:t>
            </w:r>
          </w:p>
        </w:tc>
        <w:tc>
          <w:tcPr>
            <w:tcW w:w="2447" w:type="dxa"/>
            <w:vAlign w:val="center"/>
          </w:tcPr>
          <w:p w14:paraId="7DE840F8">
            <w:pPr>
              <w:widowControl/>
              <w:spacing w:line="240" w:lineRule="exact"/>
              <w:jc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新沱河</w:t>
            </w:r>
          </w:p>
        </w:tc>
        <w:tc>
          <w:tcPr>
            <w:tcW w:w="3364" w:type="dxa"/>
            <w:vAlign w:val="center"/>
          </w:tcPr>
          <w:p w14:paraId="0B085AF2">
            <w:pPr>
              <w:widowControl/>
              <w:spacing w:line="240" w:lineRule="exact"/>
              <w:jc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淮北市烈山区古饶镇东刘村</w:t>
            </w:r>
          </w:p>
        </w:tc>
      </w:tr>
      <w:tr w14:paraId="3C4E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728" w:type="dxa"/>
            <w:vAlign w:val="center"/>
          </w:tcPr>
          <w:p w14:paraId="12ED678A">
            <w:pPr>
              <w:widowControl/>
              <w:spacing w:line="240" w:lineRule="exact"/>
              <w:jc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6</w:t>
            </w:r>
          </w:p>
        </w:tc>
        <w:tc>
          <w:tcPr>
            <w:tcW w:w="1683" w:type="dxa"/>
            <w:vAlign w:val="center"/>
          </w:tcPr>
          <w:p w14:paraId="723B4ACC">
            <w:pPr>
              <w:widowControl/>
              <w:spacing w:line="240" w:lineRule="exact"/>
              <w:jc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贾窝站</w:t>
            </w:r>
          </w:p>
        </w:tc>
        <w:tc>
          <w:tcPr>
            <w:tcW w:w="2447" w:type="dxa"/>
            <w:vAlign w:val="center"/>
          </w:tcPr>
          <w:p w14:paraId="3D711C0B">
            <w:pPr>
              <w:widowControl/>
              <w:spacing w:line="240" w:lineRule="exact"/>
              <w:jc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萧濉新河</w:t>
            </w:r>
          </w:p>
        </w:tc>
        <w:tc>
          <w:tcPr>
            <w:tcW w:w="3364" w:type="dxa"/>
            <w:vAlign w:val="center"/>
          </w:tcPr>
          <w:p w14:paraId="3779C996">
            <w:pPr>
              <w:widowControl/>
              <w:spacing w:line="240" w:lineRule="exact"/>
              <w:jc w:val="center"/>
              <w:rPr>
                <w:rFonts w:ascii="Times New Roman" w:hAnsi="Times New Roman" w:cs="Times New Roman" w:eastAsiaTheme="minorEastAsia"/>
                <w:color w:val="000000"/>
                <w:kern w:val="0"/>
                <w:szCs w:val="21"/>
              </w:rPr>
            </w:pPr>
            <w:r>
              <w:rPr>
                <w:rFonts w:ascii="Times New Roman" w:hAnsi="Times New Roman" w:cs="Times New Roman" w:eastAsiaTheme="minorEastAsia"/>
                <w:szCs w:val="21"/>
              </w:rPr>
              <w:t>宿州市萧县孙圩子乡贾窝村</w:t>
            </w:r>
          </w:p>
        </w:tc>
      </w:tr>
    </w:tbl>
    <w:p w14:paraId="55DBE9B9">
      <w:pPr>
        <w:keepNext/>
        <w:keepLines/>
        <w:spacing w:line="360" w:lineRule="auto"/>
        <w:ind w:right="210" w:rightChars="100" w:firstLine="482" w:firstLineChars="200"/>
        <w:rPr>
          <w:rFonts w:ascii="Times New Roman" w:hAnsi="Times New Roman" w:cs="Times New Roman" w:eastAsiaTheme="minorEastAsia"/>
          <w:b/>
          <w:bCs/>
          <w:kern w:val="0"/>
          <w:sz w:val="24"/>
          <w:szCs w:val="24"/>
          <w:lang w:val="zh-CN"/>
        </w:rPr>
      </w:pPr>
      <w:r>
        <w:rPr>
          <w:rFonts w:ascii="Times New Roman" w:hAnsi="Times New Roman" w:cs="Times New Roman" w:eastAsiaTheme="minorEastAsia"/>
          <w:b/>
          <w:bCs/>
          <w:kern w:val="0"/>
          <w:sz w:val="24"/>
          <w:szCs w:val="24"/>
          <w:lang w:val="zh-CN"/>
        </w:rPr>
        <w:t>2.2工作要求</w:t>
      </w:r>
    </w:p>
    <w:p w14:paraId="2D31DEC2">
      <w:pPr>
        <w:keepNext/>
        <w:keepLines/>
        <w:spacing w:line="380" w:lineRule="exact"/>
        <w:ind w:firstLine="480" w:firstLineChars="200"/>
        <w:rPr>
          <w:rFonts w:ascii="Times New Roman" w:hAnsi="Times New Roman" w:cs="Times New Roman" w:eastAsiaTheme="minorEastAsia"/>
          <w:bCs/>
          <w:kern w:val="0"/>
          <w:sz w:val="24"/>
          <w:szCs w:val="24"/>
          <w:lang w:val="zh-CN"/>
        </w:rPr>
      </w:pPr>
      <w:r>
        <w:rPr>
          <w:rFonts w:ascii="Times New Roman" w:hAnsi="Times New Roman" w:cs="Times New Roman" w:eastAsiaTheme="minorEastAsia"/>
          <w:bCs/>
          <w:kern w:val="0"/>
          <w:sz w:val="24"/>
          <w:szCs w:val="24"/>
          <w:lang w:val="zh-CN"/>
        </w:rPr>
        <w:t>2.2.1总体要求</w:t>
      </w:r>
    </w:p>
    <w:p w14:paraId="21CB3939">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为保证淮水北调工程水质监测系统的数据连续准确可靠，委托成交供应商对水质监测系统和各自动监测站进行运行维护。</w:t>
      </w:r>
    </w:p>
    <w:p w14:paraId="42772FA1">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运行维护及管理期间，成交供应商必须遵守国家的有关法律、法规及其他规定，本着为采购人负责的精神，依照规范，科学管理，使水站的运行结果达到国家及行业颁布的技术标准和采购人要求的考核指标要求；使水质自动监测系统发挥其效能和作用。</w:t>
      </w:r>
    </w:p>
    <w:p w14:paraId="03972855">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运行维护及管理期间发生的水电通讯采暖费用、试剂耗材费用、仪器设备维修费、设施设备的年检保养费和水站安全保障所发生的费用由成交供应商支付。如遇水电通讯条件无法满足运维需要，站房采水等基础设施出现无法解决的重大问题时，可提请采购人协调解决。</w:t>
      </w:r>
    </w:p>
    <w:p w14:paraId="28C2229F">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（3）成交供应商要积极主动联系水站设备生产厂家和建设施工单位学习运行维护技术，处理出现的问题或突发故障，接受采购人对水站运维质量的监督检查。</w:t>
      </w:r>
    </w:p>
    <w:p w14:paraId="2B7C8134">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（4）运维期间，如遇采购人为水站更换或新增仪器，成交供应商要配合仪器供应公司做好新仪器的安装调试、试运行等验收前准备工作，以及数据接入系统和后续的运行维护工作。</w:t>
      </w:r>
    </w:p>
    <w:p w14:paraId="4D199703">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5）运行维护及管理期间，水站的全部资产（包括全部产权和建筑物、设备、软件、配套设施、水质自动站和配套监控系统产生的各类数据信息及相关文档资料）属采购人所有。未经采购人同意，成交供应商不得以任何方式对各类财产进行出售、抵押或转移。</w:t>
      </w:r>
    </w:p>
    <w:p w14:paraId="4F4DFA7C">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（6）运行维护及管理期间，成交供应商有责任保证上述全部资产的完整、安全并处于良好状态。</w:t>
      </w:r>
    </w:p>
    <w:p w14:paraId="3FD43BFD">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（7）成交供应商应建立完善的</w:t>
      </w:r>
      <w:r>
        <w:rPr>
          <w:rFonts w:hint="eastAsia" w:ascii="Times New Roman" w:hAnsi="Times New Roman" w:cs="Times New Roman" w:eastAsiaTheme="minorEastAsia"/>
          <w:sz w:val="24"/>
          <w:szCs w:val="24"/>
        </w:rPr>
        <w:t>易损件</w:t>
      </w:r>
      <w:r>
        <w:rPr>
          <w:rFonts w:ascii="Times New Roman" w:hAnsi="Times New Roman" w:cs="Times New Roman" w:eastAsiaTheme="minorEastAsia"/>
          <w:sz w:val="24"/>
          <w:szCs w:val="24"/>
        </w:rPr>
        <w:t>供应渠道。</w:t>
      </w:r>
    </w:p>
    <w:p w14:paraId="228483DF">
      <w:pPr>
        <w:keepNext/>
        <w:keepLines/>
        <w:spacing w:line="380" w:lineRule="exact"/>
        <w:ind w:firstLine="480" w:firstLineChars="200"/>
        <w:rPr>
          <w:rFonts w:ascii="Times New Roman" w:hAnsi="Times New Roman" w:cs="Times New Roman" w:eastAsiaTheme="minorEastAsia"/>
          <w:bCs/>
          <w:kern w:val="0"/>
          <w:sz w:val="24"/>
          <w:szCs w:val="24"/>
          <w:lang w:val="zh-CN"/>
        </w:rPr>
      </w:pPr>
      <w:r>
        <w:rPr>
          <w:rFonts w:ascii="Times New Roman" w:hAnsi="Times New Roman" w:cs="Times New Roman" w:eastAsiaTheme="minorEastAsia"/>
          <w:bCs/>
          <w:kern w:val="0"/>
          <w:sz w:val="24"/>
          <w:szCs w:val="24"/>
          <w:lang w:val="zh-CN"/>
        </w:rPr>
        <w:t>2.2.2运维目标要求</w:t>
      </w:r>
    </w:p>
    <w:p w14:paraId="7114AF70">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2.2.2.1运行指标要求</w:t>
      </w:r>
    </w:p>
    <w:p w14:paraId="50A2D794">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要求成交供应商全面维护水站配置的仪器设备，氨氮、高锰酸盐指数分析仪器调水期月运转率不低于90%，总体仪器调水期月运转率≥90％（除去停水停电，性能测试及其他不可抗拒因素引起的故障）。非调水期每月试运行一次，保证水站处于良好的工作状态。</w:t>
      </w:r>
    </w:p>
    <w:p w14:paraId="1FB627F3">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单台仪器月运行率=该仪器月实际采集数据个数/（月调水天数×日监测次数）×100%；</w:t>
      </w:r>
    </w:p>
    <w:p w14:paraId="31C85051">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总体仪器月运行率=∑单台仪器月运行率/n（仪器数量以指标计）</w:t>
      </w:r>
    </w:p>
    <w:p w14:paraId="1D7E8CC2">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2.2.2.2 数据质量要求</w:t>
      </w:r>
    </w:p>
    <w:p w14:paraId="2FC43EA6">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要求成交供应商参照环境水质监测质量体系要求，定期开展仪器校准、标液核查、质控考核、水样比对、加标回收和系统审核工作。对校准、质控和异常等数据要做出标识。</w:t>
      </w:r>
    </w:p>
    <w:p w14:paraId="74F1AEA1">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2.2.2.3数据数量要求</w:t>
      </w:r>
    </w:p>
    <w:p w14:paraId="32DC5232">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调水期间水站采用间歇式测定（12小时/次），仪器正常运行每天应有2组有效数据。必要时测定频次最高提至4小时/次，具体以采购人根据调水实际情况提出要求。成交供应商应保证在运营维护管理期内，氨氮、高锰酸盐指数分析指标的调水期月有效数据率不低于90%，总体（按配置全部仪器统计）调水期月有效数据率≥90％。</w:t>
      </w:r>
    </w:p>
    <w:p w14:paraId="527422BB">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单项指标月有效数据率=该指标实际采集有效数据个数/（月调水天数×日监测次数×监测项目）×100%。；</w:t>
      </w:r>
    </w:p>
    <w:p w14:paraId="46201CEB">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总体月有效数据率=Σ单台仪器月有效数据率/n（仪器数量以指标计）。</w:t>
      </w:r>
    </w:p>
    <w:p w14:paraId="423FD279">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注：有效数据是指经过审核进入数据库的数据。</w:t>
      </w:r>
    </w:p>
    <w:p w14:paraId="0BC3256F">
      <w:pPr>
        <w:keepNext/>
        <w:keepLines/>
        <w:spacing w:line="380" w:lineRule="exact"/>
        <w:ind w:firstLine="480" w:firstLineChars="200"/>
        <w:rPr>
          <w:rFonts w:ascii="Times New Roman" w:hAnsi="Times New Roman" w:cs="Times New Roman" w:eastAsiaTheme="minorEastAsia"/>
          <w:bCs/>
          <w:kern w:val="0"/>
          <w:sz w:val="24"/>
          <w:szCs w:val="24"/>
          <w:lang w:val="zh-CN"/>
        </w:rPr>
      </w:pPr>
      <w:r>
        <w:rPr>
          <w:rFonts w:ascii="Times New Roman" w:hAnsi="Times New Roman" w:cs="Times New Roman" w:eastAsiaTheme="minorEastAsia"/>
          <w:bCs/>
          <w:kern w:val="0"/>
          <w:sz w:val="24"/>
          <w:szCs w:val="24"/>
          <w:lang w:val="zh-CN"/>
        </w:rPr>
        <w:t>2.2.3站房维护要求</w:t>
      </w:r>
    </w:p>
    <w:p w14:paraId="186FA952">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（1）站房内外环境整洁，日常用具摆放有序；供水供电通讯设施运转正常。</w:t>
      </w:r>
    </w:p>
    <w:p w14:paraId="65411140">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（2）站房内空调正常工作，保持仪器运行温度在18～28℃之间，站房内温度日波动范围小于5℃，相对湿度保持在80%以下。</w:t>
      </w:r>
    </w:p>
    <w:p w14:paraId="27CE5130">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（3）站房内应保持各仪器干净清洁，内部管路通畅，流路正常。对于各类分析仪器，应防止日光直射，保持环境温度稳定，避免仪器振动。仪器设备标识清楚。</w:t>
      </w:r>
    </w:p>
    <w:p w14:paraId="4847494B">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（4）进行自动站维护时，应规范操作，注意安全，防止意外危害事故发生。</w:t>
      </w:r>
    </w:p>
    <w:p w14:paraId="2517D0E5">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（5）保证采水系统的保温、防冻、防压、防淤、防撞措施有效。</w:t>
      </w:r>
    </w:p>
    <w:p w14:paraId="380B3FDE">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（6）水站应具备必要的防火能力，站房内应适当配备干粉灭火器。</w:t>
      </w:r>
    </w:p>
    <w:p w14:paraId="6E65B78C">
      <w:pPr>
        <w:keepNext/>
        <w:keepLines/>
        <w:spacing w:line="380" w:lineRule="exact"/>
        <w:ind w:firstLine="480" w:firstLineChars="200"/>
        <w:rPr>
          <w:rFonts w:ascii="Times New Roman" w:hAnsi="Times New Roman" w:cs="Times New Roman" w:eastAsiaTheme="minorEastAsia"/>
          <w:bCs/>
          <w:kern w:val="0"/>
          <w:sz w:val="24"/>
          <w:szCs w:val="24"/>
          <w:lang w:val="zh-CN"/>
        </w:rPr>
      </w:pPr>
      <w:r>
        <w:rPr>
          <w:rFonts w:ascii="Times New Roman" w:hAnsi="Times New Roman" w:cs="Times New Roman" w:eastAsiaTheme="minorEastAsia"/>
          <w:bCs/>
          <w:kern w:val="0"/>
          <w:sz w:val="24"/>
          <w:szCs w:val="24"/>
          <w:lang w:val="zh-CN"/>
        </w:rPr>
        <w:t>2.2.4运维服务要求</w:t>
      </w:r>
    </w:p>
    <w:p w14:paraId="4125807D">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成交供应商应根据采购人的运维内容与要求制定自己的运行维护管理办法与方案，明确水站各个系统（采水系统、配水系统、分析系统、数采系统、通讯系统以及辅助系统）的维护方法、周期、内容及技术保障等。水站现场配备必要的操作手册、管理规章和现场记录本等。每次维护后做好系统运行维护记录。</w:t>
      </w:r>
    </w:p>
    <w:p w14:paraId="357CA915">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2.2.4.1常规监视</w:t>
      </w:r>
    </w:p>
    <w:p w14:paraId="28B6684D">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调水期间水站运维技术人员每天上午和下午两次通过调度中心水质监测系统平台获取水站监测数据，并对站点进行远程管理。发现数据有持续异常值出现时，应立即通知运维技术人员前往现场进行检查和处理，必要时采集实际水样进行实验室分析。</w:t>
      </w:r>
    </w:p>
    <w:p w14:paraId="6A5E948E">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2.2.4.2 例行巡视</w:t>
      </w:r>
    </w:p>
    <w:p w14:paraId="0D79E6F2">
      <w:pPr>
        <w:spacing w:line="380" w:lineRule="exact"/>
        <w:ind w:firstLine="482" w:firstLineChars="20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*水站运维技术人员调水期每周巡视水站不少于1次，非调水期每月巡视水站不少于1次，可根据实际情况增加。</w:t>
      </w:r>
    </w:p>
    <w:p w14:paraId="2B13412C">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主要作业内容包括：</w:t>
      </w:r>
    </w:p>
    <w:p w14:paraId="70EDA199">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（1）检查水站电路系统、通讯线路是否正常。</w:t>
      </w:r>
    </w:p>
    <w:p w14:paraId="4A086CDB">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（2）查看各台分析仪器及辅助设备的运行状态和主要技术参数，查看仪器测试过程温度、工作时序是否正常、有无漏液，及管路是否有气泡、搅拌电机是否工作正常等，判断仪器运行是否正常。</w:t>
      </w:r>
    </w:p>
    <w:p w14:paraId="2724695D">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（3）检查采水系统、配水系统是否正常，如采水水泵运行情况等。</w:t>
      </w:r>
    </w:p>
    <w:p w14:paraId="2D598898">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2.2.4.3 定期养护</w:t>
      </w:r>
    </w:p>
    <w:p w14:paraId="6E0E1E19">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水泵与取水管路（主要为河道中）：水泵应定期清洗过滤网。对于自吸泵，应定期清洗采水头；对于潜水泵，应定期清洗泵体、吊桶。取水管路应检查是否出现弯折现象，是否畅通，并清理管路周边杂物，在泥沙含量大或藻类密集的水体断面应视情况进行人工清洗。一般每月一次。</w:t>
      </w:r>
    </w:p>
    <w:p w14:paraId="1202AC40">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（2）配水与进水系统：每月对仪器采样适配器，包括过滤头、水杯和进样管等以及配水板上的管路和观察窗等进行清洗。</w:t>
      </w:r>
    </w:p>
    <w:p w14:paraId="1DDAA881">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（3）仪器分析系统：定期清洗各个电极、采样杯、废液桶和进样管路测量室等；检查试剂用量。</w:t>
      </w:r>
    </w:p>
    <w:p w14:paraId="52B638AF">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（4）空气压缩机：每月检查气泵和清水增压泵（如有）工作状况一次，并对空气过滤器放水。</w:t>
      </w:r>
    </w:p>
    <w:p w14:paraId="79912643">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（5）检查通讯设备是否正常，一般每月一次。</w:t>
      </w:r>
    </w:p>
    <w:p w14:paraId="165FAF46">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2.2.4.4 试剂更换</w:t>
      </w:r>
    </w:p>
    <w:p w14:paraId="316339F8">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（1）按仪器说明书的要求配制试剂并定期更换。</w:t>
      </w:r>
    </w:p>
    <w:p w14:paraId="7ED4FBB2">
      <w:pPr>
        <w:spacing w:line="380" w:lineRule="exact"/>
        <w:ind w:firstLine="482" w:firstLineChars="20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*（2）试剂的使用周期不得超过30天。</w:t>
      </w:r>
    </w:p>
    <w:p w14:paraId="60A465D7">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2.2.4.5 易耗件与零配件的更换</w:t>
      </w:r>
    </w:p>
    <w:p w14:paraId="4457C6CC">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（1）应依据断面水质状况和水站环境条件制定易耗品和消耗品（如泵管、滤膜、活性碳及干燥剂等）的更换周期，做到定期更换；对使用期限有规定的易损件，必须严格按使用规定期限予以更换。</w:t>
      </w:r>
    </w:p>
    <w:p w14:paraId="6AEAA84A">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（2）应根据不同零配件和易耗件的更换周期，提前订货。</w:t>
      </w:r>
    </w:p>
    <w:p w14:paraId="6926B984">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2.2.4.6 年检与保养</w:t>
      </w:r>
    </w:p>
    <w:p w14:paraId="76CB636B">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对于部分需要定期聘请专业人员维护维修的仪器设备和设施，如：稳压电源、水泵等应按规定进行年检，或定期的维护保养。</w:t>
      </w:r>
    </w:p>
    <w:p w14:paraId="365F0D47">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2.2.4.7 特殊情况处理处置</w:t>
      </w:r>
    </w:p>
    <w:p w14:paraId="5100F93F">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（1）突发污染事故</w:t>
      </w:r>
    </w:p>
    <w:p w14:paraId="17F15F6F">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当水站监测数据发现异常或发现所在断面发生污染事故时，须在2小时内报告采购人。同时保证系统仪器正常运行，数据传输畅通，并协助有关部门进行人工监测。</w:t>
      </w:r>
    </w:p>
    <w:p w14:paraId="6D405CA7">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（2）系统仪器故障</w:t>
      </w:r>
    </w:p>
    <w:p w14:paraId="7D892767">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水站运维人员在确认自行无法排除的故障后应在24小时内向仪器设备供货单位报修，并以书面形式报告水站采购人单位。</w:t>
      </w:r>
    </w:p>
    <w:p w14:paraId="29AC9B5F">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（3）停站申请</w:t>
      </w:r>
    </w:p>
    <w:p w14:paraId="31B045F6">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如遇河流断流等不可抗拒的因素导致的采样系统无法正常采集、监测水样，或自动站站房、供电设施等故障导致仪器不能正常工作运行，需停站维护时，应及时上报采购人。</w:t>
      </w:r>
    </w:p>
    <w:p w14:paraId="05F8DCE0">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（4）数据补测</w:t>
      </w:r>
    </w:p>
    <w:p w14:paraId="5A8553F4">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为保证调水期水站监测数据的连续性，在停站或测试仪器故障期间，需采用手工监测方式进行补测。监测频率每周两次，两次采样间隔不低于两天。</w:t>
      </w:r>
    </w:p>
    <w:p w14:paraId="01DF2F2E">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监测项目包括高锰酸盐指数和氨氮。</w:t>
      </w:r>
    </w:p>
    <w:p w14:paraId="5C133239">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（5）复站要求</w:t>
      </w:r>
    </w:p>
    <w:p w14:paraId="0234CF2E">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停运的水站一旦恢复正常监测状态，需对仪器重新进行校准、标液核查和实验室比对，新更换的仪器还要进行仪器性能测试，上述测试合格后，方可恢复运行，上传监测数据。同时将上述测试的相关资料上报采购人备案。</w:t>
      </w:r>
    </w:p>
    <w:p w14:paraId="6D0E4E97">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2.2.4.8 停机维护</w:t>
      </w:r>
    </w:p>
    <w:p w14:paraId="203A3D02">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（1）短时间停机（停机时间小于24小时）：一般关机即可，再次运行时需关注仪器各项参数，必要时重新校准。</w:t>
      </w:r>
    </w:p>
    <w:p w14:paraId="4BC469A0">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长时间停机（停机时间超过24小时）：如果分析仪需要停机24小时或更长时间，一般需关闭分析仪器和进样阀，关闭电源。并用蒸馏水清洗分析仪器的蠕动泵以及试剂管路；清洗测量室并排空；对于测量电极，应取下并将电极头浸入保护液中存放。</w:t>
      </w:r>
    </w:p>
    <w:p w14:paraId="3589967C">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2.2.4.9 运行维护记录</w:t>
      </w:r>
    </w:p>
    <w:p w14:paraId="4CC8C11C">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 </w:t>
      </w:r>
      <w:r>
        <w:rPr>
          <w:rFonts w:ascii="Times New Roman" w:hAnsi="Times New Roman" w:cs="Times New Roman" w:eastAsiaTheme="minorEastAsia"/>
          <w:b/>
          <w:bCs/>
          <w:sz w:val="24"/>
          <w:szCs w:val="24"/>
        </w:rPr>
        <w:t>水站运维人员应认真做好仪器设备运行维护记录工作，详细记录水站系统运行状况和维护维修内容，如实填写以下各种记录表，定期备份原始数据。做好记录的归档工作。</w:t>
      </w:r>
    </w:p>
    <w:p w14:paraId="0370E5B7">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淮水北调工程水质自动监测站现场值守情况记录表》《淮水北调工程水质自动监测站运行维护记录表》《淮水北调工程水质自动监测站试剂定期更换记录表》《淮水北调工程水质自动监测站易耗品定期更换记录表》《淮水北调工程水质自动监测站仪器设备维修记录表》。</w:t>
      </w:r>
    </w:p>
    <w:p w14:paraId="4A410762">
      <w:pPr>
        <w:keepNext/>
        <w:keepLines/>
        <w:spacing w:line="380" w:lineRule="exact"/>
        <w:ind w:firstLine="480" w:firstLineChars="200"/>
        <w:rPr>
          <w:rFonts w:ascii="Times New Roman" w:hAnsi="Times New Roman" w:cs="Times New Roman" w:eastAsiaTheme="minorEastAsia"/>
          <w:bCs/>
          <w:kern w:val="0"/>
          <w:sz w:val="24"/>
          <w:szCs w:val="24"/>
          <w:lang w:val="zh-CN"/>
        </w:rPr>
      </w:pPr>
      <w:r>
        <w:rPr>
          <w:rFonts w:ascii="Times New Roman" w:hAnsi="Times New Roman" w:cs="Times New Roman" w:eastAsiaTheme="minorEastAsia"/>
          <w:bCs/>
          <w:kern w:val="0"/>
          <w:sz w:val="24"/>
          <w:szCs w:val="24"/>
          <w:lang w:val="zh-CN"/>
        </w:rPr>
        <w:t>2.2.5质控和异常检测</w:t>
      </w:r>
    </w:p>
    <w:p w14:paraId="4AD0A9C6">
      <w:pPr>
        <w:widowControl/>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自动监测发现某指标超目标限值，应开展特别监测，人工采样送实验室进行水质检测，并出具CMA资质报告作为暂停或停止调水等应急处置的依据。</w:t>
      </w:r>
    </w:p>
    <w:p w14:paraId="3AA75BEE">
      <w:pPr>
        <w:widowControl/>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调水期间，如自动监测数据分析后调水水质超标且超标项目超标倍数≤0.2，应加强监测并人工取样做具CMA资质检测，连续72小时水质进行检测，为采购人决策提供依据。</w:t>
      </w:r>
    </w:p>
    <w:p w14:paraId="6B6255F1">
      <w:pPr>
        <w:keepNext/>
        <w:keepLines/>
        <w:spacing w:line="380" w:lineRule="exact"/>
        <w:ind w:firstLine="480" w:firstLineChars="200"/>
        <w:rPr>
          <w:rFonts w:ascii="Times New Roman" w:hAnsi="Times New Roman" w:cs="Times New Roman" w:eastAsiaTheme="minorEastAsia"/>
          <w:bCs/>
          <w:kern w:val="0"/>
          <w:sz w:val="24"/>
          <w:szCs w:val="24"/>
          <w:lang w:val="zh-CN"/>
        </w:rPr>
      </w:pPr>
      <w:r>
        <w:rPr>
          <w:rFonts w:ascii="Times New Roman" w:hAnsi="Times New Roman" w:cs="Times New Roman" w:eastAsiaTheme="minorEastAsia"/>
          <w:bCs/>
          <w:kern w:val="0"/>
          <w:sz w:val="24"/>
          <w:szCs w:val="24"/>
          <w:lang w:val="zh-CN"/>
        </w:rPr>
        <w:t>2.2.6建立水站质控档案管理制度</w:t>
      </w:r>
    </w:p>
    <w:p w14:paraId="47D77400">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水站应建立严格的质控管理档案，认真做好运维及质控情况的记录，包括水站日常数据检查情况、试剂配制情况、每周巡检的作业情况、周核查、月比对等质控测试结果、自动监测系统日常运行情况等的记录。</w:t>
      </w:r>
    </w:p>
    <w:p w14:paraId="46E5822B">
      <w:pPr>
        <w:keepNext/>
        <w:keepLines/>
        <w:spacing w:line="380" w:lineRule="exact"/>
        <w:ind w:firstLine="480" w:firstLineChars="200"/>
        <w:rPr>
          <w:rFonts w:ascii="Times New Roman" w:hAnsi="Times New Roman" w:cs="Times New Roman" w:eastAsiaTheme="minorEastAsia"/>
          <w:bCs/>
          <w:kern w:val="0"/>
          <w:sz w:val="24"/>
          <w:szCs w:val="24"/>
          <w:lang w:val="zh-CN"/>
        </w:rPr>
      </w:pPr>
      <w:r>
        <w:rPr>
          <w:rFonts w:ascii="Times New Roman" w:hAnsi="Times New Roman" w:cs="Times New Roman" w:eastAsiaTheme="minorEastAsia"/>
          <w:bCs/>
          <w:kern w:val="0"/>
          <w:sz w:val="24"/>
          <w:szCs w:val="24"/>
          <w:lang w:val="zh-CN"/>
        </w:rPr>
        <w:t>2.2.7质控报告</w:t>
      </w:r>
    </w:p>
    <w:p w14:paraId="030C40DF">
      <w:pPr>
        <w:spacing w:line="380" w:lineRule="exact"/>
        <w:ind w:firstLine="480" w:firstLineChars="200"/>
        <w:rPr>
          <w:rFonts w:ascii="Times New Roman" w:hAnsi="Times New Roman" w:cs="Times New Roman" w:eastAsiaTheme="minorEastAsia"/>
          <w:color w:val="000000"/>
          <w:kern w:val="0"/>
          <w:sz w:val="24"/>
          <w:szCs w:val="24"/>
        </w:rPr>
      </w:pPr>
      <w:r>
        <w:rPr>
          <w:rFonts w:ascii="Times New Roman" w:hAnsi="Times New Roman" w:cs="Times New Roman" w:eastAsiaTheme="minorEastAsia"/>
          <w:sz w:val="24"/>
          <w:szCs w:val="24"/>
        </w:rPr>
        <w:t>根据水站运行质控措施和实施要求的执行情况按采购人要求编制质控报告（月报、季报、年报）。</w:t>
      </w:r>
    </w:p>
    <w:p w14:paraId="4AC9830F">
      <w:pPr>
        <w:keepNext/>
        <w:keepLines/>
        <w:spacing w:line="360" w:lineRule="auto"/>
        <w:ind w:firstLine="482" w:firstLineChars="200"/>
        <w:rPr>
          <w:rFonts w:ascii="Times New Roman" w:hAnsi="Times New Roman" w:cs="Times New Roman" w:eastAsiaTheme="minorEastAsia"/>
          <w:b/>
          <w:bCs/>
          <w:kern w:val="0"/>
          <w:sz w:val="24"/>
          <w:szCs w:val="24"/>
          <w:lang w:val="zh-CN"/>
        </w:rPr>
      </w:pPr>
      <w:r>
        <w:rPr>
          <w:rFonts w:ascii="Times New Roman" w:hAnsi="Times New Roman" w:cs="Times New Roman" w:eastAsiaTheme="minorEastAsia"/>
          <w:b/>
          <w:bCs/>
          <w:kern w:val="0"/>
          <w:sz w:val="24"/>
          <w:szCs w:val="24"/>
          <w:lang w:val="zh-CN"/>
        </w:rPr>
        <w:t>2.3水站交接</w:t>
      </w:r>
    </w:p>
    <w:p w14:paraId="24D9B795">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在合同生效前成交供应商应与采购人共同对水质自动监测系统的系统运行情况，仪器运行情况，数据采集情况进行实际考察，并且做好备案。</w:t>
      </w:r>
    </w:p>
    <w:p w14:paraId="69840D30">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交接内容包括站房主体和仪器设备等整个站点资产的设备设施：</w:t>
      </w:r>
    </w:p>
    <w:p w14:paraId="38AAB7A1">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（1）站房主体符合规范要求，站房供电、通讯系统正常。</w:t>
      </w:r>
    </w:p>
    <w:p w14:paraId="4CDCF573">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（2）清点站房内外各监测仪器、辅助设备与设备，与清单一致，</w:t>
      </w:r>
    </w:p>
    <w:p w14:paraId="071CE974">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（3）水站自动监测系统运行正常，仪器性能测试合格。系统完好、运行正常。</w:t>
      </w:r>
    </w:p>
    <w:p w14:paraId="09B2EBD3">
      <w:pPr>
        <w:keepNext/>
        <w:keepLines/>
        <w:spacing w:line="360" w:lineRule="auto"/>
        <w:ind w:firstLine="482" w:firstLineChars="200"/>
        <w:rPr>
          <w:rFonts w:ascii="Times New Roman" w:hAnsi="Times New Roman" w:cs="Times New Roman" w:eastAsiaTheme="minorEastAsia"/>
          <w:b/>
          <w:bCs/>
          <w:kern w:val="0"/>
          <w:sz w:val="24"/>
          <w:szCs w:val="24"/>
          <w:lang w:val="zh-CN"/>
        </w:rPr>
      </w:pPr>
      <w:r>
        <w:rPr>
          <w:rFonts w:ascii="Times New Roman" w:hAnsi="Times New Roman" w:cs="Times New Roman" w:eastAsiaTheme="minorEastAsia"/>
          <w:b/>
          <w:bCs/>
          <w:kern w:val="0"/>
          <w:sz w:val="24"/>
          <w:szCs w:val="24"/>
          <w:lang w:val="zh-CN"/>
        </w:rPr>
        <w:t>2.4技术规范和标准</w:t>
      </w:r>
    </w:p>
    <w:p w14:paraId="10FC788F">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国家环境保护总局发布的相关水质在线监测技术标准</w:t>
      </w:r>
    </w:p>
    <w:p w14:paraId="1804AC6D">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国家标准方法和《水和废水监测分析方法》</w:t>
      </w:r>
    </w:p>
    <w:p w14:paraId="7174CE70">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《国家地表水自动监测站运行管理办法》</w:t>
      </w:r>
    </w:p>
    <w:p w14:paraId="7F087131">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《环境水质监测质量保证手册》</w:t>
      </w:r>
    </w:p>
    <w:p w14:paraId="7DAFD6EC">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《地表水环境质量标准》（GB3838-2002）</w:t>
      </w:r>
    </w:p>
    <w:p w14:paraId="4CFD7E04">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《地表水和污水监测技术规范》（HJ/T91-2002 ）</w:t>
      </w:r>
    </w:p>
    <w:p w14:paraId="1FF44D3F">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《水质河流采样技术指导》（HJ/T52-1999）</w:t>
      </w:r>
    </w:p>
    <w:p w14:paraId="3760BF0D">
      <w:pPr>
        <w:spacing w:line="38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《地表水水质自动监测站（常规五参数、CODMn、NH</w:t>
      </w:r>
      <w:r>
        <w:rPr>
          <w:rFonts w:ascii="Times New Roman" w:hAnsi="Times New Roman" w:cs="Times New Roman" w:eastAsiaTheme="minorEastAsia"/>
          <w:bCs/>
          <w:sz w:val="24"/>
          <w:szCs w:val="24"/>
          <w:vertAlign w:val="subscript"/>
        </w:rPr>
        <w:t>3</w:t>
      </w:r>
      <w:r>
        <w:rPr>
          <w:rFonts w:ascii="Times New Roman" w:hAnsi="Times New Roman" w:cs="Times New Roman" w:eastAsiaTheme="minorEastAsia"/>
          <w:bCs/>
          <w:sz w:val="24"/>
          <w:szCs w:val="24"/>
        </w:rPr>
        <w:t>N、TP、TN）运行维护技术规范》（HJ 915.3—2024）</w:t>
      </w:r>
    </w:p>
    <w:p w14:paraId="1B75BFD2">
      <w:pPr>
        <w:widowControl/>
        <w:spacing w:line="360" w:lineRule="auto"/>
        <w:ind w:firstLine="482" w:firstLineChars="200"/>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3.水质</w:t>
      </w:r>
      <w:r>
        <w:rPr>
          <w:rFonts w:hint="eastAsia" w:ascii="Times New Roman" w:hAnsi="Times New Roman" w:eastAsia="宋体" w:cs="Times New Roman"/>
          <w:b/>
          <w:bCs/>
          <w:kern w:val="0"/>
          <w:sz w:val="24"/>
          <w:szCs w:val="24"/>
        </w:rPr>
        <w:t>检测</w:t>
      </w:r>
      <w:r>
        <w:rPr>
          <w:rFonts w:ascii="Times New Roman" w:hAnsi="Times New Roman" w:eastAsia="宋体" w:cs="Times New Roman"/>
          <w:b/>
          <w:bCs/>
          <w:kern w:val="0"/>
          <w:sz w:val="24"/>
          <w:szCs w:val="24"/>
        </w:rPr>
        <w:t>设备更新</w:t>
      </w:r>
    </w:p>
    <w:p w14:paraId="5B87D1F3">
      <w:pPr>
        <w:widowControl/>
        <w:spacing w:line="360" w:lineRule="auto"/>
        <w:ind w:firstLine="482" w:firstLineChars="200"/>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 xml:space="preserve">3.1 </w:t>
      </w:r>
      <w:r>
        <w:rPr>
          <w:rFonts w:hint="eastAsia" w:ascii="Times New Roman" w:hAnsi="Times New Roman" w:eastAsia="宋体" w:cs="Times New Roman"/>
          <w:b/>
          <w:bCs/>
          <w:kern w:val="0"/>
          <w:sz w:val="24"/>
          <w:szCs w:val="24"/>
        </w:rPr>
        <w:t>采购</w:t>
      </w:r>
      <w:r>
        <w:rPr>
          <w:rFonts w:ascii="Times New Roman" w:hAnsi="Times New Roman" w:eastAsia="宋体" w:cs="Times New Roman"/>
          <w:b/>
          <w:bCs/>
          <w:kern w:val="0"/>
          <w:sz w:val="24"/>
          <w:szCs w:val="24"/>
        </w:rPr>
        <w:t xml:space="preserve">需求 </w:t>
      </w:r>
    </w:p>
    <w:p w14:paraId="0DCF70E0">
      <w:pPr>
        <w:widowControl/>
        <w:spacing w:line="38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安徽省淮水北调工程水质自动监测站建成于</w:t>
      </w:r>
      <w:r>
        <w:rPr>
          <w:rFonts w:hint="eastAsia" w:ascii="Times New Roman" w:hAnsi="Times New Roman" w:eastAsia="宋体" w:cs="Times New Roman"/>
          <w:kern w:val="0"/>
          <w:sz w:val="24"/>
          <w:szCs w:val="24"/>
        </w:rPr>
        <w:t>2017年，各类设备使用年限已逐渐接近其使用寿命，水质分析仪表及其他设备故障频发，且因电子产品更新换代较快，面临配件停产无法维修的困境。为保障水质监测需求</w:t>
      </w:r>
      <w:r>
        <w:rPr>
          <w:rFonts w:ascii="Times New Roman" w:hAnsi="Times New Roman" w:eastAsia="宋体" w:cs="Times New Roman"/>
          <w:kern w:val="0"/>
          <w:sz w:val="24"/>
          <w:szCs w:val="24"/>
        </w:rPr>
        <w:t>，现对</w:t>
      </w:r>
      <w:r>
        <w:rPr>
          <w:rFonts w:hint="eastAsia" w:ascii="Times New Roman" w:hAnsi="Times New Roman" w:eastAsia="宋体" w:cs="Times New Roman"/>
          <w:kern w:val="0"/>
          <w:sz w:val="24"/>
          <w:szCs w:val="24"/>
        </w:rPr>
        <w:t>何巷、四铺</w:t>
      </w:r>
      <w:r>
        <w:rPr>
          <w:rFonts w:ascii="Times New Roman" w:hAnsi="Times New Roman" w:eastAsia="宋体" w:cs="Times New Roman"/>
          <w:kern w:val="0"/>
          <w:sz w:val="24"/>
          <w:szCs w:val="24"/>
        </w:rPr>
        <w:t>站点部分水质监测设备进行更新，在使用已有测站采水、配水等通用设施的基础上，采购安装一批9参数水质自动在线分析仪表及其</w:t>
      </w:r>
      <w:r>
        <w:rPr>
          <w:rFonts w:hint="eastAsia" w:ascii="Times New Roman" w:hAnsi="Times New Roman" w:eastAsia="宋体" w:cs="Times New Roman"/>
          <w:kern w:val="0"/>
          <w:sz w:val="24"/>
          <w:szCs w:val="24"/>
        </w:rPr>
        <w:t>附</w:t>
      </w:r>
      <w:r>
        <w:rPr>
          <w:rFonts w:ascii="Times New Roman" w:hAnsi="Times New Roman" w:eastAsia="宋体" w:cs="Times New Roman"/>
          <w:kern w:val="0"/>
          <w:sz w:val="24"/>
          <w:szCs w:val="24"/>
        </w:rPr>
        <w:t>件（详见工程量清单），维持现有监测站</w:t>
      </w:r>
      <w:r>
        <w:rPr>
          <w:rFonts w:hint="eastAsia" w:ascii="Times New Roman" w:hAnsi="Times New Roman" w:eastAsia="宋体" w:cs="Times New Roman"/>
          <w:kern w:val="0"/>
          <w:sz w:val="24"/>
          <w:szCs w:val="24"/>
        </w:rPr>
        <w:t>使用功能。</w:t>
      </w:r>
    </w:p>
    <w:p w14:paraId="1C5D701F">
      <w:pPr>
        <w:widowControl/>
        <w:spacing w:line="380" w:lineRule="exact"/>
        <w:ind w:firstLine="482" w:firstLineChars="200"/>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3</w:t>
      </w:r>
      <w:r>
        <w:rPr>
          <w:rFonts w:ascii="Times New Roman" w:hAnsi="Times New Roman" w:eastAsia="宋体" w:cs="Times New Roman"/>
          <w:b/>
          <w:bCs/>
          <w:kern w:val="0"/>
          <w:sz w:val="24"/>
          <w:szCs w:val="24"/>
        </w:rPr>
        <w:t xml:space="preserve">.2 项目范围 </w:t>
      </w:r>
    </w:p>
    <w:p w14:paraId="2E136D96">
      <w:pPr>
        <w:widowControl/>
        <w:spacing w:line="38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包括9参数水质自动在线分析仪表及其</w:t>
      </w:r>
      <w:r>
        <w:rPr>
          <w:rFonts w:hint="eastAsia" w:ascii="Times New Roman" w:hAnsi="Times New Roman" w:eastAsia="宋体" w:cs="Times New Roman"/>
          <w:kern w:val="0"/>
          <w:sz w:val="24"/>
          <w:szCs w:val="24"/>
        </w:rPr>
        <w:t>附</w:t>
      </w:r>
      <w:r>
        <w:rPr>
          <w:rFonts w:ascii="Times New Roman" w:hAnsi="Times New Roman" w:eastAsia="宋体" w:cs="Times New Roman"/>
          <w:kern w:val="0"/>
          <w:sz w:val="24"/>
          <w:szCs w:val="24"/>
        </w:rPr>
        <w:t>件的</w:t>
      </w:r>
      <w:r>
        <w:rPr>
          <w:rFonts w:ascii="Times New Roman" w:hAnsi="Times New Roman" w:eastAsia="宋体" w:cs="Times New Roman"/>
          <w:bCs/>
          <w:kern w:val="0"/>
          <w:sz w:val="24"/>
          <w:szCs w:val="24"/>
        </w:rPr>
        <w:t>供应、安装、比测调试、试运行、验收及售后服务</w:t>
      </w:r>
      <w:r>
        <w:rPr>
          <w:rFonts w:ascii="Times New Roman" w:hAnsi="Times New Roman" w:eastAsia="宋体" w:cs="Times New Roman"/>
          <w:kern w:val="0"/>
          <w:sz w:val="24"/>
          <w:szCs w:val="24"/>
        </w:rPr>
        <w:t>等全部内容。供应商需提供符合本技术要求的全新设备及附件，并负责完成</w:t>
      </w:r>
      <w:r>
        <w:rPr>
          <w:rFonts w:hint="eastAsia" w:ascii="Times New Roman" w:hAnsi="Times New Roman" w:eastAsia="宋体" w:cs="Times New Roman"/>
          <w:kern w:val="0"/>
          <w:sz w:val="24"/>
          <w:szCs w:val="24"/>
        </w:rPr>
        <w:t>安装</w:t>
      </w:r>
      <w:r>
        <w:rPr>
          <w:rFonts w:ascii="Times New Roman" w:hAnsi="Times New Roman" w:eastAsia="宋体" w:cs="Times New Roman"/>
          <w:kern w:val="0"/>
          <w:sz w:val="24"/>
          <w:szCs w:val="24"/>
        </w:rPr>
        <w:t>调试与全年的运维技术支持。</w:t>
      </w:r>
    </w:p>
    <w:p w14:paraId="3C4C1B1D">
      <w:pPr>
        <w:widowControl/>
        <w:spacing w:line="380" w:lineRule="exact"/>
        <w:ind w:firstLine="482" w:firstLineChars="200"/>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3</w:t>
      </w:r>
      <w:r>
        <w:rPr>
          <w:rFonts w:ascii="Times New Roman" w:hAnsi="Times New Roman" w:eastAsia="宋体" w:cs="Times New Roman"/>
          <w:b/>
          <w:bCs/>
          <w:kern w:val="0"/>
          <w:sz w:val="24"/>
          <w:szCs w:val="24"/>
        </w:rPr>
        <w:t xml:space="preserve">.3 监测参数要求 </w:t>
      </w:r>
    </w:p>
    <w:p w14:paraId="17001A3B">
      <w:pPr>
        <w:widowControl/>
        <w:spacing w:line="38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水站需同时监测以下</w:t>
      </w:r>
      <w:r>
        <w:rPr>
          <w:rFonts w:ascii="Times New Roman" w:hAnsi="Times New Roman" w:eastAsia="宋体" w:cs="Times New Roman"/>
          <w:bCs/>
          <w:kern w:val="0"/>
          <w:sz w:val="24"/>
          <w:szCs w:val="24"/>
        </w:rPr>
        <w:t>9项关键水质参数</w:t>
      </w:r>
      <w:r>
        <w:rPr>
          <w:rFonts w:ascii="Times New Roman" w:hAnsi="Times New Roman" w:eastAsia="宋体" w:cs="Times New Roman"/>
          <w:kern w:val="0"/>
          <w:sz w:val="24"/>
          <w:szCs w:val="24"/>
        </w:rPr>
        <w:t>：</w:t>
      </w:r>
    </w:p>
    <w:p w14:paraId="5C598E77">
      <w:pPr>
        <w:widowControl/>
        <w:numPr>
          <w:ilvl w:val="0"/>
          <w:numId w:val="2"/>
        </w:numPr>
        <w:spacing w:line="380" w:lineRule="exact"/>
        <w:ind w:left="0" w:firstLine="480" w:firstLineChars="200"/>
        <w:rPr>
          <w:rFonts w:ascii="Times New Roman" w:hAnsi="Times New Roman" w:eastAsia="宋体" w:cs="Times New Roman"/>
          <w:kern w:val="0"/>
          <w:sz w:val="24"/>
          <w:szCs w:val="24"/>
        </w:rPr>
      </w:pPr>
      <w:r>
        <w:rPr>
          <w:rFonts w:ascii="Times New Roman" w:hAnsi="Times New Roman" w:eastAsia="宋体" w:cs="Times New Roman"/>
          <w:bCs/>
          <w:kern w:val="0"/>
          <w:sz w:val="24"/>
          <w:szCs w:val="24"/>
        </w:rPr>
        <w:t>常规五参数</w:t>
      </w:r>
      <w:r>
        <w:rPr>
          <w:rFonts w:ascii="Times New Roman" w:hAnsi="Times New Roman" w:eastAsia="宋体" w:cs="Times New Roman"/>
          <w:kern w:val="0"/>
          <w:sz w:val="24"/>
          <w:szCs w:val="24"/>
        </w:rPr>
        <w:t>：水温、pH、溶解氧、电导率、浊度</w:t>
      </w:r>
    </w:p>
    <w:p w14:paraId="2B366449">
      <w:pPr>
        <w:widowControl/>
        <w:numPr>
          <w:ilvl w:val="0"/>
          <w:numId w:val="2"/>
        </w:numPr>
        <w:spacing w:line="380" w:lineRule="exact"/>
        <w:ind w:left="0" w:firstLine="480" w:firstLineChars="200"/>
        <w:rPr>
          <w:rFonts w:ascii="Times New Roman" w:hAnsi="Times New Roman" w:eastAsia="宋体" w:cs="Times New Roman"/>
          <w:kern w:val="0"/>
          <w:sz w:val="24"/>
          <w:szCs w:val="24"/>
        </w:rPr>
      </w:pPr>
      <w:r>
        <w:rPr>
          <w:rFonts w:ascii="Times New Roman" w:hAnsi="Times New Roman" w:eastAsia="宋体" w:cs="Times New Roman"/>
          <w:bCs/>
          <w:kern w:val="0"/>
          <w:sz w:val="24"/>
          <w:szCs w:val="24"/>
        </w:rPr>
        <w:t>营养盐指标</w:t>
      </w:r>
      <w:r>
        <w:rPr>
          <w:rFonts w:ascii="Times New Roman" w:hAnsi="Times New Roman" w:eastAsia="宋体" w:cs="Times New Roman"/>
          <w:kern w:val="0"/>
          <w:sz w:val="24"/>
          <w:szCs w:val="24"/>
        </w:rPr>
        <w:t>：高锰酸盐指数（CODMn）、氨氮（NH3-N）、总磷（TP）、总氮（TN）</w:t>
      </w:r>
    </w:p>
    <w:p w14:paraId="00F16B13">
      <w:pPr>
        <w:widowControl/>
        <w:spacing w:line="360" w:lineRule="auto"/>
        <w:ind w:firstLine="482" w:firstLineChars="200"/>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3.4</w:t>
      </w:r>
      <w:r>
        <w:rPr>
          <w:rFonts w:ascii="Times New Roman" w:hAnsi="Times New Roman" w:eastAsia="宋体" w:cs="Times New Roman"/>
          <w:b/>
          <w:bCs/>
          <w:kern w:val="0"/>
          <w:sz w:val="24"/>
          <w:szCs w:val="24"/>
        </w:rPr>
        <w:t xml:space="preserve"> 技术与性能要求 </w:t>
      </w:r>
    </w:p>
    <w:p w14:paraId="44E600E0">
      <w:pPr>
        <w:widowControl/>
        <w:spacing w:line="380" w:lineRule="exact"/>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3.4.1</w:t>
      </w:r>
      <w:r>
        <w:rPr>
          <w:rFonts w:ascii="Times New Roman" w:hAnsi="Times New Roman" w:eastAsia="宋体" w:cs="Times New Roman"/>
          <w:bCs/>
          <w:kern w:val="0"/>
          <w:sz w:val="24"/>
          <w:szCs w:val="24"/>
        </w:rPr>
        <w:t xml:space="preserve"> 整体技术要求 </w:t>
      </w:r>
    </w:p>
    <w:p w14:paraId="16C4149C">
      <w:pPr>
        <w:widowControl/>
        <w:spacing w:line="38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设备应满足</w:t>
      </w:r>
      <w:r>
        <w:rPr>
          <w:rFonts w:ascii="Times New Roman" w:hAnsi="Times New Roman" w:eastAsia="宋体" w:cs="Times New Roman"/>
          <w:bCs/>
          <w:kern w:val="0"/>
          <w:sz w:val="24"/>
          <w:szCs w:val="24"/>
        </w:rPr>
        <w:t>无人值守</w:t>
      </w:r>
      <w:r>
        <w:rPr>
          <w:rFonts w:ascii="Times New Roman" w:hAnsi="Times New Roman" w:eastAsia="宋体" w:cs="Times New Roman"/>
          <w:kern w:val="0"/>
          <w:sz w:val="24"/>
          <w:szCs w:val="24"/>
        </w:rPr>
        <w:t>运行要求，具备远程监控、故障诊断和智能报警功能，最大维护周期不低于30天。整机平均无故障时间（MTBF）≥720小时，有效数据率≥95%。</w:t>
      </w:r>
    </w:p>
    <w:p w14:paraId="07C4A701">
      <w:pPr>
        <w:widowControl/>
        <w:spacing w:line="380" w:lineRule="exact"/>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3.4.2</w:t>
      </w:r>
      <w:r>
        <w:rPr>
          <w:rFonts w:ascii="Times New Roman" w:hAnsi="Times New Roman" w:eastAsia="宋体" w:cs="Times New Roman"/>
          <w:bCs/>
          <w:kern w:val="0"/>
          <w:sz w:val="24"/>
          <w:szCs w:val="24"/>
        </w:rPr>
        <w:t xml:space="preserve"> 各参数性能指标 </w:t>
      </w:r>
    </w:p>
    <w:p w14:paraId="008EF29E">
      <w:pPr>
        <w:widowControl/>
        <w:spacing w:line="380" w:lineRule="exact"/>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3.4.2.1</w:t>
      </w:r>
      <w:r>
        <w:rPr>
          <w:rFonts w:ascii="Times New Roman" w:hAnsi="Times New Roman" w:eastAsia="宋体" w:cs="Times New Roman"/>
          <w:bCs/>
          <w:kern w:val="0"/>
          <w:sz w:val="24"/>
          <w:szCs w:val="24"/>
        </w:rPr>
        <w:t xml:space="preserve"> 常规五参数性能指标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8"/>
        <w:gridCol w:w="2040"/>
        <w:gridCol w:w="1728"/>
        <w:gridCol w:w="1476"/>
        <w:gridCol w:w="1596"/>
      </w:tblGrid>
      <w:tr w14:paraId="5F87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88" w:type="dxa"/>
            <w:vAlign w:val="center"/>
          </w:tcPr>
          <w:p w14:paraId="20A477C3">
            <w:pPr>
              <w:widowControl/>
              <w:spacing w:line="240" w:lineRule="exact"/>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参数</w:t>
            </w:r>
            <w:r>
              <w:rPr>
                <w:rFonts w:ascii="Times New Roman" w:hAnsi="Times New Roman" w:eastAsia="MS Mincho" w:cs="Times New Roman"/>
                <w:b/>
                <w:bCs/>
                <w:kern w:val="0"/>
                <w:szCs w:val="21"/>
              </w:rPr>
              <w:t>​</w:t>
            </w:r>
          </w:p>
        </w:tc>
        <w:tc>
          <w:tcPr>
            <w:tcW w:w="2040" w:type="dxa"/>
            <w:vAlign w:val="center"/>
          </w:tcPr>
          <w:p w14:paraId="3DD6E911">
            <w:pPr>
              <w:widowControl/>
              <w:spacing w:line="240" w:lineRule="exact"/>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测量方法</w:t>
            </w:r>
            <w:r>
              <w:rPr>
                <w:rFonts w:ascii="Times New Roman" w:hAnsi="Times New Roman" w:eastAsia="MS Mincho" w:cs="Times New Roman"/>
                <w:b/>
                <w:bCs/>
                <w:kern w:val="0"/>
                <w:szCs w:val="21"/>
              </w:rPr>
              <w:t>​</w:t>
            </w:r>
          </w:p>
        </w:tc>
        <w:tc>
          <w:tcPr>
            <w:tcW w:w="1728" w:type="dxa"/>
            <w:vAlign w:val="center"/>
          </w:tcPr>
          <w:p w14:paraId="2941E368">
            <w:pPr>
              <w:widowControl/>
              <w:spacing w:line="240" w:lineRule="exact"/>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测量范围</w:t>
            </w:r>
            <w:r>
              <w:rPr>
                <w:rFonts w:ascii="Times New Roman" w:hAnsi="Times New Roman" w:eastAsia="MS Mincho" w:cs="Times New Roman"/>
                <w:b/>
                <w:bCs/>
                <w:kern w:val="0"/>
                <w:szCs w:val="21"/>
              </w:rPr>
              <w:t>​</w:t>
            </w:r>
          </w:p>
        </w:tc>
        <w:tc>
          <w:tcPr>
            <w:tcW w:w="1476" w:type="dxa"/>
            <w:vAlign w:val="center"/>
          </w:tcPr>
          <w:p w14:paraId="51D73985">
            <w:pPr>
              <w:widowControl/>
              <w:spacing w:line="240" w:lineRule="exact"/>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示值误差</w:t>
            </w:r>
            <w:r>
              <w:rPr>
                <w:rFonts w:ascii="Times New Roman" w:hAnsi="Times New Roman" w:eastAsia="MS Mincho" w:cs="Times New Roman"/>
                <w:b/>
                <w:bCs/>
                <w:kern w:val="0"/>
                <w:szCs w:val="21"/>
              </w:rPr>
              <w:t>​</w:t>
            </w:r>
          </w:p>
        </w:tc>
        <w:tc>
          <w:tcPr>
            <w:tcW w:w="1596" w:type="dxa"/>
            <w:vAlign w:val="center"/>
          </w:tcPr>
          <w:p w14:paraId="210E7A6F">
            <w:pPr>
              <w:widowControl/>
              <w:spacing w:line="240" w:lineRule="exact"/>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精密度</w:t>
            </w:r>
            <w:r>
              <w:rPr>
                <w:rFonts w:ascii="Times New Roman" w:hAnsi="Times New Roman" w:eastAsia="MS Mincho" w:cs="Times New Roman"/>
                <w:b/>
                <w:bCs/>
                <w:kern w:val="0"/>
                <w:szCs w:val="21"/>
              </w:rPr>
              <w:t>​</w:t>
            </w:r>
          </w:p>
        </w:tc>
      </w:tr>
      <w:tr w14:paraId="46BFC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88" w:type="dxa"/>
            <w:vAlign w:val="center"/>
          </w:tcPr>
          <w:p w14:paraId="3F19A84D">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水温</w:t>
            </w:r>
          </w:p>
        </w:tc>
        <w:tc>
          <w:tcPr>
            <w:tcW w:w="2040" w:type="dxa"/>
            <w:vAlign w:val="center"/>
          </w:tcPr>
          <w:p w14:paraId="4B270ED8">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热电阻电极法</w:t>
            </w:r>
          </w:p>
        </w:tc>
        <w:tc>
          <w:tcPr>
            <w:tcW w:w="1728" w:type="dxa"/>
            <w:vAlign w:val="center"/>
          </w:tcPr>
          <w:p w14:paraId="3D8BC288">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0～50℃</w:t>
            </w:r>
          </w:p>
        </w:tc>
        <w:tc>
          <w:tcPr>
            <w:tcW w:w="1476" w:type="dxa"/>
            <w:vAlign w:val="center"/>
          </w:tcPr>
          <w:p w14:paraId="038B1DA1">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±0.5℃</w:t>
            </w:r>
          </w:p>
        </w:tc>
        <w:tc>
          <w:tcPr>
            <w:tcW w:w="1596" w:type="dxa"/>
            <w:vAlign w:val="center"/>
          </w:tcPr>
          <w:p w14:paraId="6A887E78">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r>
      <w:tr w14:paraId="454E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88" w:type="dxa"/>
            <w:vAlign w:val="center"/>
          </w:tcPr>
          <w:p w14:paraId="0A47FB5F">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pH</w:t>
            </w:r>
          </w:p>
        </w:tc>
        <w:tc>
          <w:tcPr>
            <w:tcW w:w="2040" w:type="dxa"/>
            <w:vAlign w:val="center"/>
          </w:tcPr>
          <w:p w14:paraId="4228A125">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玻璃电极法</w:t>
            </w:r>
          </w:p>
        </w:tc>
        <w:tc>
          <w:tcPr>
            <w:tcW w:w="1728" w:type="dxa"/>
            <w:vAlign w:val="center"/>
          </w:tcPr>
          <w:p w14:paraId="56B6C111">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0～14</w:t>
            </w:r>
          </w:p>
        </w:tc>
        <w:tc>
          <w:tcPr>
            <w:tcW w:w="1476" w:type="dxa"/>
            <w:vAlign w:val="center"/>
          </w:tcPr>
          <w:p w14:paraId="3E592905">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±0.1pH</w:t>
            </w:r>
          </w:p>
        </w:tc>
        <w:tc>
          <w:tcPr>
            <w:tcW w:w="1596" w:type="dxa"/>
            <w:vAlign w:val="center"/>
          </w:tcPr>
          <w:p w14:paraId="23C67ED8">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≤0.1pH</w:t>
            </w:r>
          </w:p>
        </w:tc>
      </w:tr>
      <w:tr w14:paraId="45B53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88" w:type="dxa"/>
            <w:vAlign w:val="center"/>
          </w:tcPr>
          <w:p w14:paraId="389D8D58">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溶解氧</w:t>
            </w:r>
          </w:p>
        </w:tc>
        <w:tc>
          <w:tcPr>
            <w:tcW w:w="2040" w:type="dxa"/>
            <w:vAlign w:val="center"/>
          </w:tcPr>
          <w:p w14:paraId="43644719">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荧光猝灭法</w:t>
            </w:r>
          </w:p>
        </w:tc>
        <w:tc>
          <w:tcPr>
            <w:tcW w:w="1728" w:type="dxa"/>
            <w:vAlign w:val="center"/>
          </w:tcPr>
          <w:p w14:paraId="68442DD4">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0～20mg/L</w:t>
            </w:r>
          </w:p>
        </w:tc>
        <w:tc>
          <w:tcPr>
            <w:tcW w:w="1476" w:type="dxa"/>
            <w:vAlign w:val="center"/>
          </w:tcPr>
          <w:p w14:paraId="36F7CDE7">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≤5%</w:t>
            </w:r>
          </w:p>
        </w:tc>
        <w:tc>
          <w:tcPr>
            <w:tcW w:w="1596" w:type="dxa"/>
            <w:vAlign w:val="center"/>
          </w:tcPr>
          <w:p w14:paraId="4B083520">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≤5%</w:t>
            </w:r>
          </w:p>
        </w:tc>
      </w:tr>
      <w:tr w14:paraId="2877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88" w:type="dxa"/>
            <w:vAlign w:val="center"/>
          </w:tcPr>
          <w:p w14:paraId="0C1731BC">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电导率</w:t>
            </w:r>
          </w:p>
        </w:tc>
        <w:tc>
          <w:tcPr>
            <w:tcW w:w="2040" w:type="dxa"/>
            <w:vAlign w:val="center"/>
          </w:tcPr>
          <w:p w14:paraId="582C1855">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四线制电极法</w:t>
            </w:r>
          </w:p>
        </w:tc>
        <w:tc>
          <w:tcPr>
            <w:tcW w:w="1728" w:type="dxa"/>
            <w:vAlign w:val="center"/>
          </w:tcPr>
          <w:p w14:paraId="304078FB">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0～500ms/m</w:t>
            </w:r>
          </w:p>
        </w:tc>
        <w:tc>
          <w:tcPr>
            <w:tcW w:w="1476" w:type="dxa"/>
            <w:vAlign w:val="center"/>
          </w:tcPr>
          <w:p w14:paraId="3A82276F">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1596" w:type="dxa"/>
            <w:vAlign w:val="center"/>
          </w:tcPr>
          <w:p w14:paraId="4E0E4390">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r>
      <w:tr w14:paraId="11E60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88" w:type="dxa"/>
            <w:vAlign w:val="center"/>
          </w:tcPr>
          <w:p w14:paraId="0BE7C41D">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浊度</w:t>
            </w:r>
          </w:p>
        </w:tc>
        <w:tc>
          <w:tcPr>
            <w:tcW w:w="2040" w:type="dxa"/>
            <w:vAlign w:val="center"/>
          </w:tcPr>
          <w:p w14:paraId="63A2D18E">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90度散射光法</w:t>
            </w:r>
          </w:p>
        </w:tc>
        <w:tc>
          <w:tcPr>
            <w:tcW w:w="1728" w:type="dxa"/>
            <w:vAlign w:val="center"/>
          </w:tcPr>
          <w:p w14:paraId="78B844D3">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0～1000NTU</w:t>
            </w:r>
          </w:p>
        </w:tc>
        <w:tc>
          <w:tcPr>
            <w:tcW w:w="1476" w:type="dxa"/>
            <w:vAlign w:val="center"/>
          </w:tcPr>
          <w:p w14:paraId="54E533CF">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±5%</w:t>
            </w:r>
          </w:p>
        </w:tc>
        <w:tc>
          <w:tcPr>
            <w:tcW w:w="1596" w:type="dxa"/>
            <w:vAlign w:val="center"/>
          </w:tcPr>
          <w:p w14:paraId="14345AA5">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≤5%</w:t>
            </w:r>
          </w:p>
        </w:tc>
      </w:tr>
    </w:tbl>
    <w:p w14:paraId="677A79F8">
      <w:pPr>
        <w:widowControl/>
        <w:spacing w:line="380" w:lineRule="exact"/>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3.4.2.2</w:t>
      </w:r>
      <w:r>
        <w:rPr>
          <w:rFonts w:ascii="Times New Roman" w:hAnsi="Times New Roman" w:eastAsia="宋体" w:cs="Times New Roman"/>
          <w:bCs/>
          <w:kern w:val="0"/>
          <w:sz w:val="24"/>
          <w:szCs w:val="24"/>
        </w:rPr>
        <w:t xml:space="preserve"> 营养盐指标性能指标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2127"/>
        <w:gridCol w:w="1836"/>
        <w:gridCol w:w="1288"/>
        <w:gridCol w:w="992"/>
        <w:gridCol w:w="881"/>
      </w:tblGrid>
      <w:tr w14:paraId="78073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86" w:type="dxa"/>
            <w:vAlign w:val="center"/>
          </w:tcPr>
          <w:p w14:paraId="60474816">
            <w:pPr>
              <w:widowControl/>
              <w:spacing w:line="240" w:lineRule="exact"/>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参数</w:t>
            </w:r>
            <w:r>
              <w:rPr>
                <w:rFonts w:ascii="Times New Roman" w:hAnsi="Times New Roman" w:eastAsia="MS Mincho" w:cs="Times New Roman"/>
                <w:b/>
                <w:bCs/>
                <w:kern w:val="0"/>
                <w:szCs w:val="21"/>
              </w:rPr>
              <w:t>​</w:t>
            </w:r>
          </w:p>
        </w:tc>
        <w:tc>
          <w:tcPr>
            <w:tcW w:w="2127" w:type="dxa"/>
            <w:vAlign w:val="center"/>
          </w:tcPr>
          <w:p w14:paraId="5DDCAA4A">
            <w:pPr>
              <w:widowControl/>
              <w:spacing w:line="240" w:lineRule="exact"/>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测量方法</w:t>
            </w:r>
            <w:r>
              <w:rPr>
                <w:rFonts w:ascii="Times New Roman" w:hAnsi="Times New Roman" w:eastAsia="MS Mincho" w:cs="Times New Roman"/>
                <w:b/>
                <w:bCs/>
                <w:kern w:val="0"/>
                <w:szCs w:val="21"/>
              </w:rPr>
              <w:t>​</w:t>
            </w:r>
          </w:p>
        </w:tc>
        <w:tc>
          <w:tcPr>
            <w:tcW w:w="1836" w:type="dxa"/>
            <w:vAlign w:val="center"/>
          </w:tcPr>
          <w:p w14:paraId="45A5BC71">
            <w:pPr>
              <w:widowControl/>
              <w:spacing w:line="240" w:lineRule="exact"/>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测量范围</w:t>
            </w:r>
            <w:r>
              <w:rPr>
                <w:rFonts w:ascii="Times New Roman" w:hAnsi="Times New Roman" w:eastAsia="MS Mincho" w:cs="Times New Roman"/>
                <w:b/>
                <w:bCs/>
                <w:kern w:val="0"/>
                <w:szCs w:val="21"/>
              </w:rPr>
              <w:t>​</w:t>
            </w:r>
          </w:p>
        </w:tc>
        <w:tc>
          <w:tcPr>
            <w:tcW w:w="1288" w:type="dxa"/>
            <w:vAlign w:val="center"/>
          </w:tcPr>
          <w:p w14:paraId="678D3EA8">
            <w:pPr>
              <w:widowControl/>
              <w:spacing w:line="240" w:lineRule="exact"/>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检出限</w:t>
            </w:r>
            <w:r>
              <w:rPr>
                <w:rFonts w:ascii="Times New Roman" w:hAnsi="Times New Roman" w:eastAsia="MS Mincho" w:cs="Times New Roman"/>
                <w:b/>
                <w:bCs/>
                <w:kern w:val="0"/>
                <w:szCs w:val="21"/>
              </w:rPr>
              <w:t>​</w:t>
            </w:r>
          </w:p>
        </w:tc>
        <w:tc>
          <w:tcPr>
            <w:tcW w:w="992" w:type="dxa"/>
            <w:vAlign w:val="center"/>
          </w:tcPr>
          <w:p w14:paraId="14AB06F4">
            <w:pPr>
              <w:widowControl/>
              <w:spacing w:line="240" w:lineRule="exact"/>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示值</w:t>
            </w:r>
          </w:p>
          <w:p w14:paraId="2C03668F">
            <w:pPr>
              <w:widowControl/>
              <w:spacing w:line="240" w:lineRule="exact"/>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误差</w:t>
            </w:r>
            <w:r>
              <w:rPr>
                <w:rFonts w:ascii="Times New Roman" w:hAnsi="Times New Roman" w:eastAsia="MS Mincho" w:cs="Times New Roman"/>
                <w:b/>
                <w:bCs/>
                <w:kern w:val="0"/>
                <w:szCs w:val="21"/>
              </w:rPr>
              <w:t>​</w:t>
            </w:r>
          </w:p>
        </w:tc>
        <w:tc>
          <w:tcPr>
            <w:tcW w:w="881" w:type="dxa"/>
            <w:vAlign w:val="center"/>
          </w:tcPr>
          <w:p w14:paraId="09F7C99C">
            <w:pPr>
              <w:widowControl/>
              <w:spacing w:line="240" w:lineRule="exact"/>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精密度</w:t>
            </w:r>
            <w:r>
              <w:rPr>
                <w:rFonts w:ascii="Times New Roman" w:hAnsi="Times New Roman" w:eastAsia="MS Mincho" w:cs="Times New Roman"/>
                <w:b/>
                <w:bCs/>
                <w:kern w:val="0"/>
                <w:szCs w:val="21"/>
              </w:rPr>
              <w:t>​</w:t>
            </w:r>
          </w:p>
        </w:tc>
      </w:tr>
      <w:tr w14:paraId="70005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86" w:type="dxa"/>
            <w:vAlign w:val="center"/>
          </w:tcPr>
          <w:p w14:paraId="4750FE18">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高锰酸盐指数</w:t>
            </w:r>
          </w:p>
        </w:tc>
        <w:tc>
          <w:tcPr>
            <w:tcW w:w="2127" w:type="dxa"/>
            <w:vAlign w:val="center"/>
          </w:tcPr>
          <w:p w14:paraId="380D74F3">
            <w:pPr>
              <w:widowControl/>
              <w:spacing w:line="240" w:lineRule="exact"/>
              <w:rPr>
                <w:rFonts w:ascii="Times New Roman" w:hAnsi="Times New Roman" w:eastAsia="宋体" w:cs="Times New Roman"/>
                <w:kern w:val="0"/>
                <w:szCs w:val="21"/>
              </w:rPr>
            </w:pPr>
            <w:r>
              <w:rPr>
                <w:rFonts w:ascii="Times New Roman" w:hAnsi="Times New Roman" w:eastAsia="宋体" w:cs="Times New Roman"/>
                <w:kern w:val="0"/>
                <w:szCs w:val="21"/>
              </w:rPr>
              <w:t>高锰酸钾氧化滴定法/分光光度法</w:t>
            </w:r>
          </w:p>
        </w:tc>
        <w:tc>
          <w:tcPr>
            <w:tcW w:w="1836" w:type="dxa"/>
            <w:vAlign w:val="center"/>
          </w:tcPr>
          <w:p w14:paraId="4C71BC67">
            <w:pPr>
              <w:widowControl/>
              <w:spacing w:line="240" w:lineRule="exact"/>
              <w:rPr>
                <w:rFonts w:ascii="Times New Roman" w:hAnsi="Times New Roman" w:eastAsia="宋体" w:cs="Times New Roman"/>
                <w:kern w:val="0"/>
                <w:szCs w:val="21"/>
              </w:rPr>
            </w:pPr>
            <w:r>
              <w:rPr>
                <w:rFonts w:ascii="Times New Roman" w:hAnsi="Times New Roman" w:eastAsia="宋体" w:cs="Times New Roman"/>
                <w:kern w:val="0"/>
                <w:szCs w:val="21"/>
              </w:rPr>
              <w:t>0.5～20mg/L（可扩展）</w:t>
            </w:r>
          </w:p>
        </w:tc>
        <w:tc>
          <w:tcPr>
            <w:tcW w:w="1288" w:type="dxa"/>
            <w:vAlign w:val="center"/>
          </w:tcPr>
          <w:p w14:paraId="2BFCBF7D">
            <w:pPr>
              <w:widowControl/>
              <w:spacing w:line="240" w:lineRule="exact"/>
              <w:rPr>
                <w:rFonts w:ascii="Times New Roman" w:hAnsi="Times New Roman" w:eastAsia="宋体" w:cs="Times New Roman"/>
                <w:kern w:val="0"/>
                <w:szCs w:val="21"/>
              </w:rPr>
            </w:pPr>
            <w:r>
              <w:rPr>
                <w:rFonts w:ascii="Times New Roman" w:hAnsi="Times New Roman" w:eastAsia="宋体" w:cs="Times New Roman"/>
                <w:kern w:val="0"/>
                <w:szCs w:val="21"/>
              </w:rPr>
              <w:t>≤0.1mg/L</w:t>
            </w:r>
          </w:p>
        </w:tc>
        <w:tc>
          <w:tcPr>
            <w:tcW w:w="992" w:type="dxa"/>
            <w:vAlign w:val="center"/>
          </w:tcPr>
          <w:p w14:paraId="73D842C6">
            <w:pPr>
              <w:widowControl/>
              <w:spacing w:line="240" w:lineRule="exact"/>
              <w:rPr>
                <w:rFonts w:ascii="Times New Roman" w:hAnsi="Times New Roman" w:eastAsia="宋体" w:cs="Times New Roman"/>
                <w:kern w:val="0"/>
                <w:szCs w:val="21"/>
              </w:rPr>
            </w:pPr>
            <w:r>
              <w:rPr>
                <w:rFonts w:ascii="Times New Roman" w:hAnsi="Times New Roman" w:eastAsia="宋体" w:cs="Times New Roman"/>
                <w:kern w:val="0"/>
                <w:szCs w:val="21"/>
              </w:rPr>
              <w:t>≤5%</w:t>
            </w:r>
          </w:p>
        </w:tc>
        <w:tc>
          <w:tcPr>
            <w:tcW w:w="881" w:type="dxa"/>
            <w:vAlign w:val="center"/>
          </w:tcPr>
          <w:p w14:paraId="389CC003">
            <w:pPr>
              <w:widowControl/>
              <w:spacing w:line="240" w:lineRule="exact"/>
              <w:rPr>
                <w:rFonts w:ascii="Times New Roman" w:hAnsi="Times New Roman" w:eastAsia="宋体" w:cs="Times New Roman"/>
                <w:kern w:val="0"/>
                <w:szCs w:val="21"/>
              </w:rPr>
            </w:pPr>
            <w:r>
              <w:rPr>
                <w:rFonts w:ascii="Times New Roman" w:hAnsi="Times New Roman" w:eastAsia="宋体" w:cs="Times New Roman"/>
                <w:kern w:val="0"/>
                <w:szCs w:val="21"/>
              </w:rPr>
              <w:t>≤5%</w:t>
            </w:r>
          </w:p>
        </w:tc>
      </w:tr>
      <w:tr w14:paraId="1D6D0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86" w:type="dxa"/>
            <w:vAlign w:val="center"/>
          </w:tcPr>
          <w:p w14:paraId="4AA2F288">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氨氮</w:t>
            </w:r>
          </w:p>
        </w:tc>
        <w:tc>
          <w:tcPr>
            <w:tcW w:w="2127" w:type="dxa"/>
            <w:vAlign w:val="center"/>
          </w:tcPr>
          <w:p w14:paraId="344DC34D">
            <w:pPr>
              <w:widowControl/>
              <w:spacing w:line="240" w:lineRule="exact"/>
              <w:rPr>
                <w:rFonts w:ascii="Times New Roman" w:hAnsi="Times New Roman" w:eastAsia="宋体" w:cs="Times New Roman"/>
                <w:kern w:val="0"/>
                <w:szCs w:val="21"/>
              </w:rPr>
            </w:pPr>
            <w:r>
              <w:rPr>
                <w:rFonts w:ascii="Times New Roman" w:hAnsi="Times New Roman" w:eastAsia="宋体" w:cs="Times New Roman"/>
                <w:kern w:val="0"/>
                <w:szCs w:val="21"/>
              </w:rPr>
              <w:t>水杨酸分光光度法/纳氏试剂分光光度法</w:t>
            </w:r>
          </w:p>
        </w:tc>
        <w:tc>
          <w:tcPr>
            <w:tcW w:w="1836" w:type="dxa"/>
            <w:vAlign w:val="center"/>
          </w:tcPr>
          <w:p w14:paraId="5E9571AD">
            <w:pPr>
              <w:widowControl/>
              <w:spacing w:line="240" w:lineRule="exact"/>
              <w:rPr>
                <w:rFonts w:ascii="Times New Roman" w:hAnsi="Times New Roman" w:eastAsia="宋体" w:cs="Times New Roman"/>
                <w:kern w:val="0"/>
                <w:szCs w:val="21"/>
              </w:rPr>
            </w:pPr>
            <w:r>
              <w:rPr>
                <w:rFonts w:ascii="Times New Roman" w:hAnsi="Times New Roman" w:eastAsia="宋体" w:cs="Times New Roman"/>
                <w:kern w:val="0"/>
                <w:szCs w:val="21"/>
              </w:rPr>
              <w:t>0.1～5mg/L（可扩展）</w:t>
            </w:r>
          </w:p>
        </w:tc>
        <w:tc>
          <w:tcPr>
            <w:tcW w:w="1288" w:type="dxa"/>
            <w:vAlign w:val="center"/>
          </w:tcPr>
          <w:p w14:paraId="45A260E0">
            <w:pPr>
              <w:widowControl/>
              <w:spacing w:line="240" w:lineRule="exact"/>
              <w:rPr>
                <w:rFonts w:ascii="Times New Roman" w:hAnsi="Times New Roman" w:eastAsia="宋体" w:cs="Times New Roman"/>
                <w:kern w:val="0"/>
                <w:szCs w:val="21"/>
              </w:rPr>
            </w:pPr>
            <w:r>
              <w:rPr>
                <w:rFonts w:ascii="Times New Roman" w:hAnsi="Times New Roman" w:eastAsia="宋体" w:cs="Times New Roman"/>
                <w:kern w:val="0"/>
                <w:szCs w:val="21"/>
              </w:rPr>
              <w:t>≤0.10mg/L</w:t>
            </w:r>
          </w:p>
        </w:tc>
        <w:tc>
          <w:tcPr>
            <w:tcW w:w="992" w:type="dxa"/>
            <w:vAlign w:val="center"/>
          </w:tcPr>
          <w:p w14:paraId="124FD1C4">
            <w:pPr>
              <w:widowControl/>
              <w:spacing w:line="240" w:lineRule="exact"/>
              <w:rPr>
                <w:rFonts w:ascii="Times New Roman" w:hAnsi="Times New Roman" w:eastAsia="宋体" w:cs="Times New Roman"/>
                <w:kern w:val="0"/>
                <w:szCs w:val="21"/>
              </w:rPr>
            </w:pPr>
            <w:r>
              <w:rPr>
                <w:rFonts w:ascii="Times New Roman" w:hAnsi="Times New Roman" w:eastAsia="宋体" w:cs="Times New Roman"/>
                <w:kern w:val="0"/>
                <w:szCs w:val="21"/>
              </w:rPr>
              <w:t>±5%</w:t>
            </w:r>
          </w:p>
        </w:tc>
        <w:tc>
          <w:tcPr>
            <w:tcW w:w="881" w:type="dxa"/>
            <w:vAlign w:val="center"/>
          </w:tcPr>
          <w:p w14:paraId="125529CB">
            <w:pPr>
              <w:widowControl/>
              <w:spacing w:line="240" w:lineRule="exact"/>
              <w:rPr>
                <w:rFonts w:ascii="Times New Roman" w:hAnsi="Times New Roman" w:eastAsia="宋体" w:cs="Times New Roman"/>
                <w:kern w:val="0"/>
                <w:szCs w:val="21"/>
              </w:rPr>
            </w:pPr>
            <w:r>
              <w:rPr>
                <w:rFonts w:ascii="Times New Roman" w:hAnsi="Times New Roman" w:eastAsia="宋体" w:cs="Times New Roman"/>
                <w:kern w:val="0"/>
                <w:szCs w:val="21"/>
              </w:rPr>
              <w:t>≤5%</w:t>
            </w:r>
          </w:p>
        </w:tc>
      </w:tr>
      <w:tr w14:paraId="6BB8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86" w:type="dxa"/>
            <w:vAlign w:val="center"/>
          </w:tcPr>
          <w:p w14:paraId="2237E8FC">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总磷</w:t>
            </w:r>
          </w:p>
        </w:tc>
        <w:tc>
          <w:tcPr>
            <w:tcW w:w="2127" w:type="dxa"/>
            <w:vAlign w:val="center"/>
          </w:tcPr>
          <w:p w14:paraId="18AC80C8">
            <w:pPr>
              <w:widowControl/>
              <w:spacing w:line="240" w:lineRule="exact"/>
              <w:rPr>
                <w:rFonts w:ascii="Times New Roman" w:hAnsi="Times New Roman" w:eastAsia="宋体" w:cs="Times New Roman"/>
                <w:kern w:val="0"/>
                <w:szCs w:val="21"/>
              </w:rPr>
            </w:pPr>
            <w:r>
              <w:rPr>
                <w:rFonts w:ascii="Times New Roman" w:hAnsi="Times New Roman" w:eastAsia="宋体" w:cs="Times New Roman"/>
                <w:kern w:val="0"/>
                <w:szCs w:val="21"/>
              </w:rPr>
              <w:t>钼酸铵分光光度法</w:t>
            </w:r>
          </w:p>
        </w:tc>
        <w:tc>
          <w:tcPr>
            <w:tcW w:w="1836" w:type="dxa"/>
            <w:vAlign w:val="center"/>
          </w:tcPr>
          <w:p w14:paraId="16D71947">
            <w:pPr>
              <w:widowControl/>
              <w:spacing w:line="240" w:lineRule="exact"/>
              <w:rPr>
                <w:rFonts w:ascii="Times New Roman" w:hAnsi="Times New Roman" w:eastAsia="宋体" w:cs="Times New Roman"/>
                <w:kern w:val="0"/>
                <w:szCs w:val="21"/>
              </w:rPr>
            </w:pPr>
            <w:r>
              <w:rPr>
                <w:rFonts w:ascii="Times New Roman" w:hAnsi="Times New Roman" w:eastAsia="宋体" w:cs="Times New Roman"/>
                <w:kern w:val="0"/>
                <w:szCs w:val="21"/>
              </w:rPr>
              <w:t>0.02～2mg/L（可扩展）</w:t>
            </w:r>
          </w:p>
        </w:tc>
        <w:tc>
          <w:tcPr>
            <w:tcW w:w="1288" w:type="dxa"/>
            <w:vAlign w:val="center"/>
          </w:tcPr>
          <w:p w14:paraId="309A4F61">
            <w:pPr>
              <w:widowControl/>
              <w:spacing w:line="240" w:lineRule="exact"/>
              <w:rPr>
                <w:rFonts w:ascii="Times New Roman" w:hAnsi="Times New Roman" w:eastAsia="宋体" w:cs="Times New Roman"/>
                <w:kern w:val="0"/>
                <w:szCs w:val="21"/>
              </w:rPr>
            </w:pPr>
            <w:r>
              <w:rPr>
                <w:rFonts w:ascii="Times New Roman" w:hAnsi="Times New Roman" w:eastAsia="宋体" w:cs="Times New Roman"/>
                <w:kern w:val="0"/>
                <w:szCs w:val="21"/>
              </w:rPr>
              <w:t>≤0.01mg/L</w:t>
            </w:r>
          </w:p>
        </w:tc>
        <w:tc>
          <w:tcPr>
            <w:tcW w:w="992" w:type="dxa"/>
            <w:vAlign w:val="center"/>
          </w:tcPr>
          <w:p w14:paraId="45465A88">
            <w:pPr>
              <w:widowControl/>
              <w:spacing w:line="240" w:lineRule="exact"/>
              <w:rPr>
                <w:rFonts w:ascii="Times New Roman" w:hAnsi="Times New Roman" w:eastAsia="宋体" w:cs="Times New Roman"/>
                <w:kern w:val="0"/>
                <w:szCs w:val="21"/>
              </w:rPr>
            </w:pPr>
            <w:r>
              <w:rPr>
                <w:rFonts w:ascii="Times New Roman" w:hAnsi="Times New Roman" w:eastAsia="宋体" w:cs="Times New Roman"/>
                <w:kern w:val="0"/>
                <w:szCs w:val="21"/>
              </w:rPr>
              <w:t>±5%</w:t>
            </w:r>
          </w:p>
        </w:tc>
        <w:tc>
          <w:tcPr>
            <w:tcW w:w="881" w:type="dxa"/>
            <w:vAlign w:val="center"/>
          </w:tcPr>
          <w:p w14:paraId="50FBD02F">
            <w:pPr>
              <w:widowControl/>
              <w:spacing w:line="240" w:lineRule="exact"/>
              <w:rPr>
                <w:rFonts w:ascii="Times New Roman" w:hAnsi="Times New Roman" w:eastAsia="宋体" w:cs="Times New Roman"/>
                <w:kern w:val="0"/>
                <w:szCs w:val="21"/>
              </w:rPr>
            </w:pPr>
            <w:r>
              <w:rPr>
                <w:rFonts w:ascii="Times New Roman" w:hAnsi="Times New Roman" w:eastAsia="宋体" w:cs="Times New Roman"/>
                <w:kern w:val="0"/>
                <w:szCs w:val="21"/>
              </w:rPr>
              <w:t>≤5%</w:t>
            </w:r>
          </w:p>
        </w:tc>
      </w:tr>
      <w:tr w14:paraId="222E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86" w:type="dxa"/>
            <w:vAlign w:val="center"/>
          </w:tcPr>
          <w:p w14:paraId="1CF1F1E3">
            <w:pPr>
              <w:widowControl/>
              <w:spacing w:line="240" w:lineRule="exact"/>
              <w:jc w:val="center"/>
              <w:rPr>
                <w:rFonts w:ascii="Times New Roman" w:hAnsi="Times New Roman" w:eastAsia="宋体" w:cs="Times New Roman"/>
                <w:kern w:val="0"/>
                <w:szCs w:val="21"/>
              </w:rPr>
            </w:pPr>
            <w:r>
              <w:rPr>
                <w:rFonts w:ascii="Times New Roman" w:hAnsi="Times New Roman" w:eastAsia="宋体" w:cs="Times New Roman"/>
                <w:kern w:val="0"/>
                <w:szCs w:val="21"/>
              </w:rPr>
              <w:t>总氮</w:t>
            </w:r>
          </w:p>
        </w:tc>
        <w:tc>
          <w:tcPr>
            <w:tcW w:w="2127" w:type="dxa"/>
            <w:vAlign w:val="center"/>
          </w:tcPr>
          <w:p w14:paraId="3FE2CC44">
            <w:pPr>
              <w:widowControl/>
              <w:spacing w:line="240" w:lineRule="exact"/>
              <w:rPr>
                <w:rFonts w:ascii="Times New Roman" w:hAnsi="Times New Roman" w:eastAsia="宋体" w:cs="Times New Roman"/>
                <w:kern w:val="0"/>
                <w:szCs w:val="21"/>
              </w:rPr>
            </w:pPr>
            <w:r>
              <w:rPr>
                <w:rFonts w:ascii="Times New Roman" w:hAnsi="Times New Roman" w:eastAsia="宋体" w:cs="Times New Roman"/>
                <w:kern w:val="0"/>
                <w:szCs w:val="21"/>
              </w:rPr>
              <w:t>碱性过硫酸钾消解-紫外分光光度法</w:t>
            </w:r>
          </w:p>
        </w:tc>
        <w:tc>
          <w:tcPr>
            <w:tcW w:w="1836" w:type="dxa"/>
            <w:vAlign w:val="center"/>
          </w:tcPr>
          <w:p w14:paraId="0C82EA6E">
            <w:pPr>
              <w:widowControl/>
              <w:spacing w:line="240" w:lineRule="exact"/>
              <w:rPr>
                <w:rFonts w:ascii="Times New Roman" w:hAnsi="Times New Roman" w:eastAsia="宋体" w:cs="Times New Roman"/>
                <w:kern w:val="0"/>
                <w:szCs w:val="21"/>
              </w:rPr>
            </w:pPr>
            <w:r>
              <w:rPr>
                <w:rFonts w:ascii="Times New Roman" w:hAnsi="Times New Roman" w:eastAsia="宋体" w:cs="Times New Roman"/>
                <w:kern w:val="0"/>
                <w:szCs w:val="21"/>
              </w:rPr>
              <w:t>0.1～10mg/L（可扩展）</w:t>
            </w:r>
          </w:p>
        </w:tc>
        <w:tc>
          <w:tcPr>
            <w:tcW w:w="1288" w:type="dxa"/>
            <w:vAlign w:val="center"/>
          </w:tcPr>
          <w:p w14:paraId="25CB40F3">
            <w:pPr>
              <w:widowControl/>
              <w:spacing w:line="240" w:lineRule="exact"/>
              <w:rPr>
                <w:rFonts w:ascii="Times New Roman" w:hAnsi="Times New Roman" w:eastAsia="宋体" w:cs="Times New Roman"/>
                <w:kern w:val="0"/>
                <w:szCs w:val="21"/>
              </w:rPr>
            </w:pPr>
            <w:r>
              <w:rPr>
                <w:rFonts w:ascii="Times New Roman" w:hAnsi="Times New Roman" w:eastAsia="宋体" w:cs="Times New Roman"/>
                <w:kern w:val="0"/>
                <w:szCs w:val="21"/>
              </w:rPr>
              <w:t>≤0.1mg/L</w:t>
            </w:r>
          </w:p>
        </w:tc>
        <w:tc>
          <w:tcPr>
            <w:tcW w:w="992" w:type="dxa"/>
            <w:vAlign w:val="center"/>
          </w:tcPr>
          <w:p w14:paraId="31B75DF5">
            <w:pPr>
              <w:widowControl/>
              <w:spacing w:line="240" w:lineRule="exact"/>
              <w:rPr>
                <w:rFonts w:ascii="Times New Roman" w:hAnsi="Times New Roman" w:eastAsia="宋体" w:cs="Times New Roman"/>
                <w:kern w:val="0"/>
                <w:szCs w:val="21"/>
              </w:rPr>
            </w:pPr>
            <w:r>
              <w:rPr>
                <w:rFonts w:ascii="Times New Roman" w:hAnsi="Times New Roman" w:eastAsia="宋体" w:cs="Times New Roman"/>
                <w:kern w:val="0"/>
                <w:szCs w:val="21"/>
              </w:rPr>
              <w:t>±5%</w:t>
            </w:r>
          </w:p>
        </w:tc>
        <w:tc>
          <w:tcPr>
            <w:tcW w:w="881" w:type="dxa"/>
            <w:vAlign w:val="center"/>
          </w:tcPr>
          <w:p w14:paraId="4FD198BF">
            <w:pPr>
              <w:widowControl/>
              <w:spacing w:line="240" w:lineRule="exact"/>
              <w:rPr>
                <w:rFonts w:ascii="Times New Roman" w:hAnsi="Times New Roman" w:eastAsia="宋体" w:cs="Times New Roman"/>
                <w:kern w:val="0"/>
                <w:szCs w:val="21"/>
              </w:rPr>
            </w:pPr>
            <w:r>
              <w:rPr>
                <w:rFonts w:ascii="Times New Roman" w:hAnsi="Times New Roman" w:eastAsia="宋体" w:cs="Times New Roman"/>
                <w:kern w:val="0"/>
                <w:szCs w:val="21"/>
              </w:rPr>
              <w:t>≤5%</w:t>
            </w:r>
          </w:p>
        </w:tc>
      </w:tr>
    </w:tbl>
    <w:p w14:paraId="75690068">
      <w:pPr>
        <w:widowControl/>
        <w:spacing w:line="38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所有仪器检测周期不大于60分钟，实际水样比对试验相对误差应控制在±10%以内。</w:t>
      </w:r>
    </w:p>
    <w:p w14:paraId="50D446A0">
      <w:pPr>
        <w:widowControl/>
        <w:spacing w:line="360" w:lineRule="auto"/>
        <w:ind w:firstLine="482" w:firstLineChars="200"/>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3.5</w:t>
      </w:r>
      <w:r>
        <w:rPr>
          <w:rFonts w:ascii="Times New Roman" w:hAnsi="Times New Roman" w:eastAsia="宋体" w:cs="Times New Roman"/>
          <w:b/>
          <w:bCs/>
          <w:kern w:val="0"/>
          <w:sz w:val="24"/>
          <w:szCs w:val="24"/>
        </w:rPr>
        <w:t xml:space="preserve"> 系统组成与功能要求 </w:t>
      </w:r>
    </w:p>
    <w:p w14:paraId="1DC5BC0D">
      <w:pPr>
        <w:widowControl/>
        <w:spacing w:line="380" w:lineRule="exact"/>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3.5.1</w:t>
      </w:r>
      <w:r>
        <w:rPr>
          <w:rFonts w:ascii="Times New Roman" w:hAnsi="Times New Roman" w:eastAsia="宋体" w:cs="Times New Roman"/>
          <w:bCs/>
          <w:kern w:val="0"/>
          <w:sz w:val="24"/>
          <w:szCs w:val="24"/>
        </w:rPr>
        <w:t xml:space="preserve"> 分析单元 </w:t>
      </w:r>
    </w:p>
    <w:p w14:paraId="0A0F46A5">
      <w:pPr>
        <w:widowControl/>
        <w:spacing w:line="38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分析单元应包含9参数监测所需的全部分析模块，各模块应采用</w:t>
      </w:r>
      <w:r>
        <w:rPr>
          <w:rFonts w:ascii="Times New Roman" w:hAnsi="Times New Roman" w:eastAsia="宋体" w:cs="Times New Roman"/>
          <w:bCs/>
          <w:kern w:val="0"/>
          <w:sz w:val="24"/>
          <w:szCs w:val="24"/>
        </w:rPr>
        <w:t>国家标准分析方法</w:t>
      </w:r>
      <w:r>
        <w:rPr>
          <w:rFonts w:ascii="Times New Roman" w:hAnsi="Times New Roman" w:eastAsia="宋体" w:cs="Times New Roman"/>
          <w:kern w:val="0"/>
          <w:sz w:val="24"/>
          <w:szCs w:val="24"/>
        </w:rPr>
        <w:t>，确保数据的准确性和可比性。分析单元应具备自动校准、标样核查、量程自动切换等功能，校准周期1-99天可设。</w:t>
      </w:r>
    </w:p>
    <w:p w14:paraId="11DAB34A">
      <w:pPr>
        <w:widowControl/>
        <w:spacing w:line="380" w:lineRule="exact"/>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3.5.2</w:t>
      </w:r>
      <w:r>
        <w:rPr>
          <w:rFonts w:ascii="Times New Roman" w:hAnsi="Times New Roman" w:eastAsia="宋体" w:cs="Times New Roman"/>
          <w:bCs/>
          <w:kern w:val="0"/>
          <w:sz w:val="24"/>
          <w:szCs w:val="24"/>
        </w:rPr>
        <w:t xml:space="preserve"> 控制与数据采集传输单元 </w:t>
      </w:r>
    </w:p>
    <w:p w14:paraId="1CBF4BB0">
      <w:pPr>
        <w:widowControl/>
        <w:spacing w:line="38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控制单元应采用工业级嵌入式系统，具备15寸以上彩色触屏，实现系统全自动运行监控。数据采集传输单元应满足HJ 212-2017等数据传输协议要求，支持4G/5G无线网络与有线网络双模传输，具备断网续传功能。控制单元应能存储至少12个月的原始数据和运行日志，并具备远程控制、参数设置、故障诊断等功能。</w:t>
      </w:r>
      <w:r>
        <w:rPr>
          <w:rFonts w:ascii="Times New Roman" w:hAnsi="Times New Roman" w:eastAsia="宋体" w:cs="Times New Roman"/>
          <w:b/>
          <w:kern w:val="0"/>
          <w:sz w:val="24"/>
          <w:szCs w:val="24"/>
        </w:rPr>
        <w:t>供应商负责将更新设备的水质检测数据接入</w:t>
      </w:r>
      <w:r>
        <w:rPr>
          <w:rFonts w:hint="eastAsia" w:ascii="Times New Roman" w:hAnsi="Times New Roman" w:eastAsia="宋体" w:cs="Times New Roman"/>
          <w:b/>
          <w:kern w:val="0"/>
          <w:sz w:val="24"/>
          <w:szCs w:val="24"/>
        </w:rPr>
        <w:t>已有</w:t>
      </w:r>
      <w:r>
        <w:rPr>
          <w:rFonts w:ascii="Times New Roman" w:hAnsi="Times New Roman" w:eastAsia="宋体" w:cs="Times New Roman"/>
          <w:b/>
          <w:kern w:val="0"/>
          <w:sz w:val="24"/>
          <w:szCs w:val="24"/>
        </w:rPr>
        <w:t>水质监测系统</w:t>
      </w:r>
      <w:r>
        <w:rPr>
          <w:rFonts w:hint="eastAsia" w:ascii="Times New Roman" w:hAnsi="Times New Roman" w:eastAsia="宋体" w:cs="Times New Roman"/>
          <w:b/>
          <w:kern w:val="0"/>
          <w:sz w:val="24"/>
          <w:szCs w:val="24"/>
        </w:rPr>
        <w:t>。</w:t>
      </w:r>
    </w:p>
    <w:p w14:paraId="0DDBF4FB">
      <w:pPr>
        <w:widowControl/>
        <w:spacing w:line="360" w:lineRule="auto"/>
        <w:ind w:firstLine="482" w:firstLineChars="200"/>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3.6</w:t>
      </w:r>
      <w:r>
        <w:rPr>
          <w:rFonts w:ascii="Times New Roman" w:hAnsi="Times New Roman" w:eastAsia="宋体" w:cs="Times New Roman"/>
          <w:b/>
          <w:bCs/>
          <w:kern w:val="0"/>
          <w:sz w:val="24"/>
          <w:szCs w:val="24"/>
        </w:rPr>
        <w:t xml:space="preserve"> 安装与验收要求 </w:t>
      </w:r>
    </w:p>
    <w:p w14:paraId="5DF5DACF">
      <w:pPr>
        <w:widowControl/>
        <w:spacing w:line="380" w:lineRule="exact"/>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3.6.1</w:t>
      </w:r>
      <w:r>
        <w:rPr>
          <w:rFonts w:ascii="Times New Roman" w:hAnsi="Times New Roman" w:eastAsia="宋体" w:cs="Times New Roman"/>
          <w:bCs/>
          <w:kern w:val="0"/>
          <w:sz w:val="24"/>
          <w:szCs w:val="24"/>
        </w:rPr>
        <w:t xml:space="preserve"> 安装调试要求 </w:t>
      </w:r>
    </w:p>
    <w:p w14:paraId="7B686BAD">
      <w:pPr>
        <w:widowControl/>
        <w:spacing w:line="38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供应商应负责设备安装全过程，包括设备就位、管线连接、电气接线等。安装应按照GB50093《自动化仪表工程施工及质量验收规范》执行，确保设备稳固、管线合理、标识清晰。安装完成后需进行至少72小时连续调试，验证各单元功能正常。</w:t>
      </w:r>
    </w:p>
    <w:p w14:paraId="26A578E2">
      <w:pPr>
        <w:widowControl/>
        <w:spacing w:line="38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调试内容包括但不限于：</w:t>
      </w:r>
    </w:p>
    <w:p w14:paraId="10FE95EA">
      <w:pPr>
        <w:widowControl/>
        <w:numPr>
          <w:ilvl w:val="0"/>
          <w:numId w:val="3"/>
        </w:numPr>
        <w:spacing w:line="380" w:lineRule="exact"/>
        <w:ind w:left="0"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采配水系统清洗与调试</w:t>
      </w:r>
    </w:p>
    <w:p w14:paraId="7E291FD0">
      <w:pPr>
        <w:widowControl/>
        <w:numPr>
          <w:ilvl w:val="0"/>
          <w:numId w:val="3"/>
        </w:numPr>
        <w:spacing w:line="380" w:lineRule="exact"/>
        <w:ind w:left="0"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各分析仪器性能测试与校准</w:t>
      </w:r>
    </w:p>
    <w:p w14:paraId="40DDACE8">
      <w:pPr>
        <w:widowControl/>
        <w:numPr>
          <w:ilvl w:val="0"/>
          <w:numId w:val="3"/>
        </w:numPr>
        <w:spacing w:line="380" w:lineRule="exact"/>
        <w:ind w:left="0"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数据传输系统联调测试</w:t>
      </w:r>
    </w:p>
    <w:p w14:paraId="54373C5B">
      <w:pPr>
        <w:widowControl/>
        <w:numPr>
          <w:ilvl w:val="0"/>
          <w:numId w:val="3"/>
        </w:numPr>
        <w:spacing w:line="380" w:lineRule="exact"/>
        <w:ind w:left="0"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远程监控功能验证</w:t>
      </w:r>
    </w:p>
    <w:p w14:paraId="1079FDD4">
      <w:pPr>
        <w:widowControl/>
        <w:numPr>
          <w:ilvl w:val="0"/>
          <w:numId w:val="3"/>
        </w:numPr>
        <w:spacing w:line="380" w:lineRule="exact"/>
        <w:ind w:left="0"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系统整体稳定性测试</w:t>
      </w:r>
    </w:p>
    <w:p w14:paraId="1CD99FA5">
      <w:pPr>
        <w:widowControl/>
        <w:spacing w:line="380" w:lineRule="exact"/>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3.6.2</w:t>
      </w:r>
      <w:r>
        <w:rPr>
          <w:rFonts w:ascii="Times New Roman" w:hAnsi="Times New Roman" w:eastAsia="宋体" w:cs="Times New Roman"/>
          <w:bCs/>
          <w:kern w:val="0"/>
          <w:sz w:val="24"/>
          <w:szCs w:val="24"/>
        </w:rPr>
        <w:t xml:space="preserve"> 试运行与验收要求 </w:t>
      </w:r>
    </w:p>
    <w:p w14:paraId="1D23BAA4">
      <w:pPr>
        <w:widowControl/>
        <w:spacing w:line="38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设备调试完成后，需进行</w:t>
      </w:r>
      <w:r>
        <w:rPr>
          <w:rFonts w:ascii="Times New Roman" w:hAnsi="Times New Roman" w:eastAsia="宋体" w:cs="Times New Roman"/>
          <w:bCs/>
          <w:kern w:val="0"/>
          <w:sz w:val="24"/>
          <w:szCs w:val="24"/>
        </w:rPr>
        <w:t>至少30天连续试运行</w:t>
      </w:r>
      <w:r>
        <w:rPr>
          <w:rFonts w:ascii="Times New Roman" w:hAnsi="Times New Roman" w:eastAsia="宋体" w:cs="Times New Roman"/>
          <w:kern w:val="0"/>
          <w:sz w:val="24"/>
          <w:szCs w:val="24"/>
        </w:rPr>
        <w:t>。试运行期间，设备连续无故停机时间不得超过24小时，数据捕获率不低于95%，各项指标应符合</w:t>
      </w:r>
      <w:r>
        <w:rPr>
          <w:rFonts w:hint="eastAsia" w:ascii="Times New Roman" w:hAnsi="Times New Roman" w:eastAsia="宋体" w:cs="Times New Roman"/>
          <w:kern w:val="0"/>
          <w:sz w:val="24"/>
          <w:szCs w:val="24"/>
        </w:rPr>
        <w:t>3.4</w:t>
      </w:r>
      <w:r>
        <w:rPr>
          <w:rFonts w:ascii="Times New Roman" w:hAnsi="Times New Roman" w:eastAsia="宋体" w:cs="Times New Roman"/>
          <w:kern w:val="0"/>
          <w:sz w:val="24"/>
          <w:szCs w:val="24"/>
        </w:rPr>
        <w:t>规定的性能要求。</w:t>
      </w:r>
    </w:p>
    <w:p w14:paraId="149B3134">
      <w:pPr>
        <w:widowControl/>
        <w:spacing w:line="38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验收包括性能验收和技术资料验收两部分。性能验收依据</w:t>
      </w:r>
      <w:r>
        <w:rPr>
          <w:rFonts w:hint="eastAsia" w:ascii="Times New Roman" w:hAnsi="Times New Roman" w:eastAsia="宋体" w:cs="Times New Roman"/>
          <w:kern w:val="0"/>
          <w:sz w:val="24"/>
          <w:szCs w:val="24"/>
        </w:rPr>
        <w:t>性能</w:t>
      </w:r>
      <w:r>
        <w:rPr>
          <w:rFonts w:ascii="Times New Roman" w:hAnsi="Times New Roman" w:eastAsia="宋体" w:cs="Times New Roman"/>
          <w:kern w:val="0"/>
          <w:sz w:val="24"/>
          <w:szCs w:val="24"/>
        </w:rPr>
        <w:t>指标符合性要求进行；技术资料验收应包括操作手册、维护指南、电路图、管线图、软件备份等全套资料。</w:t>
      </w:r>
    </w:p>
    <w:p w14:paraId="717B3D5D">
      <w:pPr>
        <w:widowControl/>
        <w:spacing w:line="38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验收合格标准如下：</w:t>
      </w:r>
    </w:p>
    <w:p w14:paraId="7E269497">
      <w:pPr>
        <w:widowControl/>
        <w:numPr>
          <w:ilvl w:val="0"/>
          <w:numId w:val="4"/>
        </w:numPr>
        <w:spacing w:line="380" w:lineRule="exact"/>
        <w:ind w:left="0"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各仪器性能指标符合</w:t>
      </w:r>
      <w:r>
        <w:rPr>
          <w:rFonts w:hint="eastAsia" w:ascii="Times New Roman" w:hAnsi="Times New Roman" w:eastAsia="宋体" w:cs="Times New Roman"/>
          <w:kern w:val="0"/>
          <w:sz w:val="24"/>
          <w:szCs w:val="24"/>
        </w:rPr>
        <w:t>3.4</w:t>
      </w:r>
      <w:r>
        <w:rPr>
          <w:rFonts w:ascii="Times New Roman" w:hAnsi="Times New Roman" w:eastAsia="宋体" w:cs="Times New Roman"/>
          <w:kern w:val="0"/>
          <w:sz w:val="24"/>
          <w:szCs w:val="24"/>
        </w:rPr>
        <w:t>要求</w:t>
      </w:r>
    </w:p>
    <w:p w14:paraId="56246249">
      <w:pPr>
        <w:widowControl/>
        <w:numPr>
          <w:ilvl w:val="0"/>
          <w:numId w:val="4"/>
        </w:numPr>
        <w:spacing w:line="380" w:lineRule="exact"/>
        <w:ind w:left="0"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系统数据传输准确无误</w:t>
      </w:r>
    </w:p>
    <w:p w14:paraId="1A227D6F">
      <w:pPr>
        <w:widowControl/>
        <w:numPr>
          <w:ilvl w:val="0"/>
          <w:numId w:val="4"/>
        </w:numPr>
        <w:spacing w:line="380" w:lineRule="exact"/>
        <w:ind w:left="0"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文档资料齐全完整</w:t>
      </w:r>
    </w:p>
    <w:p w14:paraId="151FA67E">
      <w:pPr>
        <w:widowControl/>
        <w:numPr>
          <w:ilvl w:val="0"/>
          <w:numId w:val="4"/>
        </w:numPr>
        <w:spacing w:line="380" w:lineRule="exact"/>
        <w:ind w:left="0"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培训工作完成到位</w:t>
      </w:r>
    </w:p>
    <w:p w14:paraId="525FE772">
      <w:pPr>
        <w:widowControl/>
        <w:spacing w:line="380" w:lineRule="exact"/>
        <w:ind w:firstLine="482" w:firstLineChars="200"/>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3.7</w:t>
      </w:r>
      <w:r>
        <w:rPr>
          <w:rFonts w:ascii="Times New Roman" w:hAnsi="Times New Roman" w:eastAsia="宋体" w:cs="Times New Roman"/>
          <w:b/>
          <w:bCs/>
          <w:kern w:val="0"/>
          <w:sz w:val="24"/>
          <w:szCs w:val="24"/>
        </w:rPr>
        <w:t xml:space="preserve"> 培训与售后服务要求 </w:t>
      </w:r>
    </w:p>
    <w:p w14:paraId="595C8518">
      <w:pPr>
        <w:widowControl/>
        <w:spacing w:line="380" w:lineRule="exact"/>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3.7.1</w:t>
      </w:r>
      <w:r>
        <w:rPr>
          <w:rFonts w:ascii="Times New Roman" w:hAnsi="Times New Roman" w:eastAsia="宋体" w:cs="Times New Roman"/>
          <w:bCs/>
          <w:kern w:val="0"/>
          <w:sz w:val="24"/>
          <w:szCs w:val="24"/>
        </w:rPr>
        <w:t xml:space="preserve"> 培训要求 </w:t>
      </w:r>
    </w:p>
    <w:p w14:paraId="4BF90A3C">
      <w:pPr>
        <w:widowControl/>
        <w:spacing w:line="38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供应商应提供</w:t>
      </w:r>
      <w:r>
        <w:rPr>
          <w:rFonts w:ascii="Times New Roman" w:hAnsi="Times New Roman" w:eastAsia="宋体" w:cs="Times New Roman"/>
          <w:b/>
          <w:bCs/>
          <w:kern w:val="0"/>
          <w:sz w:val="24"/>
          <w:szCs w:val="24"/>
        </w:rPr>
        <w:t>现场技术培训</w:t>
      </w:r>
      <w:r>
        <w:rPr>
          <w:rFonts w:ascii="Times New Roman" w:hAnsi="Times New Roman" w:eastAsia="宋体" w:cs="Times New Roman"/>
          <w:kern w:val="0"/>
          <w:sz w:val="24"/>
          <w:szCs w:val="24"/>
        </w:rPr>
        <w:t>，培训内容至少包括：</w:t>
      </w:r>
    </w:p>
    <w:p w14:paraId="6F03CE4B">
      <w:pPr>
        <w:widowControl/>
        <w:numPr>
          <w:ilvl w:val="0"/>
          <w:numId w:val="5"/>
        </w:numPr>
        <w:spacing w:line="380" w:lineRule="exact"/>
        <w:ind w:left="0"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系统原理与结构组成</w:t>
      </w:r>
    </w:p>
    <w:p w14:paraId="53C3D0FC">
      <w:pPr>
        <w:widowControl/>
        <w:numPr>
          <w:ilvl w:val="0"/>
          <w:numId w:val="5"/>
        </w:numPr>
        <w:spacing w:line="380" w:lineRule="exact"/>
        <w:ind w:left="0"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日常操作与维护流程</w:t>
      </w:r>
    </w:p>
    <w:p w14:paraId="0826D1BA">
      <w:pPr>
        <w:widowControl/>
        <w:numPr>
          <w:ilvl w:val="0"/>
          <w:numId w:val="5"/>
        </w:numPr>
        <w:spacing w:line="380" w:lineRule="exact"/>
        <w:ind w:left="0"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常见故障诊断与排除</w:t>
      </w:r>
    </w:p>
    <w:p w14:paraId="205F98A7">
      <w:pPr>
        <w:widowControl/>
        <w:numPr>
          <w:ilvl w:val="0"/>
          <w:numId w:val="5"/>
        </w:numPr>
        <w:spacing w:line="380" w:lineRule="exact"/>
        <w:ind w:left="0"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数据审核与质量控制</w:t>
      </w:r>
    </w:p>
    <w:p w14:paraId="737A8C3F">
      <w:pPr>
        <w:widowControl/>
        <w:numPr>
          <w:ilvl w:val="0"/>
          <w:numId w:val="5"/>
        </w:numPr>
        <w:spacing w:line="380" w:lineRule="exact"/>
        <w:ind w:left="0"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安全注意事项</w:t>
      </w:r>
    </w:p>
    <w:p w14:paraId="791FEE87">
      <w:pPr>
        <w:widowControl/>
        <w:spacing w:line="380" w:lineRule="exact"/>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3.7.2</w:t>
      </w:r>
      <w:r>
        <w:rPr>
          <w:rFonts w:ascii="Times New Roman" w:hAnsi="Times New Roman" w:eastAsia="宋体" w:cs="Times New Roman"/>
          <w:bCs/>
          <w:kern w:val="0"/>
          <w:sz w:val="24"/>
          <w:szCs w:val="24"/>
        </w:rPr>
        <w:t xml:space="preserve"> 售后服务要求 </w:t>
      </w:r>
    </w:p>
    <w:p w14:paraId="2430A4F3">
      <w:pPr>
        <w:widowControl/>
        <w:spacing w:line="38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供应商应提供</w:t>
      </w:r>
      <w:r>
        <w:rPr>
          <w:rFonts w:hint="eastAsia" w:ascii="Times New Roman" w:hAnsi="Times New Roman" w:eastAsia="宋体" w:cs="Times New Roman"/>
          <w:kern w:val="0"/>
          <w:sz w:val="24"/>
          <w:szCs w:val="24"/>
        </w:rPr>
        <w:t>合同期内</w:t>
      </w:r>
      <w:r>
        <w:rPr>
          <w:rFonts w:ascii="Times New Roman" w:hAnsi="Times New Roman" w:eastAsia="宋体" w:cs="Times New Roman"/>
          <w:kern w:val="0"/>
          <w:sz w:val="24"/>
          <w:szCs w:val="24"/>
        </w:rPr>
        <w:t>免费维修、免费更换故障部件和运行维护服务。供应商应提供7×24小时技术支持，故障响应时间不超过2小时，现场维修人员应在24小时内到达现场。</w:t>
      </w:r>
    </w:p>
    <w:p w14:paraId="6D4428BD">
      <w:pPr>
        <w:widowControl/>
        <w:spacing w:line="38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供应商应提供易损件清单和推荐备件清单，并保证设备停产后10年内仍可供应备品备件。</w:t>
      </w:r>
    </w:p>
    <w:p w14:paraId="693BD4FB">
      <w:pPr>
        <w:widowControl/>
        <w:spacing w:line="360" w:lineRule="auto"/>
        <w:ind w:firstLine="482" w:firstLineChars="200"/>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3.8</w:t>
      </w:r>
      <w:r>
        <w:rPr>
          <w:rFonts w:ascii="Times New Roman" w:hAnsi="Times New Roman" w:eastAsia="宋体" w:cs="Times New Roman"/>
          <w:b/>
          <w:bCs/>
          <w:kern w:val="0"/>
          <w:sz w:val="24"/>
          <w:szCs w:val="24"/>
        </w:rPr>
        <w:t xml:space="preserve"> 商务要求 </w:t>
      </w:r>
    </w:p>
    <w:p w14:paraId="0256C0F9">
      <w:pPr>
        <w:widowControl/>
        <w:spacing w:line="380" w:lineRule="exact"/>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3.8.1</w:t>
      </w:r>
      <w:r>
        <w:rPr>
          <w:rFonts w:ascii="Times New Roman" w:hAnsi="Times New Roman" w:eastAsia="宋体" w:cs="Times New Roman"/>
          <w:bCs/>
          <w:kern w:val="0"/>
          <w:sz w:val="24"/>
          <w:szCs w:val="24"/>
        </w:rPr>
        <w:t xml:space="preserve"> 报价要求 </w:t>
      </w:r>
    </w:p>
    <w:p w14:paraId="429D739B">
      <w:pPr>
        <w:widowControl/>
        <w:spacing w:line="38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报价应包含设备费、运输费、安装调试费、培训费等一切费用，采购人不再支付额外费用。付款方式：验收合格后和当季度进度款一并支付。</w:t>
      </w:r>
    </w:p>
    <w:p w14:paraId="10C9DC45">
      <w:pPr>
        <w:widowControl/>
        <w:spacing w:line="380" w:lineRule="exact"/>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3.8.2</w:t>
      </w:r>
      <w:r>
        <w:rPr>
          <w:rFonts w:ascii="Times New Roman" w:hAnsi="Times New Roman" w:eastAsia="宋体" w:cs="Times New Roman"/>
          <w:bCs/>
          <w:kern w:val="0"/>
          <w:sz w:val="24"/>
          <w:szCs w:val="24"/>
        </w:rPr>
        <w:t xml:space="preserve"> 工期要求 </w:t>
      </w:r>
    </w:p>
    <w:p w14:paraId="207E5F78">
      <w:pPr>
        <w:widowControl/>
        <w:spacing w:line="380" w:lineRule="exact"/>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供应商</w:t>
      </w:r>
      <w:r>
        <w:rPr>
          <w:rFonts w:ascii="Times New Roman" w:hAnsi="Times New Roman" w:eastAsia="宋体" w:cs="Times New Roman"/>
          <w:kern w:val="0"/>
          <w:sz w:val="24"/>
          <w:szCs w:val="24"/>
        </w:rPr>
        <w:t>收到采购人通知后30天内完成设备交货，交货后</w:t>
      </w:r>
      <w:r>
        <w:rPr>
          <w:rFonts w:hint="eastAsia" w:ascii="Times New Roman" w:hAnsi="Times New Roman" w:eastAsia="宋体" w:cs="Times New Roman"/>
          <w:kern w:val="0"/>
          <w:sz w:val="24"/>
          <w:szCs w:val="24"/>
        </w:rPr>
        <w:t>15</w:t>
      </w:r>
      <w:r>
        <w:rPr>
          <w:rFonts w:ascii="Times New Roman" w:hAnsi="Times New Roman" w:eastAsia="宋体" w:cs="Times New Roman"/>
          <w:kern w:val="0"/>
          <w:sz w:val="24"/>
          <w:szCs w:val="24"/>
        </w:rPr>
        <w:t>天内完成安装调试，整体工期不超过</w:t>
      </w:r>
      <w:r>
        <w:rPr>
          <w:rFonts w:hint="eastAsia" w:ascii="Times New Roman" w:hAnsi="Times New Roman" w:eastAsia="宋体" w:cs="Times New Roman"/>
          <w:kern w:val="0"/>
          <w:sz w:val="24"/>
          <w:szCs w:val="24"/>
        </w:rPr>
        <w:t>45</w:t>
      </w:r>
      <w:r>
        <w:rPr>
          <w:rFonts w:ascii="Times New Roman" w:hAnsi="Times New Roman" w:eastAsia="宋体" w:cs="Times New Roman"/>
          <w:kern w:val="0"/>
          <w:sz w:val="24"/>
          <w:szCs w:val="24"/>
        </w:rPr>
        <w:t>天。</w:t>
      </w:r>
    </w:p>
    <w:p w14:paraId="625678F6">
      <w:pPr>
        <w:widowControl/>
        <w:spacing w:line="380" w:lineRule="exact"/>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 xml:space="preserve">3.8.3 </w:t>
      </w:r>
      <w:r>
        <w:rPr>
          <w:rFonts w:ascii="Times New Roman" w:hAnsi="Times New Roman" w:eastAsia="宋体" w:cs="Times New Roman"/>
          <w:bCs/>
          <w:kern w:val="0"/>
          <w:sz w:val="24"/>
          <w:szCs w:val="24"/>
        </w:rPr>
        <w:t xml:space="preserve">文档资料要求 </w:t>
      </w:r>
    </w:p>
    <w:p w14:paraId="1FE0F94F">
      <w:pPr>
        <w:widowControl/>
        <w:spacing w:line="38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供应商应提供但不限于以下技术资料：</w:t>
      </w:r>
    </w:p>
    <w:p w14:paraId="0AABB271">
      <w:pPr>
        <w:widowControl/>
        <w:numPr>
          <w:ilvl w:val="0"/>
          <w:numId w:val="6"/>
        </w:numPr>
        <w:spacing w:line="380" w:lineRule="exact"/>
        <w:ind w:left="0"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系统原理图、安装图、管线图、电路图</w:t>
      </w:r>
    </w:p>
    <w:p w14:paraId="2FD79778">
      <w:pPr>
        <w:widowControl/>
        <w:numPr>
          <w:ilvl w:val="0"/>
          <w:numId w:val="6"/>
        </w:numPr>
        <w:spacing w:line="380" w:lineRule="exact"/>
        <w:ind w:left="0"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设备操作手册、维护指南</w:t>
      </w:r>
    </w:p>
    <w:p w14:paraId="49AC9957">
      <w:pPr>
        <w:widowControl/>
        <w:numPr>
          <w:ilvl w:val="0"/>
          <w:numId w:val="6"/>
        </w:numPr>
        <w:spacing w:line="380" w:lineRule="exact"/>
        <w:ind w:left="0"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软件使用说明及备份光盘</w:t>
      </w:r>
    </w:p>
    <w:p w14:paraId="5D399AE2">
      <w:pPr>
        <w:widowControl/>
        <w:numPr>
          <w:ilvl w:val="0"/>
          <w:numId w:val="6"/>
        </w:numPr>
        <w:spacing w:line="380" w:lineRule="exact"/>
        <w:ind w:left="0"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产品合格证、质量证明文件</w:t>
      </w:r>
    </w:p>
    <w:p w14:paraId="3BDB324E">
      <w:pPr>
        <w:widowControl/>
        <w:numPr>
          <w:ilvl w:val="0"/>
          <w:numId w:val="6"/>
        </w:numPr>
        <w:spacing w:line="380" w:lineRule="exact"/>
        <w:ind w:left="0"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配件清单及易损件目录</w:t>
      </w:r>
    </w:p>
    <w:p w14:paraId="408FA56C">
      <w:pPr>
        <w:widowControl/>
        <w:spacing w:line="38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本技术需求文件基于最新国家生态环境标准（HJ 915.1-2024、HJ 915.2-2024等）编制，确保技术要求的先进性和合规性。供应商应充分理解文件内容，确保所提供的产品和服务完全满足各项技术要求</w:t>
      </w:r>
    </w:p>
    <w:p w14:paraId="2CA5C899">
      <w:pPr>
        <w:spacing w:line="380" w:lineRule="exact"/>
        <w:ind w:firstLine="480" w:firstLineChars="200"/>
        <w:rPr>
          <w:rFonts w:ascii="Times New Roman" w:hAnsi="Times New Roman" w:cs="Times New Roman" w:eastAsiaTheme="minorEastAsia"/>
          <w:sz w:val="24"/>
          <w:szCs w:val="24"/>
        </w:rPr>
      </w:pPr>
    </w:p>
    <w:p w14:paraId="418521B8">
      <w:pPr>
        <w:autoSpaceDE w:val="0"/>
        <w:autoSpaceDN w:val="0"/>
        <w:adjustRightInd w:val="0"/>
        <w:spacing w:line="500" w:lineRule="exact"/>
        <w:ind w:firstLine="482"/>
        <w:jc w:val="left"/>
        <w:outlineLvl w:val="1"/>
        <w:rPr>
          <w:rFonts w:ascii="Times New Roman" w:hAnsi="Times New Roman" w:cs="Times New Roman" w:eastAsiaTheme="minorEastAsia"/>
          <w:b/>
          <w:bCs/>
          <w:sz w:val="24"/>
          <w:szCs w:val="24"/>
          <w:highlight w:val="green"/>
        </w:rPr>
      </w:pPr>
      <w:r>
        <w:rPr>
          <w:rFonts w:hint="eastAsia" w:ascii="Times New Roman" w:hAnsi="Times New Roman" w:cs="Times New Roman" w:eastAsiaTheme="minorEastAsia"/>
          <w:b/>
          <w:bCs/>
          <w:sz w:val="24"/>
          <w:szCs w:val="24"/>
        </w:rPr>
        <w:t>（三）</w:t>
      </w:r>
      <w:r>
        <w:rPr>
          <w:rFonts w:ascii="Times New Roman" w:hAnsi="Times New Roman" w:cs="Times New Roman" w:eastAsiaTheme="minorEastAsia"/>
          <w:b/>
          <w:bCs/>
          <w:sz w:val="24"/>
          <w:szCs w:val="24"/>
        </w:rPr>
        <w:t>安徽省淮水北调工程调度运行中心及省管泵站中控室及水质监测站之间的通信网络服务</w:t>
      </w:r>
    </w:p>
    <w:p w14:paraId="6DF1249F">
      <w:pPr>
        <w:widowControl/>
        <w:spacing w:line="360" w:lineRule="auto"/>
        <w:ind w:firstLine="482" w:firstLineChars="200"/>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1.项目概况</w:t>
      </w:r>
    </w:p>
    <w:p w14:paraId="70662812">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建设调水工程流域的通讯骨干网，通过租用线路的方式，搭建省（市）管理中心及现地站之间的城域网，实现各级管理单位之间的互联互通。</w:t>
      </w:r>
    </w:p>
    <w:p w14:paraId="780A4F66">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广域网络系统将省管理中心作为中心节点，市管理中心和枢纽站作为接入节点，构建星型广域网络，为增强中心节点的可靠性，中心节点关键网络设备采用冗余配置，以减小因中心节点故障导致整个网络瘫痪的几率。广域网结构图如下图所示：</w:t>
      </w:r>
    </w:p>
    <w:p w14:paraId="4F301A1C">
      <w:pPr>
        <w:ind w:firstLine="48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object>
          <v:shape id="_x0000_i1025" o:spt="75" type="#_x0000_t75" style="height:270pt;width:460.2pt;" o:ole="t" filled="f" o:preferrelative="t" stroked="f" coordsize="21600,21600">
            <v:path/>
            <v:fill on="f" focussize="0,0"/>
            <v:stroke on="f"/>
            <v:imagedata r:id="rId9" o:title=""/>
            <o:lock v:ext="edit" aspectratio="t"/>
            <w10:wrap type="none"/>
            <w10:anchorlock/>
          </v:shape>
          <o:OLEObject Type="Embed" ProgID="Visio.Drawing.11" ShapeID="_x0000_i1025" DrawAspect="Content" ObjectID="_1468075725" r:id="rId8">
            <o:LockedField>false</o:LockedField>
          </o:OLEObject>
        </w:object>
      </w:r>
    </w:p>
    <w:p w14:paraId="010C2090">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此外，本项目所设备份中心采用租用IDC托管方式，备份中心设备由采购人提供，设备工程量见附表。</w:t>
      </w:r>
    </w:p>
    <w:p w14:paraId="76BE4779">
      <w:pPr>
        <w:widowControl/>
        <w:spacing w:line="360" w:lineRule="auto"/>
        <w:ind w:firstLine="482" w:firstLineChars="200"/>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2.相关技术要求</w:t>
      </w:r>
    </w:p>
    <w:p w14:paraId="3BED8B1F">
      <w:pPr>
        <w:keepNext/>
        <w:keepLines/>
        <w:spacing w:line="360" w:lineRule="auto"/>
        <w:ind w:right="210" w:rightChars="100" w:firstLine="482"/>
        <w:rPr>
          <w:rFonts w:ascii="Times New Roman" w:hAnsi="Times New Roman" w:cs="Times New Roman" w:eastAsiaTheme="minorEastAsia"/>
          <w:b/>
          <w:bCs/>
          <w:kern w:val="0"/>
          <w:sz w:val="24"/>
          <w:szCs w:val="24"/>
          <w:lang w:val="zh-CN"/>
        </w:rPr>
      </w:pPr>
      <w:r>
        <w:rPr>
          <w:rFonts w:ascii="Times New Roman" w:hAnsi="Times New Roman" w:cs="Times New Roman" w:eastAsiaTheme="minorEastAsia"/>
          <w:b/>
          <w:bCs/>
          <w:kern w:val="0"/>
          <w:sz w:val="24"/>
          <w:szCs w:val="24"/>
          <w:lang w:val="zh-CN"/>
        </w:rPr>
        <w:t>2.1专线线路及带宽要求</w:t>
      </w:r>
    </w:p>
    <w:p w14:paraId="380BC55F">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省管理中心至10个现地站、2个市管理中心、备份中心各租用一条20M专线。专线类型采用：点对点透传链路。其中宿州中心和二铺站合用一条线路，淮北中心和侯王站合用一条线路。共计10条20M专线和1条10M专线，各条专线线路在任何时间的实际可使用带宽必须达到标称带宽，线路时延应不影响常见的局域网应用和视频监控。</w:t>
      </w:r>
    </w:p>
    <w:p w14:paraId="252B8D6F">
      <w:pPr>
        <w:spacing w:line="380" w:lineRule="exact"/>
        <w:ind w:firstLine="480" w:firstLineChars="200"/>
        <w:rPr>
          <w:rFonts w:ascii="Times New Roman" w:hAnsi="Times New Roman" w:cs="Times New Roman" w:eastAsiaTheme="minorEastAsia"/>
          <w:sz w:val="24"/>
          <w:szCs w:val="24"/>
        </w:rPr>
      </w:pPr>
    </w:p>
    <w:p w14:paraId="306356AB">
      <w:pPr>
        <w:ind w:firstLine="482"/>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站点地理位置表</w:t>
      </w:r>
    </w:p>
    <w:tbl>
      <w:tblPr>
        <w:tblStyle w:val="24"/>
        <w:tblpPr w:leftFromText="180" w:rightFromText="180" w:vertAnchor="text" w:tblpXSpec="center" w:tblpY="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68"/>
        <w:gridCol w:w="3828"/>
        <w:gridCol w:w="1530"/>
      </w:tblGrid>
      <w:tr w14:paraId="04A13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75" w:type="dxa"/>
            <w:vAlign w:val="center"/>
          </w:tcPr>
          <w:p w14:paraId="5C8684BF">
            <w:pPr>
              <w:spacing w:line="240" w:lineRule="exact"/>
              <w:jc w:val="center"/>
              <w:rPr>
                <w:rFonts w:ascii="Times New Roman" w:hAnsi="Times New Roman" w:cs="Times New Roman" w:eastAsiaTheme="minorEastAsia"/>
                <w:b/>
                <w:szCs w:val="21"/>
              </w:rPr>
            </w:pPr>
            <w:r>
              <w:rPr>
                <w:rFonts w:ascii="Times New Roman" w:hAnsi="Times New Roman" w:cs="Times New Roman" w:eastAsiaTheme="minorEastAsia"/>
                <w:b/>
                <w:szCs w:val="21"/>
              </w:rPr>
              <w:t>序号</w:t>
            </w:r>
          </w:p>
        </w:tc>
        <w:tc>
          <w:tcPr>
            <w:tcW w:w="2268" w:type="dxa"/>
            <w:vAlign w:val="center"/>
          </w:tcPr>
          <w:p w14:paraId="256EBCBF">
            <w:pPr>
              <w:spacing w:line="240" w:lineRule="exact"/>
              <w:jc w:val="center"/>
              <w:rPr>
                <w:rFonts w:ascii="Times New Roman" w:hAnsi="Times New Roman" w:cs="Times New Roman" w:eastAsiaTheme="minorEastAsia"/>
                <w:b/>
                <w:szCs w:val="21"/>
              </w:rPr>
            </w:pPr>
            <w:r>
              <w:rPr>
                <w:rFonts w:ascii="Times New Roman" w:hAnsi="Times New Roman" w:cs="Times New Roman" w:eastAsiaTheme="minorEastAsia"/>
                <w:b/>
                <w:szCs w:val="21"/>
              </w:rPr>
              <w:t>站点</w:t>
            </w:r>
          </w:p>
        </w:tc>
        <w:tc>
          <w:tcPr>
            <w:tcW w:w="3828" w:type="dxa"/>
            <w:vAlign w:val="center"/>
          </w:tcPr>
          <w:p w14:paraId="25EA5A63">
            <w:pPr>
              <w:spacing w:line="240" w:lineRule="exact"/>
              <w:jc w:val="center"/>
              <w:rPr>
                <w:rFonts w:ascii="Times New Roman" w:hAnsi="Times New Roman" w:cs="Times New Roman" w:eastAsiaTheme="minorEastAsia"/>
                <w:b/>
                <w:szCs w:val="21"/>
              </w:rPr>
            </w:pPr>
            <w:r>
              <w:rPr>
                <w:rFonts w:ascii="Times New Roman" w:hAnsi="Times New Roman" w:cs="Times New Roman" w:eastAsiaTheme="minorEastAsia"/>
                <w:b/>
                <w:szCs w:val="21"/>
              </w:rPr>
              <w:t>地理位置</w:t>
            </w:r>
          </w:p>
        </w:tc>
        <w:tc>
          <w:tcPr>
            <w:tcW w:w="1530" w:type="dxa"/>
            <w:vAlign w:val="center"/>
          </w:tcPr>
          <w:p w14:paraId="19D710D8">
            <w:pPr>
              <w:spacing w:line="240" w:lineRule="exact"/>
              <w:jc w:val="center"/>
              <w:rPr>
                <w:rFonts w:ascii="Times New Roman" w:hAnsi="Times New Roman" w:cs="Times New Roman" w:eastAsiaTheme="minorEastAsia"/>
                <w:b/>
                <w:szCs w:val="21"/>
              </w:rPr>
            </w:pPr>
            <w:r>
              <w:rPr>
                <w:rFonts w:ascii="Times New Roman" w:hAnsi="Times New Roman" w:cs="Times New Roman" w:eastAsiaTheme="minorEastAsia"/>
                <w:b/>
                <w:szCs w:val="21"/>
              </w:rPr>
              <w:t>带宽需求（M）</w:t>
            </w:r>
          </w:p>
        </w:tc>
      </w:tr>
      <w:tr w14:paraId="6DD48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1B593E61">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1</w:t>
            </w:r>
          </w:p>
        </w:tc>
        <w:tc>
          <w:tcPr>
            <w:tcW w:w="2268" w:type="dxa"/>
            <w:vAlign w:val="center"/>
          </w:tcPr>
          <w:p w14:paraId="30991771">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何巷闸</w:t>
            </w:r>
          </w:p>
        </w:tc>
        <w:tc>
          <w:tcPr>
            <w:tcW w:w="3828" w:type="dxa"/>
            <w:vAlign w:val="center"/>
          </w:tcPr>
          <w:p w14:paraId="450DFD5E">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蚌埠市怀远县榴城镇何巷村</w:t>
            </w:r>
          </w:p>
        </w:tc>
        <w:tc>
          <w:tcPr>
            <w:tcW w:w="1530" w:type="dxa"/>
            <w:vAlign w:val="center"/>
          </w:tcPr>
          <w:p w14:paraId="7C09D656">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20</w:t>
            </w:r>
          </w:p>
        </w:tc>
      </w:tr>
      <w:tr w14:paraId="0F95C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1F8D6832">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2</w:t>
            </w:r>
          </w:p>
        </w:tc>
        <w:tc>
          <w:tcPr>
            <w:tcW w:w="2268" w:type="dxa"/>
            <w:vAlign w:val="center"/>
          </w:tcPr>
          <w:p w14:paraId="47BD246C">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五河站</w:t>
            </w:r>
          </w:p>
        </w:tc>
        <w:tc>
          <w:tcPr>
            <w:tcW w:w="3828" w:type="dxa"/>
            <w:vAlign w:val="center"/>
          </w:tcPr>
          <w:p w14:paraId="74B57C13">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蚌埠市五河县头铺镇金岗村</w:t>
            </w:r>
          </w:p>
        </w:tc>
        <w:tc>
          <w:tcPr>
            <w:tcW w:w="1530" w:type="dxa"/>
            <w:vAlign w:val="center"/>
          </w:tcPr>
          <w:p w14:paraId="13DC3FAD">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20</w:t>
            </w:r>
          </w:p>
        </w:tc>
      </w:tr>
      <w:tr w14:paraId="7FBA8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3552B8FF">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3</w:t>
            </w:r>
          </w:p>
        </w:tc>
        <w:tc>
          <w:tcPr>
            <w:tcW w:w="2268" w:type="dxa"/>
            <w:vAlign w:val="center"/>
          </w:tcPr>
          <w:p w14:paraId="62797ACC">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固镇站</w:t>
            </w:r>
          </w:p>
        </w:tc>
        <w:tc>
          <w:tcPr>
            <w:tcW w:w="3828" w:type="dxa"/>
            <w:vAlign w:val="center"/>
          </w:tcPr>
          <w:p w14:paraId="45F640DA">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蚌埠市固镇县石湖乡陡沟村</w:t>
            </w:r>
          </w:p>
        </w:tc>
        <w:tc>
          <w:tcPr>
            <w:tcW w:w="1530" w:type="dxa"/>
            <w:vAlign w:val="center"/>
          </w:tcPr>
          <w:p w14:paraId="70742A73">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20</w:t>
            </w:r>
          </w:p>
        </w:tc>
      </w:tr>
      <w:tr w14:paraId="2952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3A63F447">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4</w:t>
            </w:r>
          </w:p>
        </w:tc>
        <w:tc>
          <w:tcPr>
            <w:tcW w:w="2268" w:type="dxa"/>
            <w:vAlign w:val="center"/>
          </w:tcPr>
          <w:p w14:paraId="6BE752DF">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南沱河地下涵</w:t>
            </w:r>
          </w:p>
        </w:tc>
        <w:tc>
          <w:tcPr>
            <w:tcW w:w="3828" w:type="dxa"/>
            <w:vAlign w:val="center"/>
          </w:tcPr>
          <w:p w14:paraId="79FFAE73">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宿州市灵璧县黄湾镇王桥村</w:t>
            </w:r>
          </w:p>
        </w:tc>
        <w:tc>
          <w:tcPr>
            <w:tcW w:w="1530" w:type="dxa"/>
            <w:vAlign w:val="center"/>
          </w:tcPr>
          <w:p w14:paraId="292AB73D">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10</w:t>
            </w:r>
          </w:p>
        </w:tc>
      </w:tr>
      <w:tr w14:paraId="40D3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7D58C0C0">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5</w:t>
            </w:r>
          </w:p>
        </w:tc>
        <w:tc>
          <w:tcPr>
            <w:tcW w:w="2268" w:type="dxa"/>
            <w:vAlign w:val="center"/>
          </w:tcPr>
          <w:p w14:paraId="5D8862AB">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娄宋站</w:t>
            </w:r>
          </w:p>
        </w:tc>
        <w:tc>
          <w:tcPr>
            <w:tcW w:w="3828" w:type="dxa"/>
            <w:vAlign w:val="center"/>
          </w:tcPr>
          <w:p w14:paraId="7664E3C8">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宿州市灵璧县娄庄镇</w:t>
            </w:r>
          </w:p>
        </w:tc>
        <w:tc>
          <w:tcPr>
            <w:tcW w:w="1530" w:type="dxa"/>
            <w:vAlign w:val="center"/>
          </w:tcPr>
          <w:p w14:paraId="32AB5E7C">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20</w:t>
            </w:r>
          </w:p>
        </w:tc>
      </w:tr>
      <w:tr w14:paraId="315B5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789F120F">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6</w:t>
            </w:r>
          </w:p>
        </w:tc>
        <w:tc>
          <w:tcPr>
            <w:tcW w:w="2268" w:type="dxa"/>
            <w:vAlign w:val="center"/>
          </w:tcPr>
          <w:p w14:paraId="38026F65">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二铺站</w:t>
            </w:r>
          </w:p>
        </w:tc>
        <w:tc>
          <w:tcPr>
            <w:tcW w:w="3828" w:type="dxa"/>
            <w:vAlign w:val="center"/>
          </w:tcPr>
          <w:p w14:paraId="4C5F22E7">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安徽省宿州市埇桥区汴河街道</w:t>
            </w:r>
          </w:p>
        </w:tc>
        <w:tc>
          <w:tcPr>
            <w:tcW w:w="1530" w:type="dxa"/>
            <w:vAlign w:val="center"/>
          </w:tcPr>
          <w:p w14:paraId="2A73F16E">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20</w:t>
            </w:r>
          </w:p>
        </w:tc>
      </w:tr>
      <w:tr w14:paraId="46F5F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0A243666">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7</w:t>
            </w:r>
          </w:p>
        </w:tc>
        <w:tc>
          <w:tcPr>
            <w:tcW w:w="2268" w:type="dxa"/>
            <w:vAlign w:val="center"/>
          </w:tcPr>
          <w:p w14:paraId="0B298995">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四铺站</w:t>
            </w:r>
          </w:p>
        </w:tc>
        <w:tc>
          <w:tcPr>
            <w:tcW w:w="3828" w:type="dxa"/>
            <w:vAlign w:val="center"/>
          </w:tcPr>
          <w:p w14:paraId="11219FE0">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淮北市烈山区古饶镇</w:t>
            </w:r>
          </w:p>
        </w:tc>
        <w:tc>
          <w:tcPr>
            <w:tcW w:w="1530" w:type="dxa"/>
            <w:vAlign w:val="center"/>
          </w:tcPr>
          <w:p w14:paraId="3A9F3B79">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20</w:t>
            </w:r>
          </w:p>
        </w:tc>
      </w:tr>
      <w:tr w14:paraId="4125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0AAE63C7">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8</w:t>
            </w:r>
          </w:p>
        </w:tc>
        <w:tc>
          <w:tcPr>
            <w:tcW w:w="2268" w:type="dxa"/>
            <w:vAlign w:val="center"/>
          </w:tcPr>
          <w:p w14:paraId="6D0099A1">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候王站</w:t>
            </w:r>
          </w:p>
        </w:tc>
        <w:tc>
          <w:tcPr>
            <w:tcW w:w="3828" w:type="dxa"/>
            <w:vAlign w:val="center"/>
          </w:tcPr>
          <w:p w14:paraId="5C42DB19">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淮北市濉溪县濉溪镇候王村</w:t>
            </w:r>
          </w:p>
        </w:tc>
        <w:tc>
          <w:tcPr>
            <w:tcW w:w="1530" w:type="dxa"/>
            <w:vAlign w:val="center"/>
          </w:tcPr>
          <w:p w14:paraId="40A209C6">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20</w:t>
            </w:r>
          </w:p>
        </w:tc>
      </w:tr>
      <w:tr w14:paraId="64D9A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19C4590A">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9</w:t>
            </w:r>
          </w:p>
        </w:tc>
        <w:tc>
          <w:tcPr>
            <w:tcW w:w="2268" w:type="dxa"/>
            <w:vAlign w:val="center"/>
          </w:tcPr>
          <w:p w14:paraId="5E831B11">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贾窝站</w:t>
            </w:r>
          </w:p>
        </w:tc>
        <w:tc>
          <w:tcPr>
            <w:tcW w:w="3828" w:type="dxa"/>
            <w:vAlign w:val="center"/>
          </w:tcPr>
          <w:p w14:paraId="22D53429">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宿州市萧县孙圩子乡</w:t>
            </w:r>
          </w:p>
        </w:tc>
        <w:tc>
          <w:tcPr>
            <w:tcW w:w="1530" w:type="dxa"/>
            <w:vAlign w:val="center"/>
          </w:tcPr>
          <w:p w14:paraId="2326E7A8">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20</w:t>
            </w:r>
          </w:p>
        </w:tc>
      </w:tr>
      <w:tr w14:paraId="6EA4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1063713C">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10</w:t>
            </w:r>
          </w:p>
        </w:tc>
        <w:tc>
          <w:tcPr>
            <w:tcW w:w="2268" w:type="dxa"/>
            <w:vAlign w:val="center"/>
          </w:tcPr>
          <w:p w14:paraId="3504F923">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岱山口站</w:t>
            </w:r>
          </w:p>
        </w:tc>
        <w:tc>
          <w:tcPr>
            <w:tcW w:w="3828" w:type="dxa"/>
            <w:vAlign w:val="center"/>
          </w:tcPr>
          <w:p w14:paraId="47D48626">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宿州市萧县龙城镇岱桥村</w:t>
            </w:r>
          </w:p>
        </w:tc>
        <w:tc>
          <w:tcPr>
            <w:tcW w:w="1530" w:type="dxa"/>
            <w:vAlign w:val="center"/>
          </w:tcPr>
          <w:p w14:paraId="1236C860">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20</w:t>
            </w:r>
          </w:p>
        </w:tc>
      </w:tr>
      <w:tr w14:paraId="5DC5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75" w:type="dxa"/>
            <w:vAlign w:val="center"/>
          </w:tcPr>
          <w:p w14:paraId="78071571">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11</w:t>
            </w:r>
          </w:p>
        </w:tc>
        <w:tc>
          <w:tcPr>
            <w:tcW w:w="2268" w:type="dxa"/>
            <w:vAlign w:val="center"/>
          </w:tcPr>
          <w:p w14:paraId="410F0274">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备份中心（宿州市）</w:t>
            </w:r>
          </w:p>
        </w:tc>
        <w:tc>
          <w:tcPr>
            <w:tcW w:w="3828" w:type="dxa"/>
            <w:vAlign w:val="center"/>
          </w:tcPr>
          <w:p w14:paraId="2E30E49D">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宿州市</w:t>
            </w:r>
          </w:p>
        </w:tc>
        <w:tc>
          <w:tcPr>
            <w:tcW w:w="1530" w:type="dxa"/>
            <w:vAlign w:val="center"/>
          </w:tcPr>
          <w:p w14:paraId="66902253">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20</w:t>
            </w:r>
          </w:p>
        </w:tc>
      </w:tr>
    </w:tbl>
    <w:p w14:paraId="04418335">
      <w:pPr>
        <w:keepNext/>
        <w:keepLines/>
        <w:spacing w:line="360" w:lineRule="auto"/>
        <w:ind w:right="210" w:rightChars="100" w:firstLine="482"/>
        <w:rPr>
          <w:rFonts w:ascii="Times New Roman" w:hAnsi="Times New Roman" w:cs="Times New Roman" w:eastAsiaTheme="minorEastAsia"/>
          <w:b/>
          <w:bCs/>
          <w:kern w:val="0"/>
          <w:sz w:val="24"/>
          <w:szCs w:val="24"/>
          <w:lang w:val="zh-CN"/>
        </w:rPr>
      </w:pPr>
      <w:r>
        <w:rPr>
          <w:rFonts w:ascii="Times New Roman" w:hAnsi="Times New Roman" w:cs="Times New Roman" w:eastAsiaTheme="minorEastAsia"/>
          <w:b/>
          <w:bCs/>
          <w:kern w:val="0"/>
          <w:sz w:val="24"/>
          <w:szCs w:val="24"/>
          <w:lang w:val="zh-CN"/>
        </w:rPr>
        <w:t>2.2专线接口要求</w:t>
      </w:r>
    </w:p>
    <w:p w14:paraId="70631464">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专线设备接口：1、现地站专线设备上行应提供光缆接口，专线设备接入下行应提供以太网电接口和以太网光接口；2、省管理中心和备份中心专线设备上行应提供光缆接口，专线设备接入下行应提供以太网电接口和以太网光接口。相关转发设备由成交供应商负责提供并安装调试。</w:t>
      </w:r>
    </w:p>
    <w:p w14:paraId="345E784A">
      <w:pPr>
        <w:keepNext/>
        <w:keepLines/>
        <w:spacing w:line="360" w:lineRule="auto"/>
        <w:ind w:right="210" w:rightChars="100" w:firstLine="482"/>
        <w:rPr>
          <w:rFonts w:ascii="Times New Roman" w:hAnsi="Times New Roman" w:cs="Times New Roman" w:eastAsiaTheme="minorEastAsia"/>
          <w:b/>
          <w:bCs/>
          <w:kern w:val="0"/>
          <w:sz w:val="24"/>
          <w:szCs w:val="24"/>
          <w:lang w:val="zh-CN"/>
        </w:rPr>
      </w:pPr>
      <w:r>
        <w:rPr>
          <w:rFonts w:ascii="Times New Roman" w:hAnsi="Times New Roman" w:cs="Times New Roman" w:eastAsiaTheme="minorEastAsia"/>
          <w:b/>
          <w:bCs/>
          <w:kern w:val="0"/>
          <w:sz w:val="24"/>
          <w:szCs w:val="24"/>
          <w:lang w:val="zh-CN"/>
        </w:rPr>
        <w:t>2.3安装要求</w:t>
      </w:r>
    </w:p>
    <w:p w14:paraId="3073D32D">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省管理中心、市管理中心机房内设备应安装在指定的网络机柜内，成交供应商提供的所有设备应为机架式设备（不应简单堆放在托盘上），以便统一管理，设备供电电源从机柜PDU中接入（220V）；光缆应从静电地板下走线，光缆接地部分需可靠连接到均压环上；</w:t>
      </w:r>
    </w:p>
    <w:p w14:paraId="06DEC548">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现地站内设备安装在各站指定的房间内，所有设备应为机架式设备（不应简单堆放在托盘上），设备装入指定机柜并对机架固定，光缆应按现场管理人员要求整齐布置；光缆接地部分与各机房接地桩可靠连接。</w:t>
      </w:r>
    </w:p>
    <w:p w14:paraId="273BEF32">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成交供应商提供的设备应是全新，未使用的设备，严禁使用旧的设备，成交供应商应提供专线电路连通所需的全部线缆及设备、配件并负责敷设安装。</w:t>
      </w:r>
    </w:p>
    <w:p w14:paraId="5DBEAAA5">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成交供应商安装布放的尾纤和线缆布放整齐美观，连接牢固。线缆标签格式清晰且粘贴规范。标签的内容包括电路名称、本端信息、对端信息。</w:t>
      </w:r>
    </w:p>
    <w:p w14:paraId="611F2632">
      <w:pPr>
        <w:keepNext/>
        <w:keepLines/>
        <w:spacing w:line="360" w:lineRule="auto"/>
        <w:ind w:right="210" w:rightChars="100" w:firstLine="482"/>
        <w:rPr>
          <w:rFonts w:ascii="Times New Roman" w:hAnsi="Times New Roman" w:cs="Times New Roman" w:eastAsiaTheme="minorEastAsia"/>
          <w:b/>
          <w:bCs/>
          <w:kern w:val="0"/>
          <w:sz w:val="24"/>
          <w:szCs w:val="24"/>
          <w:lang w:val="zh-CN"/>
        </w:rPr>
      </w:pPr>
      <w:r>
        <w:rPr>
          <w:rFonts w:ascii="Times New Roman" w:hAnsi="Times New Roman" w:cs="Times New Roman" w:eastAsiaTheme="minorEastAsia"/>
          <w:b/>
          <w:bCs/>
          <w:kern w:val="0"/>
          <w:sz w:val="24"/>
          <w:szCs w:val="24"/>
          <w:lang w:val="zh-CN"/>
        </w:rPr>
        <w:t>2.4设备要求</w:t>
      </w:r>
    </w:p>
    <w:p w14:paraId="3478A090">
      <w:pPr>
        <w:spacing w:line="380" w:lineRule="exact"/>
        <w:ind w:firstLine="480" w:firstLineChars="200"/>
        <w:rPr>
          <w:rFonts w:ascii="Times New Roman" w:hAnsi="Times New Roman" w:cs="Times New Roman"/>
        </w:rPr>
      </w:pPr>
      <w:r>
        <w:rPr>
          <w:rFonts w:ascii="Times New Roman" w:hAnsi="Times New Roman" w:cs="Times New Roman" w:eastAsiaTheme="minorEastAsia"/>
          <w:sz w:val="24"/>
          <w:szCs w:val="24"/>
        </w:rPr>
        <w:t>成交供应商提供的设备应为可远程管理的设备，设备应提供指示灯或软件界面直观的显示专线的通断状态，并对采购人操作人员进行培训。</w:t>
      </w:r>
    </w:p>
    <w:p w14:paraId="5726CABD">
      <w:pPr>
        <w:keepNext/>
        <w:keepLines/>
        <w:spacing w:line="360" w:lineRule="auto"/>
        <w:ind w:right="210" w:rightChars="100" w:firstLine="482"/>
        <w:rPr>
          <w:rFonts w:ascii="Times New Roman" w:hAnsi="Times New Roman" w:cs="Times New Roman" w:eastAsiaTheme="minorEastAsia"/>
          <w:b/>
          <w:bCs/>
          <w:kern w:val="0"/>
          <w:sz w:val="24"/>
          <w:szCs w:val="24"/>
          <w:lang w:val="zh-CN"/>
        </w:rPr>
      </w:pPr>
      <w:r>
        <w:rPr>
          <w:rFonts w:ascii="Times New Roman" w:hAnsi="Times New Roman" w:cs="Times New Roman" w:eastAsiaTheme="minorEastAsia"/>
          <w:b/>
          <w:bCs/>
          <w:kern w:val="0"/>
          <w:sz w:val="24"/>
          <w:szCs w:val="24"/>
          <w:lang w:val="zh-CN"/>
        </w:rPr>
        <w:t>2.5可靠性和保障</w:t>
      </w:r>
    </w:p>
    <w:p w14:paraId="23EBE6A4">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专线的可用率应不低于99.99%，在非线缆故障的情况下，线路故障应能确保在12小时内恢复或提供备用电路，线缆故障情况下，线路故障应能确保在24小时内恢复，成交供应商应安排专人负责整个网络通讯的跟踪维护。</w:t>
      </w:r>
    </w:p>
    <w:p w14:paraId="73C897AD">
      <w:pPr>
        <w:keepNext/>
        <w:keepLines/>
        <w:spacing w:line="360" w:lineRule="auto"/>
        <w:ind w:right="210" w:rightChars="100" w:firstLine="482"/>
        <w:rPr>
          <w:rFonts w:ascii="Times New Roman" w:hAnsi="Times New Roman" w:cs="Times New Roman" w:eastAsiaTheme="minorEastAsia"/>
          <w:b/>
          <w:bCs/>
          <w:kern w:val="0"/>
          <w:sz w:val="24"/>
          <w:szCs w:val="24"/>
          <w:lang w:val="zh-CN"/>
        </w:rPr>
      </w:pPr>
      <w:r>
        <w:rPr>
          <w:rFonts w:ascii="Times New Roman" w:hAnsi="Times New Roman" w:cs="Times New Roman" w:eastAsiaTheme="minorEastAsia"/>
          <w:b/>
          <w:bCs/>
          <w:kern w:val="0"/>
          <w:sz w:val="24"/>
          <w:szCs w:val="24"/>
          <w:lang w:val="zh-CN"/>
        </w:rPr>
        <w:t>2.6专线的测试</w:t>
      </w:r>
    </w:p>
    <w:p w14:paraId="55C13442">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在设备安装线路调试完毕，外观检查无瑕疵的情况下，由采购人指定人员在任意一条专线两侧各接入一台电脑，在正常设置无误的情况下（设置预先分配好的地址）相互可以ping通，文件传输正常，丢包率≤ 1%，平均时延≤10ms，延时在正常范围内，不影响视频观看和数据库访问，传输速率达到标称速率为合格。</w:t>
      </w:r>
    </w:p>
    <w:p w14:paraId="33B4E75E">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成交供应商应提供专线电路配置的详细资料。</w:t>
      </w:r>
    </w:p>
    <w:p w14:paraId="47057CE4">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成交供应商应配合做好整个网络的电路调试工作。</w:t>
      </w:r>
    </w:p>
    <w:p w14:paraId="03951B80">
      <w:pPr>
        <w:keepNext/>
        <w:keepLines/>
        <w:spacing w:line="360" w:lineRule="auto"/>
        <w:ind w:right="210" w:rightChars="100" w:firstLine="482"/>
        <w:rPr>
          <w:rFonts w:ascii="Times New Roman" w:hAnsi="Times New Roman" w:cs="Times New Roman" w:eastAsiaTheme="minorEastAsia"/>
          <w:b/>
          <w:bCs/>
          <w:kern w:val="0"/>
          <w:sz w:val="24"/>
          <w:szCs w:val="24"/>
          <w:lang w:val="zh-CN"/>
        </w:rPr>
      </w:pPr>
      <w:r>
        <w:rPr>
          <w:rFonts w:ascii="Times New Roman" w:hAnsi="Times New Roman" w:cs="Times New Roman" w:eastAsiaTheme="minorEastAsia"/>
          <w:b/>
          <w:bCs/>
          <w:kern w:val="0"/>
          <w:sz w:val="24"/>
          <w:szCs w:val="24"/>
          <w:lang w:val="zh-CN"/>
        </w:rPr>
        <w:t>2.8关于网络服务的特别说明</w:t>
      </w:r>
    </w:p>
    <w:p w14:paraId="4FCA26B8">
      <w:pPr>
        <w:spacing w:line="380" w:lineRule="exact"/>
        <w:ind w:firstLine="482" w:firstLineChars="200"/>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安徽省淮水北调工程调度运行中心运维服务、省管泵站中控室运维服务及水质监测站的通信网络服务目前使用的网络供应商为中国移动通信有限公司蚌埠分公司，原网络通信使用费约41万元/年。中标供应商满足本采购需求的情况下可自行选定具有《基础电信业务经营许可证》的基础网络运营商提供本项目的网络服务。</w:t>
      </w:r>
    </w:p>
    <w:p w14:paraId="729484A5">
      <w:pPr>
        <w:autoSpaceDE w:val="0"/>
        <w:autoSpaceDN w:val="0"/>
        <w:adjustRightInd w:val="0"/>
        <w:spacing w:line="360" w:lineRule="auto"/>
        <w:ind w:firstLine="482" w:firstLineChars="200"/>
        <w:rPr>
          <w:rFonts w:ascii="Times New Roman" w:hAnsi="Times New Roman" w:cs="Times New Roman" w:eastAsiaTheme="minorEastAsia"/>
          <w:b/>
          <w:bCs/>
          <w:sz w:val="24"/>
          <w:szCs w:val="24"/>
        </w:rPr>
      </w:pPr>
      <w:r>
        <w:rPr>
          <w:rFonts w:hint="eastAsia" w:ascii="Times New Roman" w:hAnsi="Times New Roman" w:cs="Times New Roman" w:eastAsiaTheme="minorEastAsia"/>
          <w:b/>
          <w:bCs/>
          <w:sz w:val="24"/>
          <w:szCs w:val="24"/>
        </w:rPr>
        <w:t>（四）</w:t>
      </w:r>
      <w:r>
        <w:rPr>
          <w:rFonts w:ascii="Times New Roman" w:hAnsi="Times New Roman" w:cs="Times New Roman" w:eastAsiaTheme="minorEastAsia"/>
          <w:b/>
          <w:bCs/>
          <w:sz w:val="24"/>
          <w:szCs w:val="24"/>
        </w:rPr>
        <w:t xml:space="preserve"> 投标人资格条件及人员配置要求</w:t>
      </w:r>
    </w:p>
    <w:p w14:paraId="5561F9FE">
      <w:pPr>
        <w:keepNext/>
        <w:keepLines/>
        <w:spacing w:line="360" w:lineRule="auto"/>
        <w:ind w:firstLine="482" w:firstLineChars="200"/>
        <w:rPr>
          <w:rFonts w:ascii="Times New Roman" w:hAnsi="Times New Roman" w:cs="Times New Roman" w:eastAsiaTheme="minorEastAsia"/>
          <w:b/>
          <w:bCs/>
          <w:kern w:val="0"/>
          <w:sz w:val="24"/>
          <w:szCs w:val="24"/>
          <w:lang w:val="zh-CN"/>
        </w:rPr>
      </w:pPr>
      <w:r>
        <w:rPr>
          <w:rFonts w:ascii="Times New Roman" w:hAnsi="Times New Roman" w:cs="Times New Roman" w:eastAsiaTheme="minorEastAsia"/>
          <w:b/>
          <w:bCs/>
          <w:kern w:val="0"/>
          <w:sz w:val="24"/>
          <w:szCs w:val="24"/>
          <w:lang w:val="zh-CN"/>
        </w:rPr>
        <w:t>1.服务方式</w:t>
      </w:r>
    </w:p>
    <w:p w14:paraId="1341FBE8">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为做好运营维护服务，成交供应商须为本项目实施“两级服务体系”，确保可以及时解决系统运行过程中出现的各种问题，确保系统安全、高效的运行，满足运营维护服务质量要求。</w:t>
      </w:r>
    </w:p>
    <w:p w14:paraId="41EE839D">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第一级：现场工程师现场服务。成交供应商须提供现场工程师，确保做到按时巡检、及时处理问题的现场服务。</w:t>
      </w:r>
    </w:p>
    <w:p w14:paraId="1173B0CD">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第二级：驻场外专家团队支持。成交供应商须成立项目专家团队，与现场工程师保持沟通交流，对疑难问题进行上门服务。根据保密性协议等要求，原则上设备调试不允许远程操作。</w:t>
      </w:r>
    </w:p>
    <w:p w14:paraId="78758FCE">
      <w:pPr>
        <w:keepNext/>
        <w:keepLines/>
        <w:spacing w:line="360" w:lineRule="auto"/>
        <w:ind w:firstLine="482" w:firstLineChars="200"/>
        <w:rPr>
          <w:rFonts w:ascii="Times New Roman" w:hAnsi="Times New Roman" w:cs="Times New Roman" w:eastAsiaTheme="minorEastAsia"/>
          <w:b/>
          <w:bCs/>
          <w:kern w:val="0"/>
          <w:sz w:val="24"/>
          <w:szCs w:val="24"/>
          <w:lang w:val="zh-CN"/>
        </w:rPr>
      </w:pPr>
      <w:r>
        <w:rPr>
          <w:rFonts w:ascii="Times New Roman" w:hAnsi="Times New Roman" w:cs="Times New Roman" w:eastAsiaTheme="minorEastAsia"/>
          <w:b/>
          <w:bCs/>
          <w:kern w:val="0"/>
          <w:sz w:val="24"/>
          <w:szCs w:val="24"/>
          <w:lang w:val="zh-CN"/>
        </w:rPr>
        <w:t>2.运维服务团队成员职责</w:t>
      </w:r>
    </w:p>
    <w:p w14:paraId="30DF9AC9">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成交供应商应针对本项目成立项目小组，并合理提供人员配置情况。必须包括但不限于项目经理、信息化系统运维人员、水质监测系统运维人员等。</w:t>
      </w:r>
    </w:p>
    <w:p w14:paraId="51480548">
      <w:pPr>
        <w:keepNext/>
        <w:keepLines/>
        <w:spacing w:line="360" w:lineRule="auto"/>
        <w:ind w:firstLine="482" w:firstLineChars="200"/>
        <w:rPr>
          <w:rFonts w:ascii="Times New Roman" w:hAnsi="Times New Roman" w:cs="Times New Roman" w:eastAsiaTheme="minorEastAsia"/>
          <w:b/>
          <w:bCs/>
          <w:kern w:val="0"/>
          <w:sz w:val="24"/>
          <w:szCs w:val="24"/>
          <w:lang w:val="zh-CN"/>
        </w:rPr>
      </w:pPr>
      <w:r>
        <w:rPr>
          <w:rFonts w:hint="eastAsia" w:ascii="Times New Roman" w:hAnsi="Times New Roman" w:cs="Times New Roman" w:eastAsiaTheme="minorEastAsia"/>
          <w:b/>
          <w:bCs/>
          <w:kern w:val="0"/>
          <w:sz w:val="24"/>
          <w:szCs w:val="24"/>
          <w:lang w:val="zh-CN"/>
        </w:rPr>
        <w:t xml:space="preserve">2.1 </w:t>
      </w:r>
      <w:r>
        <w:rPr>
          <w:rFonts w:ascii="Times New Roman" w:hAnsi="Times New Roman" w:cs="Times New Roman" w:eastAsiaTheme="minorEastAsia"/>
          <w:b/>
          <w:bCs/>
          <w:kern w:val="0"/>
          <w:sz w:val="24"/>
          <w:szCs w:val="24"/>
          <w:lang w:val="zh-CN"/>
        </w:rPr>
        <w:t>项目经理职责</w:t>
      </w:r>
    </w:p>
    <w:p w14:paraId="101E8C61">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项目经理由成交供应商资深技术经理担任，资质要求具有项目经理或以上证书，担任运维服务项目负责人。负责编写项目的总体计划，服务实施计划，验收方案并根据项目进度，以及质量要求，安全要求分配各种资源，对项目风险予以控制。具体实施市场推广服务及其他服务。</w:t>
      </w:r>
    </w:p>
    <w:p w14:paraId="43B53CF8">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主要责任：项目工作说明书的拟定、内容的沟通、讨论及确认；执行各式工作流程及控制服务质量；监督、控制项目人员执行的绩效及质量；代表本项目与用户项目负责人协调；定期向用户项目负责人报告项目进度及相关事宜；审核对工作说明书的变更请求；人员工作量的确认及人员增减；督导工程师遵守用户安全管制及保密协议的规范；人员调度；会议的召开及报表、报告的制作；向成交供应商高层汇报相关工作。</w:t>
      </w:r>
    </w:p>
    <w:p w14:paraId="0A1C803D">
      <w:pPr>
        <w:keepNext/>
        <w:keepLines/>
        <w:spacing w:line="360" w:lineRule="auto"/>
        <w:ind w:firstLine="482" w:firstLineChars="200"/>
        <w:rPr>
          <w:rFonts w:ascii="Times New Roman" w:hAnsi="Times New Roman" w:cs="Times New Roman" w:eastAsiaTheme="minorEastAsia"/>
          <w:b/>
          <w:bCs/>
          <w:kern w:val="0"/>
          <w:sz w:val="24"/>
          <w:szCs w:val="24"/>
          <w:lang w:val="zh-CN"/>
        </w:rPr>
      </w:pPr>
      <w:r>
        <w:rPr>
          <w:rFonts w:hint="eastAsia" w:ascii="Times New Roman" w:hAnsi="Times New Roman" w:cs="Times New Roman" w:eastAsiaTheme="minorEastAsia"/>
          <w:b/>
          <w:bCs/>
          <w:kern w:val="0"/>
          <w:sz w:val="24"/>
          <w:szCs w:val="24"/>
          <w:lang w:val="zh-CN"/>
        </w:rPr>
        <w:t xml:space="preserve">2.2 </w:t>
      </w:r>
      <w:r>
        <w:rPr>
          <w:rFonts w:ascii="Times New Roman" w:hAnsi="Times New Roman" w:cs="Times New Roman" w:eastAsiaTheme="minorEastAsia"/>
          <w:b/>
          <w:bCs/>
          <w:kern w:val="0"/>
          <w:sz w:val="24"/>
          <w:szCs w:val="24"/>
          <w:lang w:val="zh-CN"/>
        </w:rPr>
        <w:t>系统运维人员职责</w:t>
      </w:r>
    </w:p>
    <w:p w14:paraId="3484665D">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现场工程师由成交供应商技术工程师担任，主要是做好日常的运维服务工作。</w:t>
      </w:r>
    </w:p>
    <w:p w14:paraId="25075F97">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主要责任：服从项目经理和用户负责人的管理；服务项目及用户制定的各项规章管理制度；按照服务方案做好日常的运维服务工作；预判运维服务设备及系统问题，快速定位故障点，并能第一时间排除故障；负责巡检记录、运行报告等文档整理；负责应急事件处理，负责用户组织应急演练；负责用户培训、技术交流、用户答疑；提升自身的服务水平和服务知识。</w:t>
      </w:r>
    </w:p>
    <w:p w14:paraId="1F21FA25">
      <w:pPr>
        <w:keepNext/>
        <w:keepLines/>
        <w:spacing w:line="360" w:lineRule="auto"/>
        <w:ind w:firstLine="482" w:firstLineChars="200"/>
        <w:rPr>
          <w:rFonts w:ascii="Times New Roman" w:hAnsi="Times New Roman" w:cs="Times New Roman" w:eastAsiaTheme="minorEastAsia"/>
          <w:b/>
          <w:bCs/>
          <w:kern w:val="0"/>
          <w:sz w:val="24"/>
          <w:szCs w:val="24"/>
          <w:lang w:val="zh-CN"/>
        </w:rPr>
      </w:pPr>
      <w:r>
        <w:rPr>
          <w:rFonts w:hint="eastAsia" w:ascii="Times New Roman" w:hAnsi="Times New Roman" w:cs="Times New Roman" w:eastAsiaTheme="minorEastAsia"/>
          <w:b/>
          <w:bCs/>
          <w:kern w:val="0"/>
          <w:sz w:val="24"/>
          <w:szCs w:val="24"/>
          <w:lang w:val="zh-CN"/>
        </w:rPr>
        <w:t>3</w:t>
      </w:r>
      <w:r>
        <w:rPr>
          <w:rFonts w:ascii="Times New Roman" w:hAnsi="Times New Roman" w:cs="Times New Roman" w:eastAsiaTheme="minorEastAsia"/>
          <w:b/>
          <w:bCs/>
          <w:kern w:val="0"/>
          <w:sz w:val="24"/>
          <w:szCs w:val="24"/>
          <w:lang w:val="zh-CN"/>
        </w:rPr>
        <w:t>.本项目人员配备要求</w:t>
      </w:r>
    </w:p>
    <w:p w14:paraId="71BC7187">
      <w:pPr>
        <w:autoSpaceDE w:val="0"/>
        <w:autoSpaceDN w:val="0"/>
        <w:adjustRightInd w:val="0"/>
        <w:ind w:firstLine="482"/>
        <w:jc w:val="center"/>
        <w:rPr>
          <w:rFonts w:ascii="Times New Roman" w:hAnsi="Times New Roman" w:cs="Times New Roman" w:eastAsiaTheme="minorEastAsia"/>
          <w:b/>
          <w:color w:val="000000"/>
          <w:kern w:val="0"/>
          <w:sz w:val="24"/>
          <w:szCs w:val="24"/>
        </w:rPr>
      </w:pPr>
      <w:r>
        <w:rPr>
          <w:rFonts w:ascii="Times New Roman" w:hAnsi="Times New Roman" w:cs="Times New Roman" w:eastAsiaTheme="minorEastAsia"/>
          <w:b/>
          <w:color w:val="000000"/>
          <w:kern w:val="0"/>
          <w:sz w:val="24"/>
          <w:szCs w:val="24"/>
        </w:rPr>
        <w:t>表4.1本项目人员配备需求表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2411"/>
        <w:gridCol w:w="851"/>
        <w:gridCol w:w="3260"/>
        <w:gridCol w:w="1326"/>
      </w:tblGrid>
      <w:tr w14:paraId="12DE3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74" w:type="dxa"/>
            <w:vAlign w:val="center"/>
          </w:tcPr>
          <w:p w14:paraId="13E2B620">
            <w:pPr>
              <w:spacing w:line="240" w:lineRule="exact"/>
              <w:jc w:val="center"/>
              <w:rPr>
                <w:rFonts w:ascii="Times New Roman" w:hAnsi="Times New Roman" w:cs="Times New Roman" w:eastAsiaTheme="minorEastAsia"/>
                <w:b/>
                <w:szCs w:val="21"/>
              </w:rPr>
            </w:pPr>
            <w:r>
              <w:rPr>
                <w:rFonts w:ascii="Times New Roman" w:hAnsi="Times New Roman" w:cs="Times New Roman" w:eastAsiaTheme="minorEastAsia"/>
                <w:b/>
                <w:szCs w:val="21"/>
              </w:rPr>
              <w:t>序号</w:t>
            </w:r>
          </w:p>
        </w:tc>
        <w:tc>
          <w:tcPr>
            <w:tcW w:w="2411" w:type="dxa"/>
            <w:vAlign w:val="center"/>
          </w:tcPr>
          <w:p w14:paraId="070DFD2B">
            <w:pPr>
              <w:spacing w:line="240" w:lineRule="exact"/>
              <w:jc w:val="center"/>
              <w:rPr>
                <w:rFonts w:ascii="Times New Roman" w:hAnsi="Times New Roman" w:cs="Times New Roman" w:eastAsiaTheme="minorEastAsia"/>
                <w:b/>
                <w:szCs w:val="21"/>
              </w:rPr>
            </w:pPr>
            <w:r>
              <w:rPr>
                <w:rFonts w:ascii="Times New Roman" w:hAnsi="Times New Roman" w:cs="Times New Roman" w:eastAsiaTheme="minorEastAsia"/>
                <w:b/>
                <w:szCs w:val="21"/>
              </w:rPr>
              <w:t>岗位名称</w:t>
            </w:r>
          </w:p>
        </w:tc>
        <w:tc>
          <w:tcPr>
            <w:tcW w:w="851" w:type="dxa"/>
            <w:vAlign w:val="center"/>
          </w:tcPr>
          <w:p w14:paraId="30997677">
            <w:pPr>
              <w:spacing w:line="240" w:lineRule="exact"/>
              <w:jc w:val="center"/>
              <w:rPr>
                <w:rFonts w:ascii="Times New Roman" w:hAnsi="Times New Roman" w:cs="Times New Roman" w:eastAsiaTheme="minorEastAsia"/>
                <w:b/>
                <w:szCs w:val="21"/>
              </w:rPr>
            </w:pPr>
            <w:r>
              <w:rPr>
                <w:rFonts w:ascii="Times New Roman" w:hAnsi="Times New Roman" w:cs="Times New Roman" w:eastAsiaTheme="minorEastAsia"/>
                <w:b/>
                <w:szCs w:val="21"/>
              </w:rPr>
              <w:t>数量</w:t>
            </w:r>
          </w:p>
        </w:tc>
        <w:tc>
          <w:tcPr>
            <w:tcW w:w="3260" w:type="dxa"/>
            <w:vAlign w:val="center"/>
          </w:tcPr>
          <w:p w14:paraId="73E888FD">
            <w:pPr>
              <w:spacing w:line="240" w:lineRule="exact"/>
              <w:jc w:val="center"/>
              <w:rPr>
                <w:rFonts w:ascii="Times New Roman" w:hAnsi="Times New Roman" w:cs="Times New Roman" w:eastAsiaTheme="minorEastAsia"/>
                <w:b/>
                <w:szCs w:val="21"/>
              </w:rPr>
            </w:pPr>
            <w:r>
              <w:rPr>
                <w:rFonts w:ascii="Times New Roman" w:hAnsi="Times New Roman" w:cs="Times New Roman" w:eastAsiaTheme="minorEastAsia"/>
                <w:b/>
                <w:szCs w:val="21"/>
              </w:rPr>
              <w:t>任职条件</w:t>
            </w:r>
          </w:p>
        </w:tc>
        <w:tc>
          <w:tcPr>
            <w:tcW w:w="1326" w:type="dxa"/>
            <w:vAlign w:val="center"/>
          </w:tcPr>
          <w:p w14:paraId="552BE87D">
            <w:pPr>
              <w:spacing w:line="240" w:lineRule="exact"/>
              <w:jc w:val="center"/>
              <w:rPr>
                <w:rFonts w:ascii="Times New Roman" w:hAnsi="Times New Roman" w:cs="Times New Roman" w:eastAsiaTheme="minorEastAsia"/>
                <w:b/>
                <w:szCs w:val="21"/>
              </w:rPr>
            </w:pPr>
            <w:r>
              <w:rPr>
                <w:rFonts w:ascii="Times New Roman" w:hAnsi="Times New Roman" w:cs="Times New Roman" w:eastAsiaTheme="minorEastAsia"/>
                <w:b/>
                <w:szCs w:val="21"/>
              </w:rPr>
              <w:t>备注</w:t>
            </w:r>
          </w:p>
        </w:tc>
      </w:tr>
      <w:tr w14:paraId="49AD7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7751917C">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1</w:t>
            </w:r>
          </w:p>
        </w:tc>
        <w:tc>
          <w:tcPr>
            <w:tcW w:w="2411" w:type="dxa"/>
            <w:vAlign w:val="center"/>
          </w:tcPr>
          <w:p w14:paraId="3964926D">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项目经理</w:t>
            </w:r>
          </w:p>
        </w:tc>
        <w:tc>
          <w:tcPr>
            <w:tcW w:w="851" w:type="dxa"/>
            <w:vAlign w:val="center"/>
          </w:tcPr>
          <w:p w14:paraId="631B7591">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1</w:t>
            </w:r>
          </w:p>
        </w:tc>
        <w:tc>
          <w:tcPr>
            <w:tcW w:w="3260" w:type="dxa"/>
            <w:vAlign w:val="center"/>
          </w:tcPr>
          <w:p w14:paraId="61FB76F0">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计算机类、自动化类或环境保护类专业相关专业大专及以上学历</w:t>
            </w:r>
          </w:p>
        </w:tc>
        <w:tc>
          <w:tcPr>
            <w:tcW w:w="1326" w:type="dxa"/>
            <w:vAlign w:val="center"/>
          </w:tcPr>
          <w:p w14:paraId="7D3D54A1">
            <w:pPr>
              <w:spacing w:line="240" w:lineRule="exact"/>
              <w:jc w:val="center"/>
              <w:rPr>
                <w:rFonts w:ascii="Times New Roman" w:hAnsi="Times New Roman" w:cs="Times New Roman" w:eastAsiaTheme="minorEastAsia"/>
                <w:szCs w:val="21"/>
              </w:rPr>
            </w:pPr>
          </w:p>
        </w:tc>
      </w:tr>
      <w:tr w14:paraId="14513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5940152C">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2</w:t>
            </w:r>
          </w:p>
        </w:tc>
        <w:tc>
          <w:tcPr>
            <w:tcW w:w="2411" w:type="dxa"/>
            <w:vAlign w:val="center"/>
          </w:tcPr>
          <w:p w14:paraId="6F6F7B7F">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调度运行中心及省管泵站中控室运维人员</w:t>
            </w:r>
          </w:p>
        </w:tc>
        <w:tc>
          <w:tcPr>
            <w:tcW w:w="851" w:type="dxa"/>
            <w:vAlign w:val="center"/>
          </w:tcPr>
          <w:p w14:paraId="61495ECC">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2</w:t>
            </w:r>
          </w:p>
        </w:tc>
        <w:tc>
          <w:tcPr>
            <w:tcW w:w="3260" w:type="dxa"/>
            <w:vAlign w:val="center"/>
          </w:tcPr>
          <w:p w14:paraId="042D7EC1">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大专及以上学历</w:t>
            </w:r>
          </w:p>
        </w:tc>
        <w:tc>
          <w:tcPr>
            <w:tcW w:w="1326" w:type="dxa"/>
            <w:vAlign w:val="center"/>
          </w:tcPr>
          <w:p w14:paraId="06D1F38E">
            <w:pPr>
              <w:spacing w:line="240" w:lineRule="exact"/>
              <w:jc w:val="center"/>
              <w:rPr>
                <w:rFonts w:ascii="Times New Roman" w:hAnsi="Times New Roman" w:cs="Times New Roman" w:eastAsiaTheme="minorEastAsia"/>
                <w:szCs w:val="21"/>
              </w:rPr>
            </w:pPr>
          </w:p>
        </w:tc>
      </w:tr>
      <w:tr w14:paraId="77121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74" w:type="dxa"/>
            <w:vAlign w:val="center"/>
          </w:tcPr>
          <w:p w14:paraId="2E0FE5E8">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3</w:t>
            </w:r>
          </w:p>
        </w:tc>
        <w:tc>
          <w:tcPr>
            <w:tcW w:w="2411" w:type="dxa"/>
            <w:vAlign w:val="center"/>
          </w:tcPr>
          <w:p w14:paraId="43F01EF3">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水质监测站点运维人员</w:t>
            </w:r>
          </w:p>
        </w:tc>
        <w:tc>
          <w:tcPr>
            <w:tcW w:w="851" w:type="dxa"/>
            <w:vAlign w:val="center"/>
          </w:tcPr>
          <w:p w14:paraId="018ED5A5">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2</w:t>
            </w:r>
          </w:p>
        </w:tc>
        <w:tc>
          <w:tcPr>
            <w:tcW w:w="3260" w:type="dxa"/>
            <w:vAlign w:val="center"/>
          </w:tcPr>
          <w:p w14:paraId="1EA74233">
            <w:pPr>
              <w:spacing w:line="240" w:lineRule="exact"/>
              <w:jc w:val="center"/>
              <w:rPr>
                <w:rFonts w:ascii="Times New Roman" w:hAnsi="Times New Roman" w:cs="Times New Roman" w:eastAsiaTheme="minorEastAsia"/>
                <w:szCs w:val="21"/>
              </w:rPr>
            </w:pPr>
            <w:r>
              <w:rPr>
                <w:rFonts w:ascii="Times New Roman" w:hAnsi="Times New Roman" w:cs="Times New Roman" w:eastAsiaTheme="minorEastAsia"/>
                <w:szCs w:val="21"/>
              </w:rPr>
              <w:t>大专及以上学历</w:t>
            </w:r>
          </w:p>
        </w:tc>
        <w:tc>
          <w:tcPr>
            <w:tcW w:w="1326" w:type="dxa"/>
            <w:vAlign w:val="center"/>
          </w:tcPr>
          <w:p w14:paraId="399313A1">
            <w:pPr>
              <w:spacing w:line="240" w:lineRule="exact"/>
              <w:jc w:val="center"/>
              <w:rPr>
                <w:rFonts w:ascii="Times New Roman" w:hAnsi="Times New Roman" w:cs="Times New Roman" w:eastAsiaTheme="minorEastAsia"/>
                <w:szCs w:val="21"/>
              </w:rPr>
            </w:pPr>
          </w:p>
        </w:tc>
      </w:tr>
    </w:tbl>
    <w:p w14:paraId="2653A312">
      <w:pPr>
        <w:keepNext/>
        <w:keepLines/>
        <w:spacing w:line="360" w:lineRule="auto"/>
        <w:ind w:firstLine="482" w:firstLineChars="200"/>
        <w:rPr>
          <w:rFonts w:ascii="Times New Roman" w:hAnsi="Times New Roman" w:cs="Times New Roman" w:eastAsiaTheme="minorEastAsia"/>
          <w:b/>
          <w:bCs/>
          <w:kern w:val="0"/>
          <w:sz w:val="24"/>
          <w:szCs w:val="24"/>
          <w:lang w:val="zh-CN"/>
        </w:rPr>
      </w:pPr>
      <w:r>
        <w:rPr>
          <w:rFonts w:hint="eastAsia" w:ascii="Times New Roman" w:hAnsi="Times New Roman" w:cs="Times New Roman" w:eastAsiaTheme="minorEastAsia"/>
          <w:b/>
          <w:bCs/>
          <w:kern w:val="0"/>
          <w:sz w:val="24"/>
          <w:szCs w:val="24"/>
          <w:lang w:val="zh-CN"/>
        </w:rPr>
        <w:t>（五）</w:t>
      </w:r>
      <w:r>
        <w:rPr>
          <w:rFonts w:ascii="Times New Roman" w:hAnsi="Times New Roman" w:cs="Times New Roman" w:eastAsiaTheme="minorEastAsia"/>
          <w:b/>
          <w:bCs/>
          <w:kern w:val="0"/>
          <w:sz w:val="24"/>
          <w:szCs w:val="24"/>
          <w:lang w:val="zh-CN"/>
        </w:rPr>
        <w:t xml:space="preserve"> 考核标准及费用支付办法</w:t>
      </w:r>
    </w:p>
    <w:p w14:paraId="4D6A7E69">
      <w:pPr>
        <w:keepNext/>
        <w:keepLines/>
        <w:spacing w:line="360" w:lineRule="auto"/>
        <w:ind w:firstLine="482" w:firstLineChars="200"/>
        <w:rPr>
          <w:rFonts w:ascii="Times New Roman" w:hAnsi="Times New Roman" w:cs="Times New Roman" w:eastAsiaTheme="minorEastAsia"/>
          <w:b/>
          <w:bCs/>
          <w:kern w:val="0"/>
          <w:sz w:val="24"/>
          <w:szCs w:val="24"/>
          <w:lang w:val="zh-CN"/>
        </w:rPr>
      </w:pPr>
      <w:bookmarkStart w:id="280" w:name="_Toc16573"/>
      <w:bookmarkStart w:id="281" w:name="_Toc498350132"/>
      <w:bookmarkStart w:id="282" w:name="_Toc425892263"/>
      <w:r>
        <w:rPr>
          <w:rFonts w:ascii="Times New Roman" w:hAnsi="Times New Roman" w:cs="Times New Roman" w:eastAsiaTheme="minorEastAsia"/>
          <w:b/>
          <w:bCs/>
          <w:kern w:val="0"/>
          <w:sz w:val="24"/>
          <w:szCs w:val="24"/>
          <w:lang w:val="zh-CN"/>
        </w:rPr>
        <w:t>1.调度运行中心及省管泵站中控室设施设备运维服务考核办法</w:t>
      </w:r>
      <w:bookmarkEnd w:id="280"/>
      <w:bookmarkEnd w:id="281"/>
      <w:bookmarkEnd w:id="282"/>
    </w:p>
    <w:p w14:paraId="1DA37C51">
      <w:pPr>
        <w:keepNext/>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采购人将每季度对成交供应商开展一次运营维护工作考核。采购人和成交供应商组成服务考核小组，对运维服务质量进行考核，考核主要从日常管理、日常维护、故障处理、工程配合、机房管理、客户满意度、安全生产管理达标等七个方面进行打分，并且对于成交供应商的能及时发现隐患并提出整治方案设置加分项。</w:t>
      </w:r>
    </w:p>
    <w:p w14:paraId="0795E0E6">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淮水北调工程调度运行中心及省管泵站中控室设施设备运维考核评分表如下所示：</w:t>
      </w:r>
    </w:p>
    <w:p w14:paraId="581D4759">
      <w:pPr>
        <w:autoSpaceDE w:val="0"/>
        <w:autoSpaceDN w:val="0"/>
        <w:adjustRightInd w:val="0"/>
        <w:jc w:val="center"/>
        <w:rPr>
          <w:rFonts w:ascii="Times New Roman" w:hAnsi="Times New Roman" w:cs="Times New Roman" w:eastAsiaTheme="minorEastAsia"/>
          <w:sz w:val="24"/>
          <w:szCs w:val="24"/>
        </w:rPr>
      </w:pPr>
      <w:r>
        <w:rPr>
          <w:rFonts w:ascii="Times New Roman" w:hAnsi="Times New Roman" w:cs="Times New Roman" w:eastAsiaTheme="minorEastAsia"/>
          <w:b/>
          <w:color w:val="000000"/>
          <w:kern w:val="0"/>
          <w:sz w:val="24"/>
          <w:szCs w:val="24"/>
        </w:rPr>
        <w:t>表5.1淮水北调工程调度运行中心及省管泵站中控室设施设备运维考核评分表</w:t>
      </w:r>
    </w:p>
    <w:tbl>
      <w:tblPr>
        <w:tblStyle w:val="24"/>
        <w:tblW w:w="5000" w:type="pct"/>
        <w:jc w:val="center"/>
        <w:tblLayout w:type="fixed"/>
        <w:tblCellMar>
          <w:top w:w="0" w:type="dxa"/>
          <w:left w:w="108" w:type="dxa"/>
          <w:bottom w:w="0" w:type="dxa"/>
          <w:right w:w="108" w:type="dxa"/>
        </w:tblCellMar>
      </w:tblPr>
      <w:tblGrid>
        <w:gridCol w:w="548"/>
        <w:gridCol w:w="1956"/>
        <w:gridCol w:w="5089"/>
        <w:gridCol w:w="929"/>
      </w:tblGrid>
      <w:tr w14:paraId="6B5C3A46">
        <w:tblPrEx>
          <w:tblCellMar>
            <w:top w:w="0" w:type="dxa"/>
            <w:left w:w="108" w:type="dxa"/>
            <w:bottom w:w="0" w:type="dxa"/>
            <w:right w:w="108" w:type="dxa"/>
          </w:tblCellMar>
        </w:tblPrEx>
        <w:trPr>
          <w:trHeight w:val="702" w:hRule="atLeast"/>
          <w:jc w:val="center"/>
        </w:trPr>
        <w:tc>
          <w:tcPr>
            <w:tcW w:w="530" w:type="dxa"/>
            <w:tcBorders>
              <w:top w:val="single" w:color="auto" w:sz="4" w:space="0"/>
              <w:left w:val="single" w:color="auto" w:sz="4" w:space="0"/>
              <w:bottom w:val="single" w:color="auto" w:sz="4" w:space="0"/>
              <w:right w:val="single" w:color="auto" w:sz="4" w:space="0"/>
            </w:tcBorders>
            <w:vAlign w:val="center"/>
          </w:tcPr>
          <w:p w14:paraId="41F499B3">
            <w:pPr>
              <w:widowControl/>
              <w:spacing w:line="240" w:lineRule="exact"/>
              <w:jc w:val="center"/>
              <w:rPr>
                <w:rFonts w:ascii="Times New Roman" w:hAnsi="Times New Roman" w:cs="Times New Roman" w:eastAsiaTheme="minorEastAsia"/>
                <w:b/>
                <w:bCs/>
                <w:color w:val="000000"/>
                <w:kern w:val="0"/>
                <w:szCs w:val="21"/>
              </w:rPr>
            </w:pPr>
            <w:r>
              <w:rPr>
                <w:rFonts w:ascii="Times New Roman" w:hAnsi="Times New Roman" w:cs="Times New Roman" w:eastAsiaTheme="minorEastAsia"/>
                <w:b/>
                <w:bCs/>
                <w:color w:val="000000"/>
                <w:kern w:val="0"/>
                <w:szCs w:val="21"/>
              </w:rPr>
              <w:t>序号</w:t>
            </w:r>
          </w:p>
        </w:tc>
        <w:tc>
          <w:tcPr>
            <w:tcW w:w="1889" w:type="dxa"/>
            <w:tcBorders>
              <w:top w:val="single" w:color="auto" w:sz="4" w:space="0"/>
              <w:left w:val="nil"/>
              <w:bottom w:val="single" w:color="auto" w:sz="4" w:space="0"/>
              <w:right w:val="single" w:color="auto" w:sz="4" w:space="0"/>
            </w:tcBorders>
            <w:vAlign w:val="center"/>
          </w:tcPr>
          <w:p w14:paraId="266B7D7B">
            <w:pPr>
              <w:widowControl/>
              <w:spacing w:line="240" w:lineRule="exact"/>
              <w:jc w:val="center"/>
              <w:rPr>
                <w:rFonts w:ascii="Times New Roman" w:hAnsi="Times New Roman" w:cs="Times New Roman" w:eastAsiaTheme="minorEastAsia"/>
                <w:b/>
                <w:bCs/>
                <w:color w:val="000000"/>
                <w:kern w:val="0"/>
                <w:szCs w:val="21"/>
              </w:rPr>
            </w:pPr>
            <w:r>
              <w:rPr>
                <w:rFonts w:ascii="Times New Roman" w:hAnsi="Times New Roman" w:cs="Times New Roman" w:eastAsiaTheme="minorEastAsia"/>
                <w:b/>
                <w:bCs/>
                <w:color w:val="000000"/>
                <w:kern w:val="0"/>
                <w:szCs w:val="21"/>
              </w:rPr>
              <w:t>关键业绩指标（KPI）</w:t>
            </w:r>
          </w:p>
        </w:tc>
        <w:tc>
          <w:tcPr>
            <w:tcW w:w="4915" w:type="dxa"/>
            <w:tcBorders>
              <w:top w:val="single" w:color="auto" w:sz="4" w:space="0"/>
              <w:left w:val="nil"/>
              <w:bottom w:val="single" w:color="auto" w:sz="4" w:space="0"/>
              <w:right w:val="single" w:color="auto" w:sz="4" w:space="0"/>
            </w:tcBorders>
            <w:vAlign w:val="center"/>
          </w:tcPr>
          <w:p w14:paraId="475692BB">
            <w:pPr>
              <w:widowControl/>
              <w:spacing w:line="240" w:lineRule="exact"/>
              <w:jc w:val="center"/>
              <w:rPr>
                <w:rFonts w:ascii="Times New Roman" w:hAnsi="Times New Roman" w:cs="Times New Roman" w:eastAsiaTheme="minorEastAsia"/>
                <w:b/>
                <w:bCs/>
                <w:color w:val="000000"/>
                <w:kern w:val="0"/>
                <w:szCs w:val="21"/>
              </w:rPr>
            </w:pPr>
            <w:r>
              <w:rPr>
                <w:rFonts w:ascii="Times New Roman" w:hAnsi="Times New Roman" w:cs="Times New Roman" w:eastAsiaTheme="minorEastAsia"/>
                <w:b/>
                <w:bCs/>
                <w:color w:val="000000"/>
                <w:kern w:val="0"/>
                <w:szCs w:val="21"/>
              </w:rPr>
              <w:t>考核标准</w:t>
            </w:r>
          </w:p>
        </w:tc>
        <w:tc>
          <w:tcPr>
            <w:tcW w:w="897" w:type="dxa"/>
            <w:tcBorders>
              <w:top w:val="single" w:color="auto" w:sz="4" w:space="0"/>
              <w:left w:val="nil"/>
              <w:bottom w:val="single" w:color="auto" w:sz="4" w:space="0"/>
              <w:right w:val="single" w:color="auto" w:sz="4" w:space="0"/>
            </w:tcBorders>
            <w:vAlign w:val="center"/>
          </w:tcPr>
          <w:p w14:paraId="54CAFC50">
            <w:pPr>
              <w:widowControl/>
              <w:spacing w:line="240" w:lineRule="exact"/>
              <w:jc w:val="center"/>
              <w:rPr>
                <w:rFonts w:ascii="Times New Roman" w:hAnsi="Times New Roman" w:cs="Times New Roman" w:eastAsiaTheme="minorEastAsia"/>
                <w:b/>
                <w:bCs/>
                <w:color w:val="000000"/>
                <w:kern w:val="0"/>
                <w:szCs w:val="21"/>
              </w:rPr>
            </w:pPr>
            <w:r>
              <w:rPr>
                <w:rFonts w:ascii="Times New Roman" w:hAnsi="Times New Roman" w:cs="Times New Roman" w:eastAsiaTheme="minorEastAsia"/>
                <w:b/>
                <w:bCs/>
                <w:color w:val="000000"/>
                <w:kern w:val="0"/>
                <w:szCs w:val="21"/>
              </w:rPr>
              <w:t>权重/分值</w:t>
            </w:r>
          </w:p>
        </w:tc>
      </w:tr>
      <w:tr w14:paraId="1292C156">
        <w:tblPrEx>
          <w:tblCellMar>
            <w:top w:w="0" w:type="dxa"/>
            <w:left w:w="108" w:type="dxa"/>
            <w:bottom w:w="0" w:type="dxa"/>
            <w:right w:w="108" w:type="dxa"/>
          </w:tblCellMar>
        </w:tblPrEx>
        <w:trPr>
          <w:trHeight w:val="567" w:hRule="atLeast"/>
          <w:jc w:val="center"/>
        </w:trPr>
        <w:tc>
          <w:tcPr>
            <w:tcW w:w="530" w:type="dxa"/>
            <w:tcBorders>
              <w:top w:val="nil"/>
              <w:left w:val="single" w:color="auto" w:sz="4" w:space="0"/>
              <w:bottom w:val="single" w:color="auto" w:sz="4" w:space="0"/>
              <w:right w:val="single" w:color="auto" w:sz="4" w:space="0"/>
            </w:tcBorders>
            <w:vAlign w:val="center"/>
          </w:tcPr>
          <w:p w14:paraId="18EAEB24">
            <w:pPr>
              <w:widowControl/>
              <w:spacing w:line="240" w:lineRule="exact"/>
              <w:jc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一</w:t>
            </w:r>
          </w:p>
        </w:tc>
        <w:tc>
          <w:tcPr>
            <w:tcW w:w="1889" w:type="dxa"/>
            <w:tcBorders>
              <w:top w:val="nil"/>
              <w:left w:val="nil"/>
              <w:bottom w:val="single" w:color="auto" w:sz="4" w:space="0"/>
              <w:right w:val="single" w:color="auto" w:sz="4" w:space="0"/>
            </w:tcBorders>
            <w:vAlign w:val="center"/>
          </w:tcPr>
          <w:p w14:paraId="70E98B87">
            <w:pPr>
              <w:widowControl/>
              <w:spacing w:line="240" w:lineRule="exact"/>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日常管理</w:t>
            </w:r>
          </w:p>
        </w:tc>
        <w:tc>
          <w:tcPr>
            <w:tcW w:w="4915" w:type="dxa"/>
            <w:tcBorders>
              <w:top w:val="nil"/>
              <w:left w:val="nil"/>
              <w:bottom w:val="single" w:color="auto" w:sz="4" w:space="0"/>
              <w:right w:val="single" w:color="auto" w:sz="4" w:space="0"/>
            </w:tcBorders>
            <w:vAlign w:val="center"/>
          </w:tcPr>
          <w:p w14:paraId="67226F1F">
            <w:pPr>
              <w:widowControl/>
              <w:spacing w:line="240" w:lineRule="exact"/>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　</w:t>
            </w:r>
          </w:p>
        </w:tc>
        <w:tc>
          <w:tcPr>
            <w:tcW w:w="897" w:type="dxa"/>
            <w:tcBorders>
              <w:top w:val="nil"/>
              <w:left w:val="nil"/>
              <w:bottom w:val="single" w:color="auto" w:sz="4" w:space="0"/>
              <w:right w:val="single" w:color="auto" w:sz="4" w:space="0"/>
            </w:tcBorders>
            <w:vAlign w:val="center"/>
          </w:tcPr>
          <w:p w14:paraId="64AD0AAF">
            <w:pPr>
              <w:widowControl/>
              <w:spacing w:line="240" w:lineRule="exact"/>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15%</w:t>
            </w:r>
          </w:p>
        </w:tc>
      </w:tr>
      <w:tr w14:paraId="69441D82">
        <w:tblPrEx>
          <w:tblCellMar>
            <w:top w:w="0" w:type="dxa"/>
            <w:left w:w="108" w:type="dxa"/>
            <w:bottom w:w="0" w:type="dxa"/>
            <w:right w:w="108" w:type="dxa"/>
          </w:tblCellMar>
        </w:tblPrEx>
        <w:trPr>
          <w:trHeight w:val="622" w:hRule="atLeast"/>
          <w:jc w:val="center"/>
        </w:trPr>
        <w:tc>
          <w:tcPr>
            <w:tcW w:w="530" w:type="dxa"/>
            <w:tcBorders>
              <w:top w:val="nil"/>
              <w:left w:val="single" w:color="auto" w:sz="4" w:space="0"/>
              <w:bottom w:val="single" w:color="auto" w:sz="4" w:space="0"/>
              <w:right w:val="single" w:color="auto" w:sz="4" w:space="0"/>
            </w:tcBorders>
            <w:vAlign w:val="center"/>
          </w:tcPr>
          <w:p w14:paraId="5DA54273">
            <w:pPr>
              <w:widowControl/>
              <w:spacing w:line="240" w:lineRule="exact"/>
              <w:jc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1</w:t>
            </w:r>
          </w:p>
        </w:tc>
        <w:tc>
          <w:tcPr>
            <w:tcW w:w="1889" w:type="dxa"/>
            <w:tcBorders>
              <w:top w:val="nil"/>
              <w:left w:val="nil"/>
              <w:bottom w:val="single" w:color="auto" w:sz="4" w:space="0"/>
              <w:right w:val="single" w:color="auto" w:sz="4" w:space="0"/>
            </w:tcBorders>
            <w:vAlign w:val="center"/>
          </w:tcPr>
          <w:p w14:paraId="14EF7A08">
            <w:pPr>
              <w:widowControl/>
              <w:spacing w:line="240" w:lineRule="exact"/>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出勤管理</w:t>
            </w:r>
          </w:p>
        </w:tc>
        <w:tc>
          <w:tcPr>
            <w:tcW w:w="4915" w:type="dxa"/>
            <w:tcBorders>
              <w:top w:val="nil"/>
              <w:left w:val="nil"/>
              <w:bottom w:val="single" w:color="auto" w:sz="4" w:space="0"/>
              <w:right w:val="single" w:color="auto" w:sz="4" w:space="0"/>
            </w:tcBorders>
            <w:vAlign w:val="center"/>
          </w:tcPr>
          <w:p w14:paraId="67B23E33">
            <w:pPr>
              <w:widowControl/>
              <w:spacing w:line="240" w:lineRule="exact"/>
              <w:textAlignment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color w:val="000000"/>
                <w:kern w:val="0"/>
                <w:szCs w:val="21"/>
              </w:rPr>
              <w:t>严格管理代维人员出勤情况，保证每个值班班次人员符合代维工作要求，每个管理处发现一次代维人员缺勤处500元违约金、同时扣0.5分。</w:t>
            </w:r>
          </w:p>
        </w:tc>
        <w:tc>
          <w:tcPr>
            <w:tcW w:w="897" w:type="dxa"/>
            <w:vMerge w:val="restart"/>
            <w:tcBorders>
              <w:top w:val="nil"/>
              <w:left w:val="single" w:color="auto" w:sz="4" w:space="0"/>
              <w:bottom w:val="single" w:color="auto" w:sz="4" w:space="0"/>
              <w:right w:val="single" w:color="auto" w:sz="4" w:space="0"/>
            </w:tcBorders>
            <w:vAlign w:val="center"/>
          </w:tcPr>
          <w:p w14:paraId="1D174FE0">
            <w:pPr>
              <w:widowControl/>
              <w:spacing w:line="240" w:lineRule="exact"/>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15分</w:t>
            </w:r>
          </w:p>
        </w:tc>
      </w:tr>
      <w:tr w14:paraId="0CFCBC60">
        <w:tblPrEx>
          <w:tblCellMar>
            <w:top w:w="0" w:type="dxa"/>
            <w:left w:w="108" w:type="dxa"/>
            <w:bottom w:w="0" w:type="dxa"/>
            <w:right w:w="108" w:type="dxa"/>
          </w:tblCellMar>
        </w:tblPrEx>
        <w:trPr>
          <w:trHeight w:val="577" w:hRule="atLeast"/>
          <w:jc w:val="center"/>
        </w:trPr>
        <w:tc>
          <w:tcPr>
            <w:tcW w:w="530" w:type="dxa"/>
            <w:tcBorders>
              <w:top w:val="nil"/>
              <w:left w:val="single" w:color="auto" w:sz="4" w:space="0"/>
              <w:bottom w:val="single" w:color="auto" w:sz="4" w:space="0"/>
              <w:right w:val="single" w:color="auto" w:sz="4" w:space="0"/>
            </w:tcBorders>
            <w:vAlign w:val="center"/>
          </w:tcPr>
          <w:p w14:paraId="18C5A902">
            <w:pPr>
              <w:widowControl/>
              <w:spacing w:line="240" w:lineRule="exact"/>
              <w:jc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2</w:t>
            </w:r>
          </w:p>
        </w:tc>
        <w:tc>
          <w:tcPr>
            <w:tcW w:w="1889" w:type="dxa"/>
            <w:tcBorders>
              <w:top w:val="nil"/>
              <w:left w:val="nil"/>
              <w:bottom w:val="single" w:color="auto" w:sz="4" w:space="0"/>
              <w:right w:val="single" w:color="auto" w:sz="4" w:space="0"/>
            </w:tcBorders>
            <w:vAlign w:val="center"/>
          </w:tcPr>
          <w:p w14:paraId="7C9ECB4F">
            <w:pPr>
              <w:widowControl/>
              <w:spacing w:line="240" w:lineRule="exact"/>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遵守各项规章制度</w:t>
            </w:r>
          </w:p>
        </w:tc>
        <w:tc>
          <w:tcPr>
            <w:tcW w:w="4915" w:type="dxa"/>
            <w:tcBorders>
              <w:top w:val="nil"/>
              <w:left w:val="nil"/>
              <w:bottom w:val="single" w:color="auto" w:sz="4" w:space="0"/>
              <w:right w:val="single" w:color="auto" w:sz="4" w:space="0"/>
            </w:tcBorders>
            <w:vAlign w:val="center"/>
          </w:tcPr>
          <w:p w14:paraId="2A5C6A57">
            <w:pPr>
              <w:widowControl/>
              <w:spacing w:line="240" w:lineRule="exact"/>
              <w:textAlignment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color w:val="000000"/>
                <w:kern w:val="0"/>
                <w:szCs w:val="21"/>
              </w:rPr>
              <w:t>每出现一次不遵守规章制度情况处500元违约金、同时扣0.5分，直至扣完。</w:t>
            </w:r>
          </w:p>
        </w:tc>
        <w:tc>
          <w:tcPr>
            <w:tcW w:w="897" w:type="dxa"/>
            <w:vMerge w:val="continue"/>
            <w:tcBorders>
              <w:top w:val="nil"/>
              <w:left w:val="single" w:color="auto" w:sz="4" w:space="0"/>
              <w:bottom w:val="single" w:color="auto" w:sz="4" w:space="0"/>
              <w:right w:val="single" w:color="auto" w:sz="4" w:space="0"/>
            </w:tcBorders>
            <w:vAlign w:val="center"/>
          </w:tcPr>
          <w:p w14:paraId="5B6A7443">
            <w:pPr>
              <w:widowControl/>
              <w:spacing w:line="240" w:lineRule="exact"/>
              <w:rPr>
                <w:rFonts w:ascii="Times New Roman" w:hAnsi="Times New Roman" w:cs="Times New Roman" w:eastAsiaTheme="minorEastAsia"/>
                <w:bCs/>
                <w:color w:val="000000"/>
                <w:kern w:val="0"/>
                <w:szCs w:val="21"/>
              </w:rPr>
            </w:pPr>
          </w:p>
        </w:tc>
      </w:tr>
      <w:tr w14:paraId="7CA76946">
        <w:tblPrEx>
          <w:tblCellMar>
            <w:top w:w="0" w:type="dxa"/>
            <w:left w:w="108" w:type="dxa"/>
            <w:bottom w:w="0" w:type="dxa"/>
            <w:right w:w="108" w:type="dxa"/>
          </w:tblCellMar>
        </w:tblPrEx>
        <w:trPr>
          <w:trHeight w:val="702" w:hRule="atLeast"/>
          <w:jc w:val="center"/>
        </w:trPr>
        <w:tc>
          <w:tcPr>
            <w:tcW w:w="530" w:type="dxa"/>
            <w:tcBorders>
              <w:top w:val="nil"/>
              <w:left w:val="single" w:color="auto" w:sz="4" w:space="0"/>
              <w:bottom w:val="single" w:color="auto" w:sz="4" w:space="0"/>
              <w:right w:val="single" w:color="auto" w:sz="4" w:space="0"/>
            </w:tcBorders>
            <w:vAlign w:val="center"/>
          </w:tcPr>
          <w:p w14:paraId="1002C334">
            <w:pPr>
              <w:widowControl/>
              <w:spacing w:line="240" w:lineRule="exact"/>
              <w:jc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3</w:t>
            </w:r>
          </w:p>
        </w:tc>
        <w:tc>
          <w:tcPr>
            <w:tcW w:w="1889" w:type="dxa"/>
            <w:tcBorders>
              <w:top w:val="nil"/>
              <w:left w:val="nil"/>
              <w:bottom w:val="single" w:color="auto" w:sz="4" w:space="0"/>
              <w:right w:val="single" w:color="auto" w:sz="4" w:space="0"/>
            </w:tcBorders>
            <w:vAlign w:val="center"/>
          </w:tcPr>
          <w:p w14:paraId="0D07C208">
            <w:pPr>
              <w:widowControl/>
              <w:spacing w:line="240" w:lineRule="exact"/>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保证维护人员配置到位且人员稳定，配置工具、仪表维护良好</w:t>
            </w:r>
          </w:p>
        </w:tc>
        <w:tc>
          <w:tcPr>
            <w:tcW w:w="4915" w:type="dxa"/>
            <w:tcBorders>
              <w:top w:val="nil"/>
              <w:left w:val="nil"/>
              <w:bottom w:val="single" w:color="auto" w:sz="4" w:space="0"/>
              <w:right w:val="single" w:color="auto" w:sz="4" w:space="0"/>
            </w:tcBorders>
            <w:vAlign w:val="center"/>
          </w:tcPr>
          <w:p w14:paraId="2FB6211C">
            <w:pPr>
              <w:widowControl/>
              <w:spacing w:line="240" w:lineRule="exact"/>
              <w:textAlignment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color w:val="000000"/>
                <w:kern w:val="0"/>
                <w:szCs w:val="21"/>
              </w:rPr>
              <w:t>维护人员工作资质和维护水平满足维护要求，每发现每班维护人员未按规定数量进行配置处1000元违约金、同时扣1分，维护的工具仪表不能正常使用情况处500元违约金、同时扣0.5分，直至扣完。</w:t>
            </w:r>
          </w:p>
        </w:tc>
        <w:tc>
          <w:tcPr>
            <w:tcW w:w="897" w:type="dxa"/>
            <w:vMerge w:val="continue"/>
            <w:tcBorders>
              <w:top w:val="nil"/>
              <w:left w:val="single" w:color="auto" w:sz="4" w:space="0"/>
              <w:bottom w:val="single" w:color="auto" w:sz="4" w:space="0"/>
              <w:right w:val="single" w:color="auto" w:sz="4" w:space="0"/>
            </w:tcBorders>
            <w:vAlign w:val="center"/>
          </w:tcPr>
          <w:p w14:paraId="2CAD880E">
            <w:pPr>
              <w:widowControl/>
              <w:spacing w:line="240" w:lineRule="exact"/>
              <w:rPr>
                <w:rFonts w:ascii="Times New Roman" w:hAnsi="Times New Roman" w:cs="Times New Roman" w:eastAsiaTheme="minorEastAsia"/>
                <w:bCs/>
                <w:color w:val="000000"/>
                <w:kern w:val="0"/>
                <w:szCs w:val="21"/>
              </w:rPr>
            </w:pPr>
          </w:p>
        </w:tc>
      </w:tr>
      <w:tr w14:paraId="724F6281">
        <w:tblPrEx>
          <w:tblCellMar>
            <w:top w:w="0" w:type="dxa"/>
            <w:left w:w="108" w:type="dxa"/>
            <w:bottom w:w="0" w:type="dxa"/>
            <w:right w:w="108" w:type="dxa"/>
          </w:tblCellMar>
        </w:tblPrEx>
        <w:trPr>
          <w:trHeight w:val="702" w:hRule="atLeast"/>
          <w:jc w:val="center"/>
        </w:trPr>
        <w:tc>
          <w:tcPr>
            <w:tcW w:w="530" w:type="dxa"/>
            <w:tcBorders>
              <w:top w:val="nil"/>
              <w:left w:val="single" w:color="auto" w:sz="4" w:space="0"/>
              <w:bottom w:val="single" w:color="auto" w:sz="4" w:space="0"/>
              <w:right w:val="single" w:color="auto" w:sz="4" w:space="0"/>
            </w:tcBorders>
            <w:vAlign w:val="center"/>
          </w:tcPr>
          <w:p w14:paraId="30C2AEA0">
            <w:pPr>
              <w:widowControl/>
              <w:spacing w:line="240" w:lineRule="exact"/>
              <w:jc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4</w:t>
            </w:r>
          </w:p>
        </w:tc>
        <w:tc>
          <w:tcPr>
            <w:tcW w:w="1889" w:type="dxa"/>
            <w:tcBorders>
              <w:top w:val="nil"/>
              <w:left w:val="nil"/>
              <w:bottom w:val="single" w:color="auto" w:sz="4" w:space="0"/>
              <w:right w:val="single" w:color="auto" w:sz="4" w:space="0"/>
            </w:tcBorders>
            <w:vAlign w:val="center"/>
          </w:tcPr>
          <w:p w14:paraId="37D5C82E">
            <w:pPr>
              <w:widowControl/>
              <w:spacing w:line="240" w:lineRule="exact"/>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服务态度良好，工作响应及时，具备一定的沟通协调能力</w:t>
            </w:r>
          </w:p>
        </w:tc>
        <w:tc>
          <w:tcPr>
            <w:tcW w:w="4915" w:type="dxa"/>
            <w:tcBorders>
              <w:top w:val="nil"/>
              <w:left w:val="nil"/>
              <w:bottom w:val="single" w:color="auto" w:sz="4" w:space="0"/>
              <w:right w:val="single" w:color="auto" w:sz="4" w:space="0"/>
            </w:tcBorders>
            <w:vAlign w:val="center"/>
          </w:tcPr>
          <w:p w14:paraId="0B5FC2BA">
            <w:pPr>
              <w:widowControl/>
              <w:spacing w:line="240" w:lineRule="exact"/>
              <w:textAlignment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color w:val="000000"/>
                <w:kern w:val="0"/>
                <w:szCs w:val="21"/>
              </w:rPr>
              <w:t>具有积极主动的服务意识，对发现的问题能在要求的时限内予以响应，并与其它维护部门做好主动沟通和配合工作，服务客户满意度不低于95%。每发生一次内部投诉扣2分，直至扣完。</w:t>
            </w:r>
          </w:p>
        </w:tc>
        <w:tc>
          <w:tcPr>
            <w:tcW w:w="897" w:type="dxa"/>
            <w:vMerge w:val="continue"/>
            <w:tcBorders>
              <w:top w:val="nil"/>
              <w:left w:val="single" w:color="auto" w:sz="4" w:space="0"/>
              <w:bottom w:val="single" w:color="auto" w:sz="4" w:space="0"/>
              <w:right w:val="single" w:color="auto" w:sz="4" w:space="0"/>
            </w:tcBorders>
            <w:vAlign w:val="center"/>
          </w:tcPr>
          <w:p w14:paraId="73A42E38">
            <w:pPr>
              <w:widowControl/>
              <w:spacing w:line="240" w:lineRule="exact"/>
              <w:rPr>
                <w:rFonts w:ascii="Times New Roman" w:hAnsi="Times New Roman" w:cs="Times New Roman" w:eastAsiaTheme="minorEastAsia"/>
                <w:bCs/>
                <w:color w:val="000000"/>
                <w:kern w:val="0"/>
                <w:szCs w:val="21"/>
              </w:rPr>
            </w:pPr>
          </w:p>
        </w:tc>
      </w:tr>
      <w:tr w14:paraId="24BFC199">
        <w:tblPrEx>
          <w:tblCellMar>
            <w:top w:w="0" w:type="dxa"/>
            <w:left w:w="108" w:type="dxa"/>
            <w:bottom w:w="0" w:type="dxa"/>
            <w:right w:w="108" w:type="dxa"/>
          </w:tblCellMar>
        </w:tblPrEx>
        <w:trPr>
          <w:trHeight w:val="702" w:hRule="atLeast"/>
          <w:jc w:val="center"/>
        </w:trPr>
        <w:tc>
          <w:tcPr>
            <w:tcW w:w="530" w:type="dxa"/>
            <w:tcBorders>
              <w:top w:val="nil"/>
              <w:left w:val="single" w:color="auto" w:sz="4" w:space="0"/>
              <w:bottom w:val="single" w:color="auto" w:sz="4" w:space="0"/>
              <w:right w:val="single" w:color="auto" w:sz="4" w:space="0"/>
            </w:tcBorders>
            <w:vAlign w:val="center"/>
          </w:tcPr>
          <w:p w14:paraId="7B97BCE0">
            <w:pPr>
              <w:widowControl/>
              <w:spacing w:line="240" w:lineRule="exact"/>
              <w:jc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5</w:t>
            </w:r>
          </w:p>
        </w:tc>
        <w:tc>
          <w:tcPr>
            <w:tcW w:w="1889" w:type="dxa"/>
            <w:tcBorders>
              <w:top w:val="nil"/>
              <w:left w:val="nil"/>
              <w:bottom w:val="single" w:color="auto" w:sz="4" w:space="0"/>
              <w:right w:val="single" w:color="auto" w:sz="4" w:space="0"/>
            </w:tcBorders>
            <w:vAlign w:val="center"/>
          </w:tcPr>
          <w:p w14:paraId="6CFC4977">
            <w:pPr>
              <w:widowControl/>
              <w:spacing w:line="240" w:lineRule="exact"/>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定期进行相关安全教育和技术培训</w:t>
            </w:r>
          </w:p>
        </w:tc>
        <w:tc>
          <w:tcPr>
            <w:tcW w:w="4915" w:type="dxa"/>
            <w:tcBorders>
              <w:top w:val="nil"/>
              <w:left w:val="nil"/>
              <w:bottom w:val="single" w:color="auto" w:sz="4" w:space="0"/>
              <w:right w:val="single" w:color="auto" w:sz="4" w:space="0"/>
            </w:tcBorders>
            <w:vAlign w:val="center"/>
          </w:tcPr>
          <w:p w14:paraId="46781846">
            <w:pPr>
              <w:widowControl/>
              <w:spacing w:line="240" w:lineRule="exact"/>
              <w:textAlignment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color w:val="000000"/>
                <w:kern w:val="0"/>
                <w:szCs w:val="21"/>
              </w:rPr>
              <w:t>每季度至少进行一次全员内部技术培训和安全生产培训，每季度缺少1次培训处1000元违约金、同时扣1分。</w:t>
            </w:r>
          </w:p>
        </w:tc>
        <w:tc>
          <w:tcPr>
            <w:tcW w:w="897" w:type="dxa"/>
            <w:vMerge w:val="continue"/>
            <w:tcBorders>
              <w:top w:val="nil"/>
              <w:left w:val="single" w:color="auto" w:sz="4" w:space="0"/>
              <w:bottom w:val="single" w:color="auto" w:sz="4" w:space="0"/>
              <w:right w:val="single" w:color="auto" w:sz="4" w:space="0"/>
            </w:tcBorders>
            <w:vAlign w:val="center"/>
          </w:tcPr>
          <w:p w14:paraId="2C0943BC">
            <w:pPr>
              <w:widowControl/>
              <w:spacing w:line="240" w:lineRule="exact"/>
              <w:rPr>
                <w:rFonts w:ascii="Times New Roman" w:hAnsi="Times New Roman" w:cs="Times New Roman" w:eastAsiaTheme="minorEastAsia"/>
                <w:bCs/>
                <w:color w:val="000000"/>
                <w:kern w:val="0"/>
                <w:szCs w:val="21"/>
              </w:rPr>
            </w:pPr>
          </w:p>
        </w:tc>
      </w:tr>
      <w:tr w14:paraId="0500F4BD">
        <w:tblPrEx>
          <w:tblCellMar>
            <w:top w:w="0" w:type="dxa"/>
            <w:left w:w="108" w:type="dxa"/>
            <w:bottom w:w="0" w:type="dxa"/>
            <w:right w:w="108" w:type="dxa"/>
          </w:tblCellMar>
        </w:tblPrEx>
        <w:trPr>
          <w:trHeight w:val="1665" w:hRule="atLeast"/>
          <w:jc w:val="center"/>
        </w:trPr>
        <w:tc>
          <w:tcPr>
            <w:tcW w:w="530" w:type="dxa"/>
            <w:tcBorders>
              <w:top w:val="nil"/>
              <w:left w:val="single" w:color="auto" w:sz="4" w:space="0"/>
              <w:bottom w:val="single" w:color="auto" w:sz="4" w:space="0"/>
              <w:right w:val="single" w:color="auto" w:sz="4" w:space="0"/>
            </w:tcBorders>
            <w:vAlign w:val="center"/>
          </w:tcPr>
          <w:p w14:paraId="3080C39C">
            <w:pPr>
              <w:widowControl/>
              <w:spacing w:line="240" w:lineRule="exact"/>
              <w:jc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6</w:t>
            </w:r>
          </w:p>
        </w:tc>
        <w:tc>
          <w:tcPr>
            <w:tcW w:w="1889" w:type="dxa"/>
            <w:tcBorders>
              <w:top w:val="nil"/>
              <w:left w:val="nil"/>
              <w:bottom w:val="single" w:color="auto" w:sz="4" w:space="0"/>
              <w:right w:val="single" w:color="auto" w:sz="4" w:space="0"/>
            </w:tcBorders>
            <w:vAlign w:val="center"/>
          </w:tcPr>
          <w:p w14:paraId="08502D96">
            <w:pPr>
              <w:widowControl/>
              <w:spacing w:line="240" w:lineRule="exact"/>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台账资料、巡检记录、仪器仪表完备，信息准确</w:t>
            </w:r>
          </w:p>
        </w:tc>
        <w:tc>
          <w:tcPr>
            <w:tcW w:w="4915" w:type="dxa"/>
            <w:tcBorders>
              <w:top w:val="nil"/>
              <w:left w:val="nil"/>
              <w:bottom w:val="single" w:color="auto" w:sz="4" w:space="0"/>
              <w:right w:val="single" w:color="auto" w:sz="4" w:space="0"/>
            </w:tcBorders>
            <w:vAlign w:val="center"/>
          </w:tcPr>
          <w:p w14:paraId="019BE8B1">
            <w:pPr>
              <w:widowControl/>
              <w:spacing w:line="240" w:lineRule="exact"/>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在日常服务工作需有记录，记录文件应妥善保存。具体包括：（1）供电、服务器系统运行日志记录；（2）记录供电、服务器系统的运行状况、运行参数、维修维护工作记统日志记录；（3）异常情况报告；（4）厂商服务报告，含预防性维护、故障维修后的服务报告；（5）工程项目随工记录。台账资料和巡检记录应保持完整准确，若有变更应及时更新。每发现一次台账信息或巡检记录与实际不符</w:t>
            </w:r>
            <w:r>
              <w:rPr>
                <w:rFonts w:ascii="Times New Roman" w:hAnsi="Times New Roman" w:cs="Times New Roman" w:eastAsiaTheme="minorEastAsia"/>
                <w:color w:val="000000"/>
                <w:kern w:val="0"/>
                <w:szCs w:val="21"/>
              </w:rPr>
              <w:t>处500元违约金、同时扣0.5分,</w:t>
            </w:r>
            <w:r>
              <w:rPr>
                <w:rFonts w:ascii="Times New Roman" w:hAnsi="Times New Roman" w:cs="Times New Roman" w:eastAsiaTheme="minorEastAsia"/>
                <w:bCs/>
                <w:color w:val="000000"/>
                <w:kern w:val="0"/>
                <w:szCs w:val="21"/>
              </w:rPr>
              <w:t>；每发现一次台帐资料缺漏</w:t>
            </w:r>
            <w:r>
              <w:rPr>
                <w:rFonts w:ascii="Times New Roman" w:hAnsi="Times New Roman" w:cs="Times New Roman" w:eastAsiaTheme="minorEastAsia"/>
                <w:color w:val="000000"/>
                <w:kern w:val="0"/>
                <w:szCs w:val="21"/>
              </w:rPr>
              <w:t>处500元违约金、</w:t>
            </w:r>
            <w:r>
              <w:rPr>
                <w:rFonts w:ascii="Times New Roman" w:hAnsi="Times New Roman" w:cs="Times New Roman" w:eastAsiaTheme="minorEastAsia"/>
                <w:bCs/>
                <w:color w:val="000000"/>
                <w:kern w:val="0"/>
                <w:szCs w:val="21"/>
              </w:rPr>
              <w:t>扣0.5分；每发现一次运维服务所必需的工具或仪器仪表未配备，</w:t>
            </w:r>
            <w:r>
              <w:rPr>
                <w:rFonts w:ascii="Times New Roman" w:hAnsi="Times New Roman" w:cs="Times New Roman" w:eastAsiaTheme="minorEastAsia"/>
                <w:color w:val="000000"/>
                <w:kern w:val="0"/>
                <w:szCs w:val="21"/>
              </w:rPr>
              <w:t>处500元违约金、</w:t>
            </w:r>
            <w:r>
              <w:rPr>
                <w:rFonts w:ascii="Times New Roman" w:hAnsi="Times New Roman" w:cs="Times New Roman" w:eastAsiaTheme="minorEastAsia"/>
                <w:bCs/>
                <w:color w:val="000000"/>
                <w:kern w:val="0"/>
                <w:szCs w:val="21"/>
              </w:rPr>
              <w:t>扣0.5分。</w:t>
            </w:r>
          </w:p>
        </w:tc>
        <w:tc>
          <w:tcPr>
            <w:tcW w:w="897" w:type="dxa"/>
            <w:vMerge w:val="continue"/>
            <w:tcBorders>
              <w:top w:val="nil"/>
              <w:left w:val="single" w:color="auto" w:sz="4" w:space="0"/>
              <w:bottom w:val="single" w:color="auto" w:sz="4" w:space="0"/>
              <w:right w:val="single" w:color="auto" w:sz="4" w:space="0"/>
            </w:tcBorders>
            <w:vAlign w:val="center"/>
          </w:tcPr>
          <w:p w14:paraId="67ACD6A6">
            <w:pPr>
              <w:widowControl/>
              <w:spacing w:line="240" w:lineRule="exact"/>
              <w:rPr>
                <w:rFonts w:ascii="Times New Roman" w:hAnsi="Times New Roman" w:cs="Times New Roman" w:eastAsiaTheme="minorEastAsia"/>
                <w:bCs/>
                <w:color w:val="000000"/>
                <w:kern w:val="0"/>
                <w:szCs w:val="21"/>
              </w:rPr>
            </w:pPr>
          </w:p>
        </w:tc>
      </w:tr>
      <w:tr w14:paraId="682B033E">
        <w:tblPrEx>
          <w:tblCellMar>
            <w:top w:w="0" w:type="dxa"/>
            <w:left w:w="108" w:type="dxa"/>
            <w:bottom w:w="0" w:type="dxa"/>
            <w:right w:w="108" w:type="dxa"/>
          </w:tblCellMar>
        </w:tblPrEx>
        <w:trPr>
          <w:trHeight w:val="702" w:hRule="atLeast"/>
          <w:jc w:val="center"/>
        </w:trPr>
        <w:tc>
          <w:tcPr>
            <w:tcW w:w="530" w:type="dxa"/>
            <w:tcBorders>
              <w:top w:val="nil"/>
              <w:left w:val="single" w:color="auto" w:sz="4" w:space="0"/>
              <w:bottom w:val="single" w:color="auto" w:sz="4" w:space="0"/>
              <w:right w:val="single" w:color="auto" w:sz="4" w:space="0"/>
            </w:tcBorders>
            <w:vAlign w:val="center"/>
          </w:tcPr>
          <w:p w14:paraId="1CBD90A4">
            <w:pPr>
              <w:widowControl/>
              <w:spacing w:line="240" w:lineRule="exact"/>
              <w:jc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二</w:t>
            </w:r>
          </w:p>
        </w:tc>
        <w:tc>
          <w:tcPr>
            <w:tcW w:w="1889" w:type="dxa"/>
            <w:tcBorders>
              <w:top w:val="nil"/>
              <w:left w:val="nil"/>
              <w:bottom w:val="single" w:color="auto" w:sz="4" w:space="0"/>
              <w:right w:val="single" w:color="auto" w:sz="4" w:space="0"/>
            </w:tcBorders>
            <w:vAlign w:val="center"/>
          </w:tcPr>
          <w:p w14:paraId="6120A7CA">
            <w:pPr>
              <w:widowControl/>
              <w:spacing w:line="240" w:lineRule="exact"/>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日常维护</w:t>
            </w:r>
          </w:p>
        </w:tc>
        <w:tc>
          <w:tcPr>
            <w:tcW w:w="4915" w:type="dxa"/>
            <w:tcBorders>
              <w:top w:val="nil"/>
              <w:left w:val="nil"/>
              <w:bottom w:val="single" w:color="auto" w:sz="4" w:space="0"/>
              <w:right w:val="single" w:color="auto" w:sz="4" w:space="0"/>
            </w:tcBorders>
            <w:vAlign w:val="center"/>
          </w:tcPr>
          <w:p w14:paraId="18011475">
            <w:pPr>
              <w:widowControl/>
              <w:spacing w:line="240" w:lineRule="exact"/>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　</w:t>
            </w:r>
          </w:p>
        </w:tc>
        <w:tc>
          <w:tcPr>
            <w:tcW w:w="897" w:type="dxa"/>
            <w:tcBorders>
              <w:top w:val="nil"/>
              <w:left w:val="nil"/>
              <w:bottom w:val="single" w:color="auto" w:sz="4" w:space="0"/>
              <w:right w:val="single" w:color="auto" w:sz="4" w:space="0"/>
            </w:tcBorders>
            <w:vAlign w:val="center"/>
          </w:tcPr>
          <w:p w14:paraId="014097C7">
            <w:pPr>
              <w:widowControl/>
              <w:spacing w:line="240" w:lineRule="exact"/>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40%</w:t>
            </w:r>
          </w:p>
        </w:tc>
      </w:tr>
      <w:tr w14:paraId="7907C426">
        <w:tblPrEx>
          <w:tblCellMar>
            <w:top w:w="0" w:type="dxa"/>
            <w:left w:w="108" w:type="dxa"/>
            <w:bottom w:w="0" w:type="dxa"/>
            <w:right w:w="108" w:type="dxa"/>
          </w:tblCellMar>
        </w:tblPrEx>
        <w:trPr>
          <w:trHeight w:val="990" w:hRule="atLeast"/>
          <w:jc w:val="center"/>
        </w:trPr>
        <w:tc>
          <w:tcPr>
            <w:tcW w:w="530" w:type="dxa"/>
            <w:tcBorders>
              <w:top w:val="nil"/>
              <w:left w:val="single" w:color="auto" w:sz="4" w:space="0"/>
              <w:bottom w:val="single" w:color="auto" w:sz="4" w:space="0"/>
              <w:right w:val="single" w:color="auto" w:sz="4" w:space="0"/>
            </w:tcBorders>
            <w:vAlign w:val="center"/>
          </w:tcPr>
          <w:p w14:paraId="54D03720">
            <w:pPr>
              <w:widowControl/>
              <w:spacing w:line="240" w:lineRule="exact"/>
              <w:jc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1</w:t>
            </w:r>
          </w:p>
        </w:tc>
        <w:tc>
          <w:tcPr>
            <w:tcW w:w="1889" w:type="dxa"/>
            <w:tcBorders>
              <w:top w:val="nil"/>
              <w:left w:val="nil"/>
              <w:bottom w:val="single" w:color="auto" w:sz="4" w:space="0"/>
              <w:right w:val="single" w:color="auto" w:sz="4" w:space="0"/>
            </w:tcBorders>
            <w:vAlign w:val="center"/>
          </w:tcPr>
          <w:p w14:paraId="51305F17">
            <w:pPr>
              <w:widowControl/>
              <w:spacing w:line="240" w:lineRule="exact"/>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按要求执行日常维护作业计划，对机房、设备、管线进行巡检及预防性维护，并做好相关记录。</w:t>
            </w:r>
          </w:p>
        </w:tc>
        <w:tc>
          <w:tcPr>
            <w:tcW w:w="4915" w:type="dxa"/>
            <w:tcBorders>
              <w:top w:val="nil"/>
              <w:left w:val="nil"/>
              <w:bottom w:val="single" w:color="auto" w:sz="4" w:space="0"/>
              <w:right w:val="single" w:color="auto" w:sz="4" w:space="0"/>
            </w:tcBorders>
            <w:vAlign w:val="center"/>
          </w:tcPr>
          <w:p w14:paraId="1E5A27B2">
            <w:pPr>
              <w:widowControl/>
              <w:spacing w:line="240" w:lineRule="exact"/>
              <w:textAlignment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color w:val="000000"/>
                <w:kern w:val="0"/>
                <w:szCs w:val="21"/>
              </w:rPr>
              <w:t>1.维护作业计划完成及时率和准确率为100%；2.协调设备维保厂商按维保协议完成维护巡检、设备保养、试验校对等维保服务工作并做好沿线巡检工作。每发现一次未完成或记录缺失处1000元违约金、同时扣1分，直至扣完。</w:t>
            </w:r>
          </w:p>
        </w:tc>
        <w:tc>
          <w:tcPr>
            <w:tcW w:w="897" w:type="dxa"/>
            <w:vMerge w:val="restart"/>
            <w:tcBorders>
              <w:top w:val="nil"/>
              <w:left w:val="single" w:color="auto" w:sz="4" w:space="0"/>
              <w:bottom w:val="single" w:color="auto" w:sz="4" w:space="0"/>
              <w:right w:val="single" w:color="auto" w:sz="4" w:space="0"/>
            </w:tcBorders>
            <w:vAlign w:val="center"/>
          </w:tcPr>
          <w:p w14:paraId="0EEEF90A">
            <w:pPr>
              <w:widowControl/>
              <w:spacing w:line="240" w:lineRule="exact"/>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40分</w:t>
            </w:r>
          </w:p>
        </w:tc>
      </w:tr>
      <w:tr w14:paraId="1328746E">
        <w:tblPrEx>
          <w:tblCellMar>
            <w:top w:w="0" w:type="dxa"/>
            <w:left w:w="108" w:type="dxa"/>
            <w:bottom w:w="0" w:type="dxa"/>
            <w:right w:w="108" w:type="dxa"/>
          </w:tblCellMar>
        </w:tblPrEx>
        <w:trPr>
          <w:trHeight w:val="702" w:hRule="atLeast"/>
          <w:jc w:val="center"/>
        </w:trPr>
        <w:tc>
          <w:tcPr>
            <w:tcW w:w="530" w:type="dxa"/>
            <w:tcBorders>
              <w:top w:val="nil"/>
              <w:left w:val="single" w:color="auto" w:sz="4" w:space="0"/>
              <w:bottom w:val="single" w:color="auto" w:sz="4" w:space="0"/>
              <w:right w:val="single" w:color="auto" w:sz="4" w:space="0"/>
            </w:tcBorders>
            <w:vAlign w:val="center"/>
          </w:tcPr>
          <w:p w14:paraId="25866512">
            <w:pPr>
              <w:widowControl/>
              <w:spacing w:line="240" w:lineRule="exact"/>
              <w:jc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2</w:t>
            </w:r>
          </w:p>
        </w:tc>
        <w:tc>
          <w:tcPr>
            <w:tcW w:w="1889" w:type="dxa"/>
            <w:tcBorders>
              <w:top w:val="nil"/>
              <w:left w:val="nil"/>
              <w:bottom w:val="single" w:color="auto" w:sz="4" w:space="0"/>
              <w:right w:val="single" w:color="auto" w:sz="4" w:space="0"/>
            </w:tcBorders>
            <w:vAlign w:val="center"/>
          </w:tcPr>
          <w:p w14:paraId="38DB267E">
            <w:pPr>
              <w:widowControl/>
              <w:spacing w:line="240" w:lineRule="exact"/>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电池、服务器、小机等基础设施设备状态检查</w:t>
            </w:r>
          </w:p>
        </w:tc>
        <w:tc>
          <w:tcPr>
            <w:tcW w:w="4915" w:type="dxa"/>
            <w:tcBorders>
              <w:top w:val="nil"/>
              <w:left w:val="nil"/>
              <w:bottom w:val="single" w:color="auto" w:sz="4" w:space="0"/>
              <w:right w:val="single" w:color="auto" w:sz="4" w:space="0"/>
            </w:tcBorders>
            <w:vAlign w:val="center"/>
          </w:tcPr>
          <w:p w14:paraId="7FD78C7E">
            <w:pPr>
              <w:widowControl/>
              <w:spacing w:line="240" w:lineRule="exact"/>
              <w:textAlignment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color w:val="000000"/>
                <w:kern w:val="0"/>
                <w:szCs w:val="21"/>
              </w:rPr>
              <w:t>检查和记录设备运行状态，保证设备工作状态正常。未及时发现设备状态异常的事件不多于1次/半年，每超过1次处1000元违约金、同时扣1分，直至扣完。</w:t>
            </w:r>
          </w:p>
        </w:tc>
        <w:tc>
          <w:tcPr>
            <w:tcW w:w="897" w:type="dxa"/>
            <w:vMerge w:val="continue"/>
            <w:tcBorders>
              <w:top w:val="nil"/>
              <w:left w:val="single" w:color="auto" w:sz="4" w:space="0"/>
              <w:bottom w:val="single" w:color="auto" w:sz="4" w:space="0"/>
              <w:right w:val="single" w:color="auto" w:sz="4" w:space="0"/>
            </w:tcBorders>
            <w:vAlign w:val="center"/>
          </w:tcPr>
          <w:p w14:paraId="3F581D11">
            <w:pPr>
              <w:widowControl/>
              <w:spacing w:line="240" w:lineRule="exact"/>
              <w:rPr>
                <w:rFonts w:ascii="Times New Roman" w:hAnsi="Times New Roman" w:cs="Times New Roman" w:eastAsiaTheme="minorEastAsia"/>
                <w:bCs/>
                <w:color w:val="000000"/>
                <w:kern w:val="0"/>
                <w:szCs w:val="21"/>
              </w:rPr>
            </w:pPr>
          </w:p>
        </w:tc>
      </w:tr>
      <w:tr w14:paraId="25D114CC">
        <w:tblPrEx>
          <w:tblCellMar>
            <w:top w:w="0" w:type="dxa"/>
            <w:left w:w="108" w:type="dxa"/>
            <w:bottom w:w="0" w:type="dxa"/>
            <w:right w:w="108" w:type="dxa"/>
          </w:tblCellMar>
        </w:tblPrEx>
        <w:trPr>
          <w:trHeight w:val="702" w:hRule="atLeast"/>
          <w:jc w:val="center"/>
        </w:trPr>
        <w:tc>
          <w:tcPr>
            <w:tcW w:w="530" w:type="dxa"/>
            <w:tcBorders>
              <w:top w:val="nil"/>
              <w:left w:val="single" w:color="auto" w:sz="4" w:space="0"/>
              <w:bottom w:val="single" w:color="auto" w:sz="4" w:space="0"/>
              <w:right w:val="single" w:color="auto" w:sz="4" w:space="0"/>
            </w:tcBorders>
            <w:vAlign w:val="center"/>
          </w:tcPr>
          <w:p w14:paraId="4273AD85">
            <w:pPr>
              <w:widowControl/>
              <w:spacing w:line="240" w:lineRule="exact"/>
              <w:jc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3</w:t>
            </w:r>
          </w:p>
        </w:tc>
        <w:tc>
          <w:tcPr>
            <w:tcW w:w="1889" w:type="dxa"/>
            <w:tcBorders>
              <w:top w:val="nil"/>
              <w:left w:val="nil"/>
              <w:bottom w:val="single" w:color="auto" w:sz="4" w:space="0"/>
              <w:right w:val="single" w:color="auto" w:sz="4" w:space="0"/>
            </w:tcBorders>
            <w:vAlign w:val="center"/>
          </w:tcPr>
          <w:p w14:paraId="7B99D0C2">
            <w:pPr>
              <w:widowControl/>
              <w:spacing w:line="240" w:lineRule="exact"/>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机房、实体环境巡检</w:t>
            </w:r>
          </w:p>
        </w:tc>
        <w:tc>
          <w:tcPr>
            <w:tcW w:w="4915" w:type="dxa"/>
            <w:tcBorders>
              <w:top w:val="nil"/>
              <w:left w:val="nil"/>
              <w:bottom w:val="single" w:color="auto" w:sz="4" w:space="0"/>
              <w:right w:val="single" w:color="auto" w:sz="4" w:space="0"/>
            </w:tcBorders>
            <w:vAlign w:val="center"/>
          </w:tcPr>
          <w:p w14:paraId="49A1CD9B">
            <w:pPr>
              <w:widowControl/>
              <w:spacing w:line="240" w:lineRule="exact"/>
              <w:textAlignment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color w:val="000000"/>
                <w:kern w:val="0"/>
                <w:szCs w:val="21"/>
              </w:rPr>
              <w:t>定时巡检机房、实体环境，巡检依据巡检表来执行；巡检记录完整，包括巡检项目，发现问题，处理结果，遗留问题情况。每发现1次不合格处500元违约金、同时扣0.5分，直至扣完。</w:t>
            </w:r>
          </w:p>
        </w:tc>
        <w:tc>
          <w:tcPr>
            <w:tcW w:w="897" w:type="dxa"/>
            <w:vMerge w:val="continue"/>
            <w:tcBorders>
              <w:top w:val="nil"/>
              <w:left w:val="single" w:color="auto" w:sz="4" w:space="0"/>
              <w:bottom w:val="single" w:color="auto" w:sz="4" w:space="0"/>
              <w:right w:val="single" w:color="auto" w:sz="4" w:space="0"/>
            </w:tcBorders>
            <w:vAlign w:val="center"/>
          </w:tcPr>
          <w:p w14:paraId="694DC5F4">
            <w:pPr>
              <w:widowControl/>
              <w:spacing w:line="240" w:lineRule="exact"/>
              <w:rPr>
                <w:rFonts w:ascii="Times New Roman" w:hAnsi="Times New Roman" w:cs="Times New Roman" w:eastAsiaTheme="minorEastAsia"/>
                <w:bCs/>
                <w:color w:val="000000"/>
                <w:kern w:val="0"/>
                <w:szCs w:val="21"/>
              </w:rPr>
            </w:pPr>
          </w:p>
        </w:tc>
      </w:tr>
      <w:tr w14:paraId="4B58A659">
        <w:tblPrEx>
          <w:tblCellMar>
            <w:top w:w="0" w:type="dxa"/>
            <w:left w:w="108" w:type="dxa"/>
            <w:bottom w:w="0" w:type="dxa"/>
            <w:right w:w="108" w:type="dxa"/>
          </w:tblCellMar>
        </w:tblPrEx>
        <w:trPr>
          <w:trHeight w:val="702" w:hRule="atLeast"/>
          <w:jc w:val="center"/>
        </w:trPr>
        <w:tc>
          <w:tcPr>
            <w:tcW w:w="530" w:type="dxa"/>
            <w:tcBorders>
              <w:top w:val="nil"/>
              <w:left w:val="single" w:color="auto" w:sz="4" w:space="0"/>
              <w:bottom w:val="single" w:color="auto" w:sz="4" w:space="0"/>
              <w:right w:val="single" w:color="auto" w:sz="4" w:space="0"/>
            </w:tcBorders>
            <w:vAlign w:val="center"/>
          </w:tcPr>
          <w:p w14:paraId="7FC324FC">
            <w:pPr>
              <w:widowControl/>
              <w:spacing w:line="240" w:lineRule="exact"/>
              <w:jc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4</w:t>
            </w:r>
          </w:p>
        </w:tc>
        <w:tc>
          <w:tcPr>
            <w:tcW w:w="1889" w:type="dxa"/>
            <w:tcBorders>
              <w:top w:val="nil"/>
              <w:left w:val="nil"/>
              <w:bottom w:val="single" w:color="auto" w:sz="4" w:space="0"/>
              <w:right w:val="single" w:color="auto" w:sz="4" w:space="0"/>
            </w:tcBorders>
            <w:vAlign w:val="center"/>
          </w:tcPr>
          <w:p w14:paraId="366700FB">
            <w:pPr>
              <w:widowControl/>
              <w:spacing w:line="240" w:lineRule="exact"/>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运行指标管理</w:t>
            </w:r>
          </w:p>
        </w:tc>
        <w:tc>
          <w:tcPr>
            <w:tcW w:w="4915" w:type="dxa"/>
            <w:tcBorders>
              <w:top w:val="nil"/>
              <w:left w:val="nil"/>
              <w:bottom w:val="single" w:color="auto" w:sz="4" w:space="0"/>
              <w:right w:val="single" w:color="auto" w:sz="4" w:space="0"/>
            </w:tcBorders>
            <w:vAlign w:val="center"/>
          </w:tcPr>
          <w:p w14:paraId="2E1ACD52">
            <w:pPr>
              <w:widowControl/>
              <w:spacing w:line="240" w:lineRule="exact"/>
              <w:textAlignment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color w:val="000000"/>
                <w:kern w:val="0"/>
                <w:szCs w:val="21"/>
              </w:rPr>
              <w:t>检查和记录机房、实体环境设备运行状态，保证状态正常运行和使用。因设备完好率检查不达标导致通信故障，每次处1000元违约金、同时扣1分，直至扣完；</w:t>
            </w:r>
          </w:p>
        </w:tc>
        <w:tc>
          <w:tcPr>
            <w:tcW w:w="897" w:type="dxa"/>
            <w:vMerge w:val="continue"/>
            <w:tcBorders>
              <w:top w:val="nil"/>
              <w:left w:val="single" w:color="auto" w:sz="4" w:space="0"/>
              <w:bottom w:val="single" w:color="auto" w:sz="4" w:space="0"/>
              <w:right w:val="single" w:color="auto" w:sz="4" w:space="0"/>
            </w:tcBorders>
            <w:vAlign w:val="center"/>
          </w:tcPr>
          <w:p w14:paraId="665AB352">
            <w:pPr>
              <w:widowControl/>
              <w:spacing w:line="240" w:lineRule="exact"/>
              <w:rPr>
                <w:rFonts w:ascii="Times New Roman" w:hAnsi="Times New Roman" w:cs="Times New Roman" w:eastAsiaTheme="minorEastAsia"/>
                <w:bCs/>
                <w:color w:val="000000"/>
                <w:kern w:val="0"/>
                <w:szCs w:val="21"/>
              </w:rPr>
            </w:pPr>
          </w:p>
        </w:tc>
      </w:tr>
      <w:tr w14:paraId="0199F186">
        <w:tblPrEx>
          <w:tblCellMar>
            <w:top w:w="0" w:type="dxa"/>
            <w:left w:w="108" w:type="dxa"/>
            <w:bottom w:w="0" w:type="dxa"/>
            <w:right w:w="108" w:type="dxa"/>
          </w:tblCellMar>
        </w:tblPrEx>
        <w:trPr>
          <w:trHeight w:val="702" w:hRule="atLeast"/>
          <w:jc w:val="center"/>
        </w:trPr>
        <w:tc>
          <w:tcPr>
            <w:tcW w:w="530" w:type="dxa"/>
            <w:tcBorders>
              <w:top w:val="nil"/>
              <w:left w:val="single" w:color="auto" w:sz="4" w:space="0"/>
              <w:bottom w:val="single" w:color="auto" w:sz="4" w:space="0"/>
              <w:right w:val="single" w:color="auto" w:sz="4" w:space="0"/>
            </w:tcBorders>
            <w:vAlign w:val="center"/>
          </w:tcPr>
          <w:p w14:paraId="2C1B1F36">
            <w:pPr>
              <w:widowControl/>
              <w:spacing w:line="240" w:lineRule="exact"/>
              <w:jc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5</w:t>
            </w:r>
          </w:p>
        </w:tc>
        <w:tc>
          <w:tcPr>
            <w:tcW w:w="1889" w:type="dxa"/>
            <w:tcBorders>
              <w:top w:val="nil"/>
              <w:left w:val="nil"/>
              <w:bottom w:val="single" w:color="auto" w:sz="4" w:space="0"/>
              <w:right w:val="single" w:color="auto" w:sz="4" w:space="0"/>
            </w:tcBorders>
            <w:vAlign w:val="center"/>
          </w:tcPr>
          <w:p w14:paraId="453DEEC4">
            <w:pPr>
              <w:widowControl/>
              <w:spacing w:line="240" w:lineRule="exact"/>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维护标签标识和线缆管理</w:t>
            </w:r>
          </w:p>
        </w:tc>
        <w:tc>
          <w:tcPr>
            <w:tcW w:w="4915" w:type="dxa"/>
            <w:tcBorders>
              <w:top w:val="nil"/>
              <w:left w:val="nil"/>
              <w:bottom w:val="single" w:color="auto" w:sz="4" w:space="0"/>
              <w:right w:val="single" w:color="auto" w:sz="4" w:space="0"/>
            </w:tcBorders>
            <w:vAlign w:val="center"/>
          </w:tcPr>
          <w:p w14:paraId="156063F1">
            <w:pPr>
              <w:widowControl/>
              <w:spacing w:line="240" w:lineRule="exact"/>
              <w:textAlignment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color w:val="000000"/>
                <w:kern w:val="0"/>
                <w:szCs w:val="21"/>
              </w:rPr>
              <w:t>设备、缆线、走线架、端子标签标识规范、信息准确；机房内无飞线情况。每发现1处不合格处500元违约金、同时扣0.5分，直至扣完。</w:t>
            </w:r>
          </w:p>
        </w:tc>
        <w:tc>
          <w:tcPr>
            <w:tcW w:w="897" w:type="dxa"/>
            <w:vMerge w:val="continue"/>
            <w:tcBorders>
              <w:top w:val="nil"/>
              <w:left w:val="single" w:color="auto" w:sz="4" w:space="0"/>
              <w:bottom w:val="single" w:color="auto" w:sz="4" w:space="0"/>
              <w:right w:val="single" w:color="auto" w:sz="4" w:space="0"/>
            </w:tcBorders>
            <w:vAlign w:val="center"/>
          </w:tcPr>
          <w:p w14:paraId="08054E08">
            <w:pPr>
              <w:widowControl/>
              <w:spacing w:line="240" w:lineRule="exact"/>
              <w:rPr>
                <w:rFonts w:ascii="Times New Roman" w:hAnsi="Times New Roman" w:cs="Times New Roman" w:eastAsiaTheme="minorEastAsia"/>
                <w:bCs/>
                <w:color w:val="000000"/>
                <w:kern w:val="0"/>
                <w:szCs w:val="21"/>
              </w:rPr>
            </w:pPr>
          </w:p>
        </w:tc>
      </w:tr>
      <w:tr w14:paraId="191915E5">
        <w:tblPrEx>
          <w:tblCellMar>
            <w:top w:w="0" w:type="dxa"/>
            <w:left w:w="108" w:type="dxa"/>
            <w:bottom w:w="0" w:type="dxa"/>
            <w:right w:w="108" w:type="dxa"/>
          </w:tblCellMar>
        </w:tblPrEx>
        <w:trPr>
          <w:trHeight w:val="1305" w:hRule="atLeast"/>
          <w:jc w:val="center"/>
        </w:trPr>
        <w:tc>
          <w:tcPr>
            <w:tcW w:w="530" w:type="dxa"/>
            <w:tcBorders>
              <w:top w:val="nil"/>
              <w:left w:val="single" w:color="auto" w:sz="4" w:space="0"/>
              <w:bottom w:val="single" w:color="auto" w:sz="4" w:space="0"/>
              <w:right w:val="single" w:color="auto" w:sz="4" w:space="0"/>
            </w:tcBorders>
            <w:vAlign w:val="center"/>
          </w:tcPr>
          <w:p w14:paraId="5E742FE5">
            <w:pPr>
              <w:widowControl/>
              <w:spacing w:line="240" w:lineRule="exact"/>
              <w:jc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6</w:t>
            </w:r>
          </w:p>
        </w:tc>
        <w:tc>
          <w:tcPr>
            <w:tcW w:w="1889" w:type="dxa"/>
            <w:tcBorders>
              <w:top w:val="nil"/>
              <w:left w:val="nil"/>
              <w:bottom w:val="single" w:color="auto" w:sz="4" w:space="0"/>
              <w:right w:val="single" w:color="auto" w:sz="4" w:space="0"/>
            </w:tcBorders>
            <w:vAlign w:val="center"/>
          </w:tcPr>
          <w:p w14:paraId="761A4BB4">
            <w:pPr>
              <w:widowControl/>
              <w:spacing w:line="240" w:lineRule="exact"/>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机房、实体环境基础设施、变更及割接方案制定细致、完善，准备工作充分、有序，按计划完成变更及割接</w:t>
            </w:r>
          </w:p>
        </w:tc>
        <w:tc>
          <w:tcPr>
            <w:tcW w:w="4915" w:type="dxa"/>
            <w:tcBorders>
              <w:top w:val="nil"/>
              <w:left w:val="nil"/>
              <w:bottom w:val="single" w:color="auto" w:sz="4" w:space="0"/>
              <w:right w:val="single" w:color="auto" w:sz="4" w:space="0"/>
            </w:tcBorders>
            <w:vAlign w:val="center"/>
          </w:tcPr>
          <w:p w14:paraId="09928EE4">
            <w:pPr>
              <w:widowControl/>
              <w:spacing w:line="240" w:lineRule="exact"/>
              <w:textAlignment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color w:val="000000"/>
                <w:kern w:val="0"/>
                <w:szCs w:val="21"/>
              </w:rPr>
              <w:t>变更及割接成功率100%。因变更及割接方案导致的故障/事件数量为0。变更及割接方案具体内容应包括：变更计划开始时间、计划结束时间；对采购人公司造成的影响或潜在影响；变更实施原因；变更前准备工作；变更期间的计划操作步骤、风险评估和回退步骤等。如果变更及割接方案不完整或可实施性较差，每发现1次处500元违约金、同时扣0.5分。如果因变更及割接方案存在漏洞或风险而导致变更及割接失败的，每次处1000元违约金、同时扣1分。如果因变更及割接实施而导致出现故障/事件的，每次处5000元违约金、同时扣5分。</w:t>
            </w:r>
          </w:p>
        </w:tc>
        <w:tc>
          <w:tcPr>
            <w:tcW w:w="897" w:type="dxa"/>
            <w:vMerge w:val="continue"/>
            <w:tcBorders>
              <w:top w:val="nil"/>
              <w:left w:val="single" w:color="auto" w:sz="4" w:space="0"/>
              <w:bottom w:val="single" w:color="auto" w:sz="4" w:space="0"/>
              <w:right w:val="single" w:color="auto" w:sz="4" w:space="0"/>
            </w:tcBorders>
            <w:vAlign w:val="center"/>
          </w:tcPr>
          <w:p w14:paraId="48D6D339">
            <w:pPr>
              <w:widowControl/>
              <w:spacing w:line="240" w:lineRule="exact"/>
              <w:rPr>
                <w:rFonts w:ascii="Times New Roman" w:hAnsi="Times New Roman" w:cs="Times New Roman" w:eastAsiaTheme="minorEastAsia"/>
                <w:bCs/>
                <w:color w:val="000000"/>
                <w:kern w:val="0"/>
                <w:szCs w:val="21"/>
              </w:rPr>
            </w:pPr>
          </w:p>
        </w:tc>
      </w:tr>
      <w:tr w14:paraId="1F2A8F9F">
        <w:tblPrEx>
          <w:tblCellMar>
            <w:top w:w="0" w:type="dxa"/>
            <w:left w:w="108" w:type="dxa"/>
            <w:bottom w:w="0" w:type="dxa"/>
            <w:right w:w="108" w:type="dxa"/>
          </w:tblCellMar>
        </w:tblPrEx>
        <w:trPr>
          <w:trHeight w:val="870" w:hRule="atLeast"/>
          <w:jc w:val="center"/>
        </w:trPr>
        <w:tc>
          <w:tcPr>
            <w:tcW w:w="530" w:type="dxa"/>
            <w:tcBorders>
              <w:top w:val="nil"/>
              <w:left w:val="single" w:color="auto" w:sz="4" w:space="0"/>
              <w:bottom w:val="single" w:color="auto" w:sz="4" w:space="0"/>
              <w:right w:val="single" w:color="auto" w:sz="4" w:space="0"/>
            </w:tcBorders>
            <w:vAlign w:val="center"/>
          </w:tcPr>
          <w:p w14:paraId="580A6740">
            <w:pPr>
              <w:widowControl/>
              <w:spacing w:line="240" w:lineRule="exact"/>
              <w:jc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7</w:t>
            </w:r>
          </w:p>
        </w:tc>
        <w:tc>
          <w:tcPr>
            <w:tcW w:w="1889" w:type="dxa"/>
            <w:tcBorders>
              <w:top w:val="nil"/>
              <w:left w:val="nil"/>
              <w:bottom w:val="single" w:color="auto" w:sz="4" w:space="0"/>
              <w:right w:val="single" w:color="auto" w:sz="4" w:space="0"/>
            </w:tcBorders>
            <w:vAlign w:val="center"/>
          </w:tcPr>
          <w:p w14:paraId="654A916D">
            <w:pPr>
              <w:widowControl/>
              <w:spacing w:line="240" w:lineRule="exact"/>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及时有效的提供各类服务报告</w:t>
            </w:r>
          </w:p>
        </w:tc>
        <w:tc>
          <w:tcPr>
            <w:tcW w:w="4915" w:type="dxa"/>
            <w:tcBorders>
              <w:top w:val="nil"/>
              <w:left w:val="nil"/>
              <w:bottom w:val="single" w:color="auto" w:sz="4" w:space="0"/>
              <w:right w:val="single" w:color="auto" w:sz="4" w:space="0"/>
            </w:tcBorders>
            <w:vAlign w:val="center"/>
          </w:tcPr>
          <w:p w14:paraId="681775F1">
            <w:pPr>
              <w:widowControl/>
              <w:spacing w:line="240" w:lineRule="exact"/>
              <w:textAlignment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color w:val="000000"/>
                <w:kern w:val="0"/>
                <w:szCs w:val="21"/>
              </w:rPr>
              <w:t>包括但不限于以下服务报告：维护保养报告、半年度巡检报告及年度总结报告。如果未按采购人需求及时提供服务报告的，每1次处500元违约金、同时扣1分。如果未按采购人需求及时完善服务报告内容的，每1次处500元违约金、同时扣0.5分。</w:t>
            </w:r>
          </w:p>
        </w:tc>
        <w:tc>
          <w:tcPr>
            <w:tcW w:w="897" w:type="dxa"/>
            <w:vMerge w:val="continue"/>
            <w:tcBorders>
              <w:top w:val="nil"/>
              <w:left w:val="single" w:color="auto" w:sz="4" w:space="0"/>
              <w:bottom w:val="single" w:color="auto" w:sz="4" w:space="0"/>
              <w:right w:val="single" w:color="auto" w:sz="4" w:space="0"/>
            </w:tcBorders>
            <w:vAlign w:val="center"/>
          </w:tcPr>
          <w:p w14:paraId="39E561BC">
            <w:pPr>
              <w:widowControl/>
              <w:spacing w:line="240" w:lineRule="exact"/>
              <w:rPr>
                <w:rFonts w:ascii="Times New Roman" w:hAnsi="Times New Roman" w:cs="Times New Roman" w:eastAsiaTheme="minorEastAsia"/>
                <w:bCs/>
                <w:color w:val="000000"/>
                <w:kern w:val="0"/>
                <w:szCs w:val="21"/>
              </w:rPr>
            </w:pPr>
          </w:p>
        </w:tc>
      </w:tr>
      <w:tr w14:paraId="25B6BF3C">
        <w:tblPrEx>
          <w:tblCellMar>
            <w:top w:w="0" w:type="dxa"/>
            <w:left w:w="108" w:type="dxa"/>
            <w:bottom w:w="0" w:type="dxa"/>
            <w:right w:w="108" w:type="dxa"/>
          </w:tblCellMar>
        </w:tblPrEx>
        <w:trPr>
          <w:trHeight w:val="702" w:hRule="atLeast"/>
          <w:jc w:val="center"/>
        </w:trPr>
        <w:tc>
          <w:tcPr>
            <w:tcW w:w="530" w:type="dxa"/>
            <w:tcBorders>
              <w:top w:val="nil"/>
              <w:left w:val="single" w:color="auto" w:sz="4" w:space="0"/>
              <w:bottom w:val="single" w:color="auto" w:sz="4" w:space="0"/>
              <w:right w:val="single" w:color="auto" w:sz="4" w:space="0"/>
            </w:tcBorders>
            <w:vAlign w:val="center"/>
          </w:tcPr>
          <w:p w14:paraId="4E992175">
            <w:pPr>
              <w:widowControl/>
              <w:spacing w:line="240" w:lineRule="exact"/>
              <w:jc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8</w:t>
            </w:r>
          </w:p>
        </w:tc>
        <w:tc>
          <w:tcPr>
            <w:tcW w:w="1889" w:type="dxa"/>
            <w:tcBorders>
              <w:top w:val="nil"/>
              <w:left w:val="nil"/>
              <w:bottom w:val="single" w:color="auto" w:sz="4" w:space="0"/>
              <w:right w:val="single" w:color="auto" w:sz="4" w:space="0"/>
            </w:tcBorders>
            <w:vAlign w:val="center"/>
          </w:tcPr>
          <w:p w14:paraId="0E041F1F">
            <w:pPr>
              <w:widowControl/>
              <w:spacing w:line="240" w:lineRule="exact"/>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应急预案制定完善，可操作性强，按计划完成演练</w:t>
            </w:r>
          </w:p>
        </w:tc>
        <w:tc>
          <w:tcPr>
            <w:tcW w:w="4915" w:type="dxa"/>
            <w:tcBorders>
              <w:top w:val="nil"/>
              <w:left w:val="nil"/>
              <w:bottom w:val="single" w:color="auto" w:sz="4" w:space="0"/>
              <w:right w:val="single" w:color="auto" w:sz="4" w:space="0"/>
            </w:tcBorders>
            <w:vAlign w:val="center"/>
          </w:tcPr>
          <w:p w14:paraId="74B3661B">
            <w:pPr>
              <w:widowControl/>
              <w:spacing w:line="240" w:lineRule="exact"/>
              <w:textAlignment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color w:val="000000"/>
                <w:kern w:val="0"/>
                <w:szCs w:val="21"/>
              </w:rPr>
              <w:t>定期制定、更新和演练应急预案，应急预案具备针对性、有效性和可操作性强，若发现应急预案未及时更新，每次处500元违约金、同时扣0.5分；若发现应急预案实际执行效果较差或达不到预期效果，每次处1000元违约金、同时扣1分，直至扣完。</w:t>
            </w:r>
          </w:p>
        </w:tc>
        <w:tc>
          <w:tcPr>
            <w:tcW w:w="897" w:type="dxa"/>
            <w:vMerge w:val="continue"/>
            <w:tcBorders>
              <w:top w:val="nil"/>
              <w:left w:val="single" w:color="auto" w:sz="4" w:space="0"/>
              <w:bottom w:val="single" w:color="auto" w:sz="4" w:space="0"/>
              <w:right w:val="single" w:color="auto" w:sz="4" w:space="0"/>
            </w:tcBorders>
            <w:vAlign w:val="center"/>
          </w:tcPr>
          <w:p w14:paraId="7FB5BDBB">
            <w:pPr>
              <w:widowControl/>
              <w:spacing w:line="240" w:lineRule="exact"/>
              <w:rPr>
                <w:rFonts w:ascii="Times New Roman" w:hAnsi="Times New Roman" w:cs="Times New Roman" w:eastAsiaTheme="minorEastAsia"/>
                <w:bCs/>
                <w:color w:val="000000"/>
                <w:kern w:val="0"/>
                <w:szCs w:val="21"/>
              </w:rPr>
            </w:pPr>
          </w:p>
        </w:tc>
      </w:tr>
      <w:tr w14:paraId="0CBCD115">
        <w:tblPrEx>
          <w:tblCellMar>
            <w:top w:w="0" w:type="dxa"/>
            <w:left w:w="108" w:type="dxa"/>
            <w:bottom w:w="0" w:type="dxa"/>
            <w:right w:w="108" w:type="dxa"/>
          </w:tblCellMar>
        </w:tblPrEx>
        <w:trPr>
          <w:trHeight w:val="702" w:hRule="atLeast"/>
          <w:jc w:val="center"/>
        </w:trPr>
        <w:tc>
          <w:tcPr>
            <w:tcW w:w="530" w:type="dxa"/>
            <w:tcBorders>
              <w:top w:val="nil"/>
              <w:left w:val="single" w:color="auto" w:sz="4" w:space="0"/>
              <w:bottom w:val="single" w:color="auto" w:sz="4" w:space="0"/>
              <w:right w:val="single" w:color="auto" w:sz="4" w:space="0"/>
            </w:tcBorders>
            <w:vAlign w:val="center"/>
          </w:tcPr>
          <w:p w14:paraId="57938C99">
            <w:pPr>
              <w:widowControl/>
              <w:spacing w:line="240" w:lineRule="exact"/>
              <w:jc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三</w:t>
            </w:r>
          </w:p>
        </w:tc>
        <w:tc>
          <w:tcPr>
            <w:tcW w:w="1889" w:type="dxa"/>
            <w:tcBorders>
              <w:top w:val="nil"/>
              <w:left w:val="nil"/>
              <w:bottom w:val="single" w:color="auto" w:sz="4" w:space="0"/>
              <w:right w:val="single" w:color="auto" w:sz="4" w:space="0"/>
            </w:tcBorders>
            <w:vAlign w:val="center"/>
          </w:tcPr>
          <w:p w14:paraId="00CAB8F9">
            <w:pPr>
              <w:widowControl/>
              <w:spacing w:line="240" w:lineRule="exact"/>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故障处理</w:t>
            </w:r>
          </w:p>
        </w:tc>
        <w:tc>
          <w:tcPr>
            <w:tcW w:w="4915" w:type="dxa"/>
            <w:tcBorders>
              <w:top w:val="nil"/>
              <w:left w:val="nil"/>
              <w:bottom w:val="single" w:color="auto" w:sz="4" w:space="0"/>
              <w:right w:val="single" w:color="auto" w:sz="4" w:space="0"/>
            </w:tcBorders>
            <w:vAlign w:val="center"/>
          </w:tcPr>
          <w:p w14:paraId="3B10F0F1">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　</w:t>
            </w:r>
          </w:p>
        </w:tc>
        <w:tc>
          <w:tcPr>
            <w:tcW w:w="897" w:type="dxa"/>
            <w:tcBorders>
              <w:top w:val="nil"/>
              <w:left w:val="nil"/>
              <w:bottom w:val="single" w:color="auto" w:sz="4" w:space="0"/>
              <w:right w:val="single" w:color="auto" w:sz="4" w:space="0"/>
            </w:tcBorders>
            <w:vAlign w:val="center"/>
          </w:tcPr>
          <w:p w14:paraId="53686A50">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20%</w:t>
            </w:r>
          </w:p>
        </w:tc>
      </w:tr>
      <w:tr w14:paraId="3BEEFD8B">
        <w:tblPrEx>
          <w:tblCellMar>
            <w:top w:w="0" w:type="dxa"/>
            <w:left w:w="108" w:type="dxa"/>
            <w:bottom w:w="0" w:type="dxa"/>
            <w:right w:w="108" w:type="dxa"/>
          </w:tblCellMar>
        </w:tblPrEx>
        <w:trPr>
          <w:trHeight w:val="1470" w:hRule="atLeast"/>
          <w:jc w:val="center"/>
        </w:trPr>
        <w:tc>
          <w:tcPr>
            <w:tcW w:w="530" w:type="dxa"/>
            <w:tcBorders>
              <w:top w:val="nil"/>
              <w:left w:val="single" w:color="auto" w:sz="4" w:space="0"/>
              <w:bottom w:val="single" w:color="auto" w:sz="4" w:space="0"/>
              <w:right w:val="single" w:color="auto" w:sz="4" w:space="0"/>
            </w:tcBorders>
            <w:vAlign w:val="center"/>
          </w:tcPr>
          <w:p w14:paraId="328D450C">
            <w:pPr>
              <w:widowControl/>
              <w:spacing w:line="240" w:lineRule="exact"/>
              <w:jc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1</w:t>
            </w:r>
          </w:p>
        </w:tc>
        <w:tc>
          <w:tcPr>
            <w:tcW w:w="1889" w:type="dxa"/>
            <w:tcBorders>
              <w:top w:val="nil"/>
              <w:left w:val="nil"/>
              <w:bottom w:val="single" w:color="auto" w:sz="4" w:space="0"/>
              <w:right w:val="single" w:color="auto" w:sz="4" w:space="0"/>
            </w:tcBorders>
            <w:vAlign w:val="center"/>
          </w:tcPr>
          <w:p w14:paraId="7A49503A">
            <w:pPr>
              <w:widowControl/>
              <w:spacing w:line="240" w:lineRule="exact"/>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机房、实体环境事件/问题/故障及时升级传报和及时处理跟踪</w:t>
            </w:r>
          </w:p>
        </w:tc>
        <w:tc>
          <w:tcPr>
            <w:tcW w:w="4915" w:type="dxa"/>
            <w:tcBorders>
              <w:top w:val="nil"/>
              <w:left w:val="nil"/>
              <w:bottom w:val="single" w:color="auto" w:sz="4" w:space="0"/>
              <w:right w:val="single" w:color="auto" w:sz="4" w:space="0"/>
            </w:tcBorders>
            <w:vAlign w:val="center"/>
          </w:tcPr>
          <w:p w14:paraId="367E4CAB">
            <w:pPr>
              <w:widowControl/>
              <w:spacing w:line="240" w:lineRule="exact"/>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机房、实体环境或设备产生事件/问题/故障应按紧急程度和影响范围及时升级传报，并按服务响应时限和应急预案及时规范处理、跟踪直至闭环。1、对动力空调等基础设施设备故障能预判定位故障并进行处理，故障修复时间不大于2小时；2、故障及系统监控发生告警、异常时，在5分钟内响应，在10分钟内通过电话、邮件等方式进行升级；3、协调设备维保厂商按维保协议完成隐患排查、故障维修等维保服务工作，及时率半年考核不低于98%；因升级传报或处理跟踪不及时造成事件/问题/故障超时的，</w:t>
            </w:r>
            <w:r>
              <w:rPr>
                <w:rFonts w:ascii="Times New Roman" w:hAnsi="Times New Roman" w:cs="Times New Roman" w:eastAsiaTheme="minorEastAsia"/>
                <w:color w:val="000000"/>
                <w:kern w:val="0"/>
                <w:szCs w:val="21"/>
              </w:rPr>
              <w:t>每次处2000元，同时处2分</w:t>
            </w:r>
            <w:r>
              <w:rPr>
                <w:rFonts w:ascii="Times New Roman" w:hAnsi="Times New Roman" w:cs="Times New Roman" w:eastAsiaTheme="minorEastAsia"/>
                <w:bCs/>
                <w:color w:val="000000"/>
                <w:kern w:val="0"/>
                <w:szCs w:val="21"/>
              </w:rPr>
              <w:t>；引起客户有理投诉的，</w:t>
            </w:r>
            <w:r>
              <w:rPr>
                <w:rFonts w:ascii="Times New Roman" w:hAnsi="Times New Roman" w:cs="Times New Roman" w:eastAsiaTheme="minorEastAsia"/>
                <w:color w:val="000000"/>
                <w:kern w:val="0"/>
                <w:szCs w:val="21"/>
              </w:rPr>
              <w:t>每次处5000元，同时</w:t>
            </w:r>
            <w:r>
              <w:rPr>
                <w:rFonts w:ascii="Times New Roman" w:hAnsi="Times New Roman" w:cs="Times New Roman" w:eastAsiaTheme="minorEastAsia"/>
                <w:bCs/>
                <w:color w:val="000000"/>
                <w:kern w:val="0"/>
                <w:szCs w:val="21"/>
              </w:rPr>
              <w:t>扣5分，直至扣完。</w:t>
            </w:r>
          </w:p>
        </w:tc>
        <w:tc>
          <w:tcPr>
            <w:tcW w:w="897" w:type="dxa"/>
            <w:vMerge w:val="restart"/>
            <w:tcBorders>
              <w:top w:val="nil"/>
              <w:left w:val="single" w:color="auto" w:sz="4" w:space="0"/>
              <w:bottom w:val="single" w:color="auto" w:sz="4" w:space="0"/>
              <w:right w:val="single" w:color="auto" w:sz="4" w:space="0"/>
            </w:tcBorders>
            <w:vAlign w:val="center"/>
          </w:tcPr>
          <w:p w14:paraId="40D4A10A">
            <w:pPr>
              <w:widowControl/>
              <w:spacing w:line="240" w:lineRule="exact"/>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20分</w:t>
            </w:r>
          </w:p>
        </w:tc>
      </w:tr>
      <w:tr w14:paraId="3496B481">
        <w:tblPrEx>
          <w:tblCellMar>
            <w:top w:w="0" w:type="dxa"/>
            <w:left w:w="108" w:type="dxa"/>
            <w:bottom w:w="0" w:type="dxa"/>
            <w:right w:w="108" w:type="dxa"/>
          </w:tblCellMar>
        </w:tblPrEx>
        <w:trPr>
          <w:trHeight w:val="702" w:hRule="atLeast"/>
          <w:jc w:val="center"/>
        </w:trPr>
        <w:tc>
          <w:tcPr>
            <w:tcW w:w="530" w:type="dxa"/>
            <w:tcBorders>
              <w:top w:val="nil"/>
              <w:left w:val="single" w:color="auto" w:sz="4" w:space="0"/>
              <w:bottom w:val="single" w:color="auto" w:sz="4" w:space="0"/>
              <w:right w:val="single" w:color="auto" w:sz="4" w:space="0"/>
            </w:tcBorders>
            <w:vAlign w:val="center"/>
          </w:tcPr>
          <w:p w14:paraId="0F1000DE">
            <w:pPr>
              <w:widowControl/>
              <w:spacing w:line="240" w:lineRule="exact"/>
              <w:jc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2</w:t>
            </w:r>
          </w:p>
        </w:tc>
        <w:tc>
          <w:tcPr>
            <w:tcW w:w="1889" w:type="dxa"/>
            <w:tcBorders>
              <w:top w:val="nil"/>
              <w:left w:val="nil"/>
              <w:bottom w:val="single" w:color="auto" w:sz="4" w:space="0"/>
              <w:right w:val="single" w:color="auto" w:sz="4" w:space="0"/>
            </w:tcBorders>
            <w:vAlign w:val="center"/>
          </w:tcPr>
          <w:p w14:paraId="7044EE1F">
            <w:pPr>
              <w:widowControl/>
              <w:spacing w:line="240" w:lineRule="exact"/>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故障报告及时、内容完整</w:t>
            </w:r>
          </w:p>
        </w:tc>
        <w:tc>
          <w:tcPr>
            <w:tcW w:w="4915" w:type="dxa"/>
            <w:tcBorders>
              <w:top w:val="nil"/>
              <w:left w:val="nil"/>
              <w:bottom w:val="single" w:color="auto" w:sz="4" w:space="0"/>
              <w:right w:val="single" w:color="auto" w:sz="4" w:space="0"/>
            </w:tcBorders>
            <w:vAlign w:val="center"/>
          </w:tcPr>
          <w:p w14:paraId="3918A8B0">
            <w:pPr>
              <w:widowControl/>
              <w:spacing w:line="240" w:lineRule="exact"/>
              <w:rPr>
                <w:rFonts w:ascii="Times New Roman" w:hAnsi="Times New Roman" w:cs="Times New Roman" w:eastAsiaTheme="minorEastAsia"/>
                <w:bCs/>
                <w:color w:val="000000"/>
                <w:kern w:val="0"/>
                <w:szCs w:val="21"/>
              </w:rPr>
            </w:pPr>
            <w:r>
              <w:rPr>
                <w:rFonts w:ascii="Times New Roman" w:hAnsi="Times New Roman" w:cs="Times New Roman" w:eastAsiaTheme="minorEastAsia"/>
                <w:color w:val="000000"/>
                <w:kern w:val="0"/>
                <w:szCs w:val="21"/>
              </w:rPr>
              <w:t>故障解决三个工作日内提供故障报告；故障报告内容包括但不限于故障产生的根本原因、解决过程概述、纠正预防措施等。如果发现故障报告提交超时，每次处500元违约金、同时扣0.5分。如果发现故障报告内容不完整，每次处500元违约金、同时扣0.5分。</w:t>
            </w:r>
          </w:p>
        </w:tc>
        <w:tc>
          <w:tcPr>
            <w:tcW w:w="897" w:type="dxa"/>
            <w:vMerge w:val="continue"/>
            <w:tcBorders>
              <w:top w:val="nil"/>
              <w:left w:val="single" w:color="auto" w:sz="4" w:space="0"/>
              <w:bottom w:val="single" w:color="auto" w:sz="4" w:space="0"/>
              <w:right w:val="single" w:color="auto" w:sz="4" w:space="0"/>
            </w:tcBorders>
            <w:vAlign w:val="center"/>
          </w:tcPr>
          <w:p w14:paraId="77B9BF38">
            <w:pPr>
              <w:widowControl/>
              <w:spacing w:line="240" w:lineRule="exact"/>
              <w:rPr>
                <w:rFonts w:ascii="Times New Roman" w:hAnsi="Times New Roman" w:cs="Times New Roman" w:eastAsiaTheme="minorEastAsia"/>
                <w:bCs/>
                <w:color w:val="000000"/>
                <w:kern w:val="0"/>
                <w:szCs w:val="21"/>
              </w:rPr>
            </w:pPr>
          </w:p>
        </w:tc>
      </w:tr>
      <w:tr w14:paraId="53A15809">
        <w:tblPrEx>
          <w:tblCellMar>
            <w:top w:w="0" w:type="dxa"/>
            <w:left w:w="108" w:type="dxa"/>
            <w:bottom w:w="0" w:type="dxa"/>
            <w:right w:w="108" w:type="dxa"/>
          </w:tblCellMar>
        </w:tblPrEx>
        <w:trPr>
          <w:trHeight w:val="702" w:hRule="atLeast"/>
          <w:jc w:val="center"/>
        </w:trPr>
        <w:tc>
          <w:tcPr>
            <w:tcW w:w="530" w:type="dxa"/>
            <w:tcBorders>
              <w:top w:val="nil"/>
              <w:left w:val="single" w:color="auto" w:sz="4" w:space="0"/>
              <w:bottom w:val="single" w:color="auto" w:sz="4" w:space="0"/>
              <w:right w:val="single" w:color="auto" w:sz="4" w:space="0"/>
            </w:tcBorders>
            <w:vAlign w:val="center"/>
          </w:tcPr>
          <w:p w14:paraId="0DB673E9">
            <w:pPr>
              <w:widowControl/>
              <w:spacing w:line="240" w:lineRule="exact"/>
              <w:jc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3</w:t>
            </w:r>
          </w:p>
        </w:tc>
        <w:tc>
          <w:tcPr>
            <w:tcW w:w="1889" w:type="dxa"/>
            <w:tcBorders>
              <w:top w:val="nil"/>
              <w:left w:val="nil"/>
              <w:bottom w:val="single" w:color="auto" w:sz="4" w:space="0"/>
              <w:right w:val="single" w:color="auto" w:sz="4" w:space="0"/>
            </w:tcBorders>
            <w:vAlign w:val="center"/>
          </w:tcPr>
          <w:p w14:paraId="5D82F286">
            <w:pPr>
              <w:widowControl/>
              <w:spacing w:line="240" w:lineRule="exact"/>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人为原因产生的故障</w:t>
            </w:r>
          </w:p>
        </w:tc>
        <w:tc>
          <w:tcPr>
            <w:tcW w:w="4915" w:type="dxa"/>
            <w:tcBorders>
              <w:top w:val="nil"/>
              <w:left w:val="nil"/>
              <w:bottom w:val="single" w:color="auto" w:sz="4" w:space="0"/>
              <w:right w:val="single" w:color="auto" w:sz="4" w:space="0"/>
            </w:tcBorders>
            <w:vAlign w:val="center"/>
          </w:tcPr>
          <w:p w14:paraId="55878152">
            <w:pPr>
              <w:widowControl/>
              <w:spacing w:line="240" w:lineRule="exact"/>
              <w:rPr>
                <w:rFonts w:ascii="Times New Roman" w:hAnsi="Times New Roman" w:cs="Times New Roman" w:eastAsiaTheme="minorEastAsia"/>
                <w:bCs/>
                <w:color w:val="000000"/>
                <w:kern w:val="0"/>
                <w:szCs w:val="21"/>
              </w:rPr>
            </w:pPr>
            <w:r>
              <w:rPr>
                <w:rFonts w:ascii="Times New Roman" w:hAnsi="Times New Roman" w:cs="Times New Roman" w:eastAsiaTheme="minorEastAsia"/>
                <w:color w:val="000000"/>
                <w:kern w:val="0"/>
                <w:szCs w:val="21"/>
              </w:rPr>
              <w:t>由于日常维护不当或责任心问题造成设备故障，或对现网业务造成中断的，每发生1次上述故障，视情节轻重处2000-5000元违约金、同时扣2-5分，直至扣完。</w:t>
            </w:r>
          </w:p>
        </w:tc>
        <w:tc>
          <w:tcPr>
            <w:tcW w:w="897" w:type="dxa"/>
            <w:vMerge w:val="continue"/>
            <w:tcBorders>
              <w:top w:val="nil"/>
              <w:left w:val="single" w:color="auto" w:sz="4" w:space="0"/>
              <w:bottom w:val="single" w:color="auto" w:sz="4" w:space="0"/>
              <w:right w:val="single" w:color="auto" w:sz="4" w:space="0"/>
            </w:tcBorders>
            <w:vAlign w:val="center"/>
          </w:tcPr>
          <w:p w14:paraId="2BD8FA1C">
            <w:pPr>
              <w:widowControl/>
              <w:spacing w:line="240" w:lineRule="exact"/>
              <w:rPr>
                <w:rFonts w:ascii="Times New Roman" w:hAnsi="Times New Roman" w:cs="Times New Roman" w:eastAsiaTheme="minorEastAsia"/>
                <w:bCs/>
                <w:color w:val="000000"/>
                <w:kern w:val="0"/>
                <w:szCs w:val="21"/>
              </w:rPr>
            </w:pPr>
          </w:p>
        </w:tc>
      </w:tr>
      <w:tr w14:paraId="42C5F958">
        <w:tblPrEx>
          <w:tblCellMar>
            <w:top w:w="0" w:type="dxa"/>
            <w:left w:w="108" w:type="dxa"/>
            <w:bottom w:w="0" w:type="dxa"/>
            <w:right w:w="108" w:type="dxa"/>
          </w:tblCellMar>
        </w:tblPrEx>
        <w:trPr>
          <w:trHeight w:val="702" w:hRule="atLeast"/>
          <w:jc w:val="center"/>
        </w:trPr>
        <w:tc>
          <w:tcPr>
            <w:tcW w:w="530" w:type="dxa"/>
            <w:tcBorders>
              <w:top w:val="nil"/>
              <w:left w:val="single" w:color="auto" w:sz="4" w:space="0"/>
              <w:bottom w:val="single" w:color="auto" w:sz="4" w:space="0"/>
              <w:right w:val="single" w:color="auto" w:sz="4" w:space="0"/>
            </w:tcBorders>
            <w:vAlign w:val="center"/>
          </w:tcPr>
          <w:p w14:paraId="7B595315">
            <w:pPr>
              <w:widowControl/>
              <w:spacing w:line="240" w:lineRule="exact"/>
              <w:jc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四</w:t>
            </w:r>
          </w:p>
        </w:tc>
        <w:tc>
          <w:tcPr>
            <w:tcW w:w="1889" w:type="dxa"/>
            <w:tcBorders>
              <w:top w:val="nil"/>
              <w:left w:val="nil"/>
              <w:bottom w:val="single" w:color="auto" w:sz="4" w:space="0"/>
              <w:right w:val="single" w:color="auto" w:sz="4" w:space="0"/>
            </w:tcBorders>
            <w:vAlign w:val="center"/>
          </w:tcPr>
          <w:p w14:paraId="09CF05D7">
            <w:pPr>
              <w:widowControl/>
              <w:spacing w:line="240" w:lineRule="exact"/>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工程配合</w:t>
            </w:r>
          </w:p>
        </w:tc>
        <w:tc>
          <w:tcPr>
            <w:tcW w:w="4915" w:type="dxa"/>
            <w:tcBorders>
              <w:top w:val="nil"/>
              <w:left w:val="nil"/>
              <w:bottom w:val="single" w:color="auto" w:sz="4" w:space="0"/>
              <w:right w:val="single" w:color="auto" w:sz="4" w:space="0"/>
            </w:tcBorders>
            <w:vAlign w:val="center"/>
          </w:tcPr>
          <w:p w14:paraId="18FA7499">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　</w:t>
            </w:r>
          </w:p>
        </w:tc>
        <w:tc>
          <w:tcPr>
            <w:tcW w:w="897" w:type="dxa"/>
            <w:tcBorders>
              <w:top w:val="nil"/>
              <w:left w:val="nil"/>
              <w:bottom w:val="single" w:color="auto" w:sz="4" w:space="0"/>
              <w:right w:val="single" w:color="auto" w:sz="4" w:space="0"/>
            </w:tcBorders>
            <w:vAlign w:val="center"/>
          </w:tcPr>
          <w:p w14:paraId="17C25187">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10%</w:t>
            </w:r>
          </w:p>
        </w:tc>
      </w:tr>
      <w:tr w14:paraId="7FF28BD3">
        <w:tblPrEx>
          <w:tblCellMar>
            <w:top w:w="0" w:type="dxa"/>
            <w:left w:w="108" w:type="dxa"/>
            <w:bottom w:w="0" w:type="dxa"/>
            <w:right w:w="108" w:type="dxa"/>
          </w:tblCellMar>
        </w:tblPrEx>
        <w:trPr>
          <w:trHeight w:val="1020" w:hRule="atLeast"/>
          <w:jc w:val="center"/>
        </w:trPr>
        <w:tc>
          <w:tcPr>
            <w:tcW w:w="530" w:type="dxa"/>
            <w:tcBorders>
              <w:top w:val="nil"/>
              <w:left w:val="single" w:color="auto" w:sz="4" w:space="0"/>
              <w:bottom w:val="single" w:color="auto" w:sz="4" w:space="0"/>
              <w:right w:val="single" w:color="auto" w:sz="4" w:space="0"/>
            </w:tcBorders>
            <w:vAlign w:val="center"/>
          </w:tcPr>
          <w:p w14:paraId="23E022A4">
            <w:pPr>
              <w:widowControl/>
              <w:spacing w:line="240" w:lineRule="exact"/>
              <w:jc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1</w:t>
            </w:r>
          </w:p>
        </w:tc>
        <w:tc>
          <w:tcPr>
            <w:tcW w:w="1889" w:type="dxa"/>
            <w:tcBorders>
              <w:top w:val="nil"/>
              <w:left w:val="nil"/>
              <w:bottom w:val="single" w:color="auto" w:sz="4" w:space="0"/>
              <w:right w:val="single" w:color="auto" w:sz="4" w:space="0"/>
            </w:tcBorders>
            <w:vAlign w:val="center"/>
          </w:tcPr>
          <w:p w14:paraId="039631B7">
            <w:pPr>
              <w:widowControl/>
              <w:spacing w:line="240" w:lineRule="exact"/>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工程随工</w:t>
            </w:r>
          </w:p>
        </w:tc>
        <w:tc>
          <w:tcPr>
            <w:tcW w:w="4915" w:type="dxa"/>
            <w:tcBorders>
              <w:top w:val="nil"/>
              <w:left w:val="nil"/>
              <w:bottom w:val="single" w:color="auto" w:sz="4" w:space="0"/>
              <w:right w:val="single" w:color="auto" w:sz="4" w:space="0"/>
            </w:tcBorders>
            <w:vAlign w:val="center"/>
          </w:tcPr>
          <w:p w14:paraId="1A874B90">
            <w:pPr>
              <w:widowControl/>
              <w:spacing w:line="240" w:lineRule="exact"/>
              <w:textAlignment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color w:val="000000"/>
                <w:kern w:val="0"/>
                <w:szCs w:val="21"/>
              </w:rPr>
              <w:t>对机房内所有工程施工进行相关文档核对保存，并进行安全随工，监督施工过程按规范操作，保证动力、空调运行和机房安全不受影响，要求无动力安全事故，并要求工程施工文档齐全，配合完成工程项目的验收。</w:t>
            </w:r>
          </w:p>
        </w:tc>
        <w:tc>
          <w:tcPr>
            <w:tcW w:w="897" w:type="dxa"/>
            <w:vMerge w:val="restart"/>
            <w:tcBorders>
              <w:top w:val="nil"/>
              <w:left w:val="single" w:color="auto" w:sz="4" w:space="0"/>
              <w:bottom w:val="single" w:color="auto" w:sz="4" w:space="0"/>
              <w:right w:val="single" w:color="auto" w:sz="4" w:space="0"/>
            </w:tcBorders>
            <w:vAlign w:val="center"/>
          </w:tcPr>
          <w:p w14:paraId="63CBB96E">
            <w:pPr>
              <w:widowControl/>
              <w:spacing w:line="240" w:lineRule="exact"/>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10分</w:t>
            </w:r>
          </w:p>
        </w:tc>
      </w:tr>
      <w:tr w14:paraId="627AE712">
        <w:tblPrEx>
          <w:tblCellMar>
            <w:top w:w="0" w:type="dxa"/>
            <w:left w:w="108" w:type="dxa"/>
            <w:bottom w:w="0" w:type="dxa"/>
            <w:right w:w="108" w:type="dxa"/>
          </w:tblCellMar>
        </w:tblPrEx>
        <w:trPr>
          <w:trHeight w:val="702" w:hRule="atLeast"/>
          <w:jc w:val="center"/>
        </w:trPr>
        <w:tc>
          <w:tcPr>
            <w:tcW w:w="530" w:type="dxa"/>
            <w:tcBorders>
              <w:top w:val="nil"/>
              <w:left w:val="single" w:color="auto" w:sz="4" w:space="0"/>
              <w:bottom w:val="single" w:color="auto" w:sz="4" w:space="0"/>
              <w:right w:val="single" w:color="auto" w:sz="4" w:space="0"/>
            </w:tcBorders>
            <w:vAlign w:val="center"/>
          </w:tcPr>
          <w:p w14:paraId="763740F0">
            <w:pPr>
              <w:widowControl/>
              <w:spacing w:line="240" w:lineRule="exact"/>
              <w:jc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2</w:t>
            </w:r>
          </w:p>
        </w:tc>
        <w:tc>
          <w:tcPr>
            <w:tcW w:w="1889" w:type="dxa"/>
            <w:tcBorders>
              <w:top w:val="nil"/>
              <w:left w:val="nil"/>
              <w:bottom w:val="single" w:color="auto" w:sz="4" w:space="0"/>
              <w:right w:val="single" w:color="auto" w:sz="4" w:space="0"/>
            </w:tcBorders>
            <w:vAlign w:val="center"/>
          </w:tcPr>
          <w:p w14:paraId="4AA8B24A">
            <w:pPr>
              <w:widowControl/>
              <w:spacing w:line="240" w:lineRule="exact"/>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施工管理</w:t>
            </w:r>
          </w:p>
        </w:tc>
        <w:tc>
          <w:tcPr>
            <w:tcW w:w="4915" w:type="dxa"/>
            <w:tcBorders>
              <w:top w:val="nil"/>
              <w:left w:val="nil"/>
              <w:bottom w:val="single" w:color="auto" w:sz="4" w:space="0"/>
              <w:right w:val="single" w:color="auto" w:sz="4" w:space="0"/>
            </w:tcBorders>
            <w:vAlign w:val="center"/>
          </w:tcPr>
          <w:p w14:paraId="780B63DE">
            <w:pPr>
              <w:widowControl/>
              <w:spacing w:line="240" w:lineRule="exact"/>
              <w:textAlignment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color w:val="000000"/>
                <w:kern w:val="0"/>
                <w:szCs w:val="21"/>
              </w:rPr>
              <w:t>机房扩容工程施工现场未对已投运设备做有效的成品保护措施，每次处200元违约金、同时扣0.5分；如因保护隔离措施不到位，造成业务机房断电、断冷，每次处1000元违约金、同时扣2分。</w:t>
            </w:r>
          </w:p>
        </w:tc>
        <w:tc>
          <w:tcPr>
            <w:tcW w:w="897" w:type="dxa"/>
            <w:vMerge w:val="continue"/>
            <w:tcBorders>
              <w:top w:val="nil"/>
              <w:left w:val="single" w:color="auto" w:sz="4" w:space="0"/>
              <w:bottom w:val="single" w:color="auto" w:sz="4" w:space="0"/>
              <w:right w:val="single" w:color="auto" w:sz="4" w:space="0"/>
            </w:tcBorders>
            <w:vAlign w:val="center"/>
          </w:tcPr>
          <w:p w14:paraId="0FC0FB62">
            <w:pPr>
              <w:widowControl/>
              <w:spacing w:line="240" w:lineRule="exact"/>
              <w:rPr>
                <w:rFonts w:ascii="Times New Roman" w:hAnsi="Times New Roman" w:cs="Times New Roman" w:eastAsiaTheme="minorEastAsia"/>
                <w:bCs/>
                <w:color w:val="000000"/>
                <w:kern w:val="0"/>
                <w:szCs w:val="21"/>
              </w:rPr>
            </w:pPr>
          </w:p>
        </w:tc>
      </w:tr>
      <w:tr w14:paraId="27D5BA2F">
        <w:tblPrEx>
          <w:tblCellMar>
            <w:top w:w="0" w:type="dxa"/>
            <w:left w:w="108" w:type="dxa"/>
            <w:bottom w:w="0" w:type="dxa"/>
            <w:right w:w="108" w:type="dxa"/>
          </w:tblCellMar>
        </w:tblPrEx>
        <w:trPr>
          <w:trHeight w:val="702" w:hRule="atLeast"/>
          <w:jc w:val="center"/>
        </w:trPr>
        <w:tc>
          <w:tcPr>
            <w:tcW w:w="530" w:type="dxa"/>
            <w:tcBorders>
              <w:top w:val="nil"/>
              <w:left w:val="single" w:color="auto" w:sz="4" w:space="0"/>
              <w:bottom w:val="single" w:color="auto" w:sz="4" w:space="0"/>
              <w:right w:val="single" w:color="auto" w:sz="4" w:space="0"/>
            </w:tcBorders>
            <w:vAlign w:val="center"/>
          </w:tcPr>
          <w:p w14:paraId="6B8A88FC">
            <w:pPr>
              <w:widowControl/>
              <w:spacing w:line="240" w:lineRule="exact"/>
              <w:jc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3</w:t>
            </w:r>
          </w:p>
        </w:tc>
        <w:tc>
          <w:tcPr>
            <w:tcW w:w="1889" w:type="dxa"/>
            <w:tcBorders>
              <w:top w:val="nil"/>
              <w:left w:val="nil"/>
              <w:bottom w:val="single" w:color="auto" w:sz="4" w:space="0"/>
              <w:right w:val="single" w:color="auto" w:sz="4" w:space="0"/>
            </w:tcBorders>
            <w:vAlign w:val="center"/>
          </w:tcPr>
          <w:p w14:paraId="7720A1EF">
            <w:pPr>
              <w:widowControl/>
              <w:spacing w:line="240" w:lineRule="exact"/>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接维验收</w:t>
            </w:r>
          </w:p>
        </w:tc>
        <w:tc>
          <w:tcPr>
            <w:tcW w:w="4915" w:type="dxa"/>
            <w:tcBorders>
              <w:top w:val="nil"/>
              <w:left w:val="nil"/>
              <w:bottom w:val="single" w:color="auto" w:sz="4" w:space="0"/>
              <w:right w:val="single" w:color="auto" w:sz="4" w:space="0"/>
            </w:tcBorders>
            <w:vAlign w:val="center"/>
          </w:tcPr>
          <w:p w14:paraId="1CF675D7">
            <w:pPr>
              <w:widowControl/>
              <w:spacing w:line="240" w:lineRule="exact"/>
              <w:textAlignment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color w:val="000000"/>
                <w:kern w:val="0"/>
                <w:szCs w:val="21"/>
              </w:rPr>
              <w:t>在新增设备或系统工程验收交接之后，收集必要的竣工图纸或设备操作、保养手册等资料。</w:t>
            </w:r>
          </w:p>
        </w:tc>
        <w:tc>
          <w:tcPr>
            <w:tcW w:w="897" w:type="dxa"/>
            <w:vMerge w:val="continue"/>
            <w:tcBorders>
              <w:top w:val="nil"/>
              <w:left w:val="single" w:color="auto" w:sz="4" w:space="0"/>
              <w:bottom w:val="single" w:color="auto" w:sz="4" w:space="0"/>
              <w:right w:val="single" w:color="auto" w:sz="4" w:space="0"/>
            </w:tcBorders>
            <w:vAlign w:val="center"/>
          </w:tcPr>
          <w:p w14:paraId="5809C396">
            <w:pPr>
              <w:widowControl/>
              <w:spacing w:line="240" w:lineRule="exact"/>
              <w:rPr>
                <w:rFonts w:ascii="Times New Roman" w:hAnsi="Times New Roman" w:cs="Times New Roman" w:eastAsiaTheme="minorEastAsia"/>
                <w:bCs/>
                <w:color w:val="000000"/>
                <w:kern w:val="0"/>
                <w:szCs w:val="21"/>
              </w:rPr>
            </w:pPr>
          </w:p>
        </w:tc>
      </w:tr>
      <w:tr w14:paraId="3DCBAC8E">
        <w:tblPrEx>
          <w:tblCellMar>
            <w:top w:w="0" w:type="dxa"/>
            <w:left w:w="108" w:type="dxa"/>
            <w:bottom w:w="0" w:type="dxa"/>
            <w:right w:w="108" w:type="dxa"/>
          </w:tblCellMar>
        </w:tblPrEx>
        <w:trPr>
          <w:trHeight w:val="702" w:hRule="atLeast"/>
          <w:jc w:val="center"/>
        </w:trPr>
        <w:tc>
          <w:tcPr>
            <w:tcW w:w="530" w:type="dxa"/>
            <w:tcBorders>
              <w:top w:val="nil"/>
              <w:left w:val="single" w:color="auto" w:sz="4" w:space="0"/>
              <w:bottom w:val="single" w:color="auto" w:sz="4" w:space="0"/>
              <w:right w:val="single" w:color="auto" w:sz="4" w:space="0"/>
            </w:tcBorders>
            <w:vAlign w:val="center"/>
          </w:tcPr>
          <w:p w14:paraId="0901A1EE">
            <w:pPr>
              <w:widowControl/>
              <w:spacing w:line="240" w:lineRule="exact"/>
              <w:jc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五</w:t>
            </w:r>
          </w:p>
        </w:tc>
        <w:tc>
          <w:tcPr>
            <w:tcW w:w="1889" w:type="dxa"/>
            <w:tcBorders>
              <w:top w:val="nil"/>
              <w:left w:val="nil"/>
              <w:bottom w:val="single" w:color="auto" w:sz="4" w:space="0"/>
              <w:right w:val="single" w:color="auto" w:sz="4" w:space="0"/>
            </w:tcBorders>
            <w:vAlign w:val="center"/>
          </w:tcPr>
          <w:p w14:paraId="39AFC815">
            <w:pPr>
              <w:widowControl/>
              <w:spacing w:line="240" w:lineRule="exact"/>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机房、调度会商室管理</w:t>
            </w:r>
          </w:p>
        </w:tc>
        <w:tc>
          <w:tcPr>
            <w:tcW w:w="4915" w:type="dxa"/>
            <w:tcBorders>
              <w:top w:val="nil"/>
              <w:left w:val="nil"/>
              <w:bottom w:val="single" w:color="auto" w:sz="4" w:space="0"/>
              <w:right w:val="single" w:color="auto" w:sz="4" w:space="0"/>
            </w:tcBorders>
            <w:vAlign w:val="bottom"/>
          </w:tcPr>
          <w:p w14:paraId="73790265">
            <w:pPr>
              <w:spacing w:line="240" w:lineRule="exact"/>
              <w:rPr>
                <w:rFonts w:ascii="Times New Roman" w:hAnsi="Times New Roman" w:cs="Times New Roman" w:eastAsiaTheme="minorEastAsia"/>
                <w:color w:val="000000"/>
                <w:kern w:val="0"/>
                <w:szCs w:val="21"/>
              </w:rPr>
            </w:pPr>
          </w:p>
        </w:tc>
        <w:tc>
          <w:tcPr>
            <w:tcW w:w="897" w:type="dxa"/>
            <w:tcBorders>
              <w:top w:val="nil"/>
              <w:left w:val="nil"/>
              <w:bottom w:val="single" w:color="auto" w:sz="4" w:space="0"/>
              <w:right w:val="single" w:color="auto" w:sz="4" w:space="0"/>
            </w:tcBorders>
            <w:vAlign w:val="center"/>
          </w:tcPr>
          <w:p w14:paraId="73F02430">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10%</w:t>
            </w:r>
          </w:p>
        </w:tc>
      </w:tr>
      <w:tr w14:paraId="533DFEF3">
        <w:tblPrEx>
          <w:tblCellMar>
            <w:top w:w="0" w:type="dxa"/>
            <w:left w:w="108" w:type="dxa"/>
            <w:bottom w:w="0" w:type="dxa"/>
            <w:right w:w="108" w:type="dxa"/>
          </w:tblCellMar>
        </w:tblPrEx>
        <w:trPr>
          <w:trHeight w:val="702" w:hRule="atLeast"/>
          <w:jc w:val="center"/>
        </w:trPr>
        <w:tc>
          <w:tcPr>
            <w:tcW w:w="530" w:type="dxa"/>
            <w:tcBorders>
              <w:top w:val="nil"/>
              <w:left w:val="single" w:color="auto" w:sz="4" w:space="0"/>
              <w:bottom w:val="single" w:color="auto" w:sz="4" w:space="0"/>
              <w:right w:val="single" w:color="auto" w:sz="4" w:space="0"/>
            </w:tcBorders>
            <w:vAlign w:val="center"/>
          </w:tcPr>
          <w:p w14:paraId="22E52F48">
            <w:pPr>
              <w:widowControl/>
              <w:spacing w:line="240" w:lineRule="exact"/>
              <w:jc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1</w:t>
            </w:r>
          </w:p>
        </w:tc>
        <w:tc>
          <w:tcPr>
            <w:tcW w:w="1889" w:type="dxa"/>
            <w:tcBorders>
              <w:top w:val="nil"/>
              <w:left w:val="nil"/>
              <w:bottom w:val="single" w:color="auto" w:sz="4" w:space="0"/>
              <w:right w:val="single" w:color="auto" w:sz="4" w:space="0"/>
            </w:tcBorders>
            <w:vAlign w:val="center"/>
          </w:tcPr>
          <w:p w14:paraId="1924C957">
            <w:pPr>
              <w:widowControl/>
              <w:spacing w:line="240" w:lineRule="exact"/>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机房进出管理</w:t>
            </w:r>
          </w:p>
        </w:tc>
        <w:tc>
          <w:tcPr>
            <w:tcW w:w="4915" w:type="dxa"/>
            <w:tcBorders>
              <w:top w:val="nil"/>
              <w:left w:val="nil"/>
              <w:bottom w:val="single" w:color="auto" w:sz="4" w:space="0"/>
              <w:right w:val="single" w:color="auto" w:sz="4" w:space="0"/>
            </w:tcBorders>
            <w:vAlign w:val="center"/>
          </w:tcPr>
          <w:p w14:paraId="1A828405">
            <w:pPr>
              <w:widowControl/>
              <w:spacing w:line="240" w:lineRule="exact"/>
              <w:textAlignment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color w:val="000000"/>
                <w:kern w:val="0"/>
                <w:szCs w:val="21"/>
              </w:rPr>
              <w:t>机房内机架、设备整洁；机房管孔封堵检查；每发现1次不合格处500元违约金、同时扣0.5分，直至扣完。</w:t>
            </w:r>
          </w:p>
        </w:tc>
        <w:tc>
          <w:tcPr>
            <w:tcW w:w="897" w:type="dxa"/>
            <w:vMerge w:val="restart"/>
            <w:tcBorders>
              <w:top w:val="nil"/>
              <w:left w:val="single" w:color="auto" w:sz="4" w:space="0"/>
              <w:bottom w:val="single" w:color="auto" w:sz="4" w:space="0"/>
              <w:right w:val="single" w:color="auto" w:sz="4" w:space="0"/>
            </w:tcBorders>
            <w:vAlign w:val="center"/>
          </w:tcPr>
          <w:p w14:paraId="4FC2FA88">
            <w:pPr>
              <w:widowControl/>
              <w:spacing w:line="240" w:lineRule="exact"/>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10分</w:t>
            </w:r>
          </w:p>
        </w:tc>
      </w:tr>
      <w:tr w14:paraId="0FA72EA7">
        <w:tblPrEx>
          <w:tblCellMar>
            <w:top w:w="0" w:type="dxa"/>
            <w:left w:w="108" w:type="dxa"/>
            <w:bottom w:w="0" w:type="dxa"/>
            <w:right w:w="108" w:type="dxa"/>
          </w:tblCellMar>
        </w:tblPrEx>
        <w:trPr>
          <w:trHeight w:val="702" w:hRule="atLeast"/>
          <w:jc w:val="center"/>
        </w:trPr>
        <w:tc>
          <w:tcPr>
            <w:tcW w:w="530" w:type="dxa"/>
            <w:tcBorders>
              <w:top w:val="nil"/>
              <w:left w:val="single" w:color="auto" w:sz="4" w:space="0"/>
              <w:bottom w:val="single" w:color="auto" w:sz="4" w:space="0"/>
              <w:right w:val="single" w:color="auto" w:sz="4" w:space="0"/>
            </w:tcBorders>
            <w:vAlign w:val="center"/>
          </w:tcPr>
          <w:p w14:paraId="13719725">
            <w:pPr>
              <w:widowControl/>
              <w:spacing w:line="240" w:lineRule="exact"/>
              <w:jc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2</w:t>
            </w:r>
          </w:p>
        </w:tc>
        <w:tc>
          <w:tcPr>
            <w:tcW w:w="1889" w:type="dxa"/>
            <w:tcBorders>
              <w:top w:val="nil"/>
              <w:left w:val="nil"/>
              <w:bottom w:val="single" w:color="auto" w:sz="4" w:space="0"/>
              <w:right w:val="single" w:color="auto" w:sz="4" w:space="0"/>
            </w:tcBorders>
            <w:vAlign w:val="center"/>
          </w:tcPr>
          <w:p w14:paraId="4C9A4CD2">
            <w:pPr>
              <w:widowControl/>
              <w:spacing w:line="240" w:lineRule="exact"/>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机房、调度会商室管理</w:t>
            </w:r>
          </w:p>
        </w:tc>
        <w:tc>
          <w:tcPr>
            <w:tcW w:w="4915" w:type="dxa"/>
            <w:tcBorders>
              <w:top w:val="nil"/>
              <w:left w:val="nil"/>
              <w:bottom w:val="single" w:color="auto" w:sz="4" w:space="0"/>
              <w:right w:val="single" w:color="auto" w:sz="4" w:space="0"/>
            </w:tcBorders>
            <w:vAlign w:val="center"/>
          </w:tcPr>
          <w:p w14:paraId="41BAAC14">
            <w:pPr>
              <w:widowControl/>
              <w:spacing w:line="240" w:lineRule="exact"/>
              <w:textAlignment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color w:val="000000"/>
                <w:kern w:val="0"/>
                <w:szCs w:val="21"/>
              </w:rPr>
              <w:t>不发生由于管理和操作等人为原因而造成设备丢失、失窃以及设备损坏或停电的故障，每发生1次人为原因故障处5000元违约金、同时扣5分，直至扣完。</w:t>
            </w:r>
          </w:p>
        </w:tc>
        <w:tc>
          <w:tcPr>
            <w:tcW w:w="897" w:type="dxa"/>
            <w:vMerge w:val="continue"/>
            <w:tcBorders>
              <w:top w:val="nil"/>
              <w:left w:val="single" w:color="auto" w:sz="4" w:space="0"/>
              <w:bottom w:val="single" w:color="auto" w:sz="4" w:space="0"/>
              <w:right w:val="single" w:color="auto" w:sz="4" w:space="0"/>
            </w:tcBorders>
            <w:vAlign w:val="center"/>
          </w:tcPr>
          <w:p w14:paraId="52209328">
            <w:pPr>
              <w:widowControl/>
              <w:spacing w:line="240" w:lineRule="exact"/>
              <w:rPr>
                <w:rFonts w:ascii="Times New Roman" w:hAnsi="Times New Roman" w:cs="Times New Roman" w:eastAsiaTheme="minorEastAsia"/>
                <w:bCs/>
                <w:color w:val="000000"/>
                <w:kern w:val="0"/>
                <w:szCs w:val="21"/>
              </w:rPr>
            </w:pPr>
          </w:p>
        </w:tc>
      </w:tr>
      <w:tr w14:paraId="1D9A5D7D">
        <w:tblPrEx>
          <w:tblCellMar>
            <w:top w:w="0" w:type="dxa"/>
            <w:left w:w="108" w:type="dxa"/>
            <w:bottom w:w="0" w:type="dxa"/>
            <w:right w:w="108" w:type="dxa"/>
          </w:tblCellMar>
        </w:tblPrEx>
        <w:trPr>
          <w:trHeight w:val="702" w:hRule="atLeast"/>
          <w:jc w:val="center"/>
        </w:trPr>
        <w:tc>
          <w:tcPr>
            <w:tcW w:w="530" w:type="dxa"/>
            <w:tcBorders>
              <w:top w:val="nil"/>
              <w:left w:val="single" w:color="auto" w:sz="4" w:space="0"/>
              <w:bottom w:val="single" w:color="auto" w:sz="4" w:space="0"/>
              <w:right w:val="single" w:color="auto" w:sz="4" w:space="0"/>
            </w:tcBorders>
            <w:vAlign w:val="center"/>
          </w:tcPr>
          <w:p w14:paraId="7C4DAC72">
            <w:pPr>
              <w:widowControl/>
              <w:spacing w:line="240" w:lineRule="exact"/>
              <w:jc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3</w:t>
            </w:r>
          </w:p>
        </w:tc>
        <w:tc>
          <w:tcPr>
            <w:tcW w:w="1889" w:type="dxa"/>
            <w:tcBorders>
              <w:top w:val="nil"/>
              <w:left w:val="nil"/>
              <w:bottom w:val="single" w:color="auto" w:sz="4" w:space="0"/>
              <w:right w:val="single" w:color="auto" w:sz="4" w:space="0"/>
            </w:tcBorders>
            <w:vAlign w:val="center"/>
          </w:tcPr>
          <w:p w14:paraId="35206B6B">
            <w:pPr>
              <w:widowControl/>
              <w:spacing w:line="240" w:lineRule="exact"/>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保障机房、调度会商室内的物理安全</w:t>
            </w:r>
          </w:p>
        </w:tc>
        <w:tc>
          <w:tcPr>
            <w:tcW w:w="4915" w:type="dxa"/>
            <w:tcBorders>
              <w:top w:val="nil"/>
              <w:left w:val="nil"/>
              <w:bottom w:val="single" w:color="auto" w:sz="4" w:space="0"/>
              <w:right w:val="single" w:color="auto" w:sz="4" w:space="0"/>
            </w:tcBorders>
            <w:vAlign w:val="bottom"/>
          </w:tcPr>
          <w:p w14:paraId="118CE3AF">
            <w:pPr>
              <w:spacing w:line="240" w:lineRule="exact"/>
              <w:rPr>
                <w:rFonts w:ascii="Times New Roman" w:hAnsi="Times New Roman" w:cs="Times New Roman" w:eastAsiaTheme="minorEastAsia"/>
                <w:bCs/>
                <w:color w:val="000000"/>
                <w:kern w:val="0"/>
                <w:szCs w:val="21"/>
              </w:rPr>
            </w:pPr>
          </w:p>
        </w:tc>
        <w:tc>
          <w:tcPr>
            <w:tcW w:w="897" w:type="dxa"/>
            <w:vMerge w:val="continue"/>
            <w:tcBorders>
              <w:top w:val="nil"/>
              <w:left w:val="single" w:color="auto" w:sz="4" w:space="0"/>
              <w:bottom w:val="single" w:color="auto" w:sz="4" w:space="0"/>
              <w:right w:val="single" w:color="auto" w:sz="4" w:space="0"/>
            </w:tcBorders>
            <w:vAlign w:val="center"/>
          </w:tcPr>
          <w:p w14:paraId="0100EB1B">
            <w:pPr>
              <w:widowControl/>
              <w:spacing w:line="240" w:lineRule="exact"/>
              <w:rPr>
                <w:rFonts w:ascii="Times New Roman" w:hAnsi="Times New Roman" w:cs="Times New Roman" w:eastAsiaTheme="minorEastAsia"/>
                <w:bCs/>
                <w:color w:val="000000"/>
                <w:kern w:val="0"/>
                <w:szCs w:val="21"/>
              </w:rPr>
            </w:pPr>
          </w:p>
        </w:tc>
      </w:tr>
      <w:tr w14:paraId="6CBE2B66">
        <w:tblPrEx>
          <w:tblCellMar>
            <w:top w:w="0" w:type="dxa"/>
            <w:left w:w="108" w:type="dxa"/>
            <w:bottom w:w="0" w:type="dxa"/>
            <w:right w:w="108" w:type="dxa"/>
          </w:tblCellMar>
        </w:tblPrEx>
        <w:trPr>
          <w:trHeight w:val="702" w:hRule="atLeast"/>
          <w:jc w:val="center"/>
        </w:trPr>
        <w:tc>
          <w:tcPr>
            <w:tcW w:w="530" w:type="dxa"/>
            <w:tcBorders>
              <w:top w:val="nil"/>
              <w:left w:val="single" w:color="auto" w:sz="4" w:space="0"/>
              <w:bottom w:val="single" w:color="auto" w:sz="4" w:space="0"/>
              <w:right w:val="single" w:color="auto" w:sz="4" w:space="0"/>
            </w:tcBorders>
            <w:vAlign w:val="center"/>
          </w:tcPr>
          <w:p w14:paraId="17DE8EE9">
            <w:pPr>
              <w:widowControl/>
              <w:spacing w:line="240" w:lineRule="exact"/>
              <w:jc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六</w:t>
            </w:r>
          </w:p>
        </w:tc>
        <w:tc>
          <w:tcPr>
            <w:tcW w:w="1889" w:type="dxa"/>
            <w:tcBorders>
              <w:top w:val="nil"/>
              <w:left w:val="nil"/>
              <w:bottom w:val="single" w:color="auto" w:sz="4" w:space="0"/>
              <w:right w:val="single" w:color="auto" w:sz="4" w:space="0"/>
            </w:tcBorders>
            <w:vAlign w:val="center"/>
          </w:tcPr>
          <w:p w14:paraId="07332CB0">
            <w:pPr>
              <w:widowControl/>
              <w:spacing w:line="240" w:lineRule="exact"/>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客户满意度</w:t>
            </w:r>
          </w:p>
        </w:tc>
        <w:tc>
          <w:tcPr>
            <w:tcW w:w="4915" w:type="dxa"/>
            <w:tcBorders>
              <w:top w:val="nil"/>
              <w:left w:val="nil"/>
              <w:bottom w:val="single" w:color="auto" w:sz="4" w:space="0"/>
              <w:right w:val="single" w:color="auto" w:sz="4" w:space="0"/>
            </w:tcBorders>
            <w:vAlign w:val="center"/>
          </w:tcPr>
          <w:p w14:paraId="3F6B959F">
            <w:pPr>
              <w:widowControl/>
              <w:spacing w:line="240" w:lineRule="exact"/>
              <w:textAlignment w:val="center"/>
              <w:rPr>
                <w:rFonts w:ascii="Times New Roman" w:hAnsi="Times New Roman" w:cs="Times New Roman" w:eastAsiaTheme="minorEastAsia"/>
                <w:color w:val="000000"/>
                <w:kern w:val="0"/>
                <w:szCs w:val="21"/>
              </w:rPr>
            </w:pPr>
          </w:p>
        </w:tc>
        <w:tc>
          <w:tcPr>
            <w:tcW w:w="897" w:type="dxa"/>
            <w:tcBorders>
              <w:top w:val="nil"/>
              <w:left w:val="nil"/>
              <w:bottom w:val="single" w:color="auto" w:sz="4" w:space="0"/>
              <w:right w:val="single" w:color="auto" w:sz="4" w:space="0"/>
            </w:tcBorders>
            <w:vAlign w:val="center"/>
          </w:tcPr>
          <w:p w14:paraId="7BF5897E">
            <w:pPr>
              <w:widowControl/>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5%</w:t>
            </w:r>
          </w:p>
        </w:tc>
      </w:tr>
      <w:tr w14:paraId="2DFF4E70">
        <w:tblPrEx>
          <w:tblCellMar>
            <w:top w:w="0" w:type="dxa"/>
            <w:left w:w="108" w:type="dxa"/>
            <w:bottom w:w="0" w:type="dxa"/>
            <w:right w:w="108" w:type="dxa"/>
          </w:tblCellMar>
        </w:tblPrEx>
        <w:trPr>
          <w:trHeight w:val="702" w:hRule="atLeast"/>
          <w:jc w:val="center"/>
        </w:trPr>
        <w:tc>
          <w:tcPr>
            <w:tcW w:w="530" w:type="dxa"/>
            <w:tcBorders>
              <w:top w:val="nil"/>
              <w:left w:val="single" w:color="auto" w:sz="4" w:space="0"/>
              <w:bottom w:val="single" w:color="auto" w:sz="4" w:space="0"/>
              <w:right w:val="single" w:color="auto" w:sz="4" w:space="0"/>
            </w:tcBorders>
            <w:vAlign w:val="center"/>
          </w:tcPr>
          <w:p w14:paraId="6FA1917C">
            <w:pPr>
              <w:widowControl/>
              <w:spacing w:line="240" w:lineRule="exact"/>
              <w:jc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1</w:t>
            </w:r>
          </w:p>
        </w:tc>
        <w:tc>
          <w:tcPr>
            <w:tcW w:w="1889" w:type="dxa"/>
            <w:tcBorders>
              <w:top w:val="nil"/>
              <w:left w:val="nil"/>
              <w:bottom w:val="single" w:color="auto" w:sz="4" w:space="0"/>
              <w:right w:val="single" w:color="auto" w:sz="4" w:space="0"/>
            </w:tcBorders>
            <w:vAlign w:val="center"/>
          </w:tcPr>
          <w:p w14:paraId="7BEA9D96">
            <w:pPr>
              <w:widowControl/>
              <w:spacing w:line="240" w:lineRule="exact"/>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客户满意度</w:t>
            </w:r>
          </w:p>
        </w:tc>
        <w:tc>
          <w:tcPr>
            <w:tcW w:w="4915" w:type="dxa"/>
            <w:tcBorders>
              <w:top w:val="nil"/>
              <w:left w:val="nil"/>
              <w:bottom w:val="single" w:color="auto" w:sz="4" w:space="0"/>
              <w:right w:val="single" w:color="auto" w:sz="4" w:space="0"/>
            </w:tcBorders>
            <w:vAlign w:val="bottom"/>
          </w:tcPr>
          <w:p w14:paraId="625E65A9">
            <w:pPr>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bCs/>
                <w:color w:val="000000"/>
                <w:kern w:val="0"/>
                <w:szCs w:val="21"/>
              </w:rPr>
              <w:t>根据代维工作实施情况，进行打分。</w:t>
            </w:r>
          </w:p>
        </w:tc>
        <w:tc>
          <w:tcPr>
            <w:tcW w:w="897" w:type="dxa"/>
            <w:tcBorders>
              <w:top w:val="nil"/>
              <w:left w:val="nil"/>
              <w:bottom w:val="single" w:color="auto" w:sz="4" w:space="0"/>
              <w:right w:val="single" w:color="auto" w:sz="4" w:space="0"/>
            </w:tcBorders>
            <w:vAlign w:val="center"/>
          </w:tcPr>
          <w:p w14:paraId="15E4E892">
            <w:pPr>
              <w:widowControl/>
              <w:spacing w:line="240" w:lineRule="exact"/>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5分</w:t>
            </w:r>
          </w:p>
        </w:tc>
      </w:tr>
      <w:tr w14:paraId="7234E3E2">
        <w:tblPrEx>
          <w:tblCellMar>
            <w:top w:w="0" w:type="dxa"/>
            <w:left w:w="108" w:type="dxa"/>
            <w:bottom w:w="0" w:type="dxa"/>
            <w:right w:w="108" w:type="dxa"/>
          </w:tblCellMar>
        </w:tblPrEx>
        <w:trPr>
          <w:trHeight w:val="553" w:hRule="atLeast"/>
          <w:jc w:val="center"/>
        </w:trPr>
        <w:tc>
          <w:tcPr>
            <w:tcW w:w="530" w:type="dxa"/>
            <w:tcBorders>
              <w:top w:val="nil"/>
              <w:left w:val="single" w:color="auto" w:sz="4" w:space="0"/>
              <w:bottom w:val="single" w:color="auto" w:sz="4" w:space="0"/>
              <w:right w:val="single" w:color="auto" w:sz="4" w:space="0"/>
            </w:tcBorders>
            <w:vAlign w:val="center"/>
          </w:tcPr>
          <w:p w14:paraId="547DBBA8">
            <w:pPr>
              <w:widowControl/>
              <w:spacing w:line="240" w:lineRule="exact"/>
              <w:jc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七</w:t>
            </w:r>
          </w:p>
        </w:tc>
        <w:tc>
          <w:tcPr>
            <w:tcW w:w="1889" w:type="dxa"/>
            <w:tcBorders>
              <w:top w:val="nil"/>
              <w:left w:val="nil"/>
              <w:bottom w:val="single" w:color="auto" w:sz="4" w:space="0"/>
              <w:right w:val="single" w:color="auto" w:sz="4" w:space="0"/>
            </w:tcBorders>
            <w:vAlign w:val="center"/>
          </w:tcPr>
          <w:p w14:paraId="40F395EB">
            <w:pPr>
              <w:widowControl/>
              <w:spacing w:line="240" w:lineRule="exact"/>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安全生产管理达标</w:t>
            </w:r>
          </w:p>
        </w:tc>
        <w:tc>
          <w:tcPr>
            <w:tcW w:w="4915" w:type="dxa"/>
            <w:tcBorders>
              <w:top w:val="nil"/>
              <w:left w:val="nil"/>
              <w:bottom w:val="single" w:color="auto" w:sz="4" w:space="0"/>
              <w:right w:val="single" w:color="auto" w:sz="4" w:space="0"/>
            </w:tcBorders>
            <w:vAlign w:val="center"/>
          </w:tcPr>
          <w:p w14:paraId="58CCFE25">
            <w:pPr>
              <w:widowControl/>
              <w:spacing w:line="240" w:lineRule="exact"/>
              <w:textAlignment w:val="center"/>
              <w:rPr>
                <w:rFonts w:ascii="Times New Roman" w:hAnsi="Times New Roman" w:cs="Times New Roman" w:eastAsiaTheme="minorEastAsia"/>
                <w:color w:val="000000"/>
                <w:kern w:val="0"/>
                <w:szCs w:val="21"/>
              </w:rPr>
            </w:pPr>
          </w:p>
        </w:tc>
        <w:tc>
          <w:tcPr>
            <w:tcW w:w="897" w:type="dxa"/>
            <w:tcBorders>
              <w:top w:val="nil"/>
              <w:left w:val="nil"/>
              <w:bottom w:val="single" w:color="auto" w:sz="4" w:space="0"/>
              <w:right w:val="single" w:color="auto" w:sz="4" w:space="0"/>
            </w:tcBorders>
            <w:vAlign w:val="center"/>
          </w:tcPr>
          <w:p w14:paraId="605365E4">
            <w:pPr>
              <w:widowControl/>
              <w:spacing w:line="240" w:lineRule="exact"/>
              <w:rPr>
                <w:rFonts w:ascii="Times New Roman" w:hAnsi="Times New Roman" w:cs="Times New Roman" w:eastAsiaTheme="minorEastAsia"/>
                <w:color w:val="000000"/>
                <w:kern w:val="0"/>
                <w:szCs w:val="21"/>
              </w:rPr>
            </w:pPr>
          </w:p>
        </w:tc>
      </w:tr>
      <w:tr w14:paraId="303F1236">
        <w:tblPrEx>
          <w:tblCellMar>
            <w:top w:w="0" w:type="dxa"/>
            <w:left w:w="108" w:type="dxa"/>
            <w:bottom w:w="0" w:type="dxa"/>
            <w:right w:w="108" w:type="dxa"/>
          </w:tblCellMar>
        </w:tblPrEx>
        <w:trPr>
          <w:trHeight w:val="1107" w:hRule="atLeast"/>
          <w:jc w:val="center"/>
        </w:trPr>
        <w:tc>
          <w:tcPr>
            <w:tcW w:w="530" w:type="dxa"/>
            <w:tcBorders>
              <w:top w:val="nil"/>
              <w:left w:val="single" w:color="auto" w:sz="4" w:space="0"/>
              <w:bottom w:val="single" w:color="auto" w:sz="4" w:space="0"/>
              <w:right w:val="single" w:color="auto" w:sz="4" w:space="0"/>
            </w:tcBorders>
            <w:vAlign w:val="center"/>
          </w:tcPr>
          <w:p w14:paraId="51F4D896">
            <w:pPr>
              <w:widowControl/>
              <w:spacing w:line="240" w:lineRule="exact"/>
              <w:jc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1</w:t>
            </w:r>
          </w:p>
        </w:tc>
        <w:tc>
          <w:tcPr>
            <w:tcW w:w="1889" w:type="dxa"/>
            <w:tcBorders>
              <w:top w:val="nil"/>
              <w:left w:val="nil"/>
              <w:bottom w:val="single" w:color="auto" w:sz="4" w:space="0"/>
              <w:right w:val="single" w:color="auto" w:sz="4" w:space="0"/>
            </w:tcBorders>
            <w:vAlign w:val="center"/>
          </w:tcPr>
          <w:p w14:paraId="3C1E8B86">
            <w:pPr>
              <w:widowControl/>
              <w:spacing w:line="240" w:lineRule="exact"/>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安全生产事故为0，全年确保业务运营不出现重大安全责任事故。</w:t>
            </w:r>
          </w:p>
        </w:tc>
        <w:tc>
          <w:tcPr>
            <w:tcW w:w="4915" w:type="dxa"/>
            <w:tcBorders>
              <w:top w:val="nil"/>
              <w:left w:val="nil"/>
              <w:bottom w:val="single" w:color="auto" w:sz="4" w:space="0"/>
              <w:right w:val="single" w:color="auto" w:sz="4" w:space="0"/>
            </w:tcBorders>
            <w:vAlign w:val="bottom"/>
          </w:tcPr>
          <w:p w14:paraId="66C11338">
            <w:pPr>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考核期内，如发生一般安全事故的，发生1例处10000元违约金、同时扣30分；发生被市级或省级有关部门通报的重大安全事故的，发生1例处50000元违约金、同时扣40分；发生被中央有关部门通报的特大安全事故的，发生1例处100000元违约金、同时扣50分。</w:t>
            </w:r>
          </w:p>
          <w:p w14:paraId="1555CAB7">
            <w:pPr>
              <w:spacing w:line="240" w:lineRule="exact"/>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（该项是考核红线，扣分记入总考核成绩）</w:t>
            </w:r>
          </w:p>
        </w:tc>
        <w:tc>
          <w:tcPr>
            <w:tcW w:w="897" w:type="dxa"/>
            <w:tcBorders>
              <w:top w:val="nil"/>
              <w:left w:val="nil"/>
              <w:bottom w:val="single" w:color="auto" w:sz="4" w:space="0"/>
              <w:right w:val="single" w:color="auto" w:sz="4" w:space="0"/>
            </w:tcBorders>
            <w:vAlign w:val="center"/>
          </w:tcPr>
          <w:p w14:paraId="21193FD0">
            <w:pPr>
              <w:widowControl/>
              <w:spacing w:line="240" w:lineRule="exact"/>
              <w:rPr>
                <w:rFonts w:ascii="Times New Roman" w:hAnsi="Times New Roman" w:cs="Times New Roman" w:eastAsiaTheme="minorEastAsia"/>
                <w:bCs/>
                <w:color w:val="000000"/>
                <w:kern w:val="0"/>
                <w:szCs w:val="21"/>
              </w:rPr>
            </w:pPr>
          </w:p>
        </w:tc>
      </w:tr>
      <w:tr w14:paraId="2F07CCF6">
        <w:tblPrEx>
          <w:tblCellMar>
            <w:top w:w="0" w:type="dxa"/>
            <w:left w:w="108" w:type="dxa"/>
            <w:bottom w:w="0" w:type="dxa"/>
            <w:right w:w="108" w:type="dxa"/>
          </w:tblCellMar>
        </w:tblPrEx>
        <w:trPr>
          <w:trHeight w:val="702" w:hRule="atLeast"/>
          <w:jc w:val="center"/>
        </w:trPr>
        <w:tc>
          <w:tcPr>
            <w:tcW w:w="530" w:type="dxa"/>
            <w:tcBorders>
              <w:top w:val="nil"/>
              <w:left w:val="single" w:color="auto" w:sz="4" w:space="0"/>
              <w:bottom w:val="single" w:color="auto" w:sz="4" w:space="0"/>
              <w:right w:val="single" w:color="auto" w:sz="4" w:space="0"/>
            </w:tcBorders>
            <w:vAlign w:val="center"/>
          </w:tcPr>
          <w:p w14:paraId="4B647FDD">
            <w:pPr>
              <w:widowControl/>
              <w:spacing w:line="240" w:lineRule="exact"/>
              <w:jc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加分项</w:t>
            </w:r>
          </w:p>
        </w:tc>
        <w:tc>
          <w:tcPr>
            <w:tcW w:w="1889" w:type="dxa"/>
            <w:tcBorders>
              <w:top w:val="nil"/>
              <w:left w:val="nil"/>
              <w:bottom w:val="single" w:color="auto" w:sz="4" w:space="0"/>
              <w:right w:val="single" w:color="auto" w:sz="4" w:space="0"/>
            </w:tcBorders>
            <w:vAlign w:val="center"/>
          </w:tcPr>
          <w:p w14:paraId="43975321">
            <w:pPr>
              <w:widowControl/>
              <w:spacing w:line="240" w:lineRule="exact"/>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能及时发现隐患并提出整治方案</w:t>
            </w:r>
          </w:p>
        </w:tc>
        <w:tc>
          <w:tcPr>
            <w:tcW w:w="4915" w:type="dxa"/>
            <w:tcBorders>
              <w:top w:val="nil"/>
              <w:left w:val="nil"/>
              <w:bottom w:val="single" w:color="auto" w:sz="4" w:space="0"/>
              <w:right w:val="single" w:color="auto" w:sz="4" w:space="0"/>
            </w:tcBorders>
            <w:vAlign w:val="center"/>
          </w:tcPr>
          <w:p w14:paraId="39161EB8">
            <w:pPr>
              <w:widowControl/>
              <w:spacing w:line="240" w:lineRule="exact"/>
              <w:textAlignment w:val="center"/>
              <w:rPr>
                <w:rFonts w:ascii="Times New Roman" w:hAnsi="Times New Roman" w:cs="Times New Roman" w:eastAsiaTheme="minorEastAsia"/>
                <w:bCs/>
                <w:color w:val="000000"/>
                <w:kern w:val="0"/>
                <w:szCs w:val="21"/>
              </w:rPr>
            </w:pPr>
            <w:r>
              <w:rPr>
                <w:rFonts w:ascii="Times New Roman" w:hAnsi="Times New Roman" w:cs="Times New Roman" w:eastAsiaTheme="minorEastAsia"/>
                <w:color w:val="000000"/>
                <w:kern w:val="0"/>
                <w:szCs w:val="21"/>
              </w:rPr>
              <w:t>每发现一次安全隐患并提出有效整治方案加2分</w:t>
            </w:r>
          </w:p>
        </w:tc>
        <w:tc>
          <w:tcPr>
            <w:tcW w:w="897" w:type="dxa"/>
            <w:tcBorders>
              <w:top w:val="nil"/>
              <w:left w:val="nil"/>
              <w:bottom w:val="single" w:color="auto" w:sz="4" w:space="0"/>
              <w:right w:val="single" w:color="auto" w:sz="4" w:space="0"/>
            </w:tcBorders>
            <w:vAlign w:val="center"/>
          </w:tcPr>
          <w:p w14:paraId="32C3502F">
            <w:pPr>
              <w:widowControl/>
              <w:spacing w:line="240" w:lineRule="exact"/>
              <w:rPr>
                <w:rFonts w:ascii="Times New Roman" w:hAnsi="Times New Roman" w:cs="Times New Roman" w:eastAsiaTheme="minorEastAsia"/>
                <w:bCs/>
                <w:color w:val="000000"/>
                <w:kern w:val="0"/>
                <w:szCs w:val="21"/>
              </w:rPr>
            </w:pPr>
            <w:r>
              <w:rPr>
                <w:rFonts w:ascii="Times New Roman" w:hAnsi="Times New Roman" w:cs="Times New Roman" w:eastAsiaTheme="minorEastAsia"/>
                <w:bCs/>
                <w:color w:val="000000"/>
                <w:kern w:val="0"/>
                <w:szCs w:val="21"/>
              </w:rPr>
              <w:t>　</w:t>
            </w:r>
          </w:p>
        </w:tc>
      </w:tr>
    </w:tbl>
    <w:p w14:paraId="0E9165DD">
      <w:pPr>
        <w:keepNext/>
        <w:keepLines/>
        <w:spacing w:line="360" w:lineRule="auto"/>
        <w:ind w:firstLine="482" w:firstLineChars="200"/>
        <w:rPr>
          <w:rFonts w:ascii="Times New Roman" w:hAnsi="Times New Roman" w:cs="Times New Roman" w:eastAsiaTheme="minorEastAsia"/>
          <w:b/>
          <w:bCs/>
          <w:kern w:val="0"/>
          <w:sz w:val="24"/>
          <w:szCs w:val="24"/>
          <w:lang w:val="zh-CN"/>
        </w:rPr>
      </w:pPr>
      <w:r>
        <w:rPr>
          <w:rFonts w:ascii="Times New Roman" w:hAnsi="Times New Roman" w:cs="Times New Roman" w:eastAsiaTheme="minorEastAsia"/>
          <w:b/>
          <w:bCs/>
          <w:kern w:val="0"/>
          <w:sz w:val="24"/>
          <w:szCs w:val="24"/>
          <w:lang w:val="zh-CN"/>
        </w:rPr>
        <w:t>2. 水质监测系统运维服务考核办法</w:t>
      </w:r>
    </w:p>
    <w:p w14:paraId="6DB05BCA">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采购人将每季度对成交供应商开展一次运行维护工作考核。考核以每个水质自动站为单位进行。考核标准依据运维目标中规定的指标。考核方式以软件统计为主，辅以现场检查和其他外部质控检查。</w:t>
      </w:r>
    </w:p>
    <w:p w14:paraId="49B8C375">
      <w:pPr>
        <w:keepNext/>
        <w:keepLines/>
        <w:spacing w:line="360" w:lineRule="auto"/>
        <w:ind w:firstLine="482" w:firstLineChars="200"/>
        <w:jc w:val="center"/>
        <w:rPr>
          <w:rFonts w:ascii="Times New Roman" w:hAnsi="Times New Roman" w:cs="Times New Roman" w:eastAsiaTheme="minorEastAsia"/>
          <w:b/>
          <w:bCs/>
          <w:kern w:val="0"/>
          <w:sz w:val="24"/>
          <w:szCs w:val="24"/>
          <w:lang w:val="zh-CN"/>
        </w:rPr>
      </w:pPr>
      <w:r>
        <w:rPr>
          <w:rFonts w:ascii="Times New Roman" w:hAnsi="Times New Roman" w:cs="Times New Roman" w:eastAsiaTheme="minorEastAsia"/>
          <w:b/>
          <w:bCs/>
          <w:kern w:val="0"/>
          <w:sz w:val="24"/>
          <w:szCs w:val="24"/>
          <w:lang w:val="zh-CN"/>
        </w:rPr>
        <w:t>表5.2  淮水北调工程水质自动监测系统运维情况考核表</w:t>
      </w:r>
    </w:p>
    <w:p w14:paraId="0CA4510B">
      <w:pPr>
        <w:autoSpaceDE w:val="0"/>
        <w:autoSpaceDN w:val="0"/>
        <w:adjustRightInd w:val="0"/>
        <w:ind w:firstLine="480"/>
        <w:jc w:val="right"/>
        <w:rPr>
          <w:rFonts w:ascii="Times New Roman" w:hAnsi="Times New Roman" w:cs="Times New Roman" w:eastAsiaTheme="minorEastAsia"/>
          <w:b/>
          <w:color w:val="000000"/>
          <w:kern w:val="0"/>
          <w:sz w:val="24"/>
          <w:szCs w:val="24"/>
        </w:rPr>
      </w:pPr>
      <w:r>
        <w:rPr>
          <w:rFonts w:ascii="Times New Roman" w:hAnsi="Times New Roman" w:cs="Times New Roman" w:eastAsiaTheme="minorEastAsia"/>
          <w:color w:val="000000"/>
          <w:kern w:val="0"/>
          <w:sz w:val="24"/>
          <w:szCs w:val="24"/>
        </w:rPr>
        <w:t xml:space="preserve">考核时间：      年  月  日   </w:t>
      </w:r>
    </w:p>
    <w:tbl>
      <w:tblPr>
        <w:tblStyle w:val="24"/>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7"/>
        <w:gridCol w:w="2693"/>
        <w:gridCol w:w="3235"/>
        <w:gridCol w:w="668"/>
      </w:tblGrid>
      <w:tr w14:paraId="28EA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977" w:type="dxa"/>
            <w:vAlign w:val="center"/>
          </w:tcPr>
          <w:p w14:paraId="06108C5D">
            <w:pPr>
              <w:autoSpaceDE w:val="0"/>
              <w:autoSpaceDN w:val="0"/>
              <w:adjustRightInd w:val="0"/>
              <w:spacing w:line="240" w:lineRule="exact"/>
              <w:jc w:val="center"/>
              <w:rPr>
                <w:rFonts w:ascii="Times New Roman" w:hAnsi="Times New Roman" w:cs="Times New Roman" w:eastAsiaTheme="minorEastAsia"/>
                <w:b/>
                <w:color w:val="000000"/>
                <w:kern w:val="0"/>
                <w:szCs w:val="21"/>
              </w:rPr>
            </w:pPr>
            <w:r>
              <w:rPr>
                <w:rFonts w:ascii="Times New Roman" w:hAnsi="Times New Roman" w:cs="Times New Roman" w:eastAsiaTheme="minorEastAsia"/>
                <w:b/>
                <w:color w:val="000000"/>
                <w:kern w:val="0"/>
                <w:szCs w:val="21"/>
              </w:rPr>
              <w:t>考核内容</w:t>
            </w:r>
          </w:p>
        </w:tc>
        <w:tc>
          <w:tcPr>
            <w:tcW w:w="2693" w:type="dxa"/>
            <w:vAlign w:val="center"/>
          </w:tcPr>
          <w:p w14:paraId="05B80EE3">
            <w:pPr>
              <w:autoSpaceDE w:val="0"/>
              <w:autoSpaceDN w:val="0"/>
              <w:adjustRightInd w:val="0"/>
              <w:spacing w:line="240" w:lineRule="exact"/>
              <w:jc w:val="center"/>
              <w:rPr>
                <w:rFonts w:ascii="Times New Roman" w:hAnsi="Times New Roman" w:cs="Times New Roman" w:eastAsiaTheme="minorEastAsia"/>
                <w:b/>
                <w:color w:val="000000"/>
                <w:kern w:val="0"/>
                <w:szCs w:val="21"/>
              </w:rPr>
            </w:pPr>
            <w:r>
              <w:rPr>
                <w:rFonts w:ascii="Times New Roman" w:hAnsi="Times New Roman" w:cs="Times New Roman" w:eastAsiaTheme="minorEastAsia"/>
                <w:b/>
                <w:color w:val="000000"/>
                <w:kern w:val="0"/>
                <w:szCs w:val="21"/>
              </w:rPr>
              <w:t>考核要求</w:t>
            </w:r>
          </w:p>
        </w:tc>
        <w:tc>
          <w:tcPr>
            <w:tcW w:w="3235" w:type="dxa"/>
            <w:vAlign w:val="center"/>
          </w:tcPr>
          <w:p w14:paraId="1463F7DA">
            <w:pPr>
              <w:autoSpaceDE w:val="0"/>
              <w:autoSpaceDN w:val="0"/>
              <w:adjustRightInd w:val="0"/>
              <w:spacing w:line="240" w:lineRule="exact"/>
              <w:jc w:val="center"/>
              <w:rPr>
                <w:rFonts w:ascii="Times New Roman" w:hAnsi="Times New Roman" w:cs="Times New Roman" w:eastAsiaTheme="minorEastAsia"/>
                <w:b/>
                <w:color w:val="000000"/>
                <w:kern w:val="0"/>
                <w:szCs w:val="21"/>
              </w:rPr>
            </w:pPr>
            <w:r>
              <w:rPr>
                <w:rFonts w:ascii="Times New Roman" w:hAnsi="Times New Roman" w:cs="Times New Roman" w:eastAsiaTheme="minorEastAsia"/>
                <w:b/>
                <w:color w:val="000000"/>
                <w:kern w:val="0"/>
                <w:szCs w:val="21"/>
              </w:rPr>
              <w:t>评分细则</w:t>
            </w:r>
          </w:p>
        </w:tc>
        <w:tc>
          <w:tcPr>
            <w:tcW w:w="668" w:type="dxa"/>
            <w:vAlign w:val="center"/>
          </w:tcPr>
          <w:p w14:paraId="79D3EB27">
            <w:pPr>
              <w:autoSpaceDE w:val="0"/>
              <w:autoSpaceDN w:val="0"/>
              <w:adjustRightInd w:val="0"/>
              <w:spacing w:line="240" w:lineRule="exact"/>
              <w:jc w:val="center"/>
              <w:rPr>
                <w:rFonts w:ascii="Times New Roman" w:hAnsi="Times New Roman" w:cs="Times New Roman" w:eastAsiaTheme="minorEastAsia"/>
                <w:b/>
                <w:color w:val="000000"/>
                <w:kern w:val="0"/>
                <w:szCs w:val="21"/>
              </w:rPr>
            </w:pPr>
            <w:r>
              <w:rPr>
                <w:rFonts w:ascii="Times New Roman" w:hAnsi="Times New Roman" w:cs="Times New Roman" w:eastAsiaTheme="minorEastAsia"/>
                <w:b/>
                <w:color w:val="000000"/>
                <w:kern w:val="0"/>
                <w:szCs w:val="21"/>
              </w:rPr>
              <w:t>得分</w:t>
            </w:r>
          </w:p>
        </w:tc>
      </w:tr>
      <w:tr w14:paraId="6C353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905" w:type="dxa"/>
            <w:gridSpan w:val="3"/>
            <w:vAlign w:val="center"/>
          </w:tcPr>
          <w:p w14:paraId="2BD4E2AE">
            <w:pPr>
              <w:autoSpaceDE w:val="0"/>
              <w:autoSpaceDN w:val="0"/>
              <w:adjustRightInd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一、水站的日常运行（</w:t>
            </w:r>
            <w:r>
              <w:rPr>
                <w:rFonts w:ascii="Times New Roman" w:hAnsi="Times New Roman" w:cs="Times New Roman" w:eastAsiaTheme="minorEastAsia"/>
                <w:b/>
                <w:bCs/>
                <w:color w:val="000000"/>
                <w:kern w:val="0"/>
                <w:szCs w:val="21"/>
              </w:rPr>
              <w:t>20</w:t>
            </w:r>
            <w:r>
              <w:rPr>
                <w:rFonts w:ascii="Times New Roman" w:hAnsi="Times New Roman" w:cs="Times New Roman" w:eastAsiaTheme="minorEastAsia"/>
                <w:color w:val="000000"/>
                <w:kern w:val="0"/>
                <w:szCs w:val="21"/>
              </w:rPr>
              <w:t>分）</w:t>
            </w:r>
          </w:p>
        </w:tc>
        <w:tc>
          <w:tcPr>
            <w:tcW w:w="668" w:type="dxa"/>
            <w:vAlign w:val="center"/>
          </w:tcPr>
          <w:p w14:paraId="7392A883">
            <w:pPr>
              <w:autoSpaceDE w:val="0"/>
              <w:autoSpaceDN w:val="0"/>
              <w:adjustRightInd w:val="0"/>
              <w:spacing w:line="240" w:lineRule="exact"/>
              <w:rPr>
                <w:rFonts w:ascii="Times New Roman" w:hAnsi="Times New Roman" w:cs="Times New Roman" w:eastAsiaTheme="minorEastAsia"/>
                <w:color w:val="000000"/>
                <w:kern w:val="0"/>
                <w:szCs w:val="21"/>
              </w:rPr>
            </w:pPr>
          </w:p>
        </w:tc>
      </w:tr>
      <w:tr w14:paraId="5C64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977" w:type="dxa"/>
            <w:vAlign w:val="center"/>
          </w:tcPr>
          <w:p w14:paraId="4C261110">
            <w:pPr>
              <w:autoSpaceDE w:val="0"/>
              <w:autoSpaceDN w:val="0"/>
              <w:adjustRightInd w:val="0"/>
              <w:spacing w:line="240" w:lineRule="exact"/>
              <w:jc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日监视</w:t>
            </w:r>
          </w:p>
        </w:tc>
        <w:tc>
          <w:tcPr>
            <w:tcW w:w="2693" w:type="dxa"/>
            <w:vAlign w:val="center"/>
          </w:tcPr>
          <w:p w14:paraId="5E20C3B7">
            <w:pPr>
              <w:autoSpaceDE w:val="0"/>
              <w:autoSpaceDN w:val="0"/>
              <w:adjustRightInd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调水期每日远程监视水站运行状态，上下午各一次。（4分）</w:t>
            </w:r>
          </w:p>
        </w:tc>
        <w:tc>
          <w:tcPr>
            <w:tcW w:w="3235" w:type="dxa"/>
            <w:vAlign w:val="center"/>
          </w:tcPr>
          <w:p w14:paraId="3B682B9E">
            <w:pPr>
              <w:autoSpaceDE w:val="0"/>
              <w:autoSpaceDN w:val="0"/>
              <w:adjustRightInd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记录完整、清晰，4分；</w:t>
            </w:r>
          </w:p>
          <w:p w14:paraId="4A41BF5F">
            <w:pPr>
              <w:autoSpaceDE w:val="0"/>
              <w:autoSpaceDN w:val="0"/>
              <w:adjustRightInd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没有记录，0分。</w:t>
            </w:r>
          </w:p>
        </w:tc>
        <w:tc>
          <w:tcPr>
            <w:tcW w:w="668" w:type="dxa"/>
            <w:vAlign w:val="center"/>
          </w:tcPr>
          <w:p w14:paraId="3C4BD2F5">
            <w:pPr>
              <w:widowControl/>
              <w:spacing w:line="240" w:lineRule="exact"/>
              <w:rPr>
                <w:rFonts w:ascii="Times New Roman" w:hAnsi="Times New Roman" w:cs="Times New Roman" w:eastAsiaTheme="minorEastAsia"/>
                <w:color w:val="000000"/>
                <w:kern w:val="0"/>
                <w:szCs w:val="21"/>
              </w:rPr>
            </w:pPr>
          </w:p>
          <w:p w14:paraId="54A7E4FE">
            <w:pPr>
              <w:autoSpaceDE w:val="0"/>
              <w:autoSpaceDN w:val="0"/>
              <w:adjustRightInd w:val="0"/>
              <w:spacing w:line="240" w:lineRule="exact"/>
              <w:rPr>
                <w:rFonts w:ascii="Times New Roman" w:hAnsi="Times New Roman" w:cs="Times New Roman" w:eastAsiaTheme="minorEastAsia"/>
                <w:color w:val="000000"/>
                <w:kern w:val="0"/>
                <w:szCs w:val="21"/>
              </w:rPr>
            </w:pPr>
          </w:p>
        </w:tc>
      </w:tr>
      <w:tr w14:paraId="1071F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77" w:type="dxa"/>
            <w:vAlign w:val="center"/>
          </w:tcPr>
          <w:p w14:paraId="2C160119">
            <w:pPr>
              <w:autoSpaceDE w:val="0"/>
              <w:autoSpaceDN w:val="0"/>
              <w:adjustRightInd w:val="0"/>
              <w:spacing w:line="240" w:lineRule="exact"/>
              <w:jc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周核查</w:t>
            </w:r>
          </w:p>
        </w:tc>
        <w:tc>
          <w:tcPr>
            <w:tcW w:w="2693" w:type="dxa"/>
            <w:vAlign w:val="center"/>
          </w:tcPr>
          <w:p w14:paraId="32C0ED61">
            <w:pPr>
              <w:autoSpaceDE w:val="0"/>
              <w:autoSpaceDN w:val="0"/>
              <w:adjustRightInd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调水期每周对监测仪器进行标液核查；（12分）</w:t>
            </w:r>
          </w:p>
        </w:tc>
        <w:tc>
          <w:tcPr>
            <w:tcW w:w="3235" w:type="dxa"/>
            <w:vAlign w:val="center"/>
          </w:tcPr>
          <w:p w14:paraId="4221C200">
            <w:pPr>
              <w:autoSpaceDE w:val="0"/>
              <w:autoSpaceDN w:val="0"/>
              <w:adjustRightInd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项目次数均完整；12分；</w:t>
            </w:r>
          </w:p>
          <w:p w14:paraId="5043D6F8">
            <w:pPr>
              <w:autoSpaceDE w:val="0"/>
              <w:autoSpaceDN w:val="0"/>
              <w:adjustRightInd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项目次数有缺失，8分；</w:t>
            </w:r>
          </w:p>
          <w:p w14:paraId="579DBD3C">
            <w:pPr>
              <w:autoSpaceDE w:val="0"/>
              <w:autoSpaceDN w:val="0"/>
              <w:adjustRightInd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项目次数缺失超过一半，0分。</w:t>
            </w:r>
          </w:p>
        </w:tc>
        <w:tc>
          <w:tcPr>
            <w:tcW w:w="668" w:type="dxa"/>
            <w:vAlign w:val="center"/>
          </w:tcPr>
          <w:p w14:paraId="5823695A">
            <w:pPr>
              <w:autoSpaceDE w:val="0"/>
              <w:autoSpaceDN w:val="0"/>
              <w:adjustRightInd w:val="0"/>
              <w:spacing w:line="240" w:lineRule="exact"/>
              <w:rPr>
                <w:rFonts w:ascii="Times New Roman" w:hAnsi="Times New Roman" w:cs="Times New Roman" w:eastAsiaTheme="minorEastAsia"/>
                <w:color w:val="000000"/>
                <w:kern w:val="0"/>
                <w:szCs w:val="21"/>
              </w:rPr>
            </w:pPr>
          </w:p>
        </w:tc>
      </w:tr>
      <w:tr w14:paraId="07632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977" w:type="dxa"/>
            <w:vAlign w:val="center"/>
          </w:tcPr>
          <w:p w14:paraId="2A5E0929">
            <w:pPr>
              <w:autoSpaceDE w:val="0"/>
              <w:autoSpaceDN w:val="0"/>
              <w:adjustRightInd w:val="0"/>
              <w:spacing w:line="240" w:lineRule="exact"/>
              <w:jc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月比对</w:t>
            </w:r>
          </w:p>
        </w:tc>
        <w:tc>
          <w:tcPr>
            <w:tcW w:w="2693" w:type="dxa"/>
            <w:vAlign w:val="center"/>
          </w:tcPr>
          <w:p w14:paraId="4915D309">
            <w:pPr>
              <w:autoSpaceDE w:val="0"/>
              <w:autoSpaceDN w:val="0"/>
              <w:adjustRightInd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调水期每月对监测仪器与手工分析进行比对（4分）</w:t>
            </w:r>
          </w:p>
        </w:tc>
        <w:tc>
          <w:tcPr>
            <w:tcW w:w="3235" w:type="dxa"/>
            <w:vAlign w:val="center"/>
          </w:tcPr>
          <w:p w14:paraId="534DD29E">
            <w:pPr>
              <w:autoSpaceDE w:val="0"/>
              <w:autoSpaceDN w:val="0"/>
              <w:adjustRightInd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项目次数均完整；4分；</w:t>
            </w:r>
          </w:p>
          <w:p w14:paraId="22FD4BA1">
            <w:pPr>
              <w:autoSpaceDE w:val="0"/>
              <w:autoSpaceDN w:val="0"/>
              <w:adjustRightInd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项目次数有缺失，2分；</w:t>
            </w:r>
          </w:p>
          <w:p w14:paraId="20825EC6">
            <w:pPr>
              <w:autoSpaceDE w:val="0"/>
              <w:autoSpaceDN w:val="0"/>
              <w:adjustRightInd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项目次数缺失超过一半，0分。</w:t>
            </w:r>
          </w:p>
        </w:tc>
        <w:tc>
          <w:tcPr>
            <w:tcW w:w="668" w:type="dxa"/>
            <w:vAlign w:val="center"/>
          </w:tcPr>
          <w:p w14:paraId="16292F88">
            <w:pPr>
              <w:autoSpaceDE w:val="0"/>
              <w:autoSpaceDN w:val="0"/>
              <w:adjustRightInd w:val="0"/>
              <w:spacing w:line="240" w:lineRule="exact"/>
              <w:rPr>
                <w:rFonts w:ascii="Times New Roman" w:hAnsi="Times New Roman" w:cs="Times New Roman" w:eastAsiaTheme="minorEastAsia"/>
                <w:color w:val="000000"/>
                <w:kern w:val="0"/>
                <w:szCs w:val="21"/>
              </w:rPr>
            </w:pPr>
          </w:p>
        </w:tc>
      </w:tr>
      <w:tr w14:paraId="00A30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905" w:type="dxa"/>
            <w:gridSpan w:val="3"/>
            <w:vAlign w:val="center"/>
          </w:tcPr>
          <w:p w14:paraId="2D996D00">
            <w:pPr>
              <w:autoSpaceDE w:val="0"/>
              <w:autoSpaceDN w:val="0"/>
              <w:adjustRightInd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二、水站的运行结果（</w:t>
            </w:r>
            <w:r>
              <w:rPr>
                <w:rFonts w:ascii="Times New Roman" w:hAnsi="Times New Roman" w:cs="Times New Roman" w:eastAsiaTheme="minorEastAsia"/>
                <w:b/>
                <w:bCs/>
                <w:color w:val="000000"/>
                <w:kern w:val="0"/>
                <w:szCs w:val="21"/>
              </w:rPr>
              <w:t>80</w:t>
            </w:r>
            <w:r>
              <w:rPr>
                <w:rFonts w:ascii="Times New Roman" w:hAnsi="Times New Roman" w:cs="Times New Roman" w:eastAsiaTheme="minorEastAsia"/>
                <w:color w:val="000000"/>
                <w:kern w:val="0"/>
                <w:szCs w:val="21"/>
              </w:rPr>
              <w:t>分）</w:t>
            </w:r>
          </w:p>
        </w:tc>
        <w:tc>
          <w:tcPr>
            <w:tcW w:w="668" w:type="dxa"/>
            <w:vAlign w:val="center"/>
          </w:tcPr>
          <w:p w14:paraId="580F6177">
            <w:pPr>
              <w:autoSpaceDE w:val="0"/>
              <w:autoSpaceDN w:val="0"/>
              <w:adjustRightInd w:val="0"/>
              <w:spacing w:line="240" w:lineRule="exact"/>
              <w:rPr>
                <w:rFonts w:ascii="Times New Roman" w:hAnsi="Times New Roman" w:cs="Times New Roman" w:eastAsiaTheme="minorEastAsia"/>
                <w:color w:val="000000"/>
                <w:kern w:val="0"/>
                <w:szCs w:val="21"/>
              </w:rPr>
            </w:pPr>
          </w:p>
        </w:tc>
      </w:tr>
      <w:tr w14:paraId="10E9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977" w:type="dxa"/>
            <w:vMerge w:val="restart"/>
            <w:vAlign w:val="center"/>
          </w:tcPr>
          <w:p w14:paraId="3EAD55AE">
            <w:pPr>
              <w:autoSpaceDE w:val="0"/>
              <w:autoSpaceDN w:val="0"/>
              <w:adjustRightInd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仪器开机率（除去停水停电，性能测试及其他不可抗拒因素引起的故障）</w:t>
            </w:r>
          </w:p>
        </w:tc>
        <w:tc>
          <w:tcPr>
            <w:tcW w:w="2693" w:type="dxa"/>
            <w:vAlign w:val="center"/>
          </w:tcPr>
          <w:p w14:paraId="63200ACA">
            <w:pPr>
              <w:autoSpaceDE w:val="0"/>
              <w:autoSpaceDN w:val="0"/>
              <w:adjustRightInd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单台仪器调水期月开机率=该仪器调水期月实际采集数据个数/（调水期月天数×日监测次数）×100%；（20分）</w:t>
            </w:r>
          </w:p>
        </w:tc>
        <w:tc>
          <w:tcPr>
            <w:tcW w:w="3235" w:type="dxa"/>
            <w:vAlign w:val="center"/>
          </w:tcPr>
          <w:p w14:paraId="1DB4DD19">
            <w:pPr>
              <w:autoSpaceDE w:val="0"/>
              <w:autoSpaceDN w:val="0"/>
              <w:adjustRightInd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氨氮、高锰酸盐指数分析仪器调水期月运转率不低于90%</w:t>
            </w:r>
          </w:p>
        </w:tc>
        <w:tc>
          <w:tcPr>
            <w:tcW w:w="668" w:type="dxa"/>
            <w:vAlign w:val="center"/>
          </w:tcPr>
          <w:p w14:paraId="19FBA405">
            <w:pPr>
              <w:autoSpaceDE w:val="0"/>
              <w:autoSpaceDN w:val="0"/>
              <w:adjustRightInd w:val="0"/>
              <w:spacing w:line="240" w:lineRule="exact"/>
              <w:rPr>
                <w:rFonts w:ascii="Times New Roman" w:hAnsi="Times New Roman" w:cs="Times New Roman" w:eastAsiaTheme="minorEastAsia"/>
                <w:color w:val="000000"/>
                <w:kern w:val="0"/>
                <w:szCs w:val="21"/>
              </w:rPr>
            </w:pPr>
          </w:p>
        </w:tc>
      </w:tr>
      <w:tr w14:paraId="5E3C4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977" w:type="dxa"/>
            <w:vMerge w:val="continue"/>
            <w:tcBorders>
              <w:bottom w:val="single" w:color="auto" w:sz="4" w:space="0"/>
            </w:tcBorders>
            <w:vAlign w:val="center"/>
          </w:tcPr>
          <w:p w14:paraId="456DA271">
            <w:pPr>
              <w:autoSpaceDE w:val="0"/>
              <w:autoSpaceDN w:val="0"/>
              <w:adjustRightInd w:val="0"/>
              <w:spacing w:line="240" w:lineRule="exact"/>
              <w:rPr>
                <w:rFonts w:ascii="Times New Roman" w:hAnsi="Times New Roman" w:cs="Times New Roman" w:eastAsiaTheme="minorEastAsia"/>
                <w:color w:val="000000"/>
                <w:kern w:val="0"/>
                <w:szCs w:val="21"/>
              </w:rPr>
            </w:pPr>
          </w:p>
        </w:tc>
        <w:tc>
          <w:tcPr>
            <w:tcW w:w="2693" w:type="dxa"/>
            <w:vAlign w:val="center"/>
          </w:tcPr>
          <w:p w14:paraId="3CE9FB48">
            <w:pPr>
              <w:autoSpaceDE w:val="0"/>
              <w:autoSpaceDN w:val="0"/>
              <w:adjustRightInd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总体仪器月运行率=Σ单台仪器月运行率/n（10分）</w:t>
            </w:r>
          </w:p>
        </w:tc>
        <w:tc>
          <w:tcPr>
            <w:tcW w:w="3235" w:type="dxa"/>
            <w:vAlign w:val="center"/>
          </w:tcPr>
          <w:p w14:paraId="7AA768D8">
            <w:pPr>
              <w:autoSpaceDE w:val="0"/>
              <w:autoSpaceDN w:val="0"/>
              <w:adjustRightInd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仪器月运转率≥90％</w:t>
            </w:r>
          </w:p>
        </w:tc>
        <w:tc>
          <w:tcPr>
            <w:tcW w:w="668" w:type="dxa"/>
            <w:vAlign w:val="center"/>
          </w:tcPr>
          <w:p w14:paraId="6916208D">
            <w:pPr>
              <w:autoSpaceDE w:val="0"/>
              <w:autoSpaceDN w:val="0"/>
              <w:adjustRightInd w:val="0"/>
              <w:spacing w:line="240" w:lineRule="exact"/>
              <w:rPr>
                <w:rFonts w:ascii="Times New Roman" w:hAnsi="Times New Roman" w:cs="Times New Roman" w:eastAsiaTheme="minorEastAsia"/>
                <w:color w:val="000000"/>
                <w:kern w:val="0"/>
                <w:szCs w:val="21"/>
              </w:rPr>
            </w:pPr>
          </w:p>
        </w:tc>
      </w:tr>
      <w:tr w14:paraId="79B1F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1977" w:type="dxa"/>
            <w:vMerge w:val="restart"/>
            <w:vAlign w:val="center"/>
          </w:tcPr>
          <w:p w14:paraId="1584793A">
            <w:pPr>
              <w:autoSpaceDE w:val="0"/>
              <w:autoSpaceDN w:val="0"/>
              <w:adjustRightInd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数据有效率（除去停水停电，性能测试及其他不可抗拒因素引起的故障）</w:t>
            </w:r>
          </w:p>
        </w:tc>
        <w:tc>
          <w:tcPr>
            <w:tcW w:w="2693" w:type="dxa"/>
            <w:vAlign w:val="center"/>
          </w:tcPr>
          <w:p w14:paraId="4D091D5E">
            <w:pPr>
              <w:autoSpaceDE w:val="0"/>
              <w:autoSpaceDN w:val="0"/>
              <w:adjustRightInd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单项指标月有效数据率= 该指标实际采集有效数</w:t>
            </w:r>
          </w:p>
          <w:p w14:paraId="79F064F9">
            <w:pPr>
              <w:autoSpaceDE w:val="0"/>
              <w:autoSpaceDN w:val="0"/>
              <w:adjustRightInd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据个数/（月天数×日监测次数×监测项目）×100%（20分）</w:t>
            </w:r>
          </w:p>
        </w:tc>
        <w:tc>
          <w:tcPr>
            <w:tcW w:w="3235" w:type="dxa"/>
            <w:vAlign w:val="center"/>
          </w:tcPr>
          <w:p w14:paraId="1AF26035">
            <w:pPr>
              <w:autoSpaceDE w:val="0"/>
              <w:autoSpaceDN w:val="0"/>
              <w:adjustRightInd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氨氮、高锰酸盐指数分析指标的月有效数据率不低</w:t>
            </w:r>
          </w:p>
          <w:p w14:paraId="6C74870E">
            <w:pPr>
              <w:autoSpaceDE w:val="0"/>
              <w:autoSpaceDN w:val="0"/>
              <w:adjustRightInd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于90%，</w:t>
            </w:r>
          </w:p>
        </w:tc>
        <w:tc>
          <w:tcPr>
            <w:tcW w:w="668" w:type="dxa"/>
            <w:vAlign w:val="center"/>
          </w:tcPr>
          <w:p w14:paraId="11251187">
            <w:pPr>
              <w:autoSpaceDE w:val="0"/>
              <w:autoSpaceDN w:val="0"/>
              <w:adjustRightInd w:val="0"/>
              <w:spacing w:line="240" w:lineRule="exact"/>
              <w:rPr>
                <w:rFonts w:ascii="Times New Roman" w:hAnsi="Times New Roman" w:cs="Times New Roman" w:eastAsiaTheme="minorEastAsia"/>
                <w:color w:val="000000"/>
                <w:kern w:val="0"/>
                <w:szCs w:val="21"/>
              </w:rPr>
            </w:pPr>
          </w:p>
        </w:tc>
      </w:tr>
      <w:tr w14:paraId="5BA07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1977" w:type="dxa"/>
            <w:vMerge w:val="continue"/>
            <w:tcBorders>
              <w:top w:val="single" w:color="auto" w:sz="4" w:space="0"/>
              <w:left w:val="single" w:color="auto" w:sz="4" w:space="0"/>
              <w:bottom w:val="single" w:color="auto" w:sz="4" w:space="0"/>
              <w:right w:val="single" w:color="auto" w:sz="4" w:space="0"/>
            </w:tcBorders>
            <w:vAlign w:val="center"/>
          </w:tcPr>
          <w:p w14:paraId="3E137E4F">
            <w:pPr>
              <w:autoSpaceDE w:val="0"/>
              <w:autoSpaceDN w:val="0"/>
              <w:adjustRightInd w:val="0"/>
              <w:spacing w:line="240" w:lineRule="exact"/>
              <w:rPr>
                <w:rFonts w:ascii="Times New Roman" w:hAnsi="Times New Roman" w:cs="Times New Roman" w:eastAsiaTheme="minorEastAsia"/>
                <w:color w:val="000000"/>
                <w:kern w:val="0"/>
                <w:szCs w:val="21"/>
              </w:rPr>
            </w:pPr>
          </w:p>
        </w:tc>
        <w:tc>
          <w:tcPr>
            <w:tcW w:w="2693" w:type="dxa"/>
            <w:tcBorders>
              <w:top w:val="single" w:color="auto" w:sz="4" w:space="0"/>
              <w:left w:val="single" w:color="auto" w:sz="4" w:space="0"/>
              <w:bottom w:val="single" w:color="auto" w:sz="4" w:space="0"/>
              <w:right w:val="single" w:color="auto" w:sz="4" w:space="0"/>
            </w:tcBorders>
            <w:vAlign w:val="center"/>
          </w:tcPr>
          <w:p w14:paraId="6A9347F6">
            <w:pPr>
              <w:autoSpaceDE w:val="0"/>
              <w:autoSpaceDN w:val="0"/>
              <w:adjustRightInd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总体月有效数据率=Σ单台仪器月有效数据率/n（10分）</w:t>
            </w:r>
          </w:p>
        </w:tc>
        <w:tc>
          <w:tcPr>
            <w:tcW w:w="3235" w:type="dxa"/>
            <w:tcBorders>
              <w:top w:val="single" w:color="auto" w:sz="4" w:space="0"/>
              <w:left w:val="single" w:color="auto" w:sz="4" w:space="0"/>
              <w:bottom w:val="single" w:color="auto" w:sz="4" w:space="0"/>
              <w:right w:val="single" w:color="auto" w:sz="4" w:space="0"/>
            </w:tcBorders>
            <w:vAlign w:val="center"/>
          </w:tcPr>
          <w:p w14:paraId="1AD64F59">
            <w:pPr>
              <w:autoSpaceDE w:val="0"/>
              <w:autoSpaceDN w:val="0"/>
              <w:adjustRightInd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氨氮、高锰酸盐指数分析月有效数据率≥90％。</w:t>
            </w:r>
          </w:p>
        </w:tc>
        <w:tc>
          <w:tcPr>
            <w:tcW w:w="668" w:type="dxa"/>
            <w:tcBorders>
              <w:top w:val="single" w:color="auto" w:sz="4" w:space="0"/>
              <w:left w:val="single" w:color="auto" w:sz="4" w:space="0"/>
              <w:bottom w:val="single" w:color="auto" w:sz="4" w:space="0"/>
              <w:right w:val="single" w:color="auto" w:sz="4" w:space="0"/>
            </w:tcBorders>
            <w:vAlign w:val="center"/>
          </w:tcPr>
          <w:p w14:paraId="5BE52C6B">
            <w:pPr>
              <w:autoSpaceDE w:val="0"/>
              <w:autoSpaceDN w:val="0"/>
              <w:adjustRightInd w:val="0"/>
              <w:spacing w:line="240" w:lineRule="exact"/>
              <w:rPr>
                <w:rFonts w:ascii="Times New Roman" w:hAnsi="Times New Roman" w:cs="Times New Roman" w:eastAsiaTheme="minorEastAsia"/>
                <w:color w:val="000000"/>
                <w:kern w:val="0"/>
                <w:szCs w:val="21"/>
              </w:rPr>
            </w:pPr>
          </w:p>
        </w:tc>
      </w:tr>
      <w:tr w14:paraId="724B3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1977" w:type="dxa"/>
            <w:tcBorders>
              <w:top w:val="single" w:color="auto" w:sz="4" w:space="0"/>
              <w:left w:val="single" w:color="auto" w:sz="4" w:space="0"/>
              <w:bottom w:val="single" w:color="auto" w:sz="4" w:space="0"/>
              <w:right w:val="single" w:color="auto" w:sz="4" w:space="0"/>
            </w:tcBorders>
            <w:vAlign w:val="center"/>
          </w:tcPr>
          <w:p w14:paraId="2C0B72D7">
            <w:pPr>
              <w:autoSpaceDE w:val="0"/>
              <w:autoSpaceDN w:val="0"/>
              <w:adjustRightInd w:val="0"/>
              <w:spacing w:line="240" w:lineRule="exact"/>
              <w:jc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标液核查合格率</w:t>
            </w:r>
          </w:p>
        </w:tc>
        <w:tc>
          <w:tcPr>
            <w:tcW w:w="2693" w:type="dxa"/>
            <w:tcBorders>
              <w:top w:val="single" w:color="auto" w:sz="4" w:space="0"/>
              <w:left w:val="single" w:color="auto" w:sz="4" w:space="0"/>
              <w:bottom w:val="single" w:color="auto" w:sz="4" w:space="0"/>
              <w:right w:val="single" w:color="auto" w:sz="4" w:space="0"/>
            </w:tcBorders>
            <w:vAlign w:val="center"/>
          </w:tcPr>
          <w:p w14:paraId="7FFC86E6">
            <w:pPr>
              <w:autoSpaceDE w:val="0"/>
              <w:autoSpaceDN w:val="0"/>
              <w:adjustRightInd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标液合格次数/标液核查次数×100</w:t>
            </w:r>
          </w:p>
          <w:p w14:paraId="27270F5C">
            <w:pPr>
              <w:autoSpaceDE w:val="0"/>
              <w:autoSpaceDN w:val="0"/>
              <w:adjustRightInd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（10分）</w:t>
            </w:r>
          </w:p>
        </w:tc>
        <w:tc>
          <w:tcPr>
            <w:tcW w:w="3235" w:type="dxa"/>
            <w:tcBorders>
              <w:top w:val="single" w:color="auto" w:sz="4" w:space="0"/>
              <w:left w:val="single" w:color="auto" w:sz="4" w:space="0"/>
              <w:bottom w:val="single" w:color="auto" w:sz="4" w:space="0"/>
              <w:right w:val="single" w:color="auto" w:sz="4" w:space="0"/>
            </w:tcBorders>
            <w:vAlign w:val="center"/>
          </w:tcPr>
          <w:p w14:paraId="36DCBB34">
            <w:pPr>
              <w:autoSpaceDE w:val="0"/>
              <w:autoSpaceDN w:val="0"/>
              <w:adjustRightInd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标液核查合格率≥95%，得10分；</w:t>
            </w:r>
          </w:p>
          <w:p w14:paraId="65DF5081">
            <w:pPr>
              <w:autoSpaceDE w:val="0"/>
              <w:autoSpaceDN w:val="0"/>
              <w:adjustRightInd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90%≤核查合格率＜95%，得8分；</w:t>
            </w:r>
          </w:p>
          <w:p w14:paraId="2D77ABE4">
            <w:pPr>
              <w:autoSpaceDE w:val="0"/>
              <w:autoSpaceDN w:val="0"/>
              <w:adjustRightInd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80%≤核查合格率＜9%，得6分；</w:t>
            </w:r>
          </w:p>
          <w:p w14:paraId="38A4EBB8">
            <w:pPr>
              <w:autoSpaceDE w:val="0"/>
              <w:autoSpaceDN w:val="0"/>
              <w:adjustRightInd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标液核查合格率＜80%，得0分。</w:t>
            </w:r>
          </w:p>
        </w:tc>
        <w:tc>
          <w:tcPr>
            <w:tcW w:w="668" w:type="dxa"/>
            <w:tcBorders>
              <w:top w:val="single" w:color="auto" w:sz="4" w:space="0"/>
              <w:left w:val="single" w:color="auto" w:sz="4" w:space="0"/>
              <w:bottom w:val="single" w:color="auto" w:sz="4" w:space="0"/>
              <w:right w:val="single" w:color="auto" w:sz="4" w:space="0"/>
            </w:tcBorders>
            <w:vAlign w:val="center"/>
          </w:tcPr>
          <w:p w14:paraId="4A23FF93">
            <w:pPr>
              <w:autoSpaceDE w:val="0"/>
              <w:autoSpaceDN w:val="0"/>
              <w:adjustRightInd w:val="0"/>
              <w:spacing w:line="240" w:lineRule="exact"/>
              <w:rPr>
                <w:rFonts w:ascii="Times New Roman" w:hAnsi="Times New Roman" w:cs="Times New Roman" w:eastAsiaTheme="minorEastAsia"/>
                <w:color w:val="000000"/>
                <w:kern w:val="0"/>
                <w:szCs w:val="21"/>
              </w:rPr>
            </w:pPr>
          </w:p>
        </w:tc>
      </w:tr>
      <w:tr w14:paraId="4DB9A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977" w:type="dxa"/>
            <w:tcBorders>
              <w:top w:val="single" w:color="auto" w:sz="4" w:space="0"/>
              <w:left w:val="single" w:color="auto" w:sz="4" w:space="0"/>
              <w:bottom w:val="single" w:color="auto" w:sz="4" w:space="0"/>
              <w:right w:val="single" w:color="auto" w:sz="4" w:space="0"/>
            </w:tcBorders>
            <w:vAlign w:val="center"/>
          </w:tcPr>
          <w:p w14:paraId="50AEAED3">
            <w:pPr>
              <w:autoSpaceDE w:val="0"/>
              <w:autoSpaceDN w:val="0"/>
              <w:adjustRightInd w:val="0"/>
              <w:spacing w:line="240" w:lineRule="exact"/>
              <w:jc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水样比对</w:t>
            </w:r>
          </w:p>
        </w:tc>
        <w:tc>
          <w:tcPr>
            <w:tcW w:w="2693" w:type="dxa"/>
            <w:tcBorders>
              <w:top w:val="single" w:color="auto" w:sz="4" w:space="0"/>
              <w:left w:val="single" w:color="auto" w:sz="4" w:space="0"/>
              <w:bottom w:val="single" w:color="auto" w:sz="4" w:space="0"/>
              <w:right w:val="single" w:color="auto" w:sz="4" w:space="0"/>
            </w:tcBorders>
            <w:vAlign w:val="center"/>
          </w:tcPr>
          <w:p w14:paraId="57B32CAC">
            <w:pPr>
              <w:autoSpaceDE w:val="0"/>
              <w:autoSpaceDN w:val="0"/>
              <w:adjustRightInd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 xml:space="preserve">比对合格次数/水样比对次数×100 </w:t>
            </w:r>
          </w:p>
          <w:p w14:paraId="3B928D29">
            <w:pPr>
              <w:autoSpaceDE w:val="0"/>
              <w:autoSpaceDN w:val="0"/>
              <w:adjustRightInd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（10分）</w:t>
            </w:r>
          </w:p>
        </w:tc>
        <w:tc>
          <w:tcPr>
            <w:tcW w:w="3235" w:type="dxa"/>
            <w:tcBorders>
              <w:top w:val="single" w:color="auto" w:sz="4" w:space="0"/>
              <w:left w:val="single" w:color="auto" w:sz="4" w:space="0"/>
              <w:bottom w:val="single" w:color="auto" w:sz="4" w:space="0"/>
              <w:right w:val="single" w:color="auto" w:sz="4" w:space="0"/>
            </w:tcBorders>
            <w:vAlign w:val="center"/>
          </w:tcPr>
          <w:p w14:paraId="212B63F7">
            <w:pPr>
              <w:autoSpaceDE w:val="0"/>
              <w:autoSpaceDN w:val="0"/>
              <w:adjustRightInd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水样比对合格率≥90%，得10分；</w:t>
            </w:r>
          </w:p>
          <w:p w14:paraId="1C87F5E6">
            <w:pPr>
              <w:autoSpaceDE w:val="0"/>
              <w:autoSpaceDN w:val="0"/>
              <w:adjustRightInd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80%≤比对合格率＜90%，得8分；</w:t>
            </w:r>
          </w:p>
          <w:p w14:paraId="489B46BB">
            <w:pPr>
              <w:autoSpaceDE w:val="0"/>
              <w:autoSpaceDN w:val="0"/>
              <w:adjustRightInd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70%≤比对合格率＜80%，得6分；</w:t>
            </w:r>
          </w:p>
          <w:p w14:paraId="7168719B">
            <w:pPr>
              <w:autoSpaceDE w:val="0"/>
              <w:autoSpaceDN w:val="0"/>
              <w:adjustRightInd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水样比对合格率＜70%，得0分</w:t>
            </w:r>
          </w:p>
        </w:tc>
        <w:tc>
          <w:tcPr>
            <w:tcW w:w="668" w:type="dxa"/>
            <w:tcBorders>
              <w:top w:val="single" w:color="auto" w:sz="4" w:space="0"/>
              <w:left w:val="single" w:color="auto" w:sz="4" w:space="0"/>
              <w:bottom w:val="single" w:color="auto" w:sz="4" w:space="0"/>
              <w:right w:val="single" w:color="auto" w:sz="4" w:space="0"/>
            </w:tcBorders>
            <w:vAlign w:val="center"/>
          </w:tcPr>
          <w:p w14:paraId="617465E8">
            <w:pPr>
              <w:autoSpaceDE w:val="0"/>
              <w:autoSpaceDN w:val="0"/>
              <w:adjustRightInd w:val="0"/>
              <w:spacing w:line="240" w:lineRule="exact"/>
              <w:rPr>
                <w:rFonts w:ascii="Times New Roman" w:hAnsi="Times New Roman" w:cs="Times New Roman" w:eastAsiaTheme="minorEastAsia"/>
                <w:color w:val="000000"/>
                <w:kern w:val="0"/>
                <w:szCs w:val="21"/>
              </w:rPr>
            </w:pPr>
          </w:p>
        </w:tc>
      </w:tr>
      <w:tr w14:paraId="3BF96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7905" w:type="dxa"/>
            <w:gridSpan w:val="3"/>
            <w:tcBorders>
              <w:top w:val="single" w:color="auto" w:sz="4" w:space="0"/>
              <w:left w:val="single" w:color="auto" w:sz="4" w:space="0"/>
              <w:bottom w:val="single" w:color="auto" w:sz="4" w:space="0"/>
              <w:right w:val="single" w:color="auto" w:sz="4" w:space="0"/>
            </w:tcBorders>
            <w:vAlign w:val="center"/>
          </w:tcPr>
          <w:p w14:paraId="069E845E">
            <w:pPr>
              <w:autoSpaceDE w:val="0"/>
              <w:autoSpaceDN w:val="0"/>
              <w:adjustRightInd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三、现场检查与考核（</w:t>
            </w:r>
            <w:r>
              <w:rPr>
                <w:rFonts w:ascii="Times New Roman" w:hAnsi="Times New Roman" w:cs="Times New Roman" w:eastAsiaTheme="minorEastAsia"/>
                <w:b/>
                <w:bCs/>
                <w:color w:val="000000"/>
                <w:kern w:val="0"/>
                <w:szCs w:val="21"/>
              </w:rPr>
              <w:t>10</w:t>
            </w:r>
            <w:r>
              <w:rPr>
                <w:rFonts w:ascii="Times New Roman" w:hAnsi="Times New Roman" w:cs="Times New Roman" w:eastAsiaTheme="minorEastAsia"/>
                <w:color w:val="000000"/>
                <w:kern w:val="0"/>
                <w:szCs w:val="21"/>
              </w:rPr>
              <w:t>分），加分项</w:t>
            </w:r>
          </w:p>
        </w:tc>
        <w:tc>
          <w:tcPr>
            <w:tcW w:w="668" w:type="dxa"/>
            <w:tcBorders>
              <w:top w:val="single" w:color="auto" w:sz="4" w:space="0"/>
              <w:left w:val="single" w:color="auto" w:sz="4" w:space="0"/>
              <w:bottom w:val="single" w:color="auto" w:sz="4" w:space="0"/>
              <w:right w:val="single" w:color="auto" w:sz="4" w:space="0"/>
            </w:tcBorders>
            <w:vAlign w:val="center"/>
          </w:tcPr>
          <w:p w14:paraId="23A8D063">
            <w:pPr>
              <w:autoSpaceDE w:val="0"/>
              <w:autoSpaceDN w:val="0"/>
              <w:adjustRightInd w:val="0"/>
              <w:spacing w:line="240" w:lineRule="exact"/>
              <w:rPr>
                <w:rFonts w:ascii="Times New Roman" w:hAnsi="Times New Roman" w:cs="Times New Roman" w:eastAsiaTheme="minorEastAsia"/>
                <w:color w:val="000000"/>
                <w:kern w:val="0"/>
                <w:szCs w:val="21"/>
              </w:rPr>
            </w:pPr>
          </w:p>
        </w:tc>
      </w:tr>
      <w:tr w14:paraId="40E5A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4670" w:type="dxa"/>
            <w:gridSpan w:val="2"/>
            <w:tcBorders>
              <w:top w:val="single" w:color="auto" w:sz="4" w:space="0"/>
              <w:left w:val="single" w:color="auto" w:sz="4" w:space="0"/>
              <w:bottom w:val="single" w:color="auto" w:sz="4" w:space="0"/>
              <w:right w:val="single" w:color="auto" w:sz="4" w:space="0"/>
            </w:tcBorders>
            <w:vAlign w:val="center"/>
          </w:tcPr>
          <w:p w14:paraId="49A5E286">
            <w:pPr>
              <w:autoSpaceDE w:val="0"/>
              <w:autoSpaceDN w:val="0"/>
              <w:adjustRightInd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采购人或其委托人或其上级主管部门组织进行的现场检查与考核</w:t>
            </w:r>
          </w:p>
        </w:tc>
        <w:tc>
          <w:tcPr>
            <w:tcW w:w="3235" w:type="dxa"/>
            <w:tcBorders>
              <w:top w:val="single" w:color="auto" w:sz="4" w:space="0"/>
              <w:left w:val="single" w:color="auto" w:sz="4" w:space="0"/>
              <w:bottom w:val="single" w:color="auto" w:sz="4" w:space="0"/>
              <w:right w:val="single" w:color="auto" w:sz="4" w:space="0"/>
            </w:tcBorders>
            <w:vAlign w:val="center"/>
          </w:tcPr>
          <w:p w14:paraId="2E2BC03B">
            <w:pPr>
              <w:autoSpaceDE w:val="0"/>
              <w:autoSpaceDN w:val="0"/>
              <w:adjustRightInd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大于等于检查总分的95%，得10分；</w:t>
            </w:r>
          </w:p>
          <w:p w14:paraId="55AB289C">
            <w:pPr>
              <w:autoSpaceDE w:val="0"/>
              <w:autoSpaceDN w:val="0"/>
              <w:adjustRightInd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85%≤检查总分的＜95%，得6分；</w:t>
            </w:r>
          </w:p>
          <w:p w14:paraId="3A7F1E1B">
            <w:pPr>
              <w:autoSpaceDE w:val="0"/>
              <w:autoSpaceDN w:val="0"/>
              <w:adjustRightInd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80%≤检查总分的＜85%，得2分；</w:t>
            </w:r>
          </w:p>
          <w:p w14:paraId="19FB3D0C">
            <w:pPr>
              <w:autoSpaceDE w:val="0"/>
              <w:autoSpaceDN w:val="0"/>
              <w:adjustRightInd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小于检查总分的＜80%，得0分</w:t>
            </w:r>
          </w:p>
        </w:tc>
        <w:tc>
          <w:tcPr>
            <w:tcW w:w="668" w:type="dxa"/>
            <w:tcBorders>
              <w:top w:val="single" w:color="auto" w:sz="4" w:space="0"/>
              <w:left w:val="single" w:color="auto" w:sz="4" w:space="0"/>
              <w:bottom w:val="single" w:color="auto" w:sz="4" w:space="0"/>
              <w:right w:val="single" w:color="auto" w:sz="4" w:space="0"/>
            </w:tcBorders>
            <w:vAlign w:val="center"/>
          </w:tcPr>
          <w:p w14:paraId="3EA7EC94">
            <w:pPr>
              <w:widowControl/>
              <w:spacing w:line="240" w:lineRule="exact"/>
              <w:rPr>
                <w:rFonts w:ascii="Times New Roman" w:hAnsi="Times New Roman" w:cs="Times New Roman" w:eastAsiaTheme="minorEastAsia"/>
                <w:color w:val="000000"/>
                <w:kern w:val="0"/>
                <w:szCs w:val="21"/>
              </w:rPr>
            </w:pPr>
          </w:p>
          <w:p w14:paraId="333F8848">
            <w:pPr>
              <w:widowControl/>
              <w:spacing w:line="240" w:lineRule="exact"/>
              <w:rPr>
                <w:rFonts w:ascii="Times New Roman" w:hAnsi="Times New Roman" w:cs="Times New Roman" w:eastAsiaTheme="minorEastAsia"/>
                <w:color w:val="000000"/>
                <w:kern w:val="0"/>
                <w:szCs w:val="21"/>
              </w:rPr>
            </w:pPr>
          </w:p>
          <w:p w14:paraId="6F685ACE">
            <w:pPr>
              <w:widowControl/>
              <w:spacing w:line="240" w:lineRule="exact"/>
              <w:rPr>
                <w:rFonts w:ascii="Times New Roman" w:hAnsi="Times New Roman" w:cs="Times New Roman" w:eastAsiaTheme="minorEastAsia"/>
                <w:color w:val="000000"/>
                <w:kern w:val="0"/>
                <w:szCs w:val="21"/>
              </w:rPr>
            </w:pPr>
          </w:p>
          <w:p w14:paraId="492BAB1C">
            <w:pPr>
              <w:autoSpaceDE w:val="0"/>
              <w:autoSpaceDN w:val="0"/>
              <w:adjustRightInd w:val="0"/>
              <w:spacing w:line="240" w:lineRule="exact"/>
              <w:rPr>
                <w:rFonts w:ascii="Times New Roman" w:hAnsi="Times New Roman" w:cs="Times New Roman" w:eastAsiaTheme="minorEastAsia"/>
                <w:color w:val="000000"/>
                <w:kern w:val="0"/>
                <w:szCs w:val="21"/>
              </w:rPr>
            </w:pPr>
          </w:p>
        </w:tc>
      </w:tr>
      <w:tr w14:paraId="0B8A3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7905" w:type="dxa"/>
            <w:gridSpan w:val="3"/>
            <w:tcBorders>
              <w:top w:val="single" w:color="auto" w:sz="4" w:space="0"/>
              <w:left w:val="single" w:color="auto" w:sz="4" w:space="0"/>
              <w:bottom w:val="single" w:color="auto" w:sz="4" w:space="0"/>
              <w:right w:val="single" w:color="auto" w:sz="4" w:space="0"/>
            </w:tcBorders>
            <w:vAlign w:val="center"/>
          </w:tcPr>
          <w:p w14:paraId="25975FDB">
            <w:pPr>
              <w:autoSpaceDE w:val="0"/>
              <w:autoSpaceDN w:val="0"/>
              <w:adjustRightInd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四、水站的应急响应（</w:t>
            </w:r>
            <w:r>
              <w:rPr>
                <w:rFonts w:ascii="Times New Roman" w:hAnsi="Times New Roman" w:cs="Times New Roman" w:eastAsiaTheme="minorEastAsia"/>
                <w:b/>
                <w:bCs/>
                <w:color w:val="000000"/>
                <w:kern w:val="0"/>
                <w:szCs w:val="21"/>
              </w:rPr>
              <w:t>10</w:t>
            </w:r>
            <w:r>
              <w:rPr>
                <w:rFonts w:ascii="Times New Roman" w:hAnsi="Times New Roman" w:cs="Times New Roman" w:eastAsiaTheme="minorEastAsia"/>
                <w:color w:val="000000"/>
                <w:kern w:val="0"/>
                <w:szCs w:val="21"/>
              </w:rPr>
              <w:t>分），加分项</w:t>
            </w:r>
          </w:p>
        </w:tc>
        <w:tc>
          <w:tcPr>
            <w:tcW w:w="668" w:type="dxa"/>
            <w:tcBorders>
              <w:top w:val="single" w:color="auto" w:sz="4" w:space="0"/>
              <w:left w:val="single" w:color="auto" w:sz="4" w:space="0"/>
              <w:bottom w:val="single" w:color="auto" w:sz="4" w:space="0"/>
              <w:right w:val="single" w:color="auto" w:sz="4" w:space="0"/>
            </w:tcBorders>
            <w:vAlign w:val="center"/>
          </w:tcPr>
          <w:p w14:paraId="1C699E71">
            <w:pPr>
              <w:autoSpaceDE w:val="0"/>
              <w:autoSpaceDN w:val="0"/>
              <w:adjustRightInd w:val="0"/>
              <w:spacing w:line="240" w:lineRule="exact"/>
              <w:rPr>
                <w:rFonts w:ascii="Times New Roman" w:hAnsi="Times New Roman" w:cs="Times New Roman" w:eastAsiaTheme="minorEastAsia"/>
                <w:color w:val="000000"/>
                <w:kern w:val="0"/>
                <w:szCs w:val="21"/>
              </w:rPr>
            </w:pPr>
          </w:p>
        </w:tc>
      </w:tr>
      <w:tr w14:paraId="170FC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670" w:type="dxa"/>
            <w:gridSpan w:val="2"/>
            <w:tcBorders>
              <w:top w:val="single" w:color="auto" w:sz="4" w:space="0"/>
              <w:left w:val="single" w:color="auto" w:sz="4" w:space="0"/>
              <w:bottom w:val="single" w:color="auto" w:sz="4" w:space="0"/>
              <w:right w:val="single" w:color="auto" w:sz="4" w:space="0"/>
            </w:tcBorders>
            <w:vAlign w:val="center"/>
          </w:tcPr>
          <w:p w14:paraId="28EFBF8B">
            <w:pPr>
              <w:autoSpaceDE w:val="0"/>
              <w:autoSpaceDN w:val="0"/>
              <w:adjustRightInd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应急响应</w:t>
            </w:r>
          </w:p>
        </w:tc>
        <w:tc>
          <w:tcPr>
            <w:tcW w:w="3235" w:type="dxa"/>
            <w:tcBorders>
              <w:top w:val="single" w:color="auto" w:sz="4" w:space="0"/>
              <w:left w:val="single" w:color="auto" w:sz="4" w:space="0"/>
              <w:bottom w:val="single" w:color="auto" w:sz="4" w:space="0"/>
              <w:right w:val="single" w:color="auto" w:sz="4" w:space="0"/>
            </w:tcBorders>
            <w:vAlign w:val="center"/>
          </w:tcPr>
          <w:p w14:paraId="14DCFC39">
            <w:pPr>
              <w:autoSpaceDE w:val="0"/>
              <w:autoSpaceDN w:val="0"/>
              <w:adjustRightInd w:val="0"/>
              <w:spacing w:line="240" w:lineRule="exact"/>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对水质异常响应及时，能够准确判断仪器状态，上报水质变化情况并协助开展应急监测。</w:t>
            </w:r>
          </w:p>
        </w:tc>
        <w:tc>
          <w:tcPr>
            <w:tcW w:w="668" w:type="dxa"/>
            <w:tcBorders>
              <w:top w:val="single" w:color="auto" w:sz="4" w:space="0"/>
              <w:left w:val="single" w:color="auto" w:sz="4" w:space="0"/>
              <w:bottom w:val="single" w:color="auto" w:sz="4" w:space="0"/>
              <w:right w:val="single" w:color="auto" w:sz="4" w:space="0"/>
            </w:tcBorders>
            <w:vAlign w:val="center"/>
          </w:tcPr>
          <w:p w14:paraId="6F2E2789">
            <w:pPr>
              <w:autoSpaceDE w:val="0"/>
              <w:autoSpaceDN w:val="0"/>
              <w:adjustRightInd w:val="0"/>
              <w:spacing w:line="240" w:lineRule="exact"/>
              <w:rPr>
                <w:rFonts w:ascii="Times New Roman" w:hAnsi="Times New Roman" w:cs="Times New Roman" w:eastAsiaTheme="minorEastAsia"/>
                <w:color w:val="000000"/>
                <w:kern w:val="0"/>
                <w:szCs w:val="21"/>
              </w:rPr>
            </w:pPr>
          </w:p>
        </w:tc>
      </w:tr>
      <w:tr w14:paraId="23A01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05" w:type="dxa"/>
            <w:gridSpan w:val="3"/>
            <w:tcBorders>
              <w:top w:val="single" w:color="auto" w:sz="4" w:space="0"/>
              <w:left w:val="single" w:color="auto" w:sz="4" w:space="0"/>
              <w:bottom w:val="single" w:color="auto" w:sz="4" w:space="0"/>
              <w:right w:val="single" w:color="auto" w:sz="4" w:space="0"/>
            </w:tcBorders>
            <w:vAlign w:val="center"/>
          </w:tcPr>
          <w:p w14:paraId="14EA5F66">
            <w:pPr>
              <w:autoSpaceDE w:val="0"/>
              <w:autoSpaceDN w:val="0"/>
              <w:adjustRightInd w:val="0"/>
              <w:spacing w:line="240" w:lineRule="exact"/>
              <w:jc w:val="center"/>
              <w:rPr>
                <w:rFonts w:ascii="Times New Roman" w:hAnsi="Times New Roman" w:cs="Times New Roman" w:eastAsiaTheme="minorEastAsia"/>
                <w:color w:val="000000"/>
                <w:kern w:val="0"/>
                <w:szCs w:val="21"/>
              </w:rPr>
            </w:pPr>
            <w:r>
              <w:rPr>
                <w:rFonts w:ascii="Times New Roman" w:hAnsi="Times New Roman" w:cs="Times New Roman" w:eastAsiaTheme="minorEastAsia"/>
                <w:color w:val="000000"/>
                <w:kern w:val="0"/>
                <w:szCs w:val="21"/>
              </w:rPr>
              <w:t>合计（分）</w:t>
            </w:r>
          </w:p>
        </w:tc>
        <w:tc>
          <w:tcPr>
            <w:tcW w:w="668" w:type="dxa"/>
            <w:tcBorders>
              <w:top w:val="single" w:color="auto" w:sz="4" w:space="0"/>
              <w:left w:val="single" w:color="auto" w:sz="4" w:space="0"/>
              <w:bottom w:val="single" w:color="auto" w:sz="4" w:space="0"/>
              <w:right w:val="single" w:color="auto" w:sz="4" w:space="0"/>
            </w:tcBorders>
            <w:vAlign w:val="center"/>
          </w:tcPr>
          <w:p w14:paraId="0B79AAA0">
            <w:pPr>
              <w:autoSpaceDE w:val="0"/>
              <w:autoSpaceDN w:val="0"/>
              <w:adjustRightInd w:val="0"/>
              <w:spacing w:line="240" w:lineRule="exact"/>
              <w:rPr>
                <w:rFonts w:ascii="Times New Roman" w:hAnsi="Times New Roman" w:cs="Times New Roman" w:eastAsiaTheme="minorEastAsia"/>
                <w:color w:val="000000"/>
                <w:kern w:val="0"/>
                <w:szCs w:val="21"/>
              </w:rPr>
            </w:pPr>
          </w:p>
        </w:tc>
      </w:tr>
    </w:tbl>
    <w:p w14:paraId="69473FC9">
      <w:pPr>
        <w:keepNext/>
        <w:keepLines/>
        <w:spacing w:line="360" w:lineRule="auto"/>
        <w:ind w:firstLine="482" w:firstLineChars="200"/>
        <w:rPr>
          <w:rFonts w:ascii="Times New Roman" w:hAnsi="Times New Roman" w:cs="Times New Roman" w:eastAsiaTheme="minorEastAsia"/>
          <w:b/>
          <w:bCs/>
          <w:kern w:val="0"/>
          <w:sz w:val="24"/>
          <w:szCs w:val="24"/>
          <w:lang w:val="zh-CN"/>
        </w:rPr>
      </w:pPr>
      <w:r>
        <w:rPr>
          <w:rFonts w:ascii="Times New Roman" w:hAnsi="Times New Roman" w:cs="Times New Roman" w:eastAsiaTheme="minorEastAsia"/>
          <w:b/>
          <w:bCs/>
          <w:kern w:val="0"/>
          <w:sz w:val="24"/>
          <w:szCs w:val="24"/>
          <w:lang w:val="zh-CN"/>
        </w:rPr>
        <w:t>3. 合同价款支付</w:t>
      </w:r>
    </w:p>
    <w:p w14:paraId="54CF2662">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3.1采购人</w:t>
      </w:r>
      <w:r>
        <w:rPr>
          <w:rFonts w:ascii="Times New Roman" w:hAnsi="Times New Roman" w:eastAsia="宋体" w:cs="Times New Roman"/>
          <w:sz w:val="24"/>
        </w:rPr>
        <w:t>每季度末根据考核结果结算该季度运维服务费，同时预付下一季度运维服务费的70%（第四季度除外）</w:t>
      </w:r>
      <w:r>
        <w:rPr>
          <w:rFonts w:ascii="Times New Roman" w:hAnsi="Times New Roman" w:cs="Times New Roman" w:eastAsiaTheme="minorEastAsia"/>
          <w:sz w:val="24"/>
          <w:szCs w:val="24"/>
        </w:rPr>
        <w:t>，具体考核支付标准如下：</w:t>
      </w:r>
    </w:p>
    <w:p w14:paraId="7E8A782A">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（1）季度考核总得分在80分以上为考核合格，按照合同要求支付该季度的运行费。</w:t>
      </w:r>
    </w:p>
    <w:p w14:paraId="38B7D692">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（2）季度考核总得分在70分以上，80分以下，为初级警告，扣除当季度10%的运行费，并责令整改；</w:t>
      </w:r>
    </w:p>
    <w:p w14:paraId="12CF9B7B">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（3）季度考核总得分在60分以上，70分以下，为二级警告，扣除当季度30%的运行费，并责令整改；</w:t>
      </w:r>
    </w:p>
    <w:p w14:paraId="2900B460">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（4）季度考核总得分平均分在60分以下，为特级警告，扣除当季度50%的运行费。</w:t>
      </w:r>
    </w:p>
    <w:p w14:paraId="0F39A4A0">
      <w:pPr>
        <w:spacing w:line="380" w:lineRule="exact"/>
        <w:ind w:firstLine="482" w:firstLineChars="200"/>
        <w:rPr>
          <w:rFonts w:ascii="Times New Roman" w:hAnsi="Times New Roman" w:cs="Times New Roman" w:eastAsiaTheme="minorEastAsia"/>
          <w:b/>
          <w:sz w:val="24"/>
          <w:szCs w:val="24"/>
          <w:u w:val="single"/>
        </w:rPr>
      </w:pPr>
      <w:r>
        <w:rPr>
          <w:rFonts w:ascii="Times New Roman" w:hAnsi="Times New Roman" w:cs="Times New Roman" w:eastAsiaTheme="minorEastAsia"/>
          <w:b/>
          <w:sz w:val="24"/>
          <w:szCs w:val="24"/>
          <w:u w:val="single"/>
        </w:rPr>
        <w:t>注：季度考核总得分=（淮水北调工程调度运行中心及省管泵站中控室运维考核得分+淮水北调工程水质监测系统运维考核得分）÷2</w:t>
      </w:r>
    </w:p>
    <w:p w14:paraId="560F870E">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3.2成交供应商如有连续两个季度处于警告级别，采购人有权提出经济赔偿；成交供应商如有连续两个季度处于特级警告级别，采购人将适时终止委托合同，并有权不支付已发生的合同款项。</w:t>
      </w:r>
    </w:p>
    <w:p w14:paraId="25726BF9">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3.3解除合同前，成交供应商将对整个项目的软硬件性能测试，合格后方可进行交接。如成交供应商不配合采购人工作，采购人有权将成交供应商列入不良记录名单并上报相关单位在全省水利系统内进行通报。</w:t>
      </w:r>
    </w:p>
    <w:p w14:paraId="6051737E">
      <w:pPr>
        <w:spacing w:line="38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3.4一旦发现虚假数据，采购人将按照相关规定进行处理处罚，在终止合同的同时，采购人有权提出经济赔偿。</w:t>
      </w:r>
    </w:p>
    <w:p w14:paraId="71482BD3">
      <w:pPr>
        <w:spacing w:line="360" w:lineRule="auto"/>
        <w:ind w:firstLine="482"/>
        <w:outlineLvl w:val="1"/>
        <w:rPr>
          <w:rFonts w:ascii="Times New Roman" w:hAnsi="Times New Roman" w:eastAsia="宋体" w:cs="Times New Roman"/>
          <w:b/>
          <w:sz w:val="24"/>
          <w:szCs w:val="18"/>
        </w:rPr>
      </w:pPr>
      <w:r>
        <w:rPr>
          <w:rFonts w:ascii="Times New Roman" w:hAnsi="Times New Roman" w:eastAsia="宋体" w:cs="Times New Roman"/>
          <w:b/>
          <w:sz w:val="24"/>
          <w:szCs w:val="18"/>
        </w:rPr>
        <w:t>四、报价要求</w:t>
      </w:r>
      <w:bookmarkEnd w:id="174"/>
      <w:bookmarkEnd w:id="175"/>
      <w:bookmarkStart w:id="283" w:name="_Toc23590"/>
      <w:bookmarkStart w:id="284" w:name="_Toc3530"/>
    </w:p>
    <w:p w14:paraId="53D88EB7">
      <w:pPr>
        <w:spacing w:line="360" w:lineRule="auto"/>
        <w:ind w:firstLine="482"/>
        <w:outlineLvl w:val="1"/>
        <w:rPr>
          <w:rFonts w:ascii="Times New Roman" w:hAnsi="Times New Roman" w:cs="Times New Roman" w:eastAsiaTheme="minorEastAsia"/>
          <w:b/>
          <w:bCs/>
          <w:sz w:val="24"/>
          <w:szCs w:val="24"/>
        </w:rPr>
      </w:pPr>
      <w:r>
        <w:rPr>
          <w:rFonts w:ascii="Times New Roman" w:hAnsi="Times New Roman" w:cs="Times New Roman" w:eastAsiaTheme="minorEastAsia"/>
          <w:bCs/>
          <w:sz w:val="24"/>
          <w:szCs w:val="24"/>
        </w:rPr>
        <w:t>1.</w:t>
      </w:r>
      <w:r>
        <w:rPr>
          <w:rFonts w:ascii="Times New Roman" w:hAnsi="Times New Roman" w:cs="Times New Roman" w:eastAsiaTheme="minorEastAsia"/>
          <w:b/>
          <w:bCs/>
          <w:sz w:val="24"/>
          <w:szCs w:val="24"/>
        </w:rPr>
        <w:t>本项目最高限价为160万元，其中分项限价为：</w:t>
      </w:r>
      <w:r>
        <w:rPr>
          <w:rFonts w:hint="eastAsia" w:ascii="Times New Roman" w:hAnsi="Times New Roman" w:cs="Times New Roman" w:eastAsiaTheme="minorEastAsia"/>
          <w:b/>
          <w:bCs/>
          <w:sz w:val="24"/>
          <w:szCs w:val="24"/>
        </w:rPr>
        <w:t>调度运行中心及省管泵站中控室运维服务32万元，水质监测站点运维服务41万元，水质站设备更新35万元，</w:t>
      </w:r>
      <w:r>
        <w:rPr>
          <w:rFonts w:ascii="Times New Roman" w:hAnsi="Times New Roman" w:cs="Times New Roman" w:eastAsiaTheme="minorEastAsia"/>
          <w:b/>
          <w:bCs/>
          <w:sz w:val="24"/>
          <w:szCs w:val="24"/>
        </w:rPr>
        <w:t>通信服务42万元。各供应商报价不得超过本项目最高限价及分项最高限价，否则响应无效。</w:t>
      </w:r>
    </w:p>
    <w:p w14:paraId="3AB834D9">
      <w:pPr>
        <w:spacing w:line="360" w:lineRule="auto"/>
        <w:ind w:firstLine="480"/>
        <w:outlineLvl w:val="1"/>
        <w:rPr>
          <w:rFonts w:ascii="Times New Roman" w:hAnsi="Times New Roman" w:eastAsia="宋体" w:cs="Times New Roman"/>
          <w:b/>
          <w:sz w:val="24"/>
          <w:szCs w:val="18"/>
        </w:rPr>
      </w:pPr>
      <w:r>
        <w:rPr>
          <w:rFonts w:ascii="Times New Roman" w:hAnsi="Times New Roman" w:cs="Times New Roman" w:eastAsiaTheme="minorEastAsia"/>
          <w:sz w:val="24"/>
          <w:szCs w:val="24"/>
        </w:rPr>
        <w:t>2.本项目按总价进行报价，各供应商响应报价须包含完成本项目的所有费用。</w:t>
      </w:r>
    </w:p>
    <w:p w14:paraId="40A981E3">
      <w:pPr>
        <w:spacing w:line="360" w:lineRule="auto"/>
        <w:ind w:firstLine="482"/>
        <w:outlineLvl w:val="1"/>
        <w:rPr>
          <w:rFonts w:ascii="Times New Roman" w:hAnsi="Times New Roman" w:eastAsia="宋体" w:cs="Times New Roman"/>
          <w:b/>
          <w:sz w:val="24"/>
          <w:szCs w:val="18"/>
        </w:rPr>
      </w:pPr>
      <w:r>
        <w:rPr>
          <w:rFonts w:ascii="Times New Roman" w:hAnsi="Times New Roman" w:eastAsia="宋体" w:cs="Times New Roman"/>
          <w:b/>
          <w:sz w:val="24"/>
          <w:szCs w:val="18"/>
        </w:rPr>
        <w:t>五、其他要求</w:t>
      </w:r>
      <w:bookmarkEnd w:id="283"/>
      <w:bookmarkEnd w:id="284"/>
    </w:p>
    <w:p w14:paraId="17E64B46">
      <w:pPr>
        <w:spacing w:line="360" w:lineRule="auto"/>
        <w:ind w:firstLine="739" w:firstLineChars="308"/>
        <w:outlineLvl w:val="1"/>
        <w:rPr>
          <w:rFonts w:ascii="Times New Roman" w:hAnsi="Times New Roman" w:cs="Times New Roman" w:eastAsiaTheme="minorEastAsia"/>
          <w:sz w:val="24"/>
          <w:szCs w:val="24"/>
        </w:rPr>
      </w:pPr>
      <w:r>
        <w:rPr>
          <w:rFonts w:ascii="Times New Roman" w:hAnsi="Times New Roman" w:cs="Times New Roman" w:eastAsiaTheme="minorEastAsia"/>
          <w:sz w:val="24"/>
          <w:szCs w:val="24"/>
        </w:rPr>
        <w:t>无</w:t>
      </w:r>
    </w:p>
    <w:p w14:paraId="02D9732B">
      <w:pPr>
        <w:spacing w:line="360" w:lineRule="auto"/>
        <w:rPr>
          <w:rFonts w:asciiTheme="minorEastAsia" w:hAnsiTheme="minorEastAsia" w:eastAsiaTheme="minorEastAsia"/>
          <w:sz w:val="24"/>
        </w:rPr>
      </w:pPr>
      <w:r>
        <w:rPr>
          <w:rFonts w:asciiTheme="minorEastAsia" w:hAnsiTheme="minorEastAsia" w:eastAsiaTheme="minorEastAsia"/>
          <w:sz w:val="24"/>
        </w:rPr>
        <w:br w:type="page"/>
      </w:r>
    </w:p>
    <w:p w14:paraId="2C2EADB5">
      <w:pPr>
        <w:spacing w:line="360" w:lineRule="auto"/>
        <w:jc w:val="center"/>
        <w:outlineLvl w:val="0"/>
        <w:rPr>
          <w:rFonts w:asciiTheme="minorEastAsia" w:hAnsiTheme="minorEastAsia" w:eastAsiaTheme="minorEastAsia"/>
          <w:b/>
          <w:sz w:val="28"/>
        </w:rPr>
      </w:pPr>
      <w:bookmarkStart w:id="285" w:name="_Toc8668"/>
      <w:r>
        <w:rPr>
          <w:rFonts w:hint="eastAsia" w:asciiTheme="minorEastAsia" w:hAnsiTheme="minorEastAsia" w:eastAsiaTheme="minorEastAsia"/>
          <w:b/>
          <w:sz w:val="28"/>
        </w:rPr>
        <w:t>第四章  评审方法和标准</w:t>
      </w:r>
      <w:bookmarkEnd w:id="285"/>
    </w:p>
    <w:p w14:paraId="1A1C2CD6">
      <w:pPr>
        <w:spacing w:line="360" w:lineRule="auto"/>
        <w:ind w:firstLine="437"/>
        <w:outlineLvl w:val="1"/>
        <w:rPr>
          <w:rFonts w:asciiTheme="minorEastAsia" w:hAnsiTheme="minorEastAsia" w:eastAsiaTheme="minorEastAsia"/>
          <w:b/>
          <w:sz w:val="24"/>
        </w:rPr>
      </w:pPr>
      <w:bookmarkStart w:id="286" w:name="_Toc12199"/>
      <w:bookmarkStart w:id="287" w:name="_Toc21211"/>
      <w:r>
        <w:rPr>
          <w:rFonts w:hint="eastAsia" w:asciiTheme="minorEastAsia" w:hAnsiTheme="minorEastAsia" w:eastAsiaTheme="minorEastAsia"/>
          <w:b/>
          <w:sz w:val="24"/>
        </w:rPr>
        <w:t>一、总则</w:t>
      </w:r>
      <w:bookmarkEnd w:id="286"/>
      <w:bookmarkEnd w:id="287"/>
    </w:p>
    <w:p w14:paraId="49AE91F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本项目将按照磋商文件第二章 供应商须知的相关要求</w:t>
      </w:r>
      <w:r>
        <w:rPr>
          <w:rFonts w:asciiTheme="minorEastAsia" w:hAnsiTheme="minorEastAsia" w:eastAsiaTheme="minorEastAsia"/>
          <w:sz w:val="24"/>
        </w:rPr>
        <w:t>及本章的规定</w:t>
      </w:r>
      <w:r>
        <w:rPr>
          <w:rFonts w:hint="eastAsia" w:asciiTheme="minorEastAsia" w:hAnsiTheme="minorEastAsia" w:eastAsiaTheme="minorEastAsia"/>
          <w:sz w:val="24"/>
        </w:rPr>
        <w:t>评审</w:t>
      </w:r>
      <w:r>
        <w:rPr>
          <w:rFonts w:asciiTheme="minorEastAsia" w:hAnsiTheme="minorEastAsia" w:eastAsiaTheme="minorEastAsia"/>
          <w:sz w:val="24"/>
        </w:rPr>
        <w:t>。</w:t>
      </w:r>
    </w:p>
    <w:p w14:paraId="198C6A6B">
      <w:pPr>
        <w:spacing w:line="360" w:lineRule="auto"/>
        <w:ind w:firstLine="437"/>
        <w:outlineLvl w:val="1"/>
        <w:rPr>
          <w:rFonts w:asciiTheme="minorEastAsia" w:hAnsiTheme="minorEastAsia" w:eastAsiaTheme="minorEastAsia"/>
          <w:b/>
          <w:sz w:val="24"/>
        </w:rPr>
      </w:pPr>
      <w:bookmarkStart w:id="288" w:name="_Toc16885"/>
      <w:bookmarkStart w:id="289" w:name="_Toc13039"/>
      <w:r>
        <w:rPr>
          <w:rFonts w:hint="eastAsia" w:asciiTheme="minorEastAsia" w:hAnsiTheme="minorEastAsia" w:eastAsiaTheme="minorEastAsia"/>
          <w:b/>
          <w:sz w:val="24"/>
        </w:rPr>
        <w:t>二、评审方法</w:t>
      </w:r>
      <w:bookmarkEnd w:id="288"/>
      <w:bookmarkEnd w:id="289"/>
    </w:p>
    <w:p w14:paraId="1EA49539">
      <w:pPr>
        <w:spacing w:line="360" w:lineRule="auto"/>
        <w:ind w:firstLine="435"/>
        <w:outlineLvl w:val="2"/>
        <w:rPr>
          <w:rFonts w:asciiTheme="minorEastAsia" w:hAnsiTheme="minorEastAsia" w:eastAsiaTheme="minorEastAsia"/>
          <w:sz w:val="24"/>
        </w:rPr>
      </w:pPr>
      <w:r>
        <w:rPr>
          <w:rFonts w:hint="eastAsia" w:asciiTheme="minorEastAsia" w:hAnsiTheme="minorEastAsia" w:eastAsiaTheme="minorEastAsia"/>
          <w:sz w:val="24"/>
        </w:rPr>
        <w:t>2.1初审</w:t>
      </w:r>
    </w:p>
    <w:p w14:paraId="1BF8868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磋商小组对供应商的响应文件进行初审，以确定其是否满足磋商文件的实质性要求。初审表如下：</w:t>
      </w:r>
    </w:p>
    <w:tbl>
      <w:tblPr>
        <w:tblStyle w:val="24"/>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651"/>
        <w:gridCol w:w="4557"/>
        <w:gridCol w:w="1894"/>
      </w:tblGrid>
      <w:tr w14:paraId="28B1E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52CC5795">
            <w:pPr>
              <w:adjustRightInd w:val="0"/>
              <w:snapToGrid w:val="0"/>
              <w:spacing w:line="360" w:lineRule="auto"/>
              <w:ind w:right="-10"/>
              <w:jc w:val="center"/>
              <w:rPr>
                <w:rFonts w:ascii="宋体" w:hAnsi="宋体" w:eastAsia="宋体"/>
                <w:sz w:val="24"/>
              </w:rPr>
            </w:pPr>
            <w:r>
              <w:rPr>
                <w:rFonts w:hint="eastAsia" w:ascii="宋体" w:hAnsi="宋体" w:eastAsia="宋体"/>
                <w:b/>
                <w:sz w:val="24"/>
                <w:szCs w:val="22"/>
              </w:rPr>
              <w:t>初审表</w:t>
            </w:r>
          </w:p>
        </w:tc>
      </w:tr>
      <w:tr w14:paraId="4B2D9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68333636">
            <w:pPr>
              <w:adjustRightInd w:val="0"/>
              <w:snapToGrid w:val="0"/>
              <w:spacing w:line="360" w:lineRule="auto"/>
              <w:ind w:right="-10"/>
              <w:jc w:val="center"/>
              <w:rPr>
                <w:rFonts w:ascii="宋体" w:hAnsi="宋体" w:eastAsia="宋体"/>
                <w:sz w:val="24"/>
              </w:rPr>
            </w:pPr>
            <w:r>
              <w:rPr>
                <w:rFonts w:hint="eastAsia" w:ascii="宋体" w:hAnsi="宋体" w:eastAsia="宋体"/>
                <w:sz w:val="24"/>
              </w:rPr>
              <w:t>序号</w:t>
            </w:r>
          </w:p>
        </w:tc>
        <w:tc>
          <w:tcPr>
            <w:tcW w:w="942" w:type="pct"/>
            <w:tcBorders>
              <w:bottom w:val="single" w:color="auto" w:sz="4" w:space="0"/>
            </w:tcBorders>
            <w:vAlign w:val="center"/>
          </w:tcPr>
          <w:p w14:paraId="7B79429D">
            <w:pPr>
              <w:pStyle w:val="43"/>
              <w:pBdr>
                <w:bottom w:val="none" w:color="auto" w:sz="0" w:space="0"/>
              </w:pBdr>
              <w:tabs>
                <w:tab w:val="clear" w:pos="4153"/>
                <w:tab w:val="clear" w:pos="8306"/>
              </w:tabs>
              <w:snapToGrid w:val="0"/>
              <w:spacing w:line="360" w:lineRule="auto"/>
              <w:ind w:right="-10"/>
              <w:textAlignment w:val="auto"/>
              <w:rPr>
                <w:rFonts w:ascii="宋体" w:hAnsi="宋体" w:eastAsia="宋体"/>
                <w:kern w:val="2"/>
                <w:szCs w:val="24"/>
              </w:rPr>
            </w:pPr>
            <w:r>
              <w:rPr>
                <w:rFonts w:hint="eastAsia" w:ascii="宋体" w:hAnsi="宋体" w:eastAsia="宋体"/>
                <w:kern w:val="2"/>
                <w:szCs w:val="24"/>
              </w:rPr>
              <w:t>审查指标</w:t>
            </w:r>
          </w:p>
        </w:tc>
        <w:tc>
          <w:tcPr>
            <w:tcW w:w="2601" w:type="pct"/>
            <w:tcBorders>
              <w:bottom w:val="single" w:color="auto" w:sz="4" w:space="0"/>
            </w:tcBorders>
            <w:vAlign w:val="center"/>
          </w:tcPr>
          <w:p w14:paraId="7157CAD1">
            <w:pPr>
              <w:adjustRightInd w:val="0"/>
              <w:snapToGrid w:val="0"/>
              <w:spacing w:line="360" w:lineRule="auto"/>
              <w:ind w:right="-10"/>
              <w:jc w:val="center"/>
              <w:rPr>
                <w:rFonts w:ascii="宋体" w:hAnsi="宋体" w:eastAsia="宋体"/>
                <w:sz w:val="24"/>
              </w:rPr>
            </w:pPr>
            <w:r>
              <w:rPr>
                <w:rFonts w:hint="eastAsia" w:ascii="宋体" w:hAnsi="宋体" w:eastAsia="宋体"/>
                <w:sz w:val="24"/>
              </w:rPr>
              <w:t>审查标准</w:t>
            </w:r>
          </w:p>
        </w:tc>
        <w:tc>
          <w:tcPr>
            <w:tcW w:w="1081" w:type="pct"/>
            <w:tcBorders>
              <w:bottom w:val="single" w:color="auto" w:sz="4" w:space="0"/>
            </w:tcBorders>
            <w:vAlign w:val="center"/>
          </w:tcPr>
          <w:p w14:paraId="07D86AAE">
            <w:pPr>
              <w:adjustRightInd w:val="0"/>
              <w:snapToGrid w:val="0"/>
              <w:spacing w:line="360" w:lineRule="auto"/>
              <w:ind w:right="-10"/>
              <w:jc w:val="center"/>
              <w:rPr>
                <w:rFonts w:ascii="宋体" w:hAnsi="宋体" w:eastAsia="宋体"/>
                <w:sz w:val="24"/>
              </w:rPr>
            </w:pPr>
            <w:r>
              <w:rPr>
                <w:rFonts w:hint="eastAsia" w:ascii="宋体" w:hAnsi="宋体" w:eastAsia="宋体"/>
                <w:sz w:val="24"/>
              </w:rPr>
              <w:t>格式要求</w:t>
            </w:r>
          </w:p>
        </w:tc>
      </w:tr>
      <w:tr w14:paraId="3859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6" w:type="pct"/>
            <w:tcBorders>
              <w:bottom w:val="single" w:color="auto" w:sz="4" w:space="0"/>
            </w:tcBorders>
            <w:vAlign w:val="center"/>
          </w:tcPr>
          <w:p w14:paraId="28E5E2AE">
            <w:pPr>
              <w:adjustRightInd w:val="0"/>
              <w:snapToGrid w:val="0"/>
              <w:spacing w:line="360" w:lineRule="auto"/>
              <w:ind w:right="-10"/>
              <w:jc w:val="center"/>
              <w:rPr>
                <w:rFonts w:ascii="宋体" w:hAnsi="宋体" w:eastAsia="宋体"/>
                <w:sz w:val="24"/>
              </w:rPr>
            </w:pPr>
            <w:r>
              <w:rPr>
                <w:rFonts w:hint="eastAsia" w:ascii="宋体" w:hAnsi="宋体" w:eastAsia="宋体"/>
                <w:sz w:val="24"/>
              </w:rPr>
              <w:t>1</w:t>
            </w:r>
          </w:p>
        </w:tc>
        <w:tc>
          <w:tcPr>
            <w:tcW w:w="942" w:type="pct"/>
            <w:tcBorders>
              <w:bottom w:val="single" w:color="auto" w:sz="4" w:space="0"/>
            </w:tcBorders>
            <w:vAlign w:val="center"/>
          </w:tcPr>
          <w:p w14:paraId="3B3F5874">
            <w:pPr>
              <w:spacing w:after="50" w:line="360" w:lineRule="auto"/>
              <w:ind w:right="-10"/>
              <w:jc w:val="center"/>
              <w:rPr>
                <w:rFonts w:ascii="宋体" w:hAnsi="宋体" w:eastAsia="宋体"/>
                <w:sz w:val="24"/>
                <w:szCs w:val="28"/>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601" w:type="pct"/>
            <w:tcBorders>
              <w:bottom w:val="single" w:color="auto" w:sz="4" w:space="0"/>
            </w:tcBorders>
            <w:vAlign w:val="center"/>
          </w:tcPr>
          <w:p w14:paraId="7679E1D8">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（1）供应商</w:t>
            </w:r>
            <w:r>
              <w:rPr>
                <w:rFonts w:ascii="宋体" w:hAnsi="宋体" w:eastAsia="宋体" w:cs="宋体"/>
                <w:sz w:val="24"/>
                <w:szCs w:val="24"/>
              </w:rPr>
              <w:t>为企业（包括合伙企业）的，应</w:t>
            </w:r>
            <w:r>
              <w:rPr>
                <w:rFonts w:hint="eastAsia" w:ascii="宋体" w:hAnsi="宋体" w:eastAsia="宋体" w:cs="宋体"/>
                <w:sz w:val="24"/>
                <w:szCs w:val="24"/>
              </w:rPr>
              <w:t>提</w:t>
            </w:r>
            <w:r>
              <w:rPr>
                <w:rFonts w:ascii="宋体" w:hAnsi="宋体" w:eastAsia="宋体" w:cs="宋体"/>
                <w:sz w:val="24"/>
                <w:szCs w:val="24"/>
              </w:rPr>
              <w:t>供有效的营业执照；</w:t>
            </w:r>
          </w:p>
          <w:p w14:paraId="488D3D53">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（2）供应商</w:t>
            </w:r>
            <w:r>
              <w:rPr>
                <w:rFonts w:ascii="宋体" w:hAnsi="宋体" w:eastAsia="宋体" w:cs="宋体"/>
                <w:sz w:val="24"/>
                <w:szCs w:val="24"/>
              </w:rPr>
              <w:t>为事业单位的，应</w:t>
            </w:r>
            <w:r>
              <w:rPr>
                <w:rFonts w:hint="eastAsia" w:ascii="宋体" w:hAnsi="宋体" w:eastAsia="宋体" w:cs="宋体"/>
                <w:sz w:val="24"/>
                <w:szCs w:val="24"/>
              </w:rPr>
              <w:t>提</w:t>
            </w:r>
            <w:r>
              <w:rPr>
                <w:rFonts w:ascii="宋体" w:hAnsi="宋体" w:eastAsia="宋体" w:cs="宋体"/>
                <w:sz w:val="24"/>
                <w:szCs w:val="24"/>
              </w:rPr>
              <w:t>供有效的事业单位法人证书；</w:t>
            </w:r>
          </w:p>
          <w:p w14:paraId="60CC6BE7">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（3）供应商</w:t>
            </w:r>
            <w:r>
              <w:rPr>
                <w:rFonts w:ascii="宋体" w:hAnsi="宋体" w:eastAsia="宋体" w:cs="宋体"/>
                <w:sz w:val="24"/>
                <w:szCs w:val="24"/>
              </w:rPr>
              <w:t>是非企业机构的，应</w:t>
            </w:r>
            <w:r>
              <w:rPr>
                <w:rFonts w:hint="eastAsia" w:ascii="宋体" w:hAnsi="宋体" w:eastAsia="宋体" w:cs="宋体"/>
                <w:sz w:val="24"/>
                <w:szCs w:val="24"/>
              </w:rPr>
              <w:t>提</w:t>
            </w:r>
            <w:r>
              <w:rPr>
                <w:rFonts w:ascii="宋体" w:hAnsi="宋体" w:eastAsia="宋体" w:cs="宋体"/>
                <w:sz w:val="24"/>
                <w:szCs w:val="24"/>
              </w:rPr>
              <w:t>供有效的执业许可证</w:t>
            </w:r>
            <w:r>
              <w:rPr>
                <w:rFonts w:hint="eastAsia" w:ascii="宋体" w:hAnsi="宋体" w:eastAsia="宋体" w:cs="宋体"/>
                <w:sz w:val="24"/>
                <w:szCs w:val="24"/>
              </w:rPr>
              <w:t>或</w:t>
            </w:r>
            <w:r>
              <w:rPr>
                <w:rFonts w:ascii="宋体" w:hAnsi="宋体" w:eastAsia="宋体" w:cs="宋体"/>
                <w:sz w:val="24"/>
                <w:szCs w:val="24"/>
              </w:rPr>
              <w:t>登记证书等证明文件；</w:t>
            </w:r>
          </w:p>
          <w:p w14:paraId="74959EB1">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（4）供应商</w:t>
            </w:r>
            <w:r>
              <w:rPr>
                <w:rFonts w:ascii="宋体" w:hAnsi="宋体" w:eastAsia="宋体" w:cs="宋体"/>
                <w:sz w:val="24"/>
                <w:szCs w:val="24"/>
              </w:rPr>
              <w:t>是个体工商户的，应</w:t>
            </w:r>
            <w:r>
              <w:rPr>
                <w:rFonts w:hint="eastAsia" w:ascii="宋体" w:hAnsi="宋体" w:eastAsia="宋体" w:cs="宋体"/>
                <w:sz w:val="24"/>
                <w:szCs w:val="24"/>
              </w:rPr>
              <w:t>提</w:t>
            </w:r>
            <w:r>
              <w:rPr>
                <w:rFonts w:ascii="宋体" w:hAnsi="宋体" w:eastAsia="宋体" w:cs="宋体"/>
                <w:sz w:val="24"/>
                <w:szCs w:val="24"/>
              </w:rPr>
              <w:t>供有效的个体工商户营业执照；</w:t>
            </w:r>
          </w:p>
          <w:p w14:paraId="5858F1F8">
            <w:pPr>
              <w:spacing w:after="50" w:line="360" w:lineRule="auto"/>
              <w:ind w:right="-10"/>
              <w:jc w:val="left"/>
              <w:rPr>
                <w:rFonts w:ascii="宋体" w:hAnsi="宋体" w:eastAsia="宋体"/>
                <w:sz w:val="24"/>
                <w:szCs w:val="28"/>
              </w:rPr>
            </w:pPr>
            <w:r>
              <w:rPr>
                <w:rFonts w:hint="eastAsia" w:ascii="宋体" w:hAnsi="宋体" w:eastAsia="宋体" w:cs="宋体"/>
                <w:sz w:val="24"/>
                <w:szCs w:val="24"/>
              </w:rPr>
              <w:t>（5）供应商</w:t>
            </w:r>
            <w:r>
              <w:rPr>
                <w:rFonts w:ascii="宋体" w:hAnsi="宋体" w:eastAsia="宋体" w:cs="宋体"/>
                <w:sz w:val="24"/>
                <w:szCs w:val="24"/>
              </w:rPr>
              <w:t>是自然人的，应</w:t>
            </w:r>
            <w:r>
              <w:rPr>
                <w:rFonts w:hint="eastAsia" w:ascii="宋体" w:hAnsi="宋体" w:eastAsia="宋体" w:cs="宋体"/>
                <w:sz w:val="24"/>
                <w:szCs w:val="24"/>
              </w:rPr>
              <w:t>提</w:t>
            </w:r>
            <w:r>
              <w:rPr>
                <w:rFonts w:ascii="宋体" w:hAnsi="宋体" w:eastAsia="宋体" w:cs="宋体"/>
                <w:sz w:val="24"/>
                <w:szCs w:val="24"/>
              </w:rPr>
              <w:t>供有效的自然人身份证明。</w:t>
            </w:r>
          </w:p>
        </w:tc>
        <w:tc>
          <w:tcPr>
            <w:tcW w:w="1081" w:type="pct"/>
            <w:vAlign w:val="center"/>
          </w:tcPr>
          <w:p w14:paraId="4C3FBDEB">
            <w:pPr>
              <w:spacing w:line="360" w:lineRule="auto"/>
              <w:jc w:val="left"/>
              <w:rPr>
                <w:rFonts w:ascii="宋体" w:hAnsi="宋体" w:eastAsia="宋体"/>
                <w:sz w:val="24"/>
              </w:rPr>
            </w:pPr>
            <w:r>
              <w:rPr>
                <w:rFonts w:hint="eastAsia" w:ascii="宋体" w:hAnsi="宋体" w:eastAsia="宋体" w:cs="宋体"/>
                <w:sz w:val="24"/>
                <w:szCs w:val="24"/>
              </w:rPr>
              <w:t>提供材料扫描件或电子证照，应完整的体现出材料或电子证照全部内容。联合体磋商的联合体各方均须提供。</w:t>
            </w:r>
          </w:p>
        </w:tc>
      </w:tr>
      <w:tr w14:paraId="49DC9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6" w:type="pct"/>
            <w:tcBorders>
              <w:bottom w:val="single" w:color="auto" w:sz="4" w:space="0"/>
            </w:tcBorders>
            <w:vAlign w:val="center"/>
          </w:tcPr>
          <w:p w14:paraId="21269424">
            <w:pPr>
              <w:adjustRightInd w:val="0"/>
              <w:snapToGrid w:val="0"/>
              <w:spacing w:line="360" w:lineRule="auto"/>
              <w:ind w:right="-10"/>
              <w:jc w:val="center"/>
              <w:rPr>
                <w:rFonts w:ascii="宋体" w:hAnsi="宋体" w:eastAsia="宋体"/>
                <w:sz w:val="24"/>
              </w:rPr>
            </w:pPr>
            <w:r>
              <w:rPr>
                <w:rFonts w:hint="eastAsia" w:ascii="宋体" w:hAnsi="宋体" w:eastAsia="宋体"/>
                <w:sz w:val="24"/>
              </w:rPr>
              <w:t>2</w:t>
            </w:r>
          </w:p>
        </w:tc>
        <w:tc>
          <w:tcPr>
            <w:tcW w:w="942" w:type="pct"/>
            <w:tcBorders>
              <w:bottom w:val="single" w:color="auto" w:sz="4" w:space="0"/>
            </w:tcBorders>
            <w:vAlign w:val="center"/>
          </w:tcPr>
          <w:p w14:paraId="451EF7BE">
            <w:pPr>
              <w:spacing w:after="50" w:line="360" w:lineRule="auto"/>
              <w:ind w:right="-10"/>
              <w:jc w:val="center"/>
              <w:rPr>
                <w:rFonts w:ascii="宋体" w:hAnsi="宋体" w:eastAsia="宋体"/>
                <w:sz w:val="24"/>
                <w:szCs w:val="28"/>
              </w:rPr>
            </w:pPr>
            <w:r>
              <w:rPr>
                <w:rFonts w:hint="eastAsia" w:ascii="宋体" w:hAnsi="宋体" w:eastAsia="宋体"/>
                <w:sz w:val="24"/>
                <w:szCs w:val="18"/>
              </w:rPr>
              <w:t>供应商资格声明书</w:t>
            </w:r>
          </w:p>
        </w:tc>
        <w:tc>
          <w:tcPr>
            <w:tcW w:w="2601" w:type="pct"/>
            <w:tcBorders>
              <w:bottom w:val="single" w:color="auto" w:sz="4" w:space="0"/>
            </w:tcBorders>
            <w:vAlign w:val="center"/>
          </w:tcPr>
          <w:p w14:paraId="5130D2AD">
            <w:pPr>
              <w:spacing w:after="50" w:line="360" w:lineRule="auto"/>
              <w:ind w:right="-10"/>
              <w:jc w:val="left"/>
              <w:rPr>
                <w:rFonts w:ascii="宋体" w:hAnsi="宋体" w:eastAsia="宋体"/>
                <w:sz w:val="24"/>
                <w:szCs w:val="28"/>
              </w:rPr>
            </w:pPr>
            <w:r>
              <w:rPr>
                <w:rFonts w:hint="eastAsia" w:ascii="宋体" w:hAnsi="宋体" w:eastAsia="宋体" w:cs="宋体"/>
                <w:sz w:val="24"/>
                <w:szCs w:val="24"/>
              </w:rPr>
              <w:t>提</w:t>
            </w:r>
            <w:r>
              <w:rPr>
                <w:rFonts w:ascii="宋体" w:hAnsi="宋体" w:eastAsia="宋体" w:cs="宋体"/>
                <w:sz w:val="24"/>
                <w:szCs w:val="24"/>
              </w:rPr>
              <w:t>供符合</w:t>
            </w:r>
            <w:r>
              <w:rPr>
                <w:rFonts w:hint="eastAsia" w:ascii="宋体" w:hAnsi="宋体" w:eastAsia="宋体" w:cs="宋体"/>
                <w:sz w:val="24"/>
                <w:szCs w:val="24"/>
              </w:rPr>
              <w:t>磋商</w:t>
            </w:r>
            <w:r>
              <w:rPr>
                <w:rFonts w:ascii="宋体" w:hAnsi="宋体" w:eastAsia="宋体" w:cs="宋体"/>
                <w:sz w:val="24"/>
                <w:szCs w:val="24"/>
              </w:rPr>
              <w:t>文件要求的《</w:t>
            </w:r>
            <w:r>
              <w:rPr>
                <w:rFonts w:hint="eastAsia" w:ascii="宋体" w:hAnsi="宋体" w:eastAsia="宋体" w:cs="宋体"/>
                <w:sz w:val="24"/>
                <w:szCs w:val="24"/>
              </w:rPr>
              <w:t>供应商</w:t>
            </w:r>
            <w:r>
              <w:rPr>
                <w:rFonts w:ascii="宋体" w:hAnsi="宋体" w:eastAsia="宋体" w:cs="宋体"/>
                <w:sz w:val="24"/>
                <w:szCs w:val="24"/>
              </w:rPr>
              <w:t>资格声明书》</w:t>
            </w:r>
            <w:r>
              <w:rPr>
                <w:rFonts w:hint="eastAsia" w:ascii="宋体" w:hAnsi="宋体" w:eastAsia="宋体" w:cs="宋体"/>
                <w:sz w:val="24"/>
                <w:szCs w:val="24"/>
              </w:rPr>
              <w:t>。</w:t>
            </w:r>
          </w:p>
        </w:tc>
        <w:tc>
          <w:tcPr>
            <w:tcW w:w="1081" w:type="pct"/>
            <w:vAlign w:val="center"/>
          </w:tcPr>
          <w:p w14:paraId="2F95F1AE">
            <w:pPr>
              <w:spacing w:line="360" w:lineRule="auto"/>
              <w:jc w:val="left"/>
              <w:rPr>
                <w:rFonts w:ascii="宋体" w:hAnsi="宋体" w:eastAsia="宋体" w:cs="宋体"/>
                <w:sz w:val="24"/>
                <w:szCs w:val="24"/>
              </w:rPr>
            </w:pPr>
            <w:r>
              <w:rPr>
                <w:rFonts w:hint="eastAsia" w:ascii="宋体" w:hAnsi="宋体" w:eastAsia="宋体"/>
                <w:sz w:val="24"/>
              </w:rPr>
              <w:t>详见第六章响应文件格式。</w:t>
            </w:r>
          </w:p>
        </w:tc>
      </w:tr>
      <w:tr w14:paraId="223D8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2AC81FC1">
            <w:pPr>
              <w:adjustRightInd w:val="0"/>
              <w:snapToGrid w:val="0"/>
              <w:spacing w:line="360" w:lineRule="auto"/>
              <w:ind w:right="-10"/>
              <w:jc w:val="center"/>
              <w:rPr>
                <w:rFonts w:ascii="宋体" w:hAnsi="宋体" w:eastAsia="宋体"/>
                <w:sz w:val="24"/>
              </w:rPr>
            </w:pPr>
            <w:r>
              <w:rPr>
                <w:rFonts w:hint="eastAsia" w:ascii="宋体" w:hAnsi="宋体" w:eastAsia="宋体"/>
                <w:sz w:val="24"/>
              </w:rPr>
              <w:t>3</w:t>
            </w:r>
          </w:p>
        </w:tc>
        <w:tc>
          <w:tcPr>
            <w:tcW w:w="942" w:type="pct"/>
            <w:tcBorders>
              <w:bottom w:val="single" w:color="auto" w:sz="4" w:space="0"/>
            </w:tcBorders>
            <w:vAlign w:val="center"/>
          </w:tcPr>
          <w:p w14:paraId="251003A1">
            <w:pPr>
              <w:spacing w:after="50" w:line="360" w:lineRule="auto"/>
              <w:ind w:right="-10"/>
              <w:jc w:val="center"/>
              <w:rPr>
                <w:rFonts w:ascii="宋体" w:hAnsi="宋体" w:eastAsia="宋体"/>
                <w:sz w:val="24"/>
                <w:szCs w:val="28"/>
              </w:rPr>
            </w:pPr>
            <w:r>
              <w:rPr>
                <w:rFonts w:hint="eastAsia" w:ascii="宋体" w:hAnsi="宋体" w:eastAsia="宋体"/>
                <w:sz w:val="24"/>
                <w:szCs w:val="18"/>
              </w:rPr>
              <w:t>供应商</w:t>
            </w:r>
            <w:r>
              <w:rPr>
                <w:rFonts w:hint="eastAsia" w:ascii="宋体" w:hAnsi="宋体" w:eastAsia="宋体" w:cs="宋体"/>
                <w:sz w:val="24"/>
                <w:szCs w:val="24"/>
              </w:rPr>
              <w:t>信用记录</w:t>
            </w:r>
          </w:p>
        </w:tc>
        <w:tc>
          <w:tcPr>
            <w:tcW w:w="2601" w:type="pct"/>
            <w:tcBorders>
              <w:bottom w:val="single" w:color="auto" w:sz="4" w:space="0"/>
            </w:tcBorders>
            <w:vAlign w:val="center"/>
          </w:tcPr>
          <w:p w14:paraId="63CB4AA1">
            <w:pPr>
              <w:spacing w:after="50" w:line="360" w:lineRule="auto"/>
              <w:ind w:right="-10"/>
              <w:jc w:val="left"/>
            </w:pPr>
            <w:r>
              <w:rPr>
                <w:rFonts w:hint="eastAsia" w:ascii="宋体" w:hAnsi="宋体" w:eastAsia="宋体" w:cs="宋体"/>
                <w:sz w:val="24"/>
                <w:szCs w:val="24"/>
              </w:rPr>
              <w:t>供应商</w:t>
            </w:r>
            <w:r>
              <w:rPr>
                <w:rFonts w:hint="eastAsia" w:ascii="宋体" w:hAnsi="宋体" w:eastAsia="宋体" w:cs="宋体"/>
                <w:sz w:val="24"/>
                <w:szCs w:val="24"/>
                <w:lang w:val="zh-CN"/>
              </w:rPr>
              <w:t>不得存在</w:t>
            </w:r>
            <w:r>
              <w:rPr>
                <w:rFonts w:hint="eastAsia" w:ascii="宋体" w:hAnsi="宋体" w:eastAsia="宋体" w:cs="宋体"/>
                <w:sz w:val="24"/>
                <w:szCs w:val="24"/>
              </w:rPr>
              <w:t>供应商</w:t>
            </w:r>
            <w:r>
              <w:rPr>
                <w:rFonts w:hint="eastAsia" w:ascii="宋体" w:hAnsi="宋体" w:eastAsia="宋体" w:cs="宋体"/>
                <w:sz w:val="24"/>
                <w:szCs w:val="24"/>
                <w:lang w:val="zh-CN"/>
              </w:rPr>
              <w:t>须知正文第1</w:t>
            </w:r>
            <w:r>
              <w:rPr>
                <w:rFonts w:hint="eastAsia" w:ascii="宋体" w:hAnsi="宋体" w:eastAsia="宋体" w:cs="宋体"/>
                <w:sz w:val="24"/>
                <w:szCs w:val="24"/>
              </w:rPr>
              <w:t>4</w:t>
            </w:r>
            <w:r>
              <w:rPr>
                <w:rFonts w:hint="eastAsia" w:ascii="宋体" w:hAnsi="宋体" w:eastAsia="宋体" w:cs="宋体"/>
                <w:sz w:val="24"/>
                <w:szCs w:val="24"/>
                <w:lang w:val="zh-CN"/>
              </w:rPr>
              <w:t>.</w:t>
            </w:r>
            <w:r>
              <w:rPr>
                <w:rFonts w:hint="eastAsia" w:ascii="宋体" w:hAnsi="宋体" w:eastAsia="宋体" w:cs="宋体"/>
                <w:sz w:val="24"/>
                <w:szCs w:val="24"/>
              </w:rPr>
              <w:t>3条中</w:t>
            </w:r>
            <w:r>
              <w:rPr>
                <w:rFonts w:hint="eastAsia" w:ascii="宋体" w:hAnsi="宋体" w:eastAsia="宋体"/>
                <w:sz w:val="24"/>
                <w:szCs w:val="28"/>
              </w:rPr>
              <w:t>的</w:t>
            </w:r>
            <w:r>
              <w:rPr>
                <w:rFonts w:hint="eastAsia" w:ascii="宋体" w:hAnsi="宋体" w:eastAsia="宋体"/>
                <w:sz w:val="24"/>
                <w:szCs w:val="18"/>
              </w:rPr>
              <w:t>不良信用记录情形</w:t>
            </w:r>
          </w:p>
        </w:tc>
        <w:tc>
          <w:tcPr>
            <w:tcW w:w="1081" w:type="pct"/>
            <w:tcBorders>
              <w:bottom w:val="single" w:color="auto" w:sz="4" w:space="0"/>
            </w:tcBorders>
            <w:vAlign w:val="center"/>
          </w:tcPr>
          <w:p w14:paraId="2EB63F02">
            <w:pPr>
              <w:spacing w:line="360" w:lineRule="auto"/>
              <w:jc w:val="left"/>
            </w:pPr>
            <w:r>
              <w:rPr>
                <w:rFonts w:hint="eastAsia" w:ascii="宋体" w:hAnsi="宋体" w:eastAsia="宋体" w:cs="宋体"/>
                <w:sz w:val="24"/>
                <w:szCs w:val="24"/>
              </w:rPr>
              <w:t>无须供应商提供，由采购人或采购代理机构查询。</w:t>
            </w:r>
          </w:p>
        </w:tc>
      </w:tr>
      <w:tr w14:paraId="162A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626E6967">
            <w:pPr>
              <w:adjustRightInd w:val="0"/>
              <w:snapToGrid w:val="0"/>
              <w:spacing w:line="360" w:lineRule="auto"/>
              <w:ind w:right="-10"/>
              <w:jc w:val="center"/>
              <w:rPr>
                <w:rFonts w:ascii="宋体" w:hAnsi="宋体" w:eastAsia="宋体"/>
                <w:sz w:val="24"/>
              </w:rPr>
            </w:pPr>
            <w:r>
              <w:rPr>
                <w:rFonts w:hint="eastAsia" w:ascii="宋体" w:hAnsi="宋体" w:eastAsia="宋体"/>
                <w:sz w:val="24"/>
              </w:rPr>
              <w:t>4</w:t>
            </w:r>
          </w:p>
        </w:tc>
        <w:tc>
          <w:tcPr>
            <w:tcW w:w="942" w:type="pct"/>
            <w:tcBorders>
              <w:bottom w:val="single" w:color="auto" w:sz="4" w:space="0"/>
            </w:tcBorders>
            <w:vAlign w:val="center"/>
          </w:tcPr>
          <w:p w14:paraId="468A32CE">
            <w:pPr>
              <w:spacing w:after="50" w:line="360" w:lineRule="auto"/>
              <w:ind w:right="-10"/>
              <w:jc w:val="center"/>
              <w:rPr>
                <w:rFonts w:ascii="宋体" w:hAnsi="宋体" w:eastAsia="宋体" w:cs="宋体"/>
                <w:sz w:val="24"/>
                <w:szCs w:val="24"/>
              </w:rPr>
            </w:pPr>
            <w:r>
              <w:rPr>
                <w:rFonts w:hint="eastAsia" w:ascii="宋体" w:hAnsi="宋体" w:eastAsia="宋体" w:cs="宋体"/>
                <w:sz w:val="24"/>
                <w:szCs w:val="24"/>
              </w:rPr>
              <w:t>中小企业证明文件</w:t>
            </w:r>
          </w:p>
        </w:tc>
        <w:tc>
          <w:tcPr>
            <w:tcW w:w="2601" w:type="pct"/>
            <w:tcBorders>
              <w:bottom w:val="single" w:color="auto" w:sz="4" w:space="0"/>
            </w:tcBorders>
          </w:tcPr>
          <w:p w14:paraId="4005F7C5">
            <w:pPr>
              <w:spacing w:after="50" w:line="360" w:lineRule="auto"/>
              <w:ind w:right="-10"/>
              <w:jc w:val="left"/>
              <w:rPr>
                <w:rFonts w:ascii="宋体" w:hAnsi="宋体" w:eastAsia="宋体" w:cs="宋体"/>
                <w:sz w:val="24"/>
                <w:szCs w:val="24"/>
              </w:rPr>
            </w:pPr>
            <w:r>
              <w:rPr>
                <w:rFonts w:hint="eastAsia" w:ascii="宋体" w:hAnsi="宋体" w:eastAsia="宋体"/>
                <w:sz w:val="24"/>
                <w:szCs w:val="28"/>
              </w:rPr>
              <w:t>符合申请人的资格要求中落实政府采购政策需满足的资格要求：</w:t>
            </w:r>
          </w:p>
          <w:p w14:paraId="304086BC">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（1）专门面向中小企业采购的，供应商应提供《中小企业声明函》或《残疾人福利性单位声明函》或由省级以上监狱管理局、戒毒管理局（含新疆 生产建设兵团）出具的属于监狱企业的证明文件。</w:t>
            </w:r>
          </w:p>
        </w:tc>
        <w:tc>
          <w:tcPr>
            <w:tcW w:w="1081" w:type="pct"/>
            <w:tcBorders>
              <w:bottom w:val="single" w:color="auto" w:sz="4" w:space="0"/>
            </w:tcBorders>
            <w:vAlign w:val="center"/>
          </w:tcPr>
          <w:p w14:paraId="74531BD8">
            <w:pPr>
              <w:spacing w:after="50" w:line="360" w:lineRule="auto"/>
              <w:ind w:right="-10"/>
              <w:jc w:val="center"/>
              <w:rPr>
                <w:rFonts w:ascii="宋体" w:hAnsi="宋体" w:eastAsia="宋体" w:cs="宋体"/>
                <w:sz w:val="24"/>
                <w:szCs w:val="24"/>
              </w:rPr>
            </w:pPr>
            <w:r>
              <w:rPr>
                <w:rFonts w:hint="eastAsia" w:ascii="宋体" w:hAnsi="宋体" w:eastAsia="宋体"/>
                <w:sz w:val="24"/>
              </w:rPr>
              <w:t>详见第六章响应文件格式。</w:t>
            </w:r>
          </w:p>
        </w:tc>
      </w:tr>
      <w:tr w14:paraId="0F6F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vAlign w:val="center"/>
          </w:tcPr>
          <w:p w14:paraId="25FC73B7">
            <w:pPr>
              <w:adjustRightInd w:val="0"/>
              <w:snapToGrid w:val="0"/>
              <w:spacing w:line="360" w:lineRule="auto"/>
              <w:ind w:right="-10"/>
              <w:jc w:val="center"/>
              <w:rPr>
                <w:rFonts w:asciiTheme="minorEastAsia" w:hAnsiTheme="minorEastAsia" w:eastAsiaTheme="minorEastAsia"/>
                <w:sz w:val="24"/>
              </w:rPr>
            </w:pPr>
            <w:r>
              <w:rPr>
                <w:rFonts w:asciiTheme="minorEastAsia" w:hAnsiTheme="minorEastAsia" w:eastAsiaTheme="minorEastAsia"/>
                <w:sz w:val="24"/>
              </w:rPr>
              <w:t>5</w:t>
            </w:r>
          </w:p>
        </w:tc>
        <w:tc>
          <w:tcPr>
            <w:tcW w:w="942" w:type="pct"/>
            <w:vAlign w:val="center"/>
          </w:tcPr>
          <w:p w14:paraId="117F8438">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磋商响应函</w:t>
            </w:r>
          </w:p>
        </w:tc>
        <w:tc>
          <w:tcPr>
            <w:tcW w:w="2601" w:type="pct"/>
            <w:vAlign w:val="center"/>
          </w:tcPr>
          <w:p w14:paraId="1A950D1F">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格式、填写要求符合磋商文件规定并加盖供应商电子签章</w:t>
            </w:r>
          </w:p>
        </w:tc>
        <w:tc>
          <w:tcPr>
            <w:tcW w:w="1081" w:type="pct"/>
            <w:vAlign w:val="center"/>
          </w:tcPr>
          <w:p w14:paraId="39F0271A">
            <w:pPr>
              <w:adjustRightInd w:val="0"/>
              <w:snapToGrid w:val="0"/>
              <w:spacing w:line="360" w:lineRule="auto"/>
              <w:ind w:right="-10"/>
              <w:jc w:val="center"/>
              <w:rPr>
                <w:rFonts w:asciiTheme="minorEastAsia" w:hAnsiTheme="minorEastAsia" w:eastAsiaTheme="minorEastAsia"/>
                <w:sz w:val="24"/>
              </w:rPr>
            </w:pPr>
            <w:r>
              <w:rPr>
                <w:rFonts w:hint="eastAsia" w:ascii="宋体" w:hAnsi="宋体" w:eastAsia="宋体"/>
                <w:sz w:val="24"/>
              </w:rPr>
              <w:t>详见第六章响应文件格式。</w:t>
            </w:r>
          </w:p>
        </w:tc>
      </w:tr>
      <w:tr w14:paraId="1EC58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vAlign w:val="center"/>
          </w:tcPr>
          <w:p w14:paraId="4A3911E8">
            <w:pPr>
              <w:adjustRightInd w:val="0"/>
              <w:snapToGrid w:val="0"/>
              <w:spacing w:line="360" w:lineRule="auto"/>
              <w:ind w:right="-10"/>
              <w:jc w:val="center"/>
              <w:rPr>
                <w:rFonts w:ascii="宋体" w:hAnsi="宋体" w:eastAsia="宋体"/>
                <w:sz w:val="24"/>
              </w:rPr>
            </w:pPr>
            <w:r>
              <w:rPr>
                <w:rFonts w:asciiTheme="minorEastAsia" w:hAnsiTheme="minorEastAsia" w:eastAsiaTheme="minorEastAsia"/>
                <w:sz w:val="24"/>
              </w:rPr>
              <w:t>6</w:t>
            </w:r>
          </w:p>
        </w:tc>
        <w:tc>
          <w:tcPr>
            <w:tcW w:w="942" w:type="pct"/>
            <w:vAlign w:val="center"/>
          </w:tcPr>
          <w:p w14:paraId="0D4E0806">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授权书</w:t>
            </w:r>
          </w:p>
        </w:tc>
        <w:tc>
          <w:tcPr>
            <w:tcW w:w="2601" w:type="pct"/>
            <w:vAlign w:val="center"/>
          </w:tcPr>
          <w:p w14:paraId="47F031AD">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格式、填写要求符合</w:t>
            </w:r>
            <w:r>
              <w:rPr>
                <w:rFonts w:hint="eastAsia" w:ascii="宋体" w:hAnsi="宋体" w:eastAsia="宋体" w:cs="宋体"/>
                <w:spacing w:val="10"/>
                <w:sz w:val="24"/>
                <w:szCs w:val="24"/>
              </w:rPr>
              <w:t>磋商</w:t>
            </w:r>
            <w:r>
              <w:rPr>
                <w:rFonts w:hint="eastAsia" w:asciiTheme="minorEastAsia" w:hAnsiTheme="minorEastAsia" w:eastAsiaTheme="minorEastAsia"/>
                <w:sz w:val="24"/>
                <w:szCs w:val="28"/>
              </w:rPr>
              <w:t>文件规定并加盖</w:t>
            </w:r>
            <w:r>
              <w:rPr>
                <w:rFonts w:hint="eastAsia" w:asciiTheme="minorEastAsia" w:hAnsiTheme="minorEastAsia" w:eastAsiaTheme="minorEastAsia"/>
                <w:sz w:val="24"/>
              </w:rPr>
              <w:t>供应商</w:t>
            </w:r>
            <w:r>
              <w:rPr>
                <w:rFonts w:hint="eastAsia" w:asciiTheme="minorEastAsia" w:hAnsiTheme="minorEastAsia" w:eastAsiaTheme="minorEastAsia"/>
                <w:sz w:val="24"/>
                <w:szCs w:val="28"/>
              </w:rPr>
              <w:t>电子签章</w:t>
            </w:r>
          </w:p>
        </w:tc>
        <w:tc>
          <w:tcPr>
            <w:tcW w:w="1081" w:type="pct"/>
            <w:vAlign w:val="center"/>
          </w:tcPr>
          <w:p w14:paraId="137EF30B">
            <w:pPr>
              <w:adjustRightInd w:val="0"/>
              <w:snapToGrid w:val="0"/>
              <w:spacing w:line="360" w:lineRule="auto"/>
              <w:ind w:right="-10"/>
              <w:jc w:val="center"/>
              <w:rPr>
                <w:rFonts w:ascii="宋体" w:hAnsi="宋体" w:eastAsia="宋体" w:cs="宋体"/>
                <w:sz w:val="24"/>
                <w:szCs w:val="24"/>
              </w:rPr>
            </w:pPr>
            <w:r>
              <w:rPr>
                <w:rFonts w:hint="eastAsia" w:asciiTheme="minorEastAsia" w:hAnsiTheme="minorEastAsia" w:eastAsiaTheme="minorEastAsia"/>
                <w:sz w:val="24"/>
              </w:rPr>
              <w:t>法定代表人参加磋商的无需此件，提供身份证明即可。详见第六章响应文件格式。</w:t>
            </w:r>
          </w:p>
        </w:tc>
      </w:tr>
      <w:tr w14:paraId="252BA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vAlign w:val="center"/>
          </w:tcPr>
          <w:p w14:paraId="25E738B0">
            <w:pPr>
              <w:adjustRightInd w:val="0"/>
              <w:snapToGrid w:val="0"/>
              <w:spacing w:line="360" w:lineRule="auto"/>
              <w:ind w:right="-10"/>
              <w:jc w:val="center"/>
              <w:rPr>
                <w:rFonts w:ascii="宋体" w:hAnsi="宋体" w:eastAsia="宋体"/>
                <w:sz w:val="24"/>
              </w:rPr>
            </w:pPr>
            <w:r>
              <w:rPr>
                <w:rFonts w:asciiTheme="minorEastAsia" w:hAnsiTheme="minorEastAsia" w:eastAsiaTheme="minorEastAsia"/>
                <w:sz w:val="24"/>
              </w:rPr>
              <w:t>7</w:t>
            </w:r>
          </w:p>
        </w:tc>
        <w:tc>
          <w:tcPr>
            <w:tcW w:w="942" w:type="pct"/>
            <w:vAlign w:val="center"/>
          </w:tcPr>
          <w:p w14:paraId="4C5BBB81">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磋商报价</w:t>
            </w:r>
          </w:p>
        </w:tc>
        <w:tc>
          <w:tcPr>
            <w:tcW w:w="2601" w:type="pct"/>
            <w:vAlign w:val="center"/>
          </w:tcPr>
          <w:p w14:paraId="24D54AC3">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符合</w:t>
            </w:r>
            <w:r>
              <w:rPr>
                <w:rFonts w:hint="eastAsia" w:ascii="宋体" w:hAnsi="宋体" w:eastAsia="宋体" w:cs="宋体"/>
                <w:spacing w:val="10"/>
                <w:sz w:val="24"/>
                <w:szCs w:val="24"/>
              </w:rPr>
              <w:t>磋商</w:t>
            </w:r>
            <w:r>
              <w:rPr>
                <w:rFonts w:hint="eastAsia" w:asciiTheme="minorEastAsia" w:hAnsiTheme="minorEastAsia" w:eastAsiaTheme="minorEastAsia"/>
                <w:sz w:val="24"/>
              </w:rPr>
              <w:t>文件供应商须知正文第9条要求</w:t>
            </w:r>
          </w:p>
        </w:tc>
        <w:tc>
          <w:tcPr>
            <w:tcW w:w="1081" w:type="pct"/>
            <w:vAlign w:val="center"/>
          </w:tcPr>
          <w:p w14:paraId="1787CD67">
            <w:pPr>
              <w:adjustRightInd w:val="0"/>
              <w:snapToGrid w:val="0"/>
              <w:spacing w:line="360" w:lineRule="auto"/>
              <w:ind w:right="-10"/>
              <w:jc w:val="center"/>
              <w:rPr>
                <w:rFonts w:ascii="宋体" w:hAnsi="宋体" w:eastAsia="宋体" w:cs="宋体"/>
                <w:sz w:val="24"/>
                <w:szCs w:val="24"/>
              </w:rPr>
            </w:pPr>
            <w:r>
              <w:rPr>
                <w:rFonts w:hint="eastAsia" w:asciiTheme="minorEastAsia" w:hAnsiTheme="minorEastAsia" w:eastAsiaTheme="minorEastAsia"/>
                <w:sz w:val="24"/>
              </w:rPr>
              <w:t>详见第六章响应文件格式。</w:t>
            </w:r>
          </w:p>
        </w:tc>
      </w:tr>
      <w:tr w14:paraId="4CE8A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vAlign w:val="center"/>
          </w:tcPr>
          <w:p w14:paraId="6B116663">
            <w:pPr>
              <w:adjustRightInd w:val="0"/>
              <w:snapToGrid w:val="0"/>
              <w:spacing w:line="360" w:lineRule="auto"/>
              <w:ind w:right="-10"/>
              <w:jc w:val="center"/>
              <w:rPr>
                <w:rFonts w:ascii="宋体" w:hAnsi="宋体" w:eastAsia="宋体"/>
                <w:sz w:val="24"/>
              </w:rPr>
            </w:pPr>
            <w:r>
              <w:rPr>
                <w:rFonts w:asciiTheme="minorEastAsia" w:hAnsiTheme="minorEastAsia" w:eastAsiaTheme="minorEastAsia"/>
                <w:sz w:val="24"/>
              </w:rPr>
              <w:t>8</w:t>
            </w:r>
          </w:p>
        </w:tc>
        <w:tc>
          <w:tcPr>
            <w:tcW w:w="942" w:type="pct"/>
            <w:vAlign w:val="center"/>
          </w:tcPr>
          <w:p w14:paraId="77320A5E">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商务响应情况</w:t>
            </w:r>
          </w:p>
        </w:tc>
        <w:tc>
          <w:tcPr>
            <w:tcW w:w="2601" w:type="pct"/>
            <w:vAlign w:val="center"/>
          </w:tcPr>
          <w:p w14:paraId="55AA1355">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符合</w:t>
            </w:r>
            <w:r>
              <w:rPr>
                <w:rFonts w:hint="eastAsia" w:ascii="宋体" w:hAnsi="宋体" w:eastAsia="宋体" w:cs="宋体"/>
                <w:spacing w:val="10"/>
                <w:sz w:val="24"/>
                <w:szCs w:val="24"/>
              </w:rPr>
              <w:t>磋商</w:t>
            </w:r>
            <w:r>
              <w:rPr>
                <w:rFonts w:hint="eastAsia" w:asciiTheme="minorEastAsia" w:hAnsiTheme="minorEastAsia" w:eastAsiaTheme="minorEastAsia"/>
                <w:sz w:val="24"/>
                <w:szCs w:val="28"/>
              </w:rPr>
              <w:t>文件采购需求中对付款方式、服务地点、服务期限等实质性要求</w:t>
            </w:r>
          </w:p>
        </w:tc>
        <w:tc>
          <w:tcPr>
            <w:tcW w:w="1081" w:type="pct"/>
            <w:vAlign w:val="center"/>
          </w:tcPr>
          <w:p w14:paraId="6697F22D">
            <w:pPr>
              <w:adjustRightInd w:val="0"/>
              <w:snapToGrid w:val="0"/>
              <w:spacing w:line="360" w:lineRule="auto"/>
              <w:ind w:right="-10"/>
              <w:jc w:val="center"/>
              <w:rPr>
                <w:rFonts w:ascii="宋体" w:hAnsi="宋体" w:eastAsia="宋体" w:cs="宋体"/>
                <w:sz w:val="24"/>
                <w:szCs w:val="24"/>
              </w:rPr>
            </w:pPr>
            <w:r>
              <w:rPr>
                <w:rFonts w:hint="eastAsia" w:asciiTheme="minorEastAsia" w:hAnsiTheme="minorEastAsia" w:eastAsiaTheme="minorEastAsia"/>
                <w:sz w:val="24"/>
              </w:rPr>
              <w:t>详见第六章响应文件格式。</w:t>
            </w:r>
          </w:p>
        </w:tc>
      </w:tr>
      <w:tr w14:paraId="67AA9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vAlign w:val="center"/>
          </w:tcPr>
          <w:p w14:paraId="6DD663C7">
            <w:pPr>
              <w:adjustRightInd w:val="0"/>
              <w:snapToGrid w:val="0"/>
              <w:spacing w:line="360" w:lineRule="auto"/>
              <w:ind w:right="-10"/>
              <w:jc w:val="center"/>
              <w:rPr>
                <w:rFonts w:ascii="宋体" w:hAnsi="宋体" w:eastAsia="宋体"/>
                <w:sz w:val="24"/>
              </w:rPr>
            </w:pPr>
            <w:r>
              <w:rPr>
                <w:rFonts w:asciiTheme="minorEastAsia" w:hAnsiTheme="minorEastAsia" w:eastAsiaTheme="minorEastAsia"/>
                <w:sz w:val="24"/>
              </w:rPr>
              <w:t>9</w:t>
            </w:r>
          </w:p>
        </w:tc>
        <w:tc>
          <w:tcPr>
            <w:tcW w:w="942" w:type="pct"/>
            <w:vAlign w:val="center"/>
          </w:tcPr>
          <w:p w14:paraId="17D51549">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其他要求</w:t>
            </w:r>
          </w:p>
        </w:tc>
        <w:tc>
          <w:tcPr>
            <w:tcW w:w="2601" w:type="pct"/>
            <w:vAlign w:val="center"/>
          </w:tcPr>
          <w:p w14:paraId="5D6ECBBA">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符合法律、行政法规规定的其他条件或磋商文件列明的其他实质性要求</w:t>
            </w:r>
          </w:p>
        </w:tc>
        <w:tc>
          <w:tcPr>
            <w:tcW w:w="1081" w:type="pct"/>
            <w:vAlign w:val="center"/>
          </w:tcPr>
          <w:p w14:paraId="11622CC5">
            <w:pPr>
              <w:adjustRightInd w:val="0"/>
              <w:snapToGrid w:val="0"/>
              <w:spacing w:line="360" w:lineRule="auto"/>
              <w:ind w:right="-10"/>
              <w:jc w:val="center"/>
              <w:rPr>
                <w:rFonts w:ascii="宋体" w:hAnsi="宋体" w:eastAsia="宋体" w:cs="宋体"/>
                <w:sz w:val="24"/>
                <w:szCs w:val="24"/>
              </w:rPr>
            </w:pPr>
          </w:p>
        </w:tc>
      </w:tr>
    </w:tbl>
    <w:p w14:paraId="234E52D4">
      <w:pPr>
        <w:spacing w:line="360" w:lineRule="auto"/>
        <w:ind w:firstLine="435"/>
        <w:rPr>
          <w:rFonts w:asciiTheme="minorEastAsia" w:hAnsiTheme="minorEastAsia" w:eastAsiaTheme="minorEastAsia"/>
          <w:sz w:val="24"/>
        </w:rPr>
      </w:pPr>
      <w:r>
        <w:rPr>
          <w:rFonts w:hint="eastAsia" w:asciiTheme="minorEastAsia" w:hAnsiTheme="minorEastAsia" w:eastAsiaTheme="minorEastAsia"/>
          <w:b/>
          <w:bCs/>
          <w:sz w:val="24"/>
        </w:rPr>
        <w:t>初审指标通过标准：</w:t>
      </w:r>
      <w:r>
        <w:rPr>
          <w:rFonts w:hint="eastAsia" w:asciiTheme="minorEastAsia" w:hAnsiTheme="minorEastAsia" w:eastAsiaTheme="minorEastAsia"/>
          <w:sz w:val="24"/>
        </w:rPr>
        <w:t>供应商必须通过初审表中的全部评审指标。</w:t>
      </w:r>
    </w:p>
    <w:p w14:paraId="32CA0BF7">
      <w:pPr>
        <w:spacing w:line="360" w:lineRule="auto"/>
        <w:ind w:firstLine="435"/>
        <w:outlineLvl w:val="2"/>
        <w:rPr>
          <w:rFonts w:asciiTheme="minorEastAsia" w:hAnsiTheme="minorEastAsia" w:eastAsiaTheme="minorEastAsia"/>
          <w:b/>
          <w:sz w:val="24"/>
        </w:rPr>
      </w:pPr>
      <w:r>
        <w:rPr>
          <w:rFonts w:hint="eastAsia" w:asciiTheme="minorEastAsia" w:hAnsiTheme="minorEastAsia" w:eastAsiaTheme="minorEastAsia"/>
          <w:b/>
          <w:sz w:val="24"/>
        </w:rPr>
        <w:t>2.2综合评分</w:t>
      </w:r>
    </w:p>
    <w:p w14:paraId="6202FA5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磋商小组按照下表对</w:t>
      </w:r>
      <w:r>
        <w:rPr>
          <w:rFonts w:hint="eastAsia" w:ascii="宋体" w:hAnsi="宋体" w:eastAsia="宋体"/>
          <w:sz w:val="24"/>
        </w:rPr>
        <w:t>进入综合评分的所有供应商的</w:t>
      </w:r>
      <w:r>
        <w:rPr>
          <w:rFonts w:hint="eastAsia" w:asciiTheme="minorEastAsia" w:hAnsiTheme="minorEastAsia" w:eastAsiaTheme="minorEastAsia"/>
          <w:sz w:val="24"/>
        </w:rPr>
        <w:t>响应文件进行综合评分。</w:t>
      </w:r>
    </w:p>
    <w:p w14:paraId="52386AFF">
      <w:pPr>
        <w:spacing w:line="360" w:lineRule="auto"/>
        <w:ind w:firstLine="435"/>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.2</w:t>
      </w:r>
      <w:r>
        <w:rPr>
          <w:rFonts w:hint="eastAsia" w:asciiTheme="minorEastAsia" w:hAnsiTheme="minorEastAsia" w:eastAsiaTheme="minorEastAsia"/>
          <w:sz w:val="24"/>
        </w:rPr>
        <w:t>本项目综合评分满分为1</w:t>
      </w:r>
      <w:r>
        <w:rPr>
          <w:rFonts w:asciiTheme="minorEastAsia" w:hAnsiTheme="minorEastAsia" w:eastAsiaTheme="minorEastAsia"/>
          <w:sz w:val="24"/>
        </w:rPr>
        <w:t>00</w:t>
      </w:r>
      <w:r>
        <w:rPr>
          <w:rFonts w:hint="eastAsia" w:asciiTheme="minorEastAsia" w:hAnsiTheme="minorEastAsia" w:eastAsiaTheme="minorEastAsia"/>
          <w:sz w:val="24"/>
        </w:rPr>
        <w:t>分，其中：技术资信分值占总分值的权重为</w:t>
      </w:r>
      <w:r>
        <w:rPr>
          <w:rFonts w:hint="eastAsia" w:asciiTheme="minorEastAsia" w:hAnsiTheme="minorEastAsia" w:eastAsiaTheme="minorEastAsia"/>
          <w:sz w:val="24"/>
          <w:u w:val="single"/>
        </w:rPr>
        <w:t>90</w:t>
      </w:r>
      <w:r>
        <w:rPr>
          <w:rFonts w:asciiTheme="minorEastAsia" w:hAnsiTheme="minorEastAsia" w:eastAsiaTheme="minorEastAsia"/>
          <w:sz w:val="24"/>
        </w:rPr>
        <w:t>%，价格分值占总分值的权重为</w:t>
      </w:r>
      <w:r>
        <w:rPr>
          <w:rFonts w:hint="eastAsia" w:asciiTheme="minorEastAsia" w:hAnsiTheme="minorEastAsia" w:eastAsiaTheme="minorEastAsia"/>
          <w:sz w:val="24"/>
          <w:u w:val="single"/>
        </w:rPr>
        <w:t>10</w:t>
      </w:r>
      <w:r>
        <w:rPr>
          <w:rFonts w:asciiTheme="minorEastAsia" w:hAnsiTheme="minorEastAsia" w:eastAsiaTheme="minorEastAsia"/>
          <w:sz w:val="24"/>
        </w:rPr>
        <w:t>%。具体评分细则如下：</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1018"/>
        <w:gridCol w:w="4035"/>
        <w:gridCol w:w="1369"/>
      </w:tblGrid>
      <w:tr w14:paraId="170E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32" w:type="pct"/>
            <w:tcBorders>
              <w:top w:val="single" w:color="auto" w:sz="4" w:space="0"/>
              <w:left w:val="single" w:color="auto" w:sz="4" w:space="0"/>
              <w:bottom w:val="single" w:color="auto" w:sz="4" w:space="0"/>
              <w:right w:val="single" w:color="auto" w:sz="4" w:space="0"/>
            </w:tcBorders>
            <w:vAlign w:val="center"/>
          </w:tcPr>
          <w:p w14:paraId="3D85C682">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类别</w:t>
            </w:r>
          </w:p>
        </w:tc>
        <w:tc>
          <w:tcPr>
            <w:tcW w:w="597" w:type="pct"/>
            <w:tcBorders>
              <w:top w:val="single" w:color="auto" w:sz="4" w:space="0"/>
              <w:left w:val="single" w:color="auto" w:sz="4" w:space="0"/>
              <w:bottom w:val="single" w:color="auto" w:sz="4" w:space="0"/>
              <w:right w:val="single" w:color="auto" w:sz="4" w:space="0"/>
            </w:tcBorders>
            <w:vAlign w:val="center"/>
          </w:tcPr>
          <w:p w14:paraId="3E11040D">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评分内容</w:t>
            </w:r>
          </w:p>
        </w:tc>
        <w:tc>
          <w:tcPr>
            <w:tcW w:w="2367" w:type="pct"/>
            <w:tcBorders>
              <w:top w:val="single" w:color="auto" w:sz="4" w:space="0"/>
              <w:left w:val="single" w:color="auto" w:sz="4" w:space="0"/>
              <w:bottom w:val="single" w:color="auto" w:sz="4" w:space="0"/>
              <w:right w:val="single" w:color="auto" w:sz="4" w:space="0"/>
            </w:tcBorders>
            <w:vAlign w:val="center"/>
          </w:tcPr>
          <w:p w14:paraId="08C04C58">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评分标准</w:t>
            </w:r>
          </w:p>
        </w:tc>
        <w:tc>
          <w:tcPr>
            <w:tcW w:w="802" w:type="pct"/>
            <w:tcBorders>
              <w:top w:val="single" w:color="auto" w:sz="4" w:space="0"/>
              <w:left w:val="single" w:color="auto" w:sz="4" w:space="0"/>
              <w:bottom w:val="single" w:color="auto" w:sz="4" w:space="0"/>
              <w:right w:val="single" w:color="auto" w:sz="4" w:space="0"/>
            </w:tcBorders>
            <w:vAlign w:val="center"/>
          </w:tcPr>
          <w:p w14:paraId="71CEC290">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分值范围</w:t>
            </w:r>
          </w:p>
        </w:tc>
      </w:tr>
      <w:tr w14:paraId="0D87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pct"/>
            <w:vMerge w:val="restart"/>
            <w:tcBorders>
              <w:top w:val="single" w:color="auto" w:sz="4" w:space="0"/>
              <w:left w:val="single" w:color="auto" w:sz="4" w:space="0"/>
              <w:right w:val="single" w:color="auto" w:sz="4" w:space="0"/>
            </w:tcBorders>
            <w:vAlign w:val="center"/>
          </w:tcPr>
          <w:p w14:paraId="7C53CB13">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技术资信分</w:t>
            </w:r>
          </w:p>
          <w:p w14:paraId="497E3D22">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90 </w:t>
            </w:r>
            <w:r>
              <w:rPr>
                <w:rFonts w:hint="eastAsia" w:asciiTheme="minorEastAsia" w:hAnsiTheme="minorEastAsia" w:eastAsiaTheme="minorEastAsia"/>
                <w:sz w:val="24"/>
              </w:rPr>
              <w:t>分）</w:t>
            </w:r>
          </w:p>
        </w:tc>
        <w:tc>
          <w:tcPr>
            <w:tcW w:w="597" w:type="pct"/>
            <w:tcBorders>
              <w:top w:val="single" w:color="auto" w:sz="4" w:space="0"/>
              <w:left w:val="single" w:color="auto" w:sz="4" w:space="0"/>
              <w:bottom w:val="single" w:color="auto" w:sz="4" w:space="0"/>
              <w:right w:val="single" w:color="auto" w:sz="4" w:space="0"/>
            </w:tcBorders>
            <w:vAlign w:val="center"/>
          </w:tcPr>
          <w:p w14:paraId="2B1A4DA3">
            <w:pPr>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业绩</w:t>
            </w:r>
          </w:p>
        </w:tc>
        <w:tc>
          <w:tcPr>
            <w:tcW w:w="2367" w:type="pct"/>
            <w:tcBorders>
              <w:top w:val="single" w:color="auto" w:sz="4" w:space="0"/>
              <w:left w:val="single" w:color="auto" w:sz="4" w:space="0"/>
              <w:bottom w:val="single" w:color="auto" w:sz="4" w:space="0"/>
              <w:right w:val="single" w:color="auto" w:sz="4" w:space="0"/>
            </w:tcBorders>
            <w:vAlign w:val="center"/>
          </w:tcPr>
          <w:p w14:paraId="516BD7AC">
            <w:pPr>
              <w:spacing w:line="360" w:lineRule="auto"/>
              <w:jc w:val="left"/>
              <w:rPr>
                <w:rFonts w:asciiTheme="minorEastAsia" w:hAnsiTheme="minorEastAsia" w:eastAsiaTheme="minorEastAsia"/>
                <w:bCs/>
                <w:sz w:val="24"/>
              </w:rPr>
            </w:pPr>
            <w:r>
              <w:rPr>
                <w:rFonts w:hint="eastAsia" w:asciiTheme="minorEastAsia" w:hAnsiTheme="minorEastAsia" w:eastAsiaTheme="minorEastAsia"/>
                <w:bCs/>
                <w:sz w:val="24"/>
              </w:rPr>
              <w:t>2021年1月1日（以合同签订时间为准）以来：</w:t>
            </w:r>
          </w:p>
          <w:p w14:paraId="5D985875">
            <w:pPr>
              <w:spacing w:line="360" w:lineRule="auto"/>
              <w:jc w:val="left"/>
              <w:rPr>
                <w:rFonts w:asciiTheme="minorEastAsia" w:hAnsiTheme="minorEastAsia" w:eastAsiaTheme="minorEastAsia"/>
                <w:bCs/>
                <w:sz w:val="24"/>
              </w:rPr>
            </w:pPr>
            <w:r>
              <w:rPr>
                <w:rFonts w:hint="eastAsia" w:asciiTheme="minorEastAsia" w:hAnsiTheme="minorEastAsia" w:eastAsiaTheme="minorEastAsia"/>
                <w:bCs/>
                <w:sz w:val="24"/>
              </w:rPr>
              <w:t>（1）供应商每具有1个包含水质监测站运行维护业绩的得5分，最高得10分；</w:t>
            </w:r>
          </w:p>
          <w:p w14:paraId="628D6DBD">
            <w:pPr>
              <w:spacing w:line="360" w:lineRule="auto"/>
              <w:jc w:val="left"/>
              <w:rPr>
                <w:rFonts w:asciiTheme="minorEastAsia" w:hAnsiTheme="minorEastAsia" w:eastAsiaTheme="minorEastAsia"/>
                <w:bCs/>
                <w:sz w:val="24"/>
              </w:rPr>
            </w:pPr>
            <w:r>
              <w:rPr>
                <w:rFonts w:hint="eastAsia" w:asciiTheme="minorEastAsia" w:hAnsiTheme="minorEastAsia" w:eastAsiaTheme="minorEastAsia"/>
                <w:bCs/>
                <w:sz w:val="24"/>
              </w:rPr>
              <w:t>（2）供应商每具有1个水利工程调度运行信息化或泵站（水闸）监控系统运行维护服务业绩的得5分，最高得10分；</w:t>
            </w:r>
          </w:p>
          <w:p w14:paraId="63F6629B">
            <w:pPr>
              <w:spacing w:line="360" w:lineRule="auto"/>
              <w:jc w:val="left"/>
              <w:rPr>
                <w:rFonts w:asciiTheme="minorEastAsia" w:hAnsiTheme="minorEastAsia" w:eastAsiaTheme="minorEastAsia"/>
                <w:bCs/>
                <w:sz w:val="24"/>
              </w:rPr>
            </w:pPr>
            <w:r>
              <w:rPr>
                <w:rFonts w:hint="eastAsia" w:asciiTheme="minorEastAsia" w:hAnsiTheme="minorEastAsia" w:eastAsiaTheme="minorEastAsia"/>
                <w:bCs/>
                <w:sz w:val="24"/>
              </w:rPr>
              <w:t>本项最高得20分。</w:t>
            </w:r>
          </w:p>
          <w:p w14:paraId="31E22791">
            <w:pPr>
              <w:spacing w:line="360" w:lineRule="auto"/>
              <w:jc w:val="left"/>
              <w:rPr>
                <w:rFonts w:asciiTheme="minorEastAsia" w:hAnsiTheme="minorEastAsia" w:eastAsiaTheme="minorEastAsia"/>
                <w:bCs/>
                <w:sz w:val="24"/>
              </w:rPr>
            </w:pPr>
            <w:r>
              <w:rPr>
                <w:rFonts w:hint="eastAsia" w:asciiTheme="minorEastAsia" w:hAnsiTheme="minorEastAsia" w:eastAsiaTheme="minorEastAsia"/>
                <w:b/>
                <w:sz w:val="24"/>
              </w:rPr>
              <w:t>注：响应文件中须同时提供：①合同扫描件或影印件；②验收报告或业主盖章的履约完成证明材料或合同付款发票扫描件或影印件；否则不得分。</w:t>
            </w:r>
          </w:p>
        </w:tc>
        <w:tc>
          <w:tcPr>
            <w:tcW w:w="802" w:type="pct"/>
            <w:tcBorders>
              <w:top w:val="single" w:color="auto" w:sz="4" w:space="0"/>
              <w:left w:val="single" w:color="auto" w:sz="4" w:space="0"/>
              <w:bottom w:val="single" w:color="auto" w:sz="4" w:space="0"/>
              <w:right w:val="single" w:color="auto" w:sz="4" w:space="0"/>
            </w:tcBorders>
            <w:vAlign w:val="center"/>
          </w:tcPr>
          <w:p w14:paraId="6E883105">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0-20分</w:t>
            </w:r>
          </w:p>
        </w:tc>
      </w:tr>
      <w:tr w14:paraId="12DDA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pct"/>
            <w:vMerge w:val="continue"/>
            <w:tcBorders>
              <w:left w:val="single" w:color="auto" w:sz="4" w:space="0"/>
              <w:right w:val="single" w:color="auto" w:sz="4" w:space="0"/>
            </w:tcBorders>
            <w:vAlign w:val="center"/>
          </w:tcPr>
          <w:p w14:paraId="7A160638">
            <w:pPr>
              <w:spacing w:line="360" w:lineRule="auto"/>
              <w:ind w:firstLine="435"/>
              <w:jc w:val="center"/>
              <w:rPr>
                <w:rFonts w:asciiTheme="minorEastAsia" w:hAnsiTheme="minorEastAsia" w:eastAsiaTheme="minorEastAsia"/>
                <w:b/>
                <w:bCs/>
                <w:sz w:val="24"/>
              </w:rPr>
            </w:pPr>
          </w:p>
        </w:tc>
        <w:tc>
          <w:tcPr>
            <w:tcW w:w="597" w:type="pct"/>
            <w:tcBorders>
              <w:top w:val="single" w:color="auto" w:sz="4" w:space="0"/>
              <w:left w:val="single" w:color="auto" w:sz="4" w:space="0"/>
              <w:bottom w:val="single" w:color="auto" w:sz="4" w:space="0"/>
              <w:right w:val="single" w:color="auto" w:sz="4" w:space="0"/>
            </w:tcBorders>
            <w:vAlign w:val="center"/>
          </w:tcPr>
          <w:p w14:paraId="103FC2AF">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认证证书</w:t>
            </w:r>
          </w:p>
        </w:tc>
        <w:tc>
          <w:tcPr>
            <w:tcW w:w="2367" w:type="pct"/>
            <w:tcBorders>
              <w:top w:val="single" w:color="auto" w:sz="4" w:space="0"/>
              <w:left w:val="single" w:color="auto" w:sz="4" w:space="0"/>
              <w:bottom w:val="single" w:color="auto" w:sz="4" w:space="0"/>
              <w:right w:val="single" w:color="auto" w:sz="4" w:space="0"/>
            </w:tcBorders>
            <w:vAlign w:val="center"/>
          </w:tcPr>
          <w:p w14:paraId="66B7E040">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供应商具有经中国国家认证认可监督管理委员会认可机构颁发有效的质量管理体系认证证书、环境管理体系认证证书、职业健康管理体系认证证书，每提供一项得2分，满分6分。</w:t>
            </w:r>
          </w:p>
          <w:p w14:paraId="4C045614">
            <w:pPr>
              <w:spacing w:line="360" w:lineRule="auto"/>
              <w:jc w:val="left"/>
              <w:rPr>
                <w:rFonts w:asciiTheme="minorEastAsia" w:hAnsiTheme="minorEastAsia" w:eastAsiaTheme="minorEastAsia"/>
                <w:sz w:val="24"/>
              </w:rPr>
            </w:pPr>
            <w:r>
              <w:rPr>
                <w:rFonts w:hint="eastAsia" w:asciiTheme="minorEastAsia" w:hAnsiTheme="minorEastAsia" w:eastAsiaTheme="minorEastAsia"/>
                <w:b/>
                <w:bCs/>
                <w:sz w:val="24"/>
              </w:rPr>
              <w:t>注：响应文件中提供证书扫描件或影印件。</w:t>
            </w:r>
          </w:p>
        </w:tc>
        <w:tc>
          <w:tcPr>
            <w:tcW w:w="802" w:type="pct"/>
            <w:tcBorders>
              <w:top w:val="single" w:color="auto" w:sz="4" w:space="0"/>
              <w:left w:val="single" w:color="auto" w:sz="4" w:space="0"/>
              <w:bottom w:val="single" w:color="auto" w:sz="4" w:space="0"/>
              <w:right w:val="single" w:color="auto" w:sz="4" w:space="0"/>
            </w:tcBorders>
            <w:vAlign w:val="center"/>
          </w:tcPr>
          <w:p w14:paraId="5308A446">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0-6分</w:t>
            </w:r>
          </w:p>
        </w:tc>
      </w:tr>
      <w:tr w14:paraId="6BBA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pct"/>
            <w:vMerge w:val="continue"/>
            <w:tcBorders>
              <w:left w:val="single" w:color="auto" w:sz="4" w:space="0"/>
              <w:right w:val="single" w:color="auto" w:sz="4" w:space="0"/>
            </w:tcBorders>
            <w:vAlign w:val="center"/>
          </w:tcPr>
          <w:p w14:paraId="29AAA718">
            <w:pPr>
              <w:spacing w:line="360" w:lineRule="auto"/>
              <w:ind w:firstLine="435"/>
              <w:jc w:val="center"/>
              <w:rPr>
                <w:rFonts w:asciiTheme="minorEastAsia" w:hAnsiTheme="minorEastAsia" w:eastAsiaTheme="minorEastAsia"/>
                <w:b/>
                <w:bCs/>
                <w:sz w:val="24"/>
              </w:rPr>
            </w:pPr>
          </w:p>
        </w:tc>
        <w:tc>
          <w:tcPr>
            <w:tcW w:w="597" w:type="pct"/>
            <w:tcBorders>
              <w:top w:val="single" w:color="auto" w:sz="4" w:space="0"/>
              <w:left w:val="single" w:color="auto" w:sz="4" w:space="0"/>
              <w:bottom w:val="single" w:color="auto" w:sz="4" w:space="0"/>
              <w:right w:val="single" w:color="auto" w:sz="4" w:space="0"/>
            </w:tcBorders>
            <w:vAlign w:val="center"/>
          </w:tcPr>
          <w:p w14:paraId="74536681">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项目负责人专业</w:t>
            </w:r>
          </w:p>
        </w:tc>
        <w:tc>
          <w:tcPr>
            <w:tcW w:w="2367" w:type="pct"/>
            <w:tcBorders>
              <w:top w:val="single" w:color="auto" w:sz="4" w:space="0"/>
              <w:left w:val="single" w:color="auto" w:sz="4" w:space="0"/>
              <w:bottom w:val="single" w:color="auto" w:sz="4" w:space="0"/>
              <w:right w:val="single" w:color="auto" w:sz="4" w:space="0"/>
            </w:tcBorders>
            <w:shd w:val="clear" w:color="auto" w:fill="auto"/>
            <w:vAlign w:val="center"/>
          </w:tcPr>
          <w:p w14:paraId="74B97780">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本项目拟任项目负责人：</w:t>
            </w:r>
          </w:p>
          <w:p w14:paraId="4C6157DE">
            <w:pPr>
              <w:numPr>
                <w:ilvl w:val="0"/>
                <w:numId w:val="7"/>
              </w:numPr>
              <w:spacing w:line="360" w:lineRule="auto"/>
              <w:jc w:val="left"/>
            </w:pPr>
            <w:r>
              <w:rPr>
                <w:rFonts w:hint="eastAsia" w:asciiTheme="minorEastAsia" w:hAnsiTheme="minorEastAsia" w:eastAsiaTheme="minorEastAsia"/>
                <w:sz w:val="24"/>
              </w:rPr>
              <w:t>具有计算机类、自动化类或环境保护类相关专业本科及以上学历得2分；</w:t>
            </w:r>
          </w:p>
          <w:p w14:paraId="1F5572BF">
            <w:pPr>
              <w:numPr>
                <w:ilvl w:val="0"/>
                <w:numId w:val="7"/>
              </w:numPr>
              <w:spacing w:line="360" w:lineRule="auto"/>
              <w:jc w:val="left"/>
            </w:pPr>
            <w:r>
              <w:rPr>
                <w:rFonts w:hint="eastAsia" w:asciiTheme="minorEastAsia" w:hAnsiTheme="minorEastAsia" w:eastAsiaTheme="minorEastAsia"/>
                <w:sz w:val="24"/>
              </w:rPr>
              <w:t>具有计算机类、自动化类或环境保护类专业中级及以上工程师职称的得3分。</w:t>
            </w:r>
          </w:p>
          <w:p w14:paraId="3D8C4814">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本项最高得5分。</w:t>
            </w:r>
          </w:p>
          <w:p w14:paraId="55BDBCEF">
            <w:pPr>
              <w:spacing w:line="360" w:lineRule="auto"/>
              <w:jc w:val="left"/>
              <w:rPr>
                <w:rFonts w:asciiTheme="minorEastAsia" w:hAnsiTheme="minorEastAsia" w:eastAsiaTheme="minorEastAsia"/>
                <w:sz w:val="24"/>
              </w:rPr>
            </w:pPr>
            <w:r>
              <w:rPr>
                <w:rFonts w:hint="eastAsia" w:asciiTheme="minorEastAsia" w:hAnsiTheme="minorEastAsia" w:eastAsiaTheme="minorEastAsia"/>
                <w:b/>
                <w:bCs/>
                <w:sz w:val="24"/>
              </w:rPr>
              <w:t>注：响应文件中须提供证书扫描件或影印件。</w:t>
            </w:r>
          </w:p>
        </w:tc>
        <w:tc>
          <w:tcPr>
            <w:tcW w:w="802" w:type="pct"/>
            <w:tcBorders>
              <w:top w:val="single" w:color="auto" w:sz="4" w:space="0"/>
              <w:left w:val="single" w:color="auto" w:sz="4" w:space="0"/>
              <w:bottom w:val="single" w:color="auto" w:sz="4" w:space="0"/>
              <w:right w:val="single" w:color="auto" w:sz="4" w:space="0"/>
            </w:tcBorders>
            <w:vAlign w:val="center"/>
          </w:tcPr>
          <w:p w14:paraId="10FF80FA">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0-5分</w:t>
            </w:r>
          </w:p>
        </w:tc>
      </w:tr>
      <w:tr w14:paraId="6D92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pct"/>
            <w:vMerge w:val="continue"/>
            <w:tcBorders>
              <w:left w:val="single" w:color="auto" w:sz="4" w:space="0"/>
              <w:right w:val="single" w:color="auto" w:sz="4" w:space="0"/>
            </w:tcBorders>
            <w:vAlign w:val="center"/>
          </w:tcPr>
          <w:p w14:paraId="571B190A">
            <w:pPr>
              <w:spacing w:line="360" w:lineRule="auto"/>
              <w:ind w:firstLine="435"/>
              <w:jc w:val="center"/>
              <w:rPr>
                <w:rFonts w:asciiTheme="minorEastAsia" w:hAnsiTheme="minorEastAsia" w:eastAsiaTheme="minorEastAsia"/>
                <w:b/>
                <w:bCs/>
                <w:sz w:val="24"/>
              </w:rPr>
            </w:pPr>
          </w:p>
        </w:tc>
        <w:tc>
          <w:tcPr>
            <w:tcW w:w="597" w:type="pct"/>
            <w:tcBorders>
              <w:top w:val="single" w:color="auto" w:sz="4" w:space="0"/>
              <w:left w:val="single" w:color="auto" w:sz="4" w:space="0"/>
              <w:bottom w:val="single" w:color="auto" w:sz="4" w:space="0"/>
              <w:right w:val="single" w:color="auto" w:sz="4" w:space="0"/>
            </w:tcBorders>
            <w:vAlign w:val="center"/>
          </w:tcPr>
          <w:p w14:paraId="36E397BB">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项目负责人业绩</w:t>
            </w:r>
          </w:p>
        </w:tc>
        <w:tc>
          <w:tcPr>
            <w:tcW w:w="2367" w:type="pct"/>
            <w:tcBorders>
              <w:top w:val="single" w:color="auto" w:sz="4" w:space="0"/>
              <w:left w:val="single" w:color="auto" w:sz="4" w:space="0"/>
              <w:bottom w:val="single" w:color="auto" w:sz="4" w:space="0"/>
              <w:right w:val="single" w:color="auto" w:sz="4" w:space="0"/>
            </w:tcBorders>
            <w:shd w:val="clear" w:color="auto" w:fill="auto"/>
            <w:vAlign w:val="center"/>
          </w:tcPr>
          <w:p w14:paraId="42731B30">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2021年1月1日（以合同签订时间为准）以来本项目拟任项目负责人每具有1个水质监测站运行维护、</w:t>
            </w:r>
            <w:r>
              <w:rPr>
                <w:rFonts w:hint="eastAsia" w:asciiTheme="minorEastAsia" w:hAnsiTheme="minorEastAsia" w:eastAsiaTheme="minorEastAsia"/>
                <w:bCs/>
                <w:sz w:val="24"/>
              </w:rPr>
              <w:t>水利工程调度运行信息化或泵站（水闸）监控系统运行维护服务</w:t>
            </w:r>
            <w:r>
              <w:rPr>
                <w:rFonts w:hint="eastAsia" w:asciiTheme="minorEastAsia" w:hAnsiTheme="minorEastAsia" w:eastAsiaTheme="minorEastAsia"/>
                <w:sz w:val="24"/>
              </w:rPr>
              <w:t>项目负责人（或技术负责人）业绩的得4分，本项最高8分。</w:t>
            </w:r>
          </w:p>
          <w:p w14:paraId="4FBB1B12">
            <w:pPr>
              <w:spacing w:line="360" w:lineRule="auto"/>
              <w:jc w:val="left"/>
              <w:rPr>
                <w:rFonts w:asciiTheme="minorEastAsia" w:hAnsiTheme="minorEastAsia" w:eastAsiaTheme="minorEastAsia"/>
                <w:sz w:val="24"/>
              </w:rPr>
            </w:pPr>
            <w:r>
              <w:rPr>
                <w:rFonts w:hint="eastAsia" w:asciiTheme="minorEastAsia" w:hAnsiTheme="minorEastAsia" w:eastAsiaTheme="minorEastAsia"/>
                <w:b/>
                <w:bCs/>
                <w:sz w:val="24"/>
              </w:rPr>
              <w:t>注：须同时提供：①合同扫描件或影印件；②验收报告或业主盖章的履约完成证明材料或合同付款发票扫描件或影印件。上述证明材料中须体现项目负责人姓名，否则不得分。</w:t>
            </w:r>
          </w:p>
        </w:tc>
        <w:tc>
          <w:tcPr>
            <w:tcW w:w="802" w:type="pct"/>
            <w:tcBorders>
              <w:top w:val="single" w:color="auto" w:sz="4" w:space="0"/>
              <w:left w:val="single" w:color="auto" w:sz="4" w:space="0"/>
              <w:bottom w:val="single" w:color="auto" w:sz="4" w:space="0"/>
              <w:right w:val="single" w:color="auto" w:sz="4" w:space="0"/>
            </w:tcBorders>
            <w:vAlign w:val="center"/>
          </w:tcPr>
          <w:p w14:paraId="4281C713">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0-8分</w:t>
            </w:r>
          </w:p>
        </w:tc>
      </w:tr>
      <w:tr w14:paraId="2897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pct"/>
            <w:vMerge w:val="continue"/>
            <w:tcBorders>
              <w:left w:val="single" w:color="auto" w:sz="4" w:space="0"/>
              <w:right w:val="single" w:color="auto" w:sz="4" w:space="0"/>
            </w:tcBorders>
            <w:vAlign w:val="center"/>
          </w:tcPr>
          <w:p w14:paraId="1CD52388">
            <w:pPr>
              <w:spacing w:line="360" w:lineRule="auto"/>
              <w:ind w:firstLine="435"/>
              <w:jc w:val="center"/>
              <w:rPr>
                <w:rFonts w:asciiTheme="minorEastAsia" w:hAnsiTheme="minorEastAsia" w:eastAsiaTheme="minorEastAsia"/>
                <w:b/>
                <w:bCs/>
                <w:sz w:val="24"/>
              </w:rPr>
            </w:pPr>
          </w:p>
        </w:tc>
        <w:tc>
          <w:tcPr>
            <w:tcW w:w="597" w:type="pct"/>
            <w:tcBorders>
              <w:top w:val="single" w:color="auto" w:sz="4" w:space="0"/>
              <w:left w:val="single" w:color="auto" w:sz="4" w:space="0"/>
              <w:bottom w:val="single" w:color="auto" w:sz="4" w:space="0"/>
              <w:right w:val="single" w:color="auto" w:sz="4" w:space="0"/>
            </w:tcBorders>
            <w:vAlign w:val="center"/>
          </w:tcPr>
          <w:p w14:paraId="28D5C2DA">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团队人员资信</w:t>
            </w:r>
          </w:p>
        </w:tc>
        <w:tc>
          <w:tcPr>
            <w:tcW w:w="2367" w:type="pct"/>
            <w:tcBorders>
              <w:top w:val="single" w:color="auto" w:sz="4" w:space="0"/>
              <w:left w:val="single" w:color="auto" w:sz="4" w:space="0"/>
              <w:bottom w:val="single" w:color="auto" w:sz="4" w:space="0"/>
              <w:right w:val="single" w:color="auto" w:sz="4" w:space="0"/>
            </w:tcBorders>
            <w:shd w:val="clear" w:color="auto" w:fill="auto"/>
            <w:vAlign w:val="center"/>
          </w:tcPr>
          <w:p w14:paraId="7CA26D5F">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本项目团队人员中</w:t>
            </w:r>
            <w:r>
              <w:rPr>
                <w:rFonts w:hint="eastAsia" w:asciiTheme="minorEastAsia" w:hAnsiTheme="minorEastAsia" w:eastAsiaTheme="minorEastAsia"/>
                <w:sz w:val="24"/>
                <w:lang w:eastAsia="zh-CN"/>
              </w:rPr>
              <w:t>（除项目负责人外）</w:t>
            </w:r>
            <w:r>
              <w:rPr>
                <w:rFonts w:hint="eastAsia" w:asciiTheme="minorEastAsia" w:hAnsiTheme="minorEastAsia" w:eastAsiaTheme="minorEastAsia"/>
                <w:sz w:val="24"/>
              </w:rPr>
              <w:t>：</w:t>
            </w:r>
          </w:p>
          <w:p w14:paraId="2489040D">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（1）每具有1个计算机类、自动化类相关专业本科及以上学历得2分；</w:t>
            </w:r>
          </w:p>
          <w:p w14:paraId="295286AA">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（2）具有1个环境保护类专业本科及以上学历得3分；</w:t>
            </w:r>
          </w:p>
          <w:p w14:paraId="6ECB369F">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（3）每具有1个计算机类、自动化类或环境保护类专业中级及以上工程师职称的得4分；</w:t>
            </w:r>
          </w:p>
          <w:p w14:paraId="2137F0BF">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（4）每具有1个环境保护设施运行人员环境自动监控（水）运行合格证书的得2分；</w:t>
            </w:r>
          </w:p>
          <w:p w14:paraId="3AFF22E4">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本项最高得11分。</w:t>
            </w:r>
          </w:p>
          <w:p w14:paraId="029C9241">
            <w:pPr>
              <w:spacing w:line="360" w:lineRule="auto"/>
              <w:jc w:val="left"/>
              <w:rPr>
                <w:rFonts w:asciiTheme="minorEastAsia" w:hAnsiTheme="minorEastAsia" w:eastAsiaTheme="minorEastAsia"/>
                <w:sz w:val="24"/>
              </w:rPr>
            </w:pPr>
            <w:r>
              <w:rPr>
                <w:rFonts w:hint="eastAsia" w:asciiTheme="minorEastAsia" w:hAnsiTheme="minorEastAsia" w:eastAsiaTheme="minorEastAsia"/>
                <w:b/>
                <w:bCs/>
                <w:sz w:val="24"/>
              </w:rPr>
              <w:t>注：响应文件中须提供毕业证书、职称证书、合格证书扫描件或影印件，业绩证明材料须体现人员姓名，否则不得分。</w:t>
            </w:r>
          </w:p>
        </w:tc>
        <w:tc>
          <w:tcPr>
            <w:tcW w:w="802" w:type="pct"/>
            <w:tcBorders>
              <w:top w:val="single" w:color="auto" w:sz="4" w:space="0"/>
              <w:left w:val="single" w:color="auto" w:sz="4" w:space="0"/>
              <w:bottom w:val="single" w:color="auto" w:sz="4" w:space="0"/>
              <w:right w:val="single" w:color="auto" w:sz="4" w:space="0"/>
            </w:tcBorders>
            <w:vAlign w:val="center"/>
          </w:tcPr>
          <w:p w14:paraId="34C0CCED">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0-11分</w:t>
            </w:r>
          </w:p>
        </w:tc>
      </w:tr>
      <w:tr w14:paraId="5727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pct"/>
            <w:vMerge w:val="continue"/>
            <w:tcBorders>
              <w:left w:val="single" w:color="auto" w:sz="4" w:space="0"/>
              <w:right w:val="single" w:color="auto" w:sz="4" w:space="0"/>
            </w:tcBorders>
            <w:vAlign w:val="center"/>
          </w:tcPr>
          <w:p w14:paraId="5F01F989">
            <w:pPr>
              <w:spacing w:line="360" w:lineRule="auto"/>
              <w:ind w:firstLine="435"/>
              <w:jc w:val="center"/>
              <w:rPr>
                <w:rFonts w:asciiTheme="minorEastAsia" w:hAnsiTheme="minorEastAsia" w:eastAsiaTheme="minorEastAsia"/>
                <w:b/>
                <w:bCs/>
                <w:sz w:val="24"/>
              </w:rPr>
            </w:pPr>
          </w:p>
        </w:tc>
        <w:tc>
          <w:tcPr>
            <w:tcW w:w="597" w:type="pct"/>
            <w:tcBorders>
              <w:top w:val="single" w:color="auto" w:sz="4" w:space="0"/>
              <w:left w:val="single" w:color="auto" w:sz="4" w:space="0"/>
              <w:bottom w:val="single" w:color="auto" w:sz="4" w:space="0"/>
              <w:right w:val="single" w:color="auto" w:sz="4" w:space="0"/>
            </w:tcBorders>
            <w:vAlign w:val="center"/>
          </w:tcPr>
          <w:p w14:paraId="2F1F5BD0">
            <w:pPr>
              <w:spacing w:line="360" w:lineRule="auto"/>
              <w:jc w:val="center"/>
              <w:rPr>
                <w:rFonts w:asciiTheme="minorEastAsia" w:hAnsiTheme="minorEastAsia" w:eastAsiaTheme="minorEastAsia"/>
                <w:sz w:val="24"/>
              </w:rPr>
            </w:pPr>
            <w:r>
              <w:rPr>
                <w:rFonts w:hint="eastAsia" w:ascii="宋体" w:hAnsi="宋体" w:eastAsia="宋体"/>
                <w:sz w:val="24"/>
                <w:szCs w:val="24"/>
              </w:rPr>
              <w:t>项目理解及需求分析</w:t>
            </w:r>
          </w:p>
        </w:tc>
        <w:tc>
          <w:tcPr>
            <w:tcW w:w="2367" w:type="pct"/>
            <w:tcBorders>
              <w:top w:val="single" w:color="auto" w:sz="4" w:space="0"/>
              <w:left w:val="single" w:color="auto" w:sz="4" w:space="0"/>
              <w:bottom w:val="single" w:color="auto" w:sz="4" w:space="0"/>
              <w:right w:val="single" w:color="auto" w:sz="4" w:space="0"/>
            </w:tcBorders>
            <w:shd w:val="clear" w:color="auto" w:fill="auto"/>
            <w:vAlign w:val="center"/>
          </w:tcPr>
          <w:p w14:paraId="53B40EB4">
            <w:pPr>
              <w:pStyle w:val="13"/>
              <w:spacing w:line="440" w:lineRule="exact"/>
              <w:rPr>
                <w:rFonts w:hAnsi="宋体" w:eastAsia="宋体"/>
                <w:bCs/>
                <w:sz w:val="24"/>
                <w:szCs w:val="24"/>
              </w:rPr>
            </w:pPr>
            <w:r>
              <w:rPr>
                <w:rFonts w:hint="eastAsia" w:hAnsi="宋体" w:eastAsia="宋体"/>
                <w:bCs/>
                <w:sz w:val="24"/>
                <w:szCs w:val="24"/>
              </w:rPr>
              <w:t xml:space="preserve">根据供应商对项目理解及需求分析情况进行综合评分： </w:t>
            </w:r>
          </w:p>
          <w:p w14:paraId="30D6A40A">
            <w:pPr>
              <w:pStyle w:val="13"/>
              <w:spacing w:line="440" w:lineRule="exact"/>
              <w:rPr>
                <w:rFonts w:hAnsi="宋体" w:eastAsia="宋体"/>
                <w:bCs/>
                <w:sz w:val="24"/>
                <w:szCs w:val="24"/>
              </w:rPr>
            </w:pPr>
            <w:r>
              <w:rPr>
                <w:rFonts w:hint="eastAsia" w:hAnsi="宋体" w:eastAsia="宋体"/>
                <w:bCs/>
                <w:sz w:val="24"/>
                <w:szCs w:val="24"/>
              </w:rPr>
              <w:t>（1）项目理解较深刻，需求分析准确透彻、条理清晰，有详细的服务数据，项目与重点与难点分析准确到位、应对措施可行和高效，符合项目实际的，得5分；</w:t>
            </w:r>
          </w:p>
          <w:p w14:paraId="3978FFA1">
            <w:pPr>
              <w:pStyle w:val="13"/>
              <w:spacing w:line="440" w:lineRule="exact"/>
              <w:rPr>
                <w:rFonts w:hAnsi="宋体" w:eastAsia="宋体"/>
                <w:bCs/>
                <w:sz w:val="24"/>
                <w:szCs w:val="24"/>
              </w:rPr>
            </w:pPr>
            <w:r>
              <w:rPr>
                <w:rFonts w:hint="eastAsia" w:hAnsi="宋体" w:eastAsia="宋体"/>
                <w:bCs/>
                <w:sz w:val="24"/>
                <w:szCs w:val="24"/>
              </w:rPr>
              <w:t xml:space="preserve">（2）项目理解深刻，需求分析较准确透彻、条理较清晰，项目与重点与难点分析较准确到位、应对措施较可行和较高效，较符合项目实际的，得3分； </w:t>
            </w:r>
          </w:p>
          <w:p w14:paraId="577A5C91">
            <w:pPr>
              <w:pStyle w:val="13"/>
              <w:spacing w:line="440" w:lineRule="exact"/>
              <w:rPr>
                <w:rFonts w:hAnsi="宋体" w:eastAsia="宋体"/>
                <w:bCs/>
                <w:sz w:val="24"/>
                <w:szCs w:val="24"/>
              </w:rPr>
            </w:pPr>
            <w:r>
              <w:rPr>
                <w:rFonts w:hint="eastAsia" w:hAnsi="宋体" w:eastAsia="宋体"/>
                <w:bCs/>
                <w:sz w:val="24"/>
                <w:szCs w:val="24"/>
              </w:rPr>
              <w:t xml:space="preserve">（3）项目理解及需求、重点难点分析一般，基本符合项目实际的，得1分； </w:t>
            </w:r>
          </w:p>
          <w:p w14:paraId="25E75257">
            <w:pPr>
              <w:spacing w:line="360" w:lineRule="auto"/>
              <w:jc w:val="left"/>
              <w:rPr>
                <w:rFonts w:asciiTheme="minorEastAsia" w:hAnsiTheme="minorEastAsia" w:eastAsiaTheme="minorEastAsia"/>
                <w:sz w:val="24"/>
              </w:rPr>
            </w:pPr>
            <w:r>
              <w:rPr>
                <w:rFonts w:hint="eastAsia" w:ascii="宋体" w:hAnsi="宋体" w:eastAsia="宋体"/>
                <w:bCs/>
                <w:sz w:val="24"/>
                <w:szCs w:val="24"/>
              </w:rPr>
              <w:t>（4）未提供相关内容不得分。</w:t>
            </w:r>
          </w:p>
        </w:tc>
        <w:tc>
          <w:tcPr>
            <w:tcW w:w="802" w:type="pct"/>
            <w:tcBorders>
              <w:top w:val="single" w:color="auto" w:sz="4" w:space="0"/>
              <w:left w:val="single" w:color="auto" w:sz="4" w:space="0"/>
              <w:bottom w:val="single" w:color="auto" w:sz="4" w:space="0"/>
              <w:right w:val="single" w:color="auto" w:sz="4" w:space="0"/>
            </w:tcBorders>
            <w:vAlign w:val="center"/>
          </w:tcPr>
          <w:p w14:paraId="5B9A311E">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0-5分</w:t>
            </w:r>
          </w:p>
        </w:tc>
      </w:tr>
      <w:tr w14:paraId="4E70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pct"/>
            <w:vMerge w:val="continue"/>
            <w:tcBorders>
              <w:left w:val="single" w:color="auto" w:sz="4" w:space="0"/>
              <w:right w:val="single" w:color="auto" w:sz="4" w:space="0"/>
            </w:tcBorders>
            <w:vAlign w:val="center"/>
          </w:tcPr>
          <w:p w14:paraId="6A947F6C">
            <w:pPr>
              <w:spacing w:line="360" w:lineRule="auto"/>
              <w:ind w:firstLine="435"/>
              <w:jc w:val="center"/>
              <w:rPr>
                <w:rFonts w:asciiTheme="minorEastAsia" w:hAnsiTheme="minorEastAsia" w:eastAsiaTheme="minorEastAsia"/>
                <w:b/>
                <w:bCs/>
                <w:sz w:val="24"/>
              </w:rPr>
            </w:pPr>
          </w:p>
        </w:tc>
        <w:tc>
          <w:tcPr>
            <w:tcW w:w="597" w:type="pct"/>
            <w:tcBorders>
              <w:top w:val="single" w:color="auto" w:sz="4" w:space="0"/>
              <w:left w:val="single" w:color="auto" w:sz="4" w:space="0"/>
              <w:bottom w:val="single" w:color="auto" w:sz="4" w:space="0"/>
              <w:right w:val="single" w:color="auto" w:sz="4" w:space="0"/>
            </w:tcBorders>
            <w:vAlign w:val="center"/>
          </w:tcPr>
          <w:p w14:paraId="373A9676">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总体方案</w:t>
            </w:r>
          </w:p>
        </w:tc>
        <w:tc>
          <w:tcPr>
            <w:tcW w:w="2367" w:type="pct"/>
            <w:tcBorders>
              <w:top w:val="single" w:color="auto" w:sz="4" w:space="0"/>
              <w:left w:val="single" w:color="auto" w:sz="4" w:space="0"/>
              <w:bottom w:val="single" w:color="auto" w:sz="4" w:space="0"/>
              <w:right w:val="single" w:color="auto" w:sz="4" w:space="0"/>
            </w:tcBorders>
            <w:shd w:val="clear" w:color="auto" w:fill="auto"/>
            <w:vAlign w:val="center"/>
          </w:tcPr>
          <w:p w14:paraId="7EED7BE6">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总体方案需至少包含管理机构组建、制度建设、操作规程、各种预案、安全生产等内容。根据以以上因素进行评审：</w:t>
            </w:r>
          </w:p>
          <w:p w14:paraId="3BCD4E71">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（1）方案全面,内容完整详尽,科学合理，与本项目特点结合紧密，可行性、实用性、针对性强，得5分；</w:t>
            </w:r>
          </w:p>
          <w:p w14:paraId="5326806C">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（2）方案基本全面，内容较为完整，与本项目特点有较好结合，具有可行性、实用性、针对性，得3分；</w:t>
            </w:r>
          </w:p>
          <w:p w14:paraId="71C69822">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（3）方案简单，基本满足项目需求，可行性、实用性、针对性有待进一步改善，得1分。</w:t>
            </w:r>
          </w:p>
          <w:p w14:paraId="069C29F2">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（4）方案不可行或者未提供，不得分。</w:t>
            </w:r>
          </w:p>
        </w:tc>
        <w:tc>
          <w:tcPr>
            <w:tcW w:w="802" w:type="pct"/>
            <w:tcBorders>
              <w:top w:val="single" w:color="auto" w:sz="4" w:space="0"/>
              <w:left w:val="single" w:color="auto" w:sz="4" w:space="0"/>
              <w:bottom w:val="single" w:color="auto" w:sz="4" w:space="0"/>
              <w:right w:val="single" w:color="auto" w:sz="4" w:space="0"/>
            </w:tcBorders>
            <w:vAlign w:val="center"/>
          </w:tcPr>
          <w:p w14:paraId="10A4C080">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0-5分</w:t>
            </w:r>
          </w:p>
        </w:tc>
      </w:tr>
      <w:tr w14:paraId="2F906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pct"/>
            <w:vMerge w:val="continue"/>
            <w:tcBorders>
              <w:left w:val="single" w:color="auto" w:sz="4" w:space="0"/>
              <w:right w:val="single" w:color="auto" w:sz="4" w:space="0"/>
            </w:tcBorders>
            <w:vAlign w:val="center"/>
          </w:tcPr>
          <w:p w14:paraId="2DAEBC81">
            <w:pPr>
              <w:spacing w:line="360" w:lineRule="auto"/>
              <w:ind w:firstLine="435"/>
              <w:jc w:val="center"/>
              <w:rPr>
                <w:rFonts w:asciiTheme="minorEastAsia" w:hAnsiTheme="minorEastAsia" w:eastAsiaTheme="minorEastAsia"/>
                <w:b/>
                <w:bCs/>
                <w:sz w:val="24"/>
              </w:rPr>
            </w:pPr>
          </w:p>
        </w:tc>
        <w:tc>
          <w:tcPr>
            <w:tcW w:w="597" w:type="pct"/>
            <w:tcBorders>
              <w:top w:val="single" w:color="auto" w:sz="4" w:space="0"/>
              <w:left w:val="single" w:color="auto" w:sz="4" w:space="0"/>
              <w:bottom w:val="single" w:color="auto" w:sz="4" w:space="0"/>
              <w:right w:val="single" w:color="auto" w:sz="4" w:space="0"/>
            </w:tcBorders>
            <w:vAlign w:val="center"/>
          </w:tcPr>
          <w:p w14:paraId="4F971C8B">
            <w:pPr>
              <w:spacing w:line="440" w:lineRule="exact"/>
              <w:jc w:val="center"/>
              <w:rPr>
                <w:rFonts w:asciiTheme="minorEastAsia" w:hAnsiTheme="minorEastAsia" w:eastAsiaTheme="minorEastAsia"/>
                <w:sz w:val="24"/>
              </w:rPr>
            </w:pPr>
            <w:r>
              <w:rPr>
                <w:rFonts w:hint="eastAsia" w:ascii="宋体" w:hAnsi="宋体" w:eastAsia="宋体"/>
                <w:sz w:val="24"/>
                <w:szCs w:val="24"/>
              </w:rPr>
              <w:t>项目工作进度安排方案</w:t>
            </w:r>
          </w:p>
        </w:tc>
        <w:tc>
          <w:tcPr>
            <w:tcW w:w="2367" w:type="pct"/>
            <w:tcBorders>
              <w:top w:val="single" w:color="auto" w:sz="4" w:space="0"/>
              <w:left w:val="single" w:color="auto" w:sz="4" w:space="0"/>
              <w:bottom w:val="single" w:color="auto" w:sz="4" w:space="0"/>
              <w:right w:val="single" w:color="auto" w:sz="4" w:space="0"/>
            </w:tcBorders>
            <w:shd w:val="clear" w:color="auto" w:fill="auto"/>
            <w:vAlign w:val="center"/>
          </w:tcPr>
          <w:p w14:paraId="23A2596C">
            <w:pPr>
              <w:spacing w:line="440" w:lineRule="exact"/>
              <w:rPr>
                <w:rFonts w:ascii="宋体" w:hAnsi="宋体" w:eastAsia="宋体"/>
                <w:sz w:val="24"/>
                <w:szCs w:val="24"/>
              </w:rPr>
            </w:pPr>
            <w:r>
              <w:rPr>
                <w:rFonts w:hint="eastAsia" w:ascii="宋体" w:hAnsi="宋体" w:eastAsia="宋体"/>
                <w:sz w:val="24"/>
                <w:szCs w:val="24"/>
              </w:rPr>
              <w:t>根据供应商针对本项目的岗前培训方案进行综合评审：</w:t>
            </w:r>
          </w:p>
          <w:p w14:paraId="600B4F38">
            <w:pPr>
              <w:spacing w:line="440" w:lineRule="exact"/>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1）岗前培训方案步骤详细，方法明确，有助于理解和学习，</w:t>
            </w:r>
          </w:p>
          <w:p w14:paraId="3B083EA3">
            <w:pPr>
              <w:spacing w:line="440" w:lineRule="exact"/>
              <w:rPr>
                <w:rFonts w:ascii="宋体" w:hAnsi="宋体" w:eastAsia="宋体"/>
                <w:sz w:val="24"/>
                <w:szCs w:val="24"/>
              </w:rPr>
            </w:pPr>
            <w:r>
              <w:rPr>
                <w:rFonts w:hint="eastAsia" w:ascii="宋体" w:hAnsi="宋体" w:eastAsia="宋体"/>
                <w:sz w:val="24"/>
                <w:szCs w:val="24"/>
              </w:rPr>
              <w:t>能够促进项目高效开展的，得</w:t>
            </w:r>
            <w:r>
              <w:rPr>
                <w:rFonts w:ascii="宋体" w:hAnsi="宋体" w:eastAsia="宋体"/>
                <w:sz w:val="24"/>
                <w:szCs w:val="24"/>
              </w:rPr>
              <w:t xml:space="preserve"> 5 分；</w:t>
            </w:r>
          </w:p>
          <w:p w14:paraId="257DE242">
            <w:pPr>
              <w:spacing w:line="440" w:lineRule="exact"/>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2）岗前培训方案步骤完整，方法简单，可以实现项目采购目</w:t>
            </w:r>
          </w:p>
          <w:p w14:paraId="5594F3F9">
            <w:pPr>
              <w:spacing w:line="440" w:lineRule="exact"/>
              <w:rPr>
                <w:rFonts w:ascii="宋体" w:hAnsi="宋体" w:eastAsia="宋体"/>
                <w:sz w:val="24"/>
                <w:szCs w:val="24"/>
              </w:rPr>
            </w:pPr>
            <w:r>
              <w:rPr>
                <w:rFonts w:hint="eastAsia" w:ascii="宋体" w:hAnsi="宋体" w:eastAsia="宋体"/>
                <w:sz w:val="24"/>
                <w:szCs w:val="24"/>
              </w:rPr>
              <w:t>标的，得</w:t>
            </w:r>
            <w:r>
              <w:rPr>
                <w:rFonts w:ascii="宋体" w:hAnsi="宋体" w:eastAsia="宋体"/>
                <w:sz w:val="24"/>
                <w:szCs w:val="24"/>
              </w:rPr>
              <w:t xml:space="preserve"> 3 分；</w:t>
            </w:r>
          </w:p>
          <w:p w14:paraId="7FB209FD">
            <w:pPr>
              <w:spacing w:line="440" w:lineRule="exact"/>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3）岗前培训方案有待进一步细化，需要进一步理解采购需求</w:t>
            </w:r>
          </w:p>
          <w:p w14:paraId="3FBB7800">
            <w:pPr>
              <w:spacing w:line="440" w:lineRule="exact"/>
              <w:rPr>
                <w:rFonts w:ascii="宋体" w:hAnsi="宋体" w:eastAsia="宋体"/>
                <w:sz w:val="24"/>
                <w:szCs w:val="24"/>
              </w:rPr>
            </w:pPr>
            <w:r>
              <w:rPr>
                <w:rFonts w:hint="eastAsia" w:ascii="宋体" w:hAnsi="宋体" w:eastAsia="宋体"/>
                <w:sz w:val="24"/>
                <w:szCs w:val="24"/>
              </w:rPr>
              <w:t>的，得</w:t>
            </w:r>
            <w:r>
              <w:rPr>
                <w:rFonts w:ascii="宋体" w:hAnsi="宋体" w:eastAsia="宋体"/>
                <w:sz w:val="24"/>
                <w:szCs w:val="24"/>
              </w:rPr>
              <w:t xml:space="preserve"> 1 分；</w:t>
            </w:r>
          </w:p>
          <w:p w14:paraId="6FA6EF31">
            <w:pPr>
              <w:spacing w:line="440" w:lineRule="exact"/>
              <w:rPr>
                <w:rFonts w:asciiTheme="minorEastAsia" w:hAnsiTheme="minorEastAsia" w:eastAsiaTheme="minorEastAsia"/>
                <w:sz w:val="24"/>
              </w:rPr>
            </w:pPr>
            <w:r>
              <w:rPr>
                <w:rFonts w:hint="eastAsia" w:ascii="宋体" w:hAnsi="宋体" w:eastAsia="宋体"/>
                <w:sz w:val="24"/>
                <w:szCs w:val="24"/>
              </w:rPr>
              <w:t>（</w:t>
            </w:r>
            <w:r>
              <w:rPr>
                <w:rFonts w:ascii="宋体" w:hAnsi="宋体" w:eastAsia="宋体"/>
                <w:sz w:val="24"/>
                <w:szCs w:val="24"/>
              </w:rPr>
              <w:t>4）未提供的不得分。</w:t>
            </w:r>
          </w:p>
        </w:tc>
        <w:tc>
          <w:tcPr>
            <w:tcW w:w="802" w:type="pct"/>
            <w:tcBorders>
              <w:top w:val="single" w:color="auto" w:sz="4" w:space="0"/>
              <w:left w:val="single" w:color="auto" w:sz="4" w:space="0"/>
              <w:bottom w:val="single" w:color="auto" w:sz="4" w:space="0"/>
              <w:right w:val="single" w:color="auto" w:sz="4" w:space="0"/>
            </w:tcBorders>
            <w:vAlign w:val="center"/>
          </w:tcPr>
          <w:p w14:paraId="4C39C723">
            <w:pPr>
              <w:spacing w:line="440" w:lineRule="exact"/>
              <w:jc w:val="center"/>
              <w:rPr>
                <w:rFonts w:asciiTheme="minorEastAsia" w:hAnsiTheme="minorEastAsia" w:eastAsiaTheme="minorEastAsia"/>
                <w:b/>
                <w:bCs/>
                <w:sz w:val="24"/>
              </w:rPr>
            </w:pPr>
            <w:r>
              <w:rPr>
                <w:rFonts w:hint="eastAsia" w:asciiTheme="minorEastAsia" w:hAnsiTheme="minorEastAsia" w:eastAsiaTheme="minorEastAsia"/>
                <w:b/>
                <w:bCs/>
                <w:sz w:val="24"/>
              </w:rPr>
              <w:t>0-5分</w:t>
            </w:r>
          </w:p>
        </w:tc>
      </w:tr>
      <w:tr w14:paraId="021F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pct"/>
            <w:vMerge w:val="continue"/>
            <w:tcBorders>
              <w:left w:val="single" w:color="auto" w:sz="4" w:space="0"/>
              <w:right w:val="single" w:color="auto" w:sz="4" w:space="0"/>
            </w:tcBorders>
            <w:vAlign w:val="center"/>
          </w:tcPr>
          <w:p w14:paraId="51C78C96">
            <w:pPr>
              <w:spacing w:line="360" w:lineRule="auto"/>
              <w:ind w:firstLine="435"/>
              <w:jc w:val="center"/>
              <w:rPr>
                <w:rFonts w:asciiTheme="minorEastAsia" w:hAnsiTheme="minorEastAsia" w:eastAsiaTheme="minorEastAsia"/>
                <w:b/>
                <w:bCs/>
                <w:sz w:val="24"/>
              </w:rPr>
            </w:pPr>
          </w:p>
        </w:tc>
        <w:tc>
          <w:tcPr>
            <w:tcW w:w="597" w:type="pct"/>
            <w:tcBorders>
              <w:top w:val="single" w:color="auto" w:sz="4" w:space="0"/>
              <w:left w:val="single" w:color="auto" w:sz="4" w:space="0"/>
              <w:bottom w:val="single" w:color="auto" w:sz="4" w:space="0"/>
              <w:right w:val="single" w:color="auto" w:sz="4" w:space="0"/>
            </w:tcBorders>
            <w:vAlign w:val="center"/>
          </w:tcPr>
          <w:p w14:paraId="4D84061E">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调度运行中心及省管泵站中控室运维服务方案</w:t>
            </w:r>
          </w:p>
        </w:tc>
        <w:tc>
          <w:tcPr>
            <w:tcW w:w="2367" w:type="pct"/>
            <w:tcBorders>
              <w:top w:val="single" w:color="auto" w:sz="4" w:space="0"/>
              <w:left w:val="single" w:color="auto" w:sz="4" w:space="0"/>
              <w:bottom w:val="single" w:color="auto" w:sz="4" w:space="0"/>
              <w:right w:val="single" w:color="auto" w:sz="4" w:space="0"/>
            </w:tcBorders>
            <w:shd w:val="clear" w:color="auto" w:fill="auto"/>
            <w:vAlign w:val="center"/>
          </w:tcPr>
          <w:p w14:paraId="2DAED54F">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根据调度运行中心及省管泵站中控室设施设备运维服务方案进行评审：</w:t>
            </w:r>
          </w:p>
          <w:p w14:paraId="674B1CB5">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（1）方案全面,内容完整详尽,科学合理，与本项目特点结合紧密，可行性、实用性、针对性强，得5分；</w:t>
            </w:r>
          </w:p>
          <w:p w14:paraId="4663100A">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（2）方案基本全面，内容较为完整，与本项目特点有较好结合，具有可行性、实用性、针对性，得3分；</w:t>
            </w:r>
          </w:p>
          <w:p w14:paraId="5C36C976">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（3）方案简单，基本满足项目需求，可行性、实用性、针对性有待进一步改善，得1分。</w:t>
            </w:r>
          </w:p>
          <w:p w14:paraId="242E4F8D">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（4）方案不可行或者未提供，不得分。</w:t>
            </w:r>
          </w:p>
        </w:tc>
        <w:tc>
          <w:tcPr>
            <w:tcW w:w="802" w:type="pct"/>
            <w:tcBorders>
              <w:top w:val="single" w:color="auto" w:sz="4" w:space="0"/>
              <w:left w:val="single" w:color="auto" w:sz="4" w:space="0"/>
              <w:bottom w:val="single" w:color="auto" w:sz="4" w:space="0"/>
              <w:right w:val="single" w:color="auto" w:sz="4" w:space="0"/>
            </w:tcBorders>
            <w:vAlign w:val="center"/>
          </w:tcPr>
          <w:p w14:paraId="12FE6356">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0-5分</w:t>
            </w:r>
          </w:p>
        </w:tc>
      </w:tr>
      <w:tr w14:paraId="31B7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pct"/>
            <w:vMerge w:val="continue"/>
            <w:tcBorders>
              <w:left w:val="single" w:color="auto" w:sz="4" w:space="0"/>
              <w:right w:val="single" w:color="auto" w:sz="4" w:space="0"/>
            </w:tcBorders>
            <w:vAlign w:val="center"/>
          </w:tcPr>
          <w:p w14:paraId="279CE43B">
            <w:pPr>
              <w:spacing w:line="360" w:lineRule="auto"/>
              <w:ind w:firstLine="435"/>
              <w:jc w:val="center"/>
              <w:rPr>
                <w:rFonts w:asciiTheme="minorEastAsia" w:hAnsiTheme="minorEastAsia" w:eastAsiaTheme="minorEastAsia"/>
                <w:b/>
                <w:bCs/>
                <w:sz w:val="24"/>
              </w:rPr>
            </w:pPr>
          </w:p>
        </w:tc>
        <w:tc>
          <w:tcPr>
            <w:tcW w:w="597" w:type="pct"/>
            <w:tcBorders>
              <w:top w:val="single" w:color="auto" w:sz="4" w:space="0"/>
              <w:left w:val="single" w:color="auto" w:sz="4" w:space="0"/>
              <w:bottom w:val="single" w:color="auto" w:sz="4" w:space="0"/>
              <w:right w:val="single" w:color="auto" w:sz="4" w:space="0"/>
            </w:tcBorders>
            <w:vAlign w:val="center"/>
          </w:tcPr>
          <w:p w14:paraId="2A564913">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水质监测系统运维服务方案</w:t>
            </w:r>
          </w:p>
        </w:tc>
        <w:tc>
          <w:tcPr>
            <w:tcW w:w="2367" w:type="pct"/>
            <w:tcBorders>
              <w:top w:val="single" w:color="auto" w:sz="4" w:space="0"/>
              <w:left w:val="single" w:color="auto" w:sz="4" w:space="0"/>
              <w:bottom w:val="single" w:color="auto" w:sz="4" w:space="0"/>
              <w:right w:val="single" w:color="auto" w:sz="4" w:space="0"/>
            </w:tcBorders>
            <w:shd w:val="clear" w:color="auto" w:fill="auto"/>
            <w:vAlign w:val="center"/>
          </w:tcPr>
          <w:p w14:paraId="08A5A72C">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根据水质监测系统运维服务方案内容进行评审：</w:t>
            </w:r>
          </w:p>
          <w:p w14:paraId="28D54968">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（1）方案全面,内容完整详尽,科学合理，与本项目特点结合紧密，可行性、实用性、针对性强，得5分；</w:t>
            </w:r>
          </w:p>
          <w:p w14:paraId="1D08A0B3">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（2）方案基本全面，内容较为完整，与本项目特点有较好结合，具有可行性、实用性、针对性，得3分；</w:t>
            </w:r>
          </w:p>
          <w:p w14:paraId="21B656B1">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（3）方案简单，基本满足项目需求，可行性、实用性、针对性有待进一步改善，得1分。</w:t>
            </w:r>
          </w:p>
          <w:p w14:paraId="247DA053">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（4）方案不可行或者未提供，不得分。</w:t>
            </w:r>
          </w:p>
        </w:tc>
        <w:tc>
          <w:tcPr>
            <w:tcW w:w="802" w:type="pct"/>
            <w:tcBorders>
              <w:top w:val="single" w:color="auto" w:sz="4" w:space="0"/>
              <w:left w:val="single" w:color="auto" w:sz="4" w:space="0"/>
              <w:bottom w:val="single" w:color="auto" w:sz="4" w:space="0"/>
              <w:right w:val="single" w:color="auto" w:sz="4" w:space="0"/>
            </w:tcBorders>
            <w:vAlign w:val="center"/>
          </w:tcPr>
          <w:p w14:paraId="43E4BE75">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0-5分</w:t>
            </w:r>
          </w:p>
        </w:tc>
      </w:tr>
      <w:tr w14:paraId="21EC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pct"/>
            <w:vMerge w:val="continue"/>
            <w:tcBorders>
              <w:left w:val="single" w:color="auto" w:sz="4" w:space="0"/>
              <w:right w:val="single" w:color="auto" w:sz="4" w:space="0"/>
            </w:tcBorders>
            <w:vAlign w:val="center"/>
          </w:tcPr>
          <w:p w14:paraId="57A2D066">
            <w:pPr>
              <w:spacing w:line="360" w:lineRule="auto"/>
              <w:ind w:firstLine="435"/>
              <w:jc w:val="center"/>
              <w:rPr>
                <w:rFonts w:asciiTheme="minorEastAsia" w:hAnsiTheme="minorEastAsia" w:eastAsiaTheme="minorEastAsia"/>
                <w:b/>
                <w:bCs/>
                <w:sz w:val="24"/>
              </w:rPr>
            </w:pPr>
          </w:p>
        </w:tc>
        <w:tc>
          <w:tcPr>
            <w:tcW w:w="597" w:type="pct"/>
            <w:tcBorders>
              <w:top w:val="single" w:color="auto" w:sz="4" w:space="0"/>
              <w:left w:val="single" w:color="auto" w:sz="4" w:space="0"/>
              <w:bottom w:val="single" w:color="auto" w:sz="4" w:space="0"/>
              <w:right w:val="single" w:color="auto" w:sz="4" w:space="0"/>
            </w:tcBorders>
            <w:vAlign w:val="center"/>
          </w:tcPr>
          <w:p w14:paraId="3A9510CB">
            <w:pPr>
              <w:spacing w:line="440" w:lineRule="exact"/>
              <w:jc w:val="center"/>
              <w:rPr>
                <w:rFonts w:asciiTheme="minorEastAsia" w:hAnsiTheme="minorEastAsia" w:eastAsiaTheme="minorEastAsia"/>
                <w:sz w:val="24"/>
              </w:rPr>
            </w:pPr>
            <w:r>
              <w:rPr>
                <w:rFonts w:ascii="宋体" w:hAnsi="宋体" w:eastAsia="宋体"/>
                <w:sz w:val="24"/>
                <w:szCs w:val="24"/>
              </w:rPr>
              <w:t>人员培训方案</w:t>
            </w:r>
          </w:p>
        </w:tc>
        <w:tc>
          <w:tcPr>
            <w:tcW w:w="2367" w:type="pct"/>
            <w:tcBorders>
              <w:top w:val="single" w:color="auto" w:sz="4" w:space="0"/>
              <w:left w:val="single" w:color="auto" w:sz="4" w:space="0"/>
              <w:bottom w:val="single" w:color="auto" w:sz="4" w:space="0"/>
              <w:right w:val="single" w:color="auto" w:sz="4" w:space="0"/>
            </w:tcBorders>
            <w:shd w:val="clear" w:color="auto" w:fill="auto"/>
            <w:vAlign w:val="center"/>
          </w:tcPr>
          <w:p w14:paraId="0694AA27">
            <w:pPr>
              <w:spacing w:line="440" w:lineRule="exact"/>
              <w:rPr>
                <w:rFonts w:ascii="宋体" w:hAnsi="宋体" w:eastAsia="宋体"/>
                <w:sz w:val="24"/>
                <w:szCs w:val="24"/>
              </w:rPr>
            </w:pPr>
            <w:r>
              <w:rPr>
                <w:rFonts w:hint="eastAsia" w:ascii="宋体" w:hAnsi="宋体" w:eastAsia="宋体"/>
                <w:sz w:val="24"/>
                <w:szCs w:val="24"/>
              </w:rPr>
              <w:t>根据</w:t>
            </w:r>
            <w:r>
              <w:rPr>
                <w:rFonts w:hint="eastAsia" w:hAnsi="宋体" w:eastAsia="宋体"/>
                <w:bCs/>
                <w:sz w:val="24"/>
                <w:szCs w:val="24"/>
              </w:rPr>
              <w:t>供应商</w:t>
            </w:r>
            <w:r>
              <w:rPr>
                <w:rFonts w:hint="eastAsia" w:ascii="宋体" w:hAnsi="宋体" w:eastAsia="宋体"/>
                <w:sz w:val="24"/>
                <w:szCs w:val="24"/>
              </w:rPr>
              <w:t>提供的人员培训方案进行综合评分：</w:t>
            </w:r>
          </w:p>
          <w:p w14:paraId="3C63797E">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（1）方案全面,内容完整详尽,科学合理，与本项目特点结合紧密，可行性、实用性、针对性强，得5分；</w:t>
            </w:r>
          </w:p>
          <w:p w14:paraId="61306C99">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（2）方案基本全面，内容较为完整，与本项目特点有较好结合，具有可行性、实用性、针对性，得3分；</w:t>
            </w:r>
          </w:p>
          <w:p w14:paraId="4838E139">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（3）方案简单，基本满足项目需求，可行性、实用性、针对性有待进一步改善，得1分。</w:t>
            </w:r>
          </w:p>
          <w:p w14:paraId="79A948D8">
            <w:pPr>
              <w:spacing w:line="440" w:lineRule="exact"/>
              <w:rPr>
                <w:rFonts w:asciiTheme="minorEastAsia" w:hAnsiTheme="minorEastAsia" w:eastAsiaTheme="minorEastAsia"/>
                <w:sz w:val="24"/>
              </w:rPr>
            </w:pPr>
            <w:r>
              <w:rPr>
                <w:rFonts w:hint="eastAsia" w:asciiTheme="minorEastAsia" w:hAnsiTheme="minorEastAsia" w:eastAsiaTheme="minorEastAsia"/>
                <w:sz w:val="24"/>
              </w:rPr>
              <w:t>（4）方案不可行或者未提供，不得分。</w:t>
            </w:r>
          </w:p>
        </w:tc>
        <w:tc>
          <w:tcPr>
            <w:tcW w:w="802" w:type="pct"/>
            <w:tcBorders>
              <w:top w:val="single" w:color="auto" w:sz="4" w:space="0"/>
              <w:left w:val="single" w:color="auto" w:sz="4" w:space="0"/>
              <w:bottom w:val="single" w:color="auto" w:sz="4" w:space="0"/>
              <w:right w:val="single" w:color="auto" w:sz="4" w:space="0"/>
            </w:tcBorders>
            <w:vAlign w:val="center"/>
          </w:tcPr>
          <w:p w14:paraId="46B3F66D">
            <w:pPr>
              <w:spacing w:line="440" w:lineRule="exact"/>
              <w:jc w:val="center"/>
              <w:rPr>
                <w:rFonts w:asciiTheme="minorEastAsia" w:hAnsiTheme="minorEastAsia" w:eastAsiaTheme="minorEastAsia"/>
                <w:b/>
                <w:bCs/>
                <w:sz w:val="24"/>
              </w:rPr>
            </w:pPr>
            <w:r>
              <w:rPr>
                <w:rFonts w:hint="eastAsia" w:ascii="宋体" w:hAnsi="宋体" w:eastAsia="宋体"/>
                <w:b/>
                <w:bCs/>
                <w:sz w:val="24"/>
                <w:szCs w:val="24"/>
              </w:rPr>
              <w:t>0-5</w:t>
            </w:r>
            <w:r>
              <w:rPr>
                <w:rFonts w:hint="eastAsia" w:asciiTheme="minorEastAsia" w:hAnsiTheme="minorEastAsia" w:eastAsiaTheme="minorEastAsia"/>
                <w:b/>
                <w:bCs/>
                <w:sz w:val="24"/>
              </w:rPr>
              <w:t>分</w:t>
            </w:r>
          </w:p>
        </w:tc>
      </w:tr>
      <w:tr w14:paraId="0AE05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pct"/>
            <w:vMerge w:val="continue"/>
            <w:tcBorders>
              <w:left w:val="single" w:color="auto" w:sz="4" w:space="0"/>
              <w:right w:val="single" w:color="auto" w:sz="4" w:space="0"/>
            </w:tcBorders>
            <w:vAlign w:val="center"/>
          </w:tcPr>
          <w:p w14:paraId="7492103A">
            <w:pPr>
              <w:spacing w:line="360" w:lineRule="auto"/>
              <w:ind w:firstLine="435"/>
              <w:jc w:val="center"/>
              <w:rPr>
                <w:rFonts w:asciiTheme="minorEastAsia" w:hAnsiTheme="minorEastAsia" w:eastAsiaTheme="minorEastAsia"/>
                <w:b/>
                <w:bCs/>
                <w:sz w:val="24"/>
              </w:rPr>
            </w:pPr>
          </w:p>
        </w:tc>
        <w:tc>
          <w:tcPr>
            <w:tcW w:w="597" w:type="pct"/>
            <w:tcBorders>
              <w:top w:val="single" w:color="auto" w:sz="4" w:space="0"/>
              <w:left w:val="single" w:color="auto" w:sz="4" w:space="0"/>
              <w:bottom w:val="single" w:color="auto" w:sz="4" w:space="0"/>
              <w:right w:val="single" w:color="auto" w:sz="4" w:space="0"/>
            </w:tcBorders>
            <w:vAlign w:val="center"/>
          </w:tcPr>
          <w:p w14:paraId="2FFB0C2E">
            <w:pPr>
              <w:spacing w:line="440" w:lineRule="exact"/>
              <w:jc w:val="center"/>
              <w:rPr>
                <w:rFonts w:asciiTheme="minorEastAsia" w:hAnsiTheme="minorEastAsia" w:eastAsiaTheme="minorEastAsia"/>
                <w:sz w:val="24"/>
              </w:rPr>
            </w:pPr>
            <w:r>
              <w:rPr>
                <w:rFonts w:ascii="宋体" w:hAnsi="宋体" w:eastAsia="宋体"/>
                <w:sz w:val="24"/>
                <w:szCs w:val="24"/>
              </w:rPr>
              <w:t>应急处理预案</w:t>
            </w:r>
          </w:p>
        </w:tc>
        <w:tc>
          <w:tcPr>
            <w:tcW w:w="2367" w:type="pct"/>
            <w:tcBorders>
              <w:top w:val="single" w:color="auto" w:sz="4" w:space="0"/>
              <w:left w:val="single" w:color="auto" w:sz="4" w:space="0"/>
              <w:bottom w:val="single" w:color="auto" w:sz="4" w:space="0"/>
              <w:right w:val="single" w:color="auto" w:sz="4" w:space="0"/>
            </w:tcBorders>
            <w:shd w:val="clear" w:color="auto" w:fill="auto"/>
            <w:vAlign w:val="center"/>
          </w:tcPr>
          <w:p w14:paraId="50D48086">
            <w:pPr>
              <w:spacing w:line="440" w:lineRule="exact"/>
              <w:rPr>
                <w:rFonts w:ascii="宋体" w:hAnsi="宋体" w:eastAsia="宋体"/>
                <w:sz w:val="24"/>
                <w:szCs w:val="24"/>
              </w:rPr>
            </w:pPr>
            <w:r>
              <w:rPr>
                <w:rFonts w:hint="eastAsia" w:ascii="宋体" w:hAnsi="宋体" w:eastAsia="宋体"/>
                <w:sz w:val="24"/>
                <w:szCs w:val="24"/>
              </w:rPr>
              <w:t>根据</w:t>
            </w:r>
            <w:r>
              <w:rPr>
                <w:rFonts w:hint="eastAsia" w:hAnsi="宋体" w:eastAsia="宋体"/>
                <w:bCs/>
                <w:sz w:val="24"/>
                <w:szCs w:val="24"/>
              </w:rPr>
              <w:t>供应商</w:t>
            </w:r>
            <w:r>
              <w:rPr>
                <w:rFonts w:hint="eastAsia" w:ascii="宋体" w:hAnsi="宋体" w:eastAsia="宋体"/>
                <w:sz w:val="24"/>
                <w:szCs w:val="24"/>
              </w:rPr>
              <w:t>提供的</w:t>
            </w:r>
            <w:r>
              <w:rPr>
                <w:rFonts w:ascii="宋体" w:hAnsi="宋体" w:eastAsia="宋体"/>
                <w:sz w:val="24"/>
                <w:szCs w:val="24"/>
              </w:rPr>
              <w:t>应急处理预案</w:t>
            </w:r>
            <w:r>
              <w:rPr>
                <w:rFonts w:hint="eastAsia" w:ascii="宋体" w:hAnsi="宋体" w:eastAsia="宋体"/>
                <w:sz w:val="24"/>
                <w:szCs w:val="24"/>
              </w:rPr>
              <w:t>进行综合评分：</w:t>
            </w:r>
          </w:p>
          <w:p w14:paraId="50453026">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（1）方案全面,内容完整详尽,科学合理，与本项目特点结合紧密，可行性、实用性、针对性强，得5分；</w:t>
            </w:r>
          </w:p>
          <w:p w14:paraId="187F347E">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（2）方案基本全面，内容较为完整，与本项目特点有较好结合，具有可行性、实用性、针对性，得3分；</w:t>
            </w:r>
          </w:p>
          <w:p w14:paraId="4B46FF74">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（3）方案简单，基本满足项目需求，可行性、实用性、针对性有待进一步改善，得1分。</w:t>
            </w:r>
          </w:p>
          <w:p w14:paraId="2EFD58A1">
            <w:pPr>
              <w:spacing w:line="440" w:lineRule="exact"/>
              <w:rPr>
                <w:rFonts w:asciiTheme="minorEastAsia" w:hAnsiTheme="minorEastAsia" w:eastAsiaTheme="minorEastAsia"/>
                <w:sz w:val="24"/>
              </w:rPr>
            </w:pPr>
            <w:r>
              <w:rPr>
                <w:rFonts w:hint="eastAsia" w:asciiTheme="minorEastAsia" w:hAnsiTheme="minorEastAsia" w:eastAsiaTheme="minorEastAsia"/>
                <w:sz w:val="24"/>
              </w:rPr>
              <w:t>（4）方案不可行或者未提供，不得分。</w:t>
            </w:r>
          </w:p>
        </w:tc>
        <w:tc>
          <w:tcPr>
            <w:tcW w:w="802" w:type="pct"/>
            <w:tcBorders>
              <w:top w:val="single" w:color="auto" w:sz="4" w:space="0"/>
              <w:left w:val="single" w:color="auto" w:sz="4" w:space="0"/>
              <w:bottom w:val="single" w:color="auto" w:sz="4" w:space="0"/>
              <w:right w:val="single" w:color="auto" w:sz="4" w:space="0"/>
            </w:tcBorders>
            <w:vAlign w:val="center"/>
          </w:tcPr>
          <w:p w14:paraId="2205570F">
            <w:pPr>
              <w:spacing w:line="440" w:lineRule="exact"/>
              <w:jc w:val="center"/>
              <w:rPr>
                <w:rFonts w:asciiTheme="minorEastAsia" w:hAnsiTheme="minorEastAsia" w:eastAsiaTheme="minorEastAsia"/>
                <w:b/>
                <w:bCs/>
                <w:sz w:val="24"/>
              </w:rPr>
            </w:pPr>
            <w:r>
              <w:rPr>
                <w:rFonts w:hint="eastAsia" w:asciiTheme="minorEastAsia" w:hAnsiTheme="minorEastAsia" w:eastAsiaTheme="minorEastAsia"/>
                <w:b/>
                <w:bCs/>
                <w:sz w:val="24"/>
              </w:rPr>
              <w:t>0-5分</w:t>
            </w:r>
          </w:p>
        </w:tc>
      </w:tr>
      <w:tr w14:paraId="2EA19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pct"/>
            <w:vMerge w:val="continue"/>
            <w:tcBorders>
              <w:left w:val="single" w:color="auto" w:sz="4" w:space="0"/>
              <w:right w:val="single" w:color="auto" w:sz="4" w:space="0"/>
            </w:tcBorders>
            <w:vAlign w:val="center"/>
          </w:tcPr>
          <w:p w14:paraId="47B6EE84">
            <w:pPr>
              <w:spacing w:line="360" w:lineRule="auto"/>
              <w:ind w:firstLine="435"/>
              <w:jc w:val="center"/>
              <w:rPr>
                <w:rFonts w:asciiTheme="minorEastAsia" w:hAnsiTheme="minorEastAsia" w:eastAsiaTheme="minorEastAsia"/>
                <w:b/>
                <w:bCs/>
                <w:sz w:val="24"/>
              </w:rPr>
            </w:pPr>
          </w:p>
        </w:tc>
        <w:tc>
          <w:tcPr>
            <w:tcW w:w="597" w:type="pct"/>
            <w:tcBorders>
              <w:top w:val="single" w:color="auto" w:sz="4" w:space="0"/>
              <w:left w:val="single" w:color="auto" w:sz="4" w:space="0"/>
              <w:bottom w:val="single" w:color="auto" w:sz="4" w:space="0"/>
              <w:right w:val="single" w:color="auto" w:sz="4" w:space="0"/>
            </w:tcBorders>
            <w:vAlign w:val="center"/>
          </w:tcPr>
          <w:p w14:paraId="64E3B038">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资源配置方案</w:t>
            </w:r>
          </w:p>
        </w:tc>
        <w:tc>
          <w:tcPr>
            <w:tcW w:w="2367" w:type="pct"/>
            <w:tcBorders>
              <w:top w:val="single" w:color="auto" w:sz="4" w:space="0"/>
              <w:left w:val="single" w:color="auto" w:sz="4" w:space="0"/>
              <w:bottom w:val="single" w:color="auto" w:sz="4" w:space="0"/>
              <w:right w:val="single" w:color="auto" w:sz="4" w:space="0"/>
            </w:tcBorders>
            <w:shd w:val="clear" w:color="auto" w:fill="auto"/>
            <w:vAlign w:val="center"/>
          </w:tcPr>
          <w:p w14:paraId="50C11BC1">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根据资源配置方案内容进行评审：</w:t>
            </w:r>
          </w:p>
          <w:p w14:paraId="0725C550">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（1）方案全面,内容完整详尽,科学合理，与本项目特点结合紧密，可行性、实用性、针对性强，得5分；</w:t>
            </w:r>
          </w:p>
          <w:p w14:paraId="1552EC13">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（2）方案基本全面，内容较为完整，与本项目特点有较好结合，具有可行性、实用性、针对性，得3分；</w:t>
            </w:r>
          </w:p>
          <w:p w14:paraId="73A11A08">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（3）方案简单，基本满足项目需求，可行性、实用性、针对性有待进一步改善，得1分。</w:t>
            </w:r>
          </w:p>
          <w:p w14:paraId="45A9BD3E">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（4）方案不可行或者未提供，不得分。</w:t>
            </w:r>
          </w:p>
        </w:tc>
        <w:tc>
          <w:tcPr>
            <w:tcW w:w="802" w:type="pct"/>
            <w:tcBorders>
              <w:top w:val="single" w:color="auto" w:sz="4" w:space="0"/>
              <w:left w:val="single" w:color="auto" w:sz="4" w:space="0"/>
              <w:bottom w:val="single" w:color="auto" w:sz="4" w:space="0"/>
              <w:right w:val="single" w:color="auto" w:sz="4" w:space="0"/>
            </w:tcBorders>
            <w:vAlign w:val="center"/>
          </w:tcPr>
          <w:p w14:paraId="37D592AE">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0-5分</w:t>
            </w:r>
          </w:p>
        </w:tc>
      </w:tr>
      <w:tr w14:paraId="3412C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pct"/>
            <w:tcBorders>
              <w:left w:val="single" w:color="auto" w:sz="4" w:space="0"/>
              <w:right w:val="single" w:color="auto" w:sz="4" w:space="0"/>
            </w:tcBorders>
            <w:vAlign w:val="center"/>
          </w:tcPr>
          <w:p w14:paraId="191D1B44">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价格分</w:t>
            </w:r>
          </w:p>
          <w:p w14:paraId="06A76326">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10 </w:t>
            </w:r>
            <w:r>
              <w:rPr>
                <w:rFonts w:hint="eastAsia" w:asciiTheme="minorEastAsia" w:hAnsiTheme="minorEastAsia" w:eastAsiaTheme="minorEastAsia"/>
                <w:sz w:val="24"/>
              </w:rPr>
              <w:t>分）</w:t>
            </w:r>
          </w:p>
        </w:tc>
        <w:tc>
          <w:tcPr>
            <w:tcW w:w="3767" w:type="pct"/>
            <w:gridSpan w:val="3"/>
            <w:tcBorders>
              <w:top w:val="single" w:color="auto" w:sz="4" w:space="0"/>
              <w:left w:val="single" w:color="auto" w:sz="4" w:space="0"/>
              <w:bottom w:val="single" w:color="auto" w:sz="4" w:space="0"/>
              <w:right w:val="single" w:color="auto" w:sz="4" w:space="0"/>
            </w:tcBorders>
            <w:vAlign w:val="center"/>
          </w:tcPr>
          <w:p w14:paraId="1AA8E074">
            <w:pPr>
              <w:spacing w:line="360" w:lineRule="auto"/>
              <w:rPr>
                <w:rFonts w:asciiTheme="minorEastAsia" w:hAnsiTheme="minorEastAsia" w:eastAsiaTheme="minorEastAsia"/>
                <w:sz w:val="24"/>
              </w:rPr>
            </w:pPr>
            <w:r>
              <w:rPr>
                <w:rFonts w:hint="eastAsia" w:asciiTheme="minorEastAsia" w:hAnsiTheme="minorEastAsia" w:eastAsiaTheme="minorEastAsia"/>
                <w:sz w:val="24"/>
              </w:rPr>
              <w:t>价格分统一采用低价优先法，即满足磋商文件要求且最后报价最低的供应商的价格为磋商基准价，其价格分为满分</w:t>
            </w:r>
            <w:r>
              <w:rPr>
                <w:rFonts w:hint="eastAsia" w:asciiTheme="minorEastAsia" w:hAnsiTheme="minorEastAsia" w:eastAsiaTheme="minorEastAsia"/>
                <w:sz w:val="24"/>
                <w:u w:val="single"/>
              </w:rPr>
              <w:t xml:space="preserve"> 10 </w:t>
            </w:r>
            <w:r>
              <w:rPr>
                <w:rFonts w:hint="eastAsia" w:asciiTheme="minorEastAsia" w:hAnsiTheme="minorEastAsia" w:eastAsiaTheme="minorEastAsia"/>
                <w:sz w:val="24"/>
              </w:rPr>
              <w:t>分。其他供应商的价格分统一按照下列公式计算：</w:t>
            </w:r>
          </w:p>
          <w:p w14:paraId="7E9F7CF4">
            <w:pPr>
              <w:spacing w:line="360" w:lineRule="auto"/>
              <w:rPr>
                <w:rFonts w:asciiTheme="minorEastAsia" w:hAnsiTheme="minorEastAsia" w:eastAsiaTheme="minorEastAsia"/>
                <w:b/>
                <w:bCs/>
                <w:sz w:val="24"/>
              </w:rPr>
            </w:pPr>
            <w:r>
              <w:rPr>
                <w:rFonts w:hint="eastAsia" w:asciiTheme="minorEastAsia" w:hAnsiTheme="minorEastAsia" w:eastAsiaTheme="minorEastAsia"/>
                <w:sz w:val="24"/>
              </w:rPr>
              <w:t>磋商报价得分＝（磋商基准价/</w:t>
            </w:r>
            <w:r>
              <w:rPr>
                <w:rFonts w:hint="eastAsia" w:ascii="宋体" w:hAnsi="宋体" w:eastAsia="宋体"/>
                <w:sz w:val="24"/>
              </w:rPr>
              <w:t>最后磋商</w:t>
            </w:r>
            <w:r>
              <w:rPr>
                <w:rFonts w:hint="eastAsia" w:asciiTheme="minorEastAsia" w:hAnsiTheme="minorEastAsia" w:eastAsiaTheme="minorEastAsia"/>
                <w:sz w:val="24"/>
              </w:rPr>
              <w:t>报价）×</w:t>
            </w:r>
            <w:r>
              <w:rPr>
                <w:rFonts w:hint="eastAsia" w:asciiTheme="minorEastAsia" w:hAnsiTheme="minorEastAsia" w:eastAsiaTheme="minorEastAsia"/>
                <w:sz w:val="24"/>
                <w:u w:val="single"/>
              </w:rPr>
              <w:t xml:space="preserve"> 10 </w:t>
            </w:r>
            <w:r>
              <w:rPr>
                <w:rFonts w:hint="eastAsia" w:asciiTheme="minorEastAsia" w:hAnsiTheme="minorEastAsia" w:eastAsiaTheme="minorEastAsia"/>
                <w:sz w:val="24"/>
              </w:rPr>
              <w:t>％×100</w:t>
            </w:r>
          </w:p>
        </w:tc>
      </w:tr>
    </w:tbl>
    <w:p w14:paraId="6730792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.3</w:t>
      </w:r>
      <w:r>
        <w:rPr>
          <w:rFonts w:hint="eastAsia" w:asciiTheme="minorEastAsia" w:hAnsiTheme="minorEastAsia" w:eastAsiaTheme="minorEastAsia"/>
          <w:sz w:val="24"/>
        </w:rPr>
        <w:t>分值汇总</w:t>
      </w:r>
    </w:p>
    <w:p w14:paraId="150C1AE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1）磋商小组各成员应当独立对每个有效响应的文件进行评价、打分，然后汇总每个供应商每项评分因素的得分，再取各位评委评分之平均值，四舍五入保留至小数点后两位数，得到该供应商的技术资信分。</w:t>
      </w:r>
    </w:p>
    <w:p w14:paraId="4AB724F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2）将每个供应商的技术资信分加上根据上述标准计算出的价格分，即为该供应商的综合总得分。</w:t>
      </w:r>
    </w:p>
    <w:p w14:paraId="2981B01A">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431F9528">
      <w:pPr>
        <w:spacing w:line="360" w:lineRule="auto"/>
        <w:jc w:val="center"/>
        <w:outlineLvl w:val="0"/>
        <w:rPr>
          <w:rFonts w:asciiTheme="minorEastAsia" w:hAnsiTheme="minorEastAsia" w:eastAsiaTheme="minorEastAsia"/>
          <w:b/>
          <w:sz w:val="28"/>
        </w:rPr>
      </w:pPr>
      <w:bookmarkStart w:id="290" w:name="_Toc63440921"/>
      <w:r>
        <w:rPr>
          <w:rFonts w:hint="eastAsia" w:asciiTheme="minorEastAsia" w:hAnsiTheme="minorEastAsia" w:eastAsiaTheme="minorEastAsia"/>
          <w:b/>
          <w:sz w:val="28"/>
        </w:rPr>
        <w:t xml:space="preserve">第五章  </w:t>
      </w:r>
      <w:r>
        <w:rPr>
          <w:rFonts w:asciiTheme="minorEastAsia" w:hAnsiTheme="minorEastAsia" w:eastAsiaTheme="minorEastAsia"/>
          <w:b/>
          <w:sz w:val="28"/>
        </w:rPr>
        <w:t>政府采购合同</w:t>
      </w:r>
      <w:bookmarkEnd w:id="290"/>
    </w:p>
    <w:p w14:paraId="48780EC2">
      <w:pPr>
        <w:spacing w:line="480" w:lineRule="auto"/>
        <w:jc w:val="center"/>
        <w:rPr>
          <w:rFonts w:ascii="宋体" w:hAnsi="宋体" w:eastAsia="宋体"/>
          <w:b/>
          <w:sz w:val="24"/>
        </w:rPr>
      </w:pPr>
    </w:p>
    <w:p w14:paraId="353223EB">
      <w:pPr>
        <w:spacing w:line="480" w:lineRule="auto"/>
        <w:jc w:val="center"/>
        <w:rPr>
          <w:rFonts w:ascii="宋体" w:hAnsi="宋体" w:eastAsia="宋体"/>
          <w:b/>
          <w:sz w:val="24"/>
        </w:rPr>
      </w:pPr>
    </w:p>
    <w:p w14:paraId="02EB8BCE">
      <w:pPr>
        <w:spacing w:line="480" w:lineRule="auto"/>
        <w:jc w:val="center"/>
        <w:rPr>
          <w:rFonts w:ascii="宋体" w:hAnsi="宋体" w:eastAsia="宋体"/>
          <w:b/>
          <w:sz w:val="24"/>
        </w:rPr>
      </w:pPr>
    </w:p>
    <w:p w14:paraId="514A3871">
      <w:pPr>
        <w:spacing w:line="480" w:lineRule="auto"/>
        <w:jc w:val="center"/>
        <w:outlineLvl w:val="1"/>
        <w:rPr>
          <w:rFonts w:ascii="宋体" w:hAnsi="宋体" w:eastAsia="宋体"/>
          <w:b/>
          <w:sz w:val="32"/>
          <w:szCs w:val="32"/>
        </w:rPr>
      </w:pPr>
      <w:r>
        <w:rPr>
          <w:rFonts w:ascii="宋体" w:hAnsi="宋体" w:eastAsia="宋体"/>
          <w:b/>
          <w:sz w:val="32"/>
          <w:szCs w:val="32"/>
        </w:rPr>
        <w:t>政府采购合同</w:t>
      </w:r>
      <w:r>
        <w:rPr>
          <w:rFonts w:hint="eastAsia" w:ascii="宋体" w:hAnsi="宋体" w:eastAsia="宋体"/>
          <w:b/>
          <w:sz w:val="32"/>
          <w:szCs w:val="32"/>
        </w:rPr>
        <w:t>参考范本</w:t>
      </w:r>
    </w:p>
    <w:p w14:paraId="20084B31">
      <w:pPr>
        <w:spacing w:line="480" w:lineRule="auto"/>
        <w:jc w:val="center"/>
        <w:outlineLvl w:val="1"/>
        <w:rPr>
          <w:rFonts w:ascii="宋体" w:hAnsi="宋体" w:eastAsia="宋体"/>
          <w:b/>
          <w:sz w:val="32"/>
          <w:szCs w:val="32"/>
        </w:rPr>
      </w:pPr>
      <w:r>
        <w:rPr>
          <w:rFonts w:hint="eastAsia" w:ascii="宋体" w:hAnsi="宋体" w:eastAsia="宋体"/>
          <w:b/>
          <w:sz w:val="32"/>
          <w:szCs w:val="32"/>
        </w:rPr>
        <w:t>（服务类）</w:t>
      </w:r>
    </w:p>
    <w:p w14:paraId="1A7CBBBB">
      <w:pPr>
        <w:spacing w:line="480" w:lineRule="auto"/>
        <w:jc w:val="center"/>
        <w:rPr>
          <w:rFonts w:ascii="宋体" w:hAnsi="宋体" w:eastAsia="宋体"/>
          <w:b/>
          <w:sz w:val="24"/>
        </w:rPr>
      </w:pPr>
    </w:p>
    <w:p w14:paraId="636F2E16">
      <w:pPr>
        <w:spacing w:line="480" w:lineRule="auto"/>
        <w:jc w:val="center"/>
        <w:rPr>
          <w:rFonts w:ascii="宋体" w:hAnsi="宋体" w:eastAsia="宋体"/>
          <w:b/>
          <w:sz w:val="24"/>
        </w:rPr>
      </w:pPr>
    </w:p>
    <w:p w14:paraId="441A46E1">
      <w:pPr>
        <w:spacing w:line="480" w:lineRule="auto"/>
        <w:jc w:val="center"/>
        <w:rPr>
          <w:rFonts w:ascii="宋体" w:hAnsi="宋体" w:eastAsia="宋体"/>
          <w:b/>
          <w:sz w:val="24"/>
        </w:rPr>
      </w:pPr>
    </w:p>
    <w:p w14:paraId="4A16A8BE">
      <w:pPr>
        <w:spacing w:line="360" w:lineRule="auto"/>
        <w:jc w:val="center"/>
        <w:outlineLvl w:val="1"/>
        <w:rPr>
          <w:rFonts w:ascii="宋体" w:hAnsi="宋体" w:eastAsia="宋体"/>
          <w:b/>
          <w:sz w:val="24"/>
        </w:rPr>
      </w:pPr>
      <w:r>
        <w:rPr>
          <w:rFonts w:hint="eastAsia" w:ascii="宋体" w:hAnsi="宋体" w:eastAsia="宋体"/>
          <w:b/>
          <w:sz w:val="24"/>
        </w:rPr>
        <w:t>第一部分 合同书</w:t>
      </w:r>
    </w:p>
    <w:p w14:paraId="18DF3050">
      <w:pPr>
        <w:spacing w:line="480" w:lineRule="auto"/>
        <w:jc w:val="center"/>
        <w:rPr>
          <w:rFonts w:ascii="宋体" w:hAnsi="宋体" w:eastAsia="宋体"/>
          <w:b/>
          <w:sz w:val="24"/>
        </w:rPr>
      </w:pPr>
    </w:p>
    <w:p w14:paraId="73AF88B1">
      <w:pPr>
        <w:spacing w:line="480" w:lineRule="auto"/>
        <w:jc w:val="center"/>
        <w:rPr>
          <w:rFonts w:ascii="宋体" w:hAnsi="宋体" w:eastAsia="宋体"/>
          <w:b/>
          <w:sz w:val="24"/>
        </w:rPr>
      </w:pPr>
    </w:p>
    <w:p w14:paraId="179C8140">
      <w:pPr>
        <w:spacing w:line="480" w:lineRule="auto"/>
        <w:jc w:val="center"/>
        <w:rPr>
          <w:rFonts w:ascii="宋体" w:hAnsi="宋体" w:eastAsia="宋体"/>
          <w:b/>
          <w:sz w:val="24"/>
        </w:rPr>
      </w:pPr>
    </w:p>
    <w:p w14:paraId="576CE43A">
      <w:pPr>
        <w:spacing w:before="120" w:line="480" w:lineRule="auto"/>
        <w:ind w:left="960"/>
        <w:rPr>
          <w:rFonts w:ascii="宋体" w:hAnsi="宋体" w:eastAsia="宋体"/>
          <w:sz w:val="24"/>
          <w:u w:val="single"/>
        </w:rPr>
      </w:pPr>
      <w:r>
        <w:rPr>
          <w:rFonts w:hint="eastAsia" w:ascii="宋体" w:hAnsi="宋体" w:eastAsia="宋体"/>
          <w:sz w:val="24"/>
        </w:rPr>
        <w:t>项目名称：</w:t>
      </w:r>
      <w:r>
        <w:rPr>
          <w:rFonts w:hint="eastAsia" w:ascii="宋体" w:hAnsi="宋体" w:eastAsia="宋体"/>
          <w:i/>
          <w:iCs/>
          <w:sz w:val="24"/>
        </w:rPr>
        <w:t>（分包项目须填写完整的分包号及分包名称）</w:t>
      </w:r>
    </w:p>
    <w:p w14:paraId="448B06D7">
      <w:pPr>
        <w:spacing w:before="120" w:line="480" w:lineRule="auto"/>
        <w:ind w:left="960"/>
        <w:rPr>
          <w:rFonts w:ascii="宋体" w:hAnsi="宋体" w:eastAsia="宋体"/>
          <w:sz w:val="24"/>
        </w:rPr>
      </w:pPr>
      <w:r>
        <w:rPr>
          <w:rFonts w:hint="eastAsia" w:ascii="宋体" w:hAnsi="宋体" w:eastAsia="宋体"/>
          <w:sz w:val="24"/>
        </w:rPr>
        <w:t>项目编号：</w:t>
      </w:r>
    </w:p>
    <w:p w14:paraId="6802E55D">
      <w:pPr>
        <w:spacing w:before="120" w:line="480" w:lineRule="auto"/>
        <w:ind w:left="960"/>
        <w:rPr>
          <w:rFonts w:ascii="宋体" w:hAnsi="宋体" w:eastAsia="宋体"/>
          <w:sz w:val="24"/>
          <w:u w:val="single"/>
        </w:rPr>
      </w:pPr>
      <w:r>
        <w:rPr>
          <w:rFonts w:hint="eastAsia" w:ascii="宋体" w:hAnsi="宋体" w:eastAsia="宋体"/>
          <w:sz w:val="24"/>
        </w:rPr>
        <w:t>甲方（采购人）：</w:t>
      </w:r>
    </w:p>
    <w:p w14:paraId="075F4212">
      <w:pPr>
        <w:spacing w:before="120" w:line="480" w:lineRule="auto"/>
        <w:ind w:left="960"/>
        <w:rPr>
          <w:rFonts w:ascii="宋体" w:hAnsi="宋体" w:eastAsia="宋体"/>
          <w:sz w:val="24"/>
          <w:u w:val="single"/>
        </w:rPr>
      </w:pPr>
      <w:r>
        <w:rPr>
          <w:rFonts w:hint="eastAsia" w:ascii="宋体" w:hAnsi="宋体" w:eastAsia="宋体"/>
          <w:sz w:val="24"/>
        </w:rPr>
        <w:t>乙方（成交供应商）：</w:t>
      </w:r>
    </w:p>
    <w:p w14:paraId="4564E020">
      <w:pPr>
        <w:spacing w:before="120" w:line="480" w:lineRule="auto"/>
        <w:ind w:firstLine="960" w:firstLineChars="400"/>
        <w:rPr>
          <w:rFonts w:ascii="宋体" w:hAnsi="宋体" w:eastAsia="宋体"/>
          <w:sz w:val="24"/>
          <w:u w:val="single"/>
        </w:rPr>
      </w:pPr>
      <w:r>
        <w:rPr>
          <w:rFonts w:hint="eastAsia" w:ascii="宋体" w:hAnsi="宋体" w:eastAsia="宋体"/>
          <w:sz w:val="24"/>
        </w:rPr>
        <w:t>签订地：</w:t>
      </w:r>
    </w:p>
    <w:p w14:paraId="3DDE8DE3">
      <w:pPr>
        <w:spacing w:before="120" w:line="480" w:lineRule="auto"/>
        <w:ind w:firstLine="960" w:firstLineChars="400"/>
        <w:rPr>
          <w:rFonts w:ascii="宋体" w:hAnsi="宋体" w:eastAsia="宋体"/>
          <w:sz w:val="24"/>
        </w:rPr>
      </w:pPr>
      <w:r>
        <w:rPr>
          <w:rFonts w:hint="eastAsia" w:ascii="宋体" w:hAnsi="宋体" w:eastAsia="宋体"/>
          <w:sz w:val="24"/>
        </w:rPr>
        <w:t>签订日期：年月日</w:t>
      </w:r>
    </w:p>
    <w:p w14:paraId="03EAF0DD">
      <w:pPr>
        <w:widowControl/>
        <w:jc w:val="left"/>
        <w:rPr>
          <w:rFonts w:ascii="宋体" w:hAnsi="宋体" w:eastAsia="宋体"/>
          <w:sz w:val="24"/>
        </w:rPr>
      </w:pPr>
      <w:r>
        <w:rPr>
          <w:rFonts w:ascii="宋体" w:hAnsi="宋体" w:eastAsia="宋体"/>
          <w:sz w:val="24"/>
        </w:rPr>
        <w:br w:type="page"/>
      </w:r>
    </w:p>
    <w:p w14:paraId="56770979">
      <w:pPr>
        <w:spacing w:line="360" w:lineRule="auto"/>
        <w:ind w:firstLine="435"/>
        <w:rPr>
          <w:rFonts w:ascii="宋体" w:hAnsi="宋体" w:eastAsia="宋体"/>
          <w:sz w:val="24"/>
        </w:rPr>
      </w:pPr>
      <w:r>
        <w:rPr>
          <w:rFonts w:hint="eastAsia" w:ascii="宋体" w:hAnsi="宋体" w:eastAsia="宋体"/>
          <w:sz w:val="24"/>
        </w:rPr>
        <w:t>（</w:t>
      </w:r>
      <w:r>
        <w:rPr>
          <w:rFonts w:hint="eastAsia" w:ascii="宋体" w:hAnsi="宋体" w:eastAsia="宋体"/>
          <w:sz w:val="24"/>
          <w:lang w:val="zh-CN"/>
        </w:rPr>
        <w:t>以下简称：甲方</w:t>
      </w:r>
      <w:r>
        <w:rPr>
          <w:rFonts w:hint="eastAsia" w:ascii="宋体" w:hAnsi="宋体" w:eastAsia="宋体"/>
          <w:sz w:val="24"/>
        </w:rPr>
        <w:t>）通过组织的</w:t>
      </w:r>
      <w:r>
        <w:rPr>
          <w:rFonts w:hint="eastAsia" w:ascii="宋体" w:hAnsi="宋体" w:eastAsia="宋体"/>
          <w:sz w:val="24"/>
          <w:u w:val="single"/>
        </w:rPr>
        <w:t>竞争性磋商</w:t>
      </w:r>
      <w:r>
        <w:rPr>
          <w:rFonts w:hint="eastAsia" w:ascii="宋体" w:hAnsi="宋体" w:eastAsia="宋体"/>
          <w:sz w:val="24"/>
        </w:rPr>
        <w:t>方式采购活动，经</w:t>
      </w:r>
      <w:r>
        <w:rPr>
          <w:rFonts w:hint="eastAsia" w:ascii="宋体" w:hAnsi="宋体" w:eastAsia="宋体"/>
          <w:sz w:val="24"/>
          <w:u w:val="single"/>
        </w:rPr>
        <w:t>磋商小组</w:t>
      </w:r>
      <w:r>
        <w:rPr>
          <w:rFonts w:hint="eastAsia" w:ascii="宋体" w:hAnsi="宋体" w:eastAsia="宋体"/>
          <w:sz w:val="24"/>
        </w:rPr>
        <w:t>评定，（</w:t>
      </w:r>
      <w:r>
        <w:rPr>
          <w:rFonts w:hint="eastAsia" w:ascii="宋体" w:hAnsi="宋体" w:eastAsia="宋体"/>
          <w:sz w:val="24"/>
          <w:lang w:val="zh-CN"/>
        </w:rPr>
        <w:t>以下简称：乙方</w:t>
      </w:r>
      <w:r>
        <w:rPr>
          <w:rFonts w:hint="eastAsia" w:ascii="宋体" w:hAnsi="宋体" w:eastAsia="宋体"/>
          <w:sz w:val="24"/>
        </w:rPr>
        <w:t>）为本项目成交供应商，现按照采购文件确定的事项签订本合同。</w:t>
      </w:r>
    </w:p>
    <w:p w14:paraId="1ED55A3E">
      <w:pPr>
        <w:spacing w:line="360" w:lineRule="auto"/>
        <w:ind w:firstLine="435"/>
        <w:rPr>
          <w:rFonts w:ascii="宋体" w:hAnsi="宋体" w:eastAsia="宋体"/>
          <w:sz w:val="24"/>
          <w:lang w:val="zh-CN"/>
        </w:rPr>
      </w:pPr>
      <w:r>
        <w:rPr>
          <w:rFonts w:hint="eastAsia" w:ascii="宋体" w:hAnsi="宋体" w:eastAsia="宋体"/>
          <w:sz w:val="24"/>
        </w:rPr>
        <w:t>根据《中华人民共和国民法典》、《中华人民共和国政府采购法》等相关法律法规之规定，按照平等、自愿、公平和诚实信用的原则，经甲方和乙方协商一致，约定以下合同条款，以兹共同遵守、全面履行。</w:t>
      </w:r>
    </w:p>
    <w:p w14:paraId="7EF43A7D">
      <w:pPr>
        <w:spacing w:line="360" w:lineRule="auto"/>
        <w:ind w:firstLine="437"/>
        <w:outlineLvl w:val="2"/>
        <w:rPr>
          <w:rFonts w:ascii="宋体" w:hAnsi="宋体" w:eastAsia="宋体"/>
          <w:b/>
          <w:bCs/>
          <w:sz w:val="24"/>
          <w:lang w:val="zh-CN"/>
        </w:rPr>
      </w:pPr>
      <w:bookmarkStart w:id="291" w:name="_Toc24059"/>
      <w:bookmarkStart w:id="292" w:name="_Toc2232"/>
      <w:bookmarkStart w:id="293" w:name="_Toc3029"/>
      <w:r>
        <w:rPr>
          <w:rFonts w:hint="eastAsia" w:ascii="宋体" w:hAnsi="宋体" w:eastAsia="宋体"/>
          <w:b/>
          <w:bCs/>
          <w:sz w:val="24"/>
          <w:lang w:val="zh-CN"/>
        </w:rPr>
        <w:t>1.1合同组成部分</w:t>
      </w:r>
      <w:bookmarkEnd w:id="291"/>
      <w:bookmarkEnd w:id="292"/>
      <w:bookmarkEnd w:id="293"/>
    </w:p>
    <w:p w14:paraId="38185185">
      <w:pPr>
        <w:spacing w:line="360" w:lineRule="auto"/>
        <w:ind w:firstLine="435"/>
        <w:rPr>
          <w:rFonts w:ascii="宋体" w:hAnsi="宋体" w:eastAsia="宋体"/>
          <w:sz w:val="24"/>
          <w:lang w:val="zh-CN"/>
        </w:rPr>
      </w:pPr>
      <w:r>
        <w:rPr>
          <w:rFonts w:hint="eastAsia" w:ascii="宋体" w:hAnsi="宋体" w:eastAsia="宋体"/>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32BD221B">
      <w:pPr>
        <w:spacing w:line="360" w:lineRule="auto"/>
        <w:ind w:firstLine="435"/>
        <w:rPr>
          <w:rFonts w:ascii="宋体" w:hAnsi="宋体" w:eastAsia="宋体"/>
          <w:sz w:val="24"/>
          <w:lang w:val="zh-CN"/>
        </w:rPr>
      </w:pPr>
      <w:r>
        <w:rPr>
          <w:rFonts w:hint="eastAsia" w:ascii="宋体" w:hAnsi="宋体" w:eastAsia="宋体"/>
          <w:sz w:val="24"/>
          <w:lang w:val="zh-CN"/>
        </w:rPr>
        <w:t>1.1.1本合同及其补充合同、变更协议；</w:t>
      </w:r>
    </w:p>
    <w:p w14:paraId="54C17426">
      <w:pPr>
        <w:spacing w:line="360" w:lineRule="auto"/>
        <w:ind w:firstLine="435"/>
        <w:rPr>
          <w:rFonts w:ascii="宋体" w:hAnsi="宋体" w:eastAsia="宋体"/>
          <w:sz w:val="24"/>
          <w:lang w:val="zh-CN"/>
        </w:rPr>
      </w:pPr>
      <w:r>
        <w:rPr>
          <w:rFonts w:hint="eastAsia" w:ascii="宋体" w:hAnsi="宋体" w:eastAsia="宋体"/>
          <w:sz w:val="24"/>
          <w:lang w:val="zh-CN"/>
        </w:rPr>
        <w:t>1.1.2成交通知书；</w:t>
      </w:r>
    </w:p>
    <w:p w14:paraId="72D25EE8">
      <w:pPr>
        <w:spacing w:line="360" w:lineRule="auto"/>
        <w:ind w:firstLine="435"/>
        <w:rPr>
          <w:rFonts w:ascii="宋体" w:hAnsi="宋体" w:eastAsia="宋体"/>
          <w:sz w:val="24"/>
          <w:lang w:val="zh-CN"/>
        </w:rPr>
      </w:pPr>
      <w:r>
        <w:rPr>
          <w:rFonts w:hint="eastAsia" w:ascii="宋体" w:hAnsi="宋体" w:eastAsia="宋体"/>
          <w:sz w:val="24"/>
          <w:lang w:val="zh-CN"/>
        </w:rPr>
        <w:t>1.1.3响应文件（含澄清或者说明文件）；</w:t>
      </w:r>
    </w:p>
    <w:p w14:paraId="32B58ED0">
      <w:pPr>
        <w:spacing w:line="360" w:lineRule="auto"/>
        <w:ind w:firstLine="435"/>
        <w:rPr>
          <w:rFonts w:ascii="宋体" w:hAnsi="宋体" w:eastAsia="宋体"/>
          <w:sz w:val="24"/>
          <w:lang w:val="zh-CN"/>
        </w:rPr>
      </w:pPr>
      <w:r>
        <w:rPr>
          <w:rFonts w:hint="eastAsia" w:ascii="宋体" w:hAnsi="宋体" w:eastAsia="宋体"/>
          <w:sz w:val="24"/>
          <w:lang w:val="zh-CN"/>
        </w:rPr>
        <w:t>1.1.4磋商文件（含澄清或者修改文件）；</w:t>
      </w:r>
    </w:p>
    <w:p w14:paraId="006A847E">
      <w:pPr>
        <w:spacing w:line="360" w:lineRule="auto"/>
        <w:ind w:firstLine="435"/>
        <w:rPr>
          <w:rFonts w:ascii="宋体" w:hAnsi="宋体" w:eastAsia="宋体"/>
          <w:sz w:val="24"/>
          <w:lang w:val="zh-CN"/>
        </w:rPr>
      </w:pPr>
      <w:r>
        <w:rPr>
          <w:rFonts w:hint="eastAsia" w:ascii="宋体" w:hAnsi="宋体" w:eastAsia="宋体"/>
          <w:sz w:val="24"/>
          <w:lang w:val="zh-CN"/>
        </w:rPr>
        <w:t>1.1.5其他相关采购文件。</w:t>
      </w:r>
    </w:p>
    <w:p w14:paraId="09113FED">
      <w:pPr>
        <w:spacing w:line="360" w:lineRule="auto"/>
        <w:ind w:firstLine="437"/>
        <w:outlineLvl w:val="2"/>
        <w:rPr>
          <w:rFonts w:ascii="宋体" w:hAnsi="宋体" w:eastAsia="宋体"/>
          <w:b/>
          <w:bCs/>
          <w:sz w:val="24"/>
          <w:lang w:val="zh-CN"/>
        </w:rPr>
      </w:pPr>
      <w:bookmarkStart w:id="294" w:name="_Toc6311"/>
      <w:bookmarkStart w:id="295" w:name="_Toc22185"/>
      <w:bookmarkStart w:id="296" w:name="_Toc18585"/>
      <w:bookmarkStart w:id="297" w:name="_Toc6773"/>
      <w:bookmarkStart w:id="298" w:name="_Toc2918"/>
      <w:r>
        <w:rPr>
          <w:rFonts w:hint="eastAsia" w:ascii="宋体" w:hAnsi="宋体" w:eastAsia="宋体"/>
          <w:b/>
          <w:bCs/>
          <w:sz w:val="24"/>
          <w:lang w:val="zh-CN"/>
        </w:rPr>
        <w:t xml:space="preserve">1.2 </w:t>
      </w:r>
      <w:bookmarkEnd w:id="294"/>
      <w:bookmarkEnd w:id="295"/>
      <w:bookmarkEnd w:id="296"/>
      <w:bookmarkEnd w:id="297"/>
      <w:bookmarkEnd w:id="298"/>
      <w:r>
        <w:rPr>
          <w:rFonts w:hint="eastAsia" w:ascii="宋体" w:hAnsi="宋体" w:eastAsia="宋体"/>
          <w:b/>
          <w:bCs/>
          <w:sz w:val="24"/>
          <w:lang w:val="zh-CN"/>
        </w:rPr>
        <w:t>服务</w:t>
      </w:r>
    </w:p>
    <w:p w14:paraId="5AB8FA81">
      <w:pPr>
        <w:spacing w:line="360" w:lineRule="auto"/>
        <w:ind w:firstLine="435"/>
        <w:rPr>
          <w:rFonts w:ascii="宋体" w:hAnsi="宋体" w:eastAsia="宋体"/>
          <w:sz w:val="24"/>
          <w:u w:val="single"/>
        </w:rPr>
      </w:pPr>
      <w:r>
        <w:rPr>
          <w:rFonts w:hint="eastAsia" w:ascii="宋体" w:hAnsi="宋体" w:eastAsia="宋体"/>
          <w:sz w:val="24"/>
        </w:rPr>
        <w:t>1.2.1服务</w:t>
      </w:r>
      <w:r>
        <w:rPr>
          <w:rFonts w:ascii="宋体" w:hAnsi="宋体" w:eastAsia="宋体"/>
          <w:sz w:val="24"/>
        </w:rPr>
        <w:t>名称：</w:t>
      </w:r>
      <w:r>
        <w:rPr>
          <w:rFonts w:hint="eastAsia" w:ascii="宋体" w:hAnsi="宋体" w:eastAsia="宋体"/>
          <w:sz w:val="24"/>
        </w:rPr>
        <w:t>；</w:t>
      </w:r>
    </w:p>
    <w:p w14:paraId="1249DACF">
      <w:pPr>
        <w:spacing w:line="360" w:lineRule="auto"/>
        <w:ind w:firstLine="435"/>
        <w:rPr>
          <w:rFonts w:ascii="宋体" w:hAnsi="宋体" w:eastAsia="宋体"/>
          <w:sz w:val="24"/>
          <w:u w:val="single"/>
        </w:rPr>
      </w:pPr>
      <w:r>
        <w:rPr>
          <w:rFonts w:hint="eastAsia" w:ascii="宋体" w:hAnsi="宋体" w:eastAsia="宋体"/>
          <w:sz w:val="24"/>
        </w:rPr>
        <w:t>1.2.2服务内容</w:t>
      </w:r>
      <w:r>
        <w:rPr>
          <w:rFonts w:ascii="宋体" w:hAnsi="宋体" w:eastAsia="宋体"/>
          <w:sz w:val="24"/>
        </w:rPr>
        <w:t>：</w:t>
      </w:r>
      <w:r>
        <w:rPr>
          <w:rFonts w:hint="eastAsia" w:ascii="宋体" w:hAnsi="宋体" w:eastAsia="宋体"/>
          <w:sz w:val="24"/>
        </w:rPr>
        <w:t>；</w:t>
      </w:r>
    </w:p>
    <w:p w14:paraId="0AF58CD6">
      <w:pPr>
        <w:spacing w:line="360" w:lineRule="auto"/>
        <w:ind w:firstLine="435"/>
        <w:rPr>
          <w:rFonts w:ascii="宋体" w:hAnsi="宋体" w:eastAsia="宋体"/>
          <w:sz w:val="24"/>
        </w:rPr>
      </w:pPr>
      <w:r>
        <w:rPr>
          <w:rFonts w:hint="eastAsia" w:ascii="宋体" w:hAnsi="宋体" w:eastAsia="宋体"/>
          <w:sz w:val="24"/>
        </w:rPr>
        <w:t>1.2.3服务质量：。</w:t>
      </w:r>
    </w:p>
    <w:p w14:paraId="755B1BC3">
      <w:pPr>
        <w:spacing w:line="360" w:lineRule="auto"/>
        <w:ind w:firstLine="437"/>
        <w:outlineLvl w:val="2"/>
        <w:rPr>
          <w:rFonts w:ascii="宋体" w:hAnsi="宋体" w:eastAsia="宋体"/>
          <w:b/>
          <w:bCs/>
          <w:sz w:val="24"/>
          <w:lang w:val="zh-CN"/>
        </w:rPr>
      </w:pPr>
      <w:bookmarkStart w:id="299" w:name="_Toc21551"/>
      <w:bookmarkStart w:id="300" w:name="_Toc23292"/>
      <w:bookmarkStart w:id="301" w:name="_Toc21631"/>
      <w:r>
        <w:rPr>
          <w:rFonts w:hint="eastAsia" w:ascii="宋体" w:hAnsi="宋体" w:eastAsia="宋体"/>
          <w:b/>
          <w:bCs/>
          <w:sz w:val="24"/>
          <w:lang w:val="zh-CN"/>
        </w:rPr>
        <w:t>1.</w:t>
      </w:r>
      <w:r>
        <w:rPr>
          <w:rFonts w:ascii="宋体" w:hAnsi="宋体" w:eastAsia="宋体"/>
          <w:b/>
          <w:bCs/>
          <w:sz w:val="24"/>
          <w:lang w:val="zh-CN"/>
        </w:rPr>
        <w:t xml:space="preserve">3 </w:t>
      </w:r>
      <w:r>
        <w:rPr>
          <w:rFonts w:hint="eastAsia" w:ascii="宋体" w:hAnsi="宋体" w:eastAsia="宋体"/>
          <w:b/>
          <w:bCs/>
          <w:sz w:val="24"/>
          <w:lang w:val="zh-CN"/>
        </w:rPr>
        <w:t>价款</w:t>
      </w:r>
      <w:bookmarkEnd w:id="299"/>
      <w:bookmarkEnd w:id="300"/>
      <w:bookmarkEnd w:id="301"/>
    </w:p>
    <w:p w14:paraId="1190F705">
      <w:pPr>
        <w:spacing w:line="360" w:lineRule="auto"/>
        <w:ind w:firstLine="435"/>
        <w:rPr>
          <w:rFonts w:ascii="宋体" w:hAnsi="宋体" w:eastAsia="宋体"/>
          <w:sz w:val="24"/>
        </w:rPr>
      </w:pPr>
      <w:r>
        <w:rPr>
          <w:rFonts w:ascii="宋体" w:hAnsi="宋体" w:eastAsia="宋体"/>
          <w:sz w:val="24"/>
        </w:rPr>
        <w:t>本合同总价为</w:t>
      </w:r>
      <w:r>
        <w:rPr>
          <w:rFonts w:hint="eastAsia" w:ascii="宋体" w:hAnsi="宋体" w:eastAsia="宋体"/>
          <w:sz w:val="24"/>
        </w:rPr>
        <w:t>：￥</w:t>
      </w:r>
      <w:r>
        <w:rPr>
          <w:rFonts w:ascii="宋体" w:hAnsi="宋体" w:eastAsia="宋体"/>
          <w:sz w:val="24"/>
        </w:rPr>
        <w:t>元</w:t>
      </w:r>
      <w:r>
        <w:rPr>
          <w:rFonts w:hint="eastAsia" w:ascii="宋体" w:hAnsi="宋体" w:eastAsia="宋体"/>
          <w:sz w:val="24"/>
        </w:rPr>
        <w:t>（大写：人民币元）</w:t>
      </w:r>
      <w:r>
        <w:rPr>
          <w:rFonts w:ascii="宋体" w:hAnsi="宋体" w:eastAsia="宋体"/>
          <w:sz w:val="24"/>
        </w:rPr>
        <w:t>。</w:t>
      </w:r>
    </w:p>
    <w:p w14:paraId="390AE44A">
      <w:pPr>
        <w:spacing w:line="360" w:lineRule="auto"/>
        <w:ind w:firstLine="435"/>
        <w:rPr>
          <w:rFonts w:ascii="宋体" w:hAnsi="宋体" w:eastAsia="宋体"/>
          <w:sz w:val="24"/>
          <w:u w:val="single"/>
        </w:rPr>
      </w:pPr>
      <w:r>
        <w:rPr>
          <w:rFonts w:ascii="宋体" w:hAnsi="宋体" w:eastAsia="宋体"/>
          <w:sz w:val="24"/>
        </w:rPr>
        <w:t>分项价格：</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4316"/>
        <w:gridCol w:w="12"/>
        <w:gridCol w:w="3225"/>
        <w:gridCol w:w="12"/>
      </w:tblGrid>
      <w:tr w14:paraId="0A91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vAlign w:val="center"/>
          </w:tcPr>
          <w:p w14:paraId="116FD697">
            <w:pPr>
              <w:jc w:val="center"/>
              <w:rPr>
                <w:rFonts w:ascii="宋体" w:hAnsi="宋体" w:eastAsia="宋体"/>
                <w:sz w:val="24"/>
                <w:lang w:val="zh-CN"/>
              </w:rPr>
            </w:pPr>
            <w:r>
              <w:rPr>
                <w:rFonts w:ascii="宋体" w:hAnsi="宋体" w:eastAsia="宋体"/>
                <w:sz w:val="24"/>
                <w:lang w:val="zh-CN"/>
              </w:rPr>
              <w:t>序号</w:t>
            </w:r>
          </w:p>
        </w:tc>
        <w:tc>
          <w:tcPr>
            <w:tcW w:w="2532" w:type="pct"/>
            <w:vAlign w:val="center"/>
          </w:tcPr>
          <w:p w14:paraId="108CB5E9">
            <w:pPr>
              <w:pStyle w:val="55"/>
              <w:ind w:firstLine="200"/>
              <w:jc w:val="center"/>
              <w:rPr>
                <w:rFonts w:ascii="宋体" w:hAnsi="宋体" w:eastAsia="宋体"/>
                <w:sz w:val="24"/>
                <w:szCs w:val="24"/>
              </w:rPr>
            </w:pPr>
            <w:r>
              <w:rPr>
                <w:rFonts w:hint="eastAsia" w:ascii="宋体" w:hAnsi="宋体" w:eastAsia="宋体"/>
                <w:sz w:val="24"/>
                <w:szCs w:val="24"/>
              </w:rPr>
              <w:t>分项名称</w:t>
            </w:r>
          </w:p>
        </w:tc>
        <w:tc>
          <w:tcPr>
            <w:tcW w:w="1899" w:type="pct"/>
            <w:gridSpan w:val="2"/>
            <w:vAlign w:val="center"/>
          </w:tcPr>
          <w:p w14:paraId="28250B7F">
            <w:pPr>
              <w:pStyle w:val="55"/>
              <w:jc w:val="center"/>
              <w:rPr>
                <w:rFonts w:ascii="宋体" w:hAnsi="宋体" w:eastAsia="宋体"/>
                <w:sz w:val="24"/>
                <w:szCs w:val="24"/>
              </w:rPr>
            </w:pPr>
            <w:r>
              <w:rPr>
                <w:rFonts w:ascii="宋体" w:hAnsi="宋体" w:eastAsia="宋体"/>
                <w:sz w:val="24"/>
                <w:szCs w:val="24"/>
              </w:rPr>
              <w:t>分项价格</w:t>
            </w:r>
          </w:p>
        </w:tc>
      </w:tr>
      <w:tr w14:paraId="1FC74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2980D81F">
            <w:pPr>
              <w:jc w:val="center"/>
              <w:rPr>
                <w:rFonts w:ascii="宋体" w:hAnsi="宋体" w:eastAsia="宋体"/>
                <w:sz w:val="24"/>
                <w:lang w:val="zh-CN"/>
              </w:rPr>
            </w:pPr>
            <w:r>
              <w:rPr>
                <w:rFonts w:hint="eastAsia" w:ascii="宋体" w:hAnsi="宋体" w:eastAsia="宋体"/>
                <w:sz w:val="24"/>
                <w:lang w:val="zh-CN"/>
              </w:rPr>
              <w:t>1</w:t>
            </w:r>
          </w:p>
        </w:tc>
        <w:tc>
          <w:tcPr>
            <w:tcW w:w="2532" w:type="pct"/>
            <w:vAlign w:val="center"/>
          </w:tcPr>
          <w:p w14:paraId="4F8EC556">
            <w:pPr>
              <w:pStyle w:val="55"/>
              <w:ind w:firstLine="200"/>
              <w:jc w:val="center"/>
              <w:rPr>
                <w:rFonts w:ascii="宋体" w:hAnsi="宋体" w:eastAsia="宋体"/>
                <w:sz w:val="24"/>
                <w:szCs w:val="24"/>
              </w:rPr>
            </w:pPr>
          </w:p>
        </w:tc>
        <w:tc>
          <w:tcPr>
            <w:tcW w:w="1899" w:type="pct"/>
            <w:gridSpan w:val="2"/>
            <w:vAlign w:val="center"/>
          </w:tcPr>
          <w:p w14:paraId="3AE87EB5">
            <w:pPr>
              <w:pStyle w:val="55"/>
              <w:ind w:firstLine="200"/>
              <w:jc w:val="center"/>
              <w:rPr>
                <w:rFonts w:ascii="宋体" w:hAnsi="宋体" w:eastAsia="宋体"/>
                <w:sz w:val="24"/>
                <w:szCs w:val="24"/>
              </w:rPr>
            </w:pPr>
          </w:p>
        </w:tc>
      </w:tr>
      <w:tr w14:paraId="42ECE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3349636F">
            <w:pPr>
              <w:jc w:val="center"/>
              <w:rPr>
                <w:rFonts w:ascii="宋体" w:hAnsi="宋体" w:eastAsia="宋体"/>
                <w:sz w:val="24"/>
                <w:lang w:val="zh-CN"/>
              </w:rPr>
            </w:pPr>
            <w:r>
              <w:rPr>
                <w:rFonts w:hint="eastAsia" w:ascii="宋体" w:hAnsi="宋体" w:eastAsia="宋体"/>
                <w:sz w:val="24"/>
                <w:lang w:val="zh-CN"/>
              </w:rPr>
              <w:t>2</w:t>
            </w:r>
          </w:p>
        </w:tc>
        <w:tc>
          <w:tcPr>
            <w:tcW w:w="2532" w:type="pct"/>
            <w:vAlign w:val="center"/>
          </w:tcPr>
          <w:p w14:paraId="1A4DB388">
            <w:pPr>
              <w:pStyle w:val="55"/>
              <w:ind w:firstLine="200"/>
              <w:jc w:val="center"/>
              <w:rPr>
                <w:rFonts w:ascii="宋体" w:hAnsi="宋体" w:eastAsia="宋体"/>
                <w:sz w:val="24"/>
                <w:szCs w:val="24"/>
              </w:rPr>
            </w:pPr>
          </w:p>
        </w:tc>
        <w:tc>
          <w:tcPr>
            <w:tcW w:w="1899" w:type="pct"/>
            <w:gridSpan w:val="2"/>
            <w:vAlign w:val="center"/>
          </w:tcPr>
          <w:p w14:paraId="7CAE640C">
            <w:pPr>
              <w:pStyle w:val="55"/>
              <w:ind w:firstLine="200"/>
              <w:jc w:val="center"/>
              <w:rPr>
                <w:rFonts w:ascii="宋体" w:hAnsi="宋体" w:eastAsia="宋体"/>
                <w:sz w:val="24"/>
                <w:szCs w:val="24"/>
              </w:rPr>
            </w:pPr>
          </w:p>
        </w:tc>
      </w:tr>
      <w:tr w14:paraId="4533B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24324D80">
            <w:pPr>
              <w:jc w:val="center"/>
              <w:rPr>
                <w:rFonts w:ascii="宋体" w:hAnsi="宋体" w:eastAsia="宋体"/>
                <w:sz w:val="24"/>
                <w:lang w:val="zh-CN"/>
              </w:rPr>
            </w:pPr>
            <w:r>
              <w:rPr>
                <w:rFonts w:ascii="宋体" w:hAnsi="宋体" w:eastAsia="宋体"/>
                <w:sz w:val="24"/>
                <w:lang w:val="zh-CN"/>
              </w:rPr>
              <w:t>3</w:t>
            </w:r>
          </w:p>
        </w:tc>
        <w:tc>
          <w:tcPr>
            <w:tcW w:w="2532" w:type="pct"/>
            <w:vAlign w:val="center"/>
          </w:tcPr>
          <w:p w14:paraId="15109136">
            <w:pPr>
              <w:pStyle w:val="55"/>
              <w:ind w:firstLine="200"/>
              <w:jc w:val="center"/>
              <w:rPr>
                <w:rFonts w:ascii="宋体" w:hAnsi="宋体" w:eastAsia="宋体"/>
                <w:sz w:val="24"/>
                <w:szCs w:val="24"/>
              </w:rPr>
            </w:pPr>
          </w:p>
        </w:tc>
        <w:tc>
          <w:tcPr>
            <w:tcW w:w="1899" w:type="pct"/>
            <w:gridSpan w:val="2"/>
            <w:vAlign w:val="center"/>
          </w:tcPr>
          <w:p w14:paraId="2FF438C6">
            <w:pPr>
              <w:pStyle w:val="55"/>
              <w:ind w:firstLine="200"/>
              <w:jc w:val="center"/>
              <w:rPr>
                <w:rFonts w:ascii="宋体" w:hAnsi="宋体" w:eastAsia="宋体"/>
                <w:sz w:val="24"/>
                <w:szCs w:val="24"/>
              </w:rPr>
            </w:pPr>
          </w:p>
        </w:tc>
      </w:tr>
      <w:tr w14:paraId="4D9F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341480F4">
            <w:pPr>
              <w:jc w:val="center"/>
              <w:rPr>
                <w:rFonts w:ascii="宋体" w:hAnsi="宋体" w:eastAsia="宋体"/>
                <w:sz w:val="24"/>
                <w:lang w:val="zh-CN"/>
              </w:rPr>
            </w:pPr>
            <w:r>
              <w:rPr>
                <w:rFonts w:hint="eastAsia" w:ascii="宋体" w:hAnsi="宋体" w:eastAsia="宋体"/>
                <w:sz w:val="24"/>
                <w:lang w:val="zh-CN"/>
              </w:rPr>
              <w:t>……</w:t>
            </w:r>
          </w:p>
        </w:tc>
        <w:tc>
          <w:tcPr>
            <w:tcW w:w="2532" w:type="pct"/>
            <w:vAlign w:val="center"/>
          </w:tcPr>
          <w:p w14:paraId="2F45E2FA">
            <w:pPr>
              <w:pStyle w:val="55"/>
              <w:ind w:firstLine="200"/>
              <w:jc w:val="center"/>
              <w:rPr>
                <w:rFonts w:ascii="宋体" w:hAnsi="宋体" w:eastAsia="宋体"/>
                <w:sz w:val="24"/>
                <w:szCs w:val="24"/>
              </w:rPr>
            </w:pPr>
          </w:p>
        </w:tc>
        <w:tc>
          <w:tcPr>
            <w:tcW w:w="1899" w:type="pct"/>
            <w:gridSpan w:val="2"/>
            <w:vAlign w:val="center"/>
          </w:tcPr>
          <w:p w14:paraId="5D36CA4C">
            <w:pPr>
              <w:pStyle w:val="55"/>
              <w:ind w:firstLine="200"/>
              <w:jc w:val="center"/>
              <w:rPr>
                <w:rFonts w:ascii="宋体" w:hAnsi="宋体" w:eastAsia="宋体"/>
                <w:sz w:val="24"/>
                <w:szCs w:val="24"/>
              </w:rPr>
            </w:pPr>
          </w:p>
        </w:tc>
      </w:tr>
      <w:tr w14:paraId="08EA7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3DC0322A">
            <w:pPr>
              <w:pStyle w:val="55"/>
              <w:ind w:firstLine="200"/>
              <w:jc w:val="center"/>
              <w:rPr>
                <w:rFonts w:ascii="宋体" w:hAnsi="宋体" w:eastAsia="宋体"/>
                <w:sz w:val="24"/>
                <w:szCs w:val="24"/>
              </w:rPr>
            </w:pPr>
            <w:r>
              <w:rPr>
                <w:rFonts w:hint="eastAsia" w:ascii="宋体" w:hAnsi="宋体" w:eastAsia="宋体"/>
                <w:sz w:val="24"/>
                <w:szCs w:val="24"/>
              </w:rPr>
              <w:t>总价</w:t>
            </w:r>
          </w:p>
        </w:tc>
        <w:tc>
          <w:tcPr>
            <w:tcW w:w="1899" w:type="pct"/>
            <w:gridSpan w:val="2"/>
            <w:vAlign w:val="center"/>
          </w:tcPr>
          <w:p w14:paraId="5FF992BF">
            <w:pPr>
              <w:pStyle w:val="55"/>
              <w:ind w:firstLine="200"/>
              <w:jc w:val="center"/>
              <w:rPr>
                <w:rFonts w:ascii="宋体" w:hAnsi="宋体" w:eastAsia="宋体"/>
                <w:sz w:val="24"/>
                <w:szCs w:val="24"/>
              </w:rPr>
            </w:pPr>
          </w:p>
        </w:tc>
      </w:tr>
    </w:tbl>
    <w:p w14:paraId="477122B1">
      <w:pPr>
        <w:spacing w:line="360" w:lineRule="auto"/>
        <w:ind w:firstLine="437"/>
        <w:outlineLvl w:val="2"/>
        <w:rPr>
          <w:rFonts w:ascii="宋体" w:hAnsi="宋体" w:eastAsia="宋体"/>
          <w:b/>
          <w:bCs/>
          <w:sz w:val="24"/>
          <w:lang w:val="zh-CN"/>
        </w:rPr>
      </w:pPr>
      <w:bookmarkStart w:id="302" w:name="_Toc22618"/>
      <w:bookmarkStart w:id="303" w:name="_Toc10340"/>
      <w:bookmarkStart w:id="304" w:name="_Toc1814"/>
      <w:r>
        <w:rPr>
          <w:rFonts w:hint="eastAsia" w:ascii="宋体" w:hAnsi="宋体" w:eastAsia="宋体"/>
          <w:b/>
          <w:bCs/>
          <w:sz w:val="24"/>
          <w:lang w:val="zh-CN"/>
        </w:rPr>
        <w:t>1.</w:t>
      </w:r>
      <w:r>
        <w:rPr>
          <w:rFonts w:ascii="宋体" w:hAnsi="宋体" w:eastAsia="宋体"/>
          <w:b/>
          <w:bCs/>
          <w:sz w:val="24"/>
          <w:lang w:val="zh-CN"/>
        </w:rPr>
        <w:t>4 付款方式和发票开具方式</w:t>
      </w:r>
      <w:bookmarkEnd w:id="302"/>
      <w:bookmarkEnd w:id="303"/>
      <w:bookmarkEnd w:id="304"/>
    </w:p>
    <w:p w14:paraId="5CFA9558">
      <w:pPr>
        <w:spacing w:line="360" w:lineRule="auto"/>
        <w:ind w:firstLine="435"/>
        <w:rPr>
          <w:rFonts w:ascii="宋体" w:hAnsi="宋体" w:eastAsia="宋体"/>
          <w:sz w:val="24"/>
        </w:rPr>
      </w:pPr>
      <w:r>
        <w:rPr>
          <w:rFonts w:hint="eastAsia" w:ascii="宋体" w:hAnsi="宋体" w:eastAsia="宋体"/>
          <w:sz w:val="24"/>
        </w:rPr>
        <w:t>1.4.1</w:t>
      </w:r>
      <w:r>
        <w:rPr>
          <w:rFonts w:ascii="宋体" w:hAnsi="宋体" w:eastAsia="宋体"/>
          <w:sz w:val="24"/>
        </w:rPr>
        <w:t>付款方式：</w:t>
      </w:r>
      <w:r>
        <w:rPr>
          <w:rFonts w:hint="eastAsia" w:ascii="宋体" w:hAnsi="宋体" w:eastAsia="宋体"/>
          <w:sz w:val="24"/>
          <w:u w:val="single"/>
        </w:rPr>
        <w:t>每季度末根据考核结果结算该季度运维服务费，同时预付下一季度运维服务费的70%（第四季度除外），在收到供应商开具的发票7个工作日内支付</w:t>
      </w:r>
      <w:r>
        <w:rPr>
          <w:rFonts w:hint="eastAsia" w:ascii="宋体" w:hAnsi="宋体" w:eastAsia="宋体"/>
          <w:sz w:val="24"/>
        </w:rPr>
        <w:t>；</w:t>
      </w:r>
    </w:p>
    <w:p w14:paraId="0458B407">
      <w:pPr>
        <w:spacing w:line="360" w:lineRule="auto"/>
        <w:ind w:firstLine="435"/>
        <w:rPr>
          <w:rFonts w:ascii="宋体" w:hAnsi="宋体" w:eastAsia="宋体"/>
          <w:sz w:val="24"/>
        </w:rPr>
      </w:pPr>
      <w:r>
        <w:rPr>
          <w:rFonts w:hint="eastAsia" w:ascii="宋体" w:hAnsi="宋体" w:eastAsia="宋体"/>
          <w:sz w:val="24"/>
        </w:rPr>
        <w:t>1.4.2发票开具方式：。</w:t>
      </w:r>
    </w:p>
    <w:p w14:paraId="436E0EB0">
      <w:pPr>
        <w:spacing w:line="360" w:lineRule="auto"/>
        <w:ind w:firstLine="437"/>
        <w:outlineLvl w:val="2"/>
        <w:rPr>
          <w:rFonts w:ascii="宋体" w:hAnsi="宋体" w:eastAsia="宋体"/>
          <w:b/>
          <w:bCs/>
          <w:sz w:val="24"/>
          <w:lang w:val="zh-CN"/>
        </w:rPr>
      </w:pPr>
      <w:bookmarkStart w:id="305" w:name="_Toc32071"/>
      <w:bookmarkStart w:id="306" w:name="_Toc19304"/>
      <w:bookmarkStart w:id="307" w:name="_Toc2846"/>
      <w:r>
        <w:rPr>
          <w:rFonts w:hint="eastAsia" w:ascii="宋体" w:hAnsi="宋体" w:eastAsia="宋体"/>
          <w:b/>
          <w:bCs/>
          <w:sz w:val="24"/>
          <w:lang w:val="zh-CN"/>
        </w:rPr>
        <w:t>1.</w:t>
      </w:r>
      <w:r>
        <w:rPr>
          <w:rFonts w:ascii="宋体" w:hAnsi="宋体" w:eastAsia="宋体"/>
          <w:b/>
          <w:bCs/>
          <w:sz w:val="24"/>
          <w:lang w:val="zh-CN"/>
        </w:rPr>
        <w:t xml:space="preserve">5 </w:t>
      </w:r>
      <w:r>
        <w:rPr>
          <w:rFonts w:hint="eastAsia" w:ascii="宋体" w:hAnsi="宋体" w:eastAsia="宋体"/>
          <w:b/>
          <w:bCs/>
          <w:sz w:val="24"/>
          <w:lang w:val="zh-CN"/>
        </w:rPr>
        <w:t>服务</w:t>
      </w:r>
      <w:r>
        <w:rPr>
          <w:rFonts w:ascii="宋体" w:hAnsi="宋体" w:eastAsia="宋体"/>
          <w:b/>
          <w:bCs/>
          <w:sz w:val="24"/>
          <w:lang w:val="zh-CN"/>
        </w:rPr>
        <w:t>期限</w:t>
      </w:r>
      <w:r>
        <w:rPr>
          <w:rFonts w:hint="eastAsia" w:ascii="宋体" w:hAnsi="宋体" w:eastAsia="宋体"/>
          <w:b/>
          <w:bCs/>
          <w:sz w:val="24"/>
          <w:lang w:val="zh-CN"/>
        </w:rPr>
        <w:t>、地点和方式</w:t>
      </w:r>
      <w:bookmarkEnd w:id="305"/>
      <w:bookmarkEnd w:id="306"/>
      <w:bookmarkEnd w:id="307"/>
    </w:p>
    <w:p w14:paraId="13B2466D">
      <w:pPr>
        <w:spacing w:line="360" w:lineRule="auto"/>
        <w:ind w:firstLine="435"/>
        <w:rPr>
          <w:rFonts w:ascii="宋体" w:hAnsi="宋体" w:eastAsia="宋体"/>
          <w:sz w:val="24"/>
          <w:u w:val="single"/>
        </w:rPr>
      </w:pPr>
      <w:r>
        <w:rPr>
          <w:rFonts w:hint="eastAsia" w:ascii="宋体" w:hAnsi="宋体" w:eastAsia="宋体"/>
          <w:sz w:val="24"/>
        </w:rPr>
        <w:t>1.5.1服务期限</w:t>
      </w:r>
      <w:r>
        <w:rPr>
          <w:rFonts w:ascii="宋体" w:hAnsi="宋体" w:eastAsia="宋体"/>
          <w:sz w:val="24"/>
        </w:rPr>
        <w:t>：</w:t>
      </w:r>
      <w:r>
        <w:rPr>
          <w:rFonts w:hint="eastAsia" w:ascii="宋体" w:hAnsi="宋体" w:eastAsia="宋体"/>
          <w:sz w:val="24"/>
          <w:u w:val="single"/>
        </w:rPr>
        <w:t>自合同签订之日至2026年12月</w:t>
      </w:r>
      <w:r>
        <w:rPr>
          <w:rFonts w:hint="eastAsia" w:ascii="宋体" w:hAnsi="宋体" w:eastAsia="宋体"/>
          <w:sz w:val="24"/>
        </w:rPr>
        <w:t>；</w:t>
      </w:r>
    </w:p>
    <w:p w14:paraId="42404201">
      <w:pPr>
        <w:spacing w:line="360" w:lineRule="auto"/>
        <w:ind w:firstLine="435"/>
        <w:rPr>
          <w:rFonts w:ascii="宋体" w:hAnsi="宋体" w:eastAsia="宋体"/>
          <w:sz w:val="24"/>
        </w:rPr>
      </w:pPr>
      <w:r>
        <w:rPr>
          <w:rFonts w:hint="eastAsia" w:ascii="宋体" w:hAnsi="宋体" w:eastAsia="宋体"/>
          <w:sz w:val="24"/>
        </w:rPr>
        <w:t>1.5.2服务地点</w:t>
      </w:r>
      <w:r>
        <w:rPr>
          <w:rFonts w:ascii="宋体" w:hAnsi="宋体" w:eastAsia="宋体"/>
          <w:sz w:val="24"/>
        </w:rPr>
        <w:t>：</w:t>
      </w:r>
      <w:r>
        <w:rPr>
          <w:rFonts w:hint="eastAsia" w:ascii="宋体" w:hAnsi="宋体" w:eastAsia="宋体"/>
          <w:sz w:val="24"/>
        </w:rPr>
        <w:t>；</w:t>
      </w:r>
    </w:p>
    <w:p w14:paraId="0EF8556B">
      <w:pPr>
        <w:spacing w:line="360" w:lineRule="auto"/>
        <w:ind w:firstLine="435"/>
        <w:rPr>
          <w:rFonts w:ascii="宋体" w:hAnsi="宋体" w:eastAsia="宋体"/>
          <w:sz w:val="24"/>
        </w:rPr>
      </w:pPr>
      <w:r>
        <w:rPr>
          <w:rFonts w:hint="eastAsia" w:ascii="宋体" w:hAnsi="宋体" w:eastAsia="宋体"/>
          <w:sz w:val="24"/>
        </w:rPr>
        <w:t>1.5.3服务方式：。</w:t>
      </w:r>
    </w:p>
    <w:p w14:paraId="0ED6A044">
      <w:pPr>
        <w:spacing w:line="360" w:lineRule="auto"/>
        <w:ind w:firstLine="437"/>
        <w:outlineLvl w:val="2"/>
        <w:rPr>
          <w:rFonts w:ascii="宋体" w:hAnsi="宋体" w:eastAsia="宋体"/>
          <w:b/>
          <w:bCs/>
          <w:sz w:val="24"/>
          <w:lang w:val="zh-CN"/>
        </w:rPr>
      </w:pPr>
      <w:bookmarkStart w:id="308" w:name="_Toc21423"/>
      <w:bookmarkStart w:id="309" w:name="_Toc27250"/>
      <w:bookmarkStart w:id="310" w:name="_Toc19554"/>
      <w:r>
        <w:rPr>
          <w:rFonts w:hint="eastAsia" w:ascii="宋体" w:hAnsi="宋体" w:eastAsia="宋体"/>
          <w:b/>
          <w:bCs/>
          <w:sz w:val="24"/>
          <w:lang w:val="zh-CN"/>
        </w:rPr>
        <w:t>1.6 违约责任</w:t>
      </w:r>
      <w:bookmarkEnd w:id="308"/>
      <w:bookmarkEnd w:id="309"/>
      <w:bookmarkEnd w:id="310"/>
    </w:p>
    <w:p w14:paraId="2BD7BCCA">
      <w:pPr>
        <w:spacing w:line="360" w:lineRule="auto"/>
        <w:ind w:firstLine="435"/>
        <w:rPr>
          <w:rFonts w:ascii="宋体" w:hAnsi="宋体" w:eastAsia="宋体"/>
          <w:sz w:val="24"/>
        </w:rPr>
      </w:pPr>
      <w:r>
        <w:rPr>
          <w:rFonts w:hint="eastAsia" w:ascii="宋体" w:hAnsi="宋体" w:eastAsia="宋体"/>
          <w:sz w:val="24"/>
        </w:rPr>
        <w:t>1.6.1</w:t>
      </w:r>
      <w:r>
        <w:rPr>
          <w:rFonts w:ascii="宋体" w:hAnsi="宋体" w:eastAsia="宋体"/>
          <w:sz w:val="24"/>
        </w:rPr>
        <w:t>除不可抗力外，如果乙方没有按照本合同约定的期限</w:t>
      </w:r>
      <w:r>
        <w:rPr>
          <w:rFonts w:hint="eastAsia" w:ascii="宋体" w:hAnsi="宋体" w:eastAsia="宋体"/>
          <w:sz w:val="24"/>
        </w:rPr>
        <w:t>、</w:t>
      </w:r>
      <w:r>
        <w:rPr>
          <w:rFonts w:ascii="宋体" w:hAnsi="宋体" w:eastAsia="宋体"/>
          <w:sz w:val="24"/>
        </w:rPr>
        <w:t>地点和方式</w:t>
      </w:r>
      <w:r>
        <w:rPr>
          <w:rFonts w:hint="eastAsia" w:ascii="宋体" w:hAnsi="宋体" w:eastAsia="宋体"/>
          <w:sz w:val="24"/>
        </w:rPr>
        <w:t>履行</w:t>
      </w:r>
      <w:r>
        <w:rPr>
          <w:rFonts w:ascii="宋体" w:hAnsi="宋体" w:eastAsia="宋体"/>
          <w:sz w:val="24"/>
        </w:rPr>
        <w:t>，那么甲方可要求乙方支付违约金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履行</w:t>
      </w:r>
      <w:r>
        <w:rPr>
          <w:rFonts w:ascii="宋体" w:hAnsi="宋体" w:eastAsia="宋体"/>
          <w:sz w:val="24"/>
        </w:rPr>
        <w:t>一日的应提供而未</w:t>
      </w:r>
      <w:r>
        <w:rPr>
          <w:rFonts w:hint="eastAsia" w:ascii="宋体" w:hAnsi="宋体" w:eastAsia="宋体"/>
          <w:sz w:val="24"/>
        </w:rPr>
        <w:t>提供</w:t>
      </w:r>
      <w:r>
        <w:rPr>
          <w:rFonts w:ascii="宋体" w:hAnsi="宋体" w:eastAsia="宋体"/>
          <w:sz w:val="24"/>
        </w:rPr>
        <w:t>服务价格的</w:t>
      </w:r>
      <w:r>
        <w:rPr>
          <w:rFonts w:hint="eastAsia" w:ascii="宋体" w:hAnsi="宋体" w:eastAsia="宋体"/>
          <w:sz w:val="24"/>
          <w:u w:val="single"/>
        </w:rPr>
        <w:t xml:space="preserve"> 0.5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10</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履行</w:t>
      </w:r>
      <w:r>
        <w:rPr>
          <w:rFonts w:ascii="宋体" w:hAnsi="宋体" w:eastAsia="宋体"/>
          <w:sz w:val="24"/>
        </w:rPr>
        <w:t>的违约金计算数额达到前述最高限额之日起</w:t>
      </w:r>
      <w:r>
        <w:rPr>
          <w:rFonts w:hint="eastAsia" w:ascii="宋体" w:hAnsi="宋体" w:eastAsia="宋体"/>
          <w:sz w:val="24"/>
        </w:rPr>
        <w:t>，</w:t>
      </w:r>
      <w:r>
        <w:rPr>
          <w:rFonts w:ascii="宋体" w:hAnsi="宋体" w:eastAsia="宋体"/>
          <w:sz w:val="24"/>
        </w:rPr>
        <w:t>甲方有权在要求乙方支付违约金的同时</w:t>
      </w:r>
      <w:r>
        <w:rPr>
          <w:rFonts w:hint="eastAsia" w:ascii="宋体" w:hAnsi="宋体" w:eastAsia="宋体"/>
          <w:sz w:val="24"/>
        </w:rPr>
        <w:t>，书面通知乙方</w:t>
      </w:r>
      <w:r>
        <w:rPr>
          <w:rFonts w:ascii="宋体" w:hAnsi="宋体" w:eastAsia="宋体"/>
          <w:sz w:val="24"/>
        </w:rPr>
        <w:t>解除本合同</w:t>
      </w:r>
      <w:r>
        <w:rPr>
          <w:rFonts w:hint="eastAsia" w:ascii="宋体" w:hAnsi="宋体" w:eastAsia="宋体"/>
          <w:sz w:val="24"/>
        </w:rPr>
        <w:t>；</w:t>
      </w:r>
    </w:p>
    <w:p w14:paraId="418DDEC9">
      <w:pPr>
        <w:spacing w:line="360" w:lineRule="auto"/>
        <w:ind w:firstLine="435"/>
        <w:rPr>
          <w:rFonts w:ascii="宋体" w:hAnsi="宋体" w:eastAsia="宋体"/>
          <w:sz w:val="24"/>
        </w:rPr>
      </w:pPr>
      <w:r>
        <w:rPr>
          <w:rFonts w:hint="eastAsia" w:ascii="宋体" w:hAnsi="宋体" w:eastAsia="宋体"/>
          <w:sz w:val="24"/>
        </w:rPr>
        <w:t>1.6.2</w:t>
      </w:r>
      <w:r>
        <w:rPr>
          <w:rFonts w:ascii="宋体" w:hAnsi="宋体" w:eastAsia="宋体"/>
          <w:sz w:val="24"/>
        </w:rPr>
        <w:t>除不可抗力外，如果甲方没有按照本合同约定的付款方式付款，那么乙方可要求甲方支付违约金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付款</w:t>
      </w:r>
      <w:r>
        <w:rPr>
          <w:rFonts w:ascii="宋体" w:hAnsi="宋体" w:eastAsia="宋体"/>
          <w:sz w:val="24"/>
        </w:rPr>
        <w:t>一日的应付而未付款的</w:t>
      </w:r>
      <w:r>
        <w:rPr>
          <w:rFonts w:hint="eastAsia" w:ascii="宋体" w:hAnsi="宋体" w:eastAsia="宋体"/>
          <w:sz w:val="24"/>
          <w:u w:val="single"/>
        </w:rPr>
        <w:t xml:space="preserve">  0.5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10</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付款</w:t>
      </w:r>
      <w:r>
        <w:rPr>
          <w:rFonts w:ascii="宋体" w:hAnsi="宋体" w:eastAsia="宋体"/>
          <w:sz w:val="24"/>
        </w:rPr>
        <w:t>的违约金计算数额达到前述最高限额之日起</w:t>
      </w:r>
      <w:r>
        <w:rPr>
          <w:rFonts w:hint="eastAsia" w:ascii="宋体" w:hAnsi="宋体" w:eastAsia="宋体"/>
          <w:sz w:val="24"/>
        </w:rPr>
        <w:t>，乙</w:t>
      </w:r>
      <w:r>
        <w:rPr>
          <w:rFonts w:ascii="宋体" w:hAnsi="宋体" w:eastAsia="宋体"/>
          <w:sz w:val="24"/>
        </w:rPr>
        <w:t>方有权在要求甲方支付违约金的同时</w:t>
      </w:r>
      <w:r>
        <w:rPr>
          <w:rFonts w:hint="eastAsia" w:ascii="宋体" w:hAnsi="宋体" w:eastAsia="宋体"/>
          <w:sz w:val="24"/>
        </w:rPr>
        <w:t>，书面通知甲方</w:t>
      </w:r>
      <w:r>
        <w:rPr>
          <w:rFonts w:ascii="宋体" w:hAnsi="宋体" w:eastAsia="宋体"/>
          <w:sz w:val="24"/>
        </w:rPr>
        <w:t>解除本合同</w:t>
      </w:r>
      <w:r>
        <w:rPr>
          <w:rFonts w:hint="eastAsia" w:ascii="宋体" w:hAnsi="宋体" w:eastAsia="宋体"/>
          <w:sz w:val="24"/>
        </w:rPr>
        <w:t>；</w:t>
      </w:r>
    </w:p>
    <w:p w14:paraId="1025CE88">
      <w:pPr>
        <w:spacing w:line="360" w:lineRule="auto"/>
        <w:ind w:firstLine="435"/>
        <w:rPr>
          <w:rFonts w:ascii="宋体" w:hAnsi="宋体" w:eastAsia="宋体"/>
          <w:sz w:val="24"/>
        </w:rPr>
      </w:pPr>
      <w:r>
        <w:rPr>
          <w:rFonts w:hint="eastAsia" w:ascii="宋体" w:hAnsi="宋体" w:eastAsia="宋体"/>
          <w:sz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4F603CA">
      <w:pPr>
        <w:spacing w:line="360" w:lineRule="auto"/>
        <w:ind w:firstLine="435"/>
        <w:rPr>
          <w:rFonts w:ascii="宋体" w:hAnsi="宋体" w:eastAsia="宋体"/>
          <w:sz w:val="24"/>
        </w:rPr>
      </w:pPr>
      <w:r>
        <w:rPr>
          <w:rFonts w:hint="eastAsia" w:ascii="宋体" w:hAnsi="宋体" w:eastAsia="宋体"/>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C075518">
      <w:pPr>
        <w:spacing w:line="360" w:lineRule="auto"/>
        <w:ind w:firstLine="435"/>
        <w:rPr>
          <w:rFonts w:ascii="宋体" w:hAnsi="宋体" w:eastAsia="宋体"/>
          <w:sz w:val="24"/>
        </w:rPr>
      </w:pPr>
      <w:r>
        <w:rPr>
          <w:rFonts w:hint="eastAsia" w:ascii="宋体" w:hAnsi="宋体" w:eastAsia="宋体"/>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7A4582A">
      <w:pPr>
        <w:spacing w:line="360" w:lineRule="auto"/>
        <w:ind w:firstLine="435"/>
        <w:rPr>
          <w:rFonts w:ascii="宋体" w:hAnsi="宋体" w:eastAsia="宋体"/>
          <w:sz w:val="24"/>
        </w:rPr>
      </w:pPr>
      <w:r>
        <w:rPr>
          <w:rFonts w:hint="eastAsia" w:ascii="宋体" w:hAnsi="宋体" w:eastAsia="宋体"/>
          <w:sz w:val="24"/>
        </w:rPr>
        <w:t>1.6.6如果出现政府采购监督管理部门在处理投诉事项期间，书面通知甲方暂停采购活动的情形，或者询问或质疑事项可能影响成交结果的，导致甲方中止履行合同的情形，均不视为甲方违约。</w:t>
      </w:r>
    </w:p>
    <w:p w14:paraId="20165F2F">
      <w:pPr>
        <w:spacing w:line="360" w:lineRule="auto"/>
        <w:ind w:firstLine="435"/>
        <w:rPr>
          <w:rFonts w:asciiTheme="minorEastAsia" w:hAnsiTheme="minorEastAsia" w:eastAsiaTheme="minorEastAsia"/>
          <w:sz w:val="24"/>
        </w:rPr>
      </w:pPr>
      <w:bookmarkStart w:id="311" w:name="_Toc15583"/>
      <w:bookmarkStart w:id="312" w:name="_Toc28375"/>
      <w:bookmarkStart w:id="313" w:name="_Toc16021"/>
      <w:r>
        <w:rPr>
          <w:rFonts w:hint="eastAsia" w:asciiTheme="minorEastAsia" w:hAnsiTheme="minorEastAsia" w:eastAsiaTheme="minorEastAsia"/>
          <w:sz w:val="24"/>
        </w:rPr>
        <w:t>1.6.7因甲方未按合同约定支付价款、未按合同约定受领标的物、擅自解除合同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14:textFill>
            <w14:solidFill>
              <w14:schemeClr w14:val="tx1"/>
            </w14:solidFill>
          </w14:textFill>
        </w:rPr>
        <w:t>、逾期退还履约保证金</w:t>
      </w:r>
      <w:r>
        <w:rPr>
          <w:rFonts w:hint="eastAsia" w:asciiTheme="minorEastAsia" w:hAnsiTheme="minorEastAsia" w:eastAsiaTheme="minorEastAsia"/>
          <w:sz w:val="24"/>
        </w:rPr>
        <w:t>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4886DF42">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1.7合同</w:t>
      </w:r>
      <w:r>
        <w:rPr>
          <w:rFonts w:ascii="宋体" w:hAnsi="宋体" w:eastAsia="宋体"/>
          <w:b/>
          <w:bCs/>
          <w:sz w:val="24"/>
          <w:lang w:val="zh-CN"/>
        </w:rPr>
        <w:t>争议的解决</w:t>
      </w:r>
      <w:bookmarkEnd w:id="311"/>
      <w:bookmarkEnd w:id="312"/>
      <w:bookmarkEnd w:id="313"/>
    </w:p>
    <w:p w14:paraId="499AB83C">
      <w:pPr>
        <w:spacing w:line="360" w:lineRule="auto"/>
        <w:ind w:firstLine="435"/>
        <w:rPr>
          <w:rFonts w:ascii="宋体" w:hAnsi="宋体" w:eastAsia="宋体"/>
          <w:sz w:val="24"/>
        </w:rPr>
      </w:pPr>
      <w:r>
        <w:rPr>
          <w:rFonts w:hint="eastAsia" w:ascii="宋体" w:hAnsi="宋体" w:eastAsia="宋体"/>
          <w:sz w:val="24"/>
        </w:rPr>
        <w:t>本合</w:t>
      </w:r>
      <w:r>
        <w:rPr>
          <w:rFonts w:ascii="宋体" w:hAnsi="宋体" w:eastAsia="宋体"/>
          <w:sz w:val="24"/>
        </w:rPr>
        <w:t>同履行过程中发生的任何争议，双方当事人均可</w:t>
      </w:r>
      <w:r>
        <w:rPr>
          <w:rFonts w:hint="eastAsia" w:ascii="宋体" w:hAnsi="宋体" w:eastAsia="宋体"/>
          <w:sz w:val="24"/>
        </w:rPr>
        <w:t>通过和解或者调解解决；不愿和解、调解或者和解、调解不成的，可以选择下列第</w:t>
      </w:r>
      <w:r>
        <w:rPr>
          <w:rFonts w:hint="eastAsia" w:ascii="宋体" w:hAnsi="宋体" w:eastAsia="宋体"/>
          <w:sz w:val="24"/>
          <w:u w:val="single"/>
        </w:rPr>
        <w:t xml:space="preserve">  1.7.2  </w:t>
      </w:r>
      <w:r>
        <w:rPr>
          <w:rFonts w:hint="eastAsia" w:ascii="宋体" w:hAnsi="宋体" w:eastAsia="宋体"/>
          <w:sz w:val="24"/>
        </w:rPr>
        <w:t>种方式解决：</w:t>
      </w:r>
    </w:p>
    <w:p w14:paraId="173B0FED">
      <w:pPr>
        <w:spacing w:line="360" w:lineRule="auto"/>
        <w:ind w:firstLine="435"/>
        <w:rPr>
          <w:rFonts w:ascii="宋体" w:hAnsi="宋体" w:eastAsia="宋体"/>
          <w:sz w:val="24"/>
        </w:rPr>
      </w:pPr>
      <w:r>
        <w:rPr>
          <w:rFonts w:hint="eastAsia" w:ascii="宋体" w:hAnsi="宋体" w:eastAsia="宋体"/>
          <w:sz w:val="24"/>
        </w:rPr>
        <w:t>1.7.1将争议提交仲裁委员会依申请仲裁时其现行有效的仲裁规则裁决；</w:t>
      </w:r>
    </w:p>
    <w:p w14:paraId="2BB777D0">
      <w:pPr>
        <w:spacing w:line="360" w:lineRule="auto"/>
        <w:ind w:firstLine="435"/>
        <w:rPr>
          <w:rFonts w:ascii="宋体" w:hAnsi="宋体" w:eastAsia="宋体"/>
          <w:sz w:val="24"/>
        </w:rPr>
      </w:pPr>
      <w:r>
        <w:rPr>
          <w:rFonts w:hint="eastAsia" w:ascii="宋体" w:hAnsi="宋体" w:eastAsia="宋体"/>
          <w:sz w:val="24"/>
        </w:rPr>
        <w:t>1.7.2向</w:t>
      </w:r>
      <w:r>
        <w:rPr>
          <w:rFonts w:hint="eastAsia" w:ascii="宋体" w:hAnsi="宋体" w:eastAsia="宋体"/>
          <w:sz w:val="24"/>
          <w:u w:val="single"/>
        </w:rPr>
        <w:t xml:space="preserve">  甲方所在地</w:t>
      </w:r>
      <w:r>
        <w:rPr>
          <w:rFonts w:hint="eastAsia" w:ascii="宋体" w:hAnsi="宋体" w:eastAsia="宋体"/>
          <w:sz w:val="24"/>
        </w:rPr>
        <w:t>人民法院起诉。</w:t>
      </w:r>
    </w:p>
    <w:p w14:paraId="78E6249E">
      <w:pPr>
        <w:spacing w:line="360" w:lineRule="auto"/>
        <w:ind w:firstLine="437"/>
        <w:outlineLvl w:val="2"/>
        <w:rPr>
          <w:rFonts w:ascii="宋体" w:hAnsi="宋体" w:eastAsia="宋体"/>
          <w:b/>
          <w:bCs/>
          <w:sz w:val="24"/>
          <w:lang w:val="zh-CN"/>
        </w:rPr>
      </w:pPr>
      <w:bookmarkStart w:id="314" w:name="_Toc7245"/>
      <w:bookmarkStart w:id="315" w:name="_Toc11173"/>
      <w:bookmarkStart w:id="316" w:name="_Toc15322"/>
      <w:r>
        <w:rPr>
          <w:rFonts w:hint="eastAsia" w:ascii="宋体" w:hAnsi="宋体" w:eastAsia="宋体"/>
          <w:b/>
          <w:bCs/>
          <w:sz w:val="24"/>
          <w:lang w:val="zh-CN"/>
        </w:rPr>
        <w:t>1.8</w:t>
      </w:r>
      <w:r>
        <w:rPr>
          <w:rFonts w:ascii="宋体" w:hAnsi="宋体" w:eastAsia="宋体"/>
          <w:b/>
          <w:bCs/>
          <w:sz w:val="24"/>
          <w:lang w:val="zh-CN"/>
        </w:rPr>
        <w:t xml:space="preserve"> 合同生效</w:t>
      </w:r>
      <w:bookmarkEnd w:id="314"/>
      <w:bookmarkEnd w:id="315"/>
      <w:bookmarkEnd w:id="316"/>
    </w:p>
    <w:p w14:paraId="7066E533">
      <w:pPr>
        <w:spacing w:line="360" w:lineRule="auto"/>
        <w:ind w:firstLine="435"/>
        <w:rPr>
          <w:rFonts w:ascii="宋体" w:hAnsi="宋体" w:eastAsia="宋体"/>
          <w:sz w:val="24"/>
        </w:rPr>
      </w:pPr>
      <w:r>
        <w:rPr>
          <w:rFonts w:ascii="宋体" w:hAnsi="宋体" w:eastAsia="宋体"/>
          <w:sz w:val="24"/>
        </w:rPr>
        <w:t>本合同自</w:t>
      </w:r>
      <w:r>
        <w:rPr>
          <w:rFonts w:hint="eastAsia" w:ascii="宋体" w:hAnsi="宋体" w:eastAsia="宋体"/>
          <w:sz w:val="24"/>
        </w:rPr>
        <w:t>双方当事人盖章时</w:t>
      </w:r>
      <w:r>
        <w:rPr>
          <w:rFonts w:ascii="宋体" w:hAnsi="宋体" w:eastAsia="宋体"/>
          <w:sz w:val="24"/>
        </w:rPr>
        <w:t>生效。</w:t>
      </w:r>
    </w:p>
    <w:p w14:paraId="5330360E">
      <w:pPr>
        <w:spacing w:line="360" w:lineRule="auto"/>
        <w:ind w:firstLine="435"/>
        <w:rPr>
          <w:rFonts w:ascii="宋体" w:hAnsi="宋体" w:eastAsia="宋体"/>
          <w:sz w:val="24"/>
        </w:rPr>
      </w:pPr>
    </w:p>
    <w:p w14:paraId="1A34F1F3">
      <w:pPr>
        <w:spacing w:line="360" w:lineRule="auto"/>
        <w:ind w:firstLine="435"/>
        <w:rPr>
          <w:rFonts w:ascii="宋体" w:hAnsi="宋体" w:eastAsia="宋体"/>
          <w:sz w:val="24"/>
          <w:lang w:val="zh-CN"/>
        </w:rPr>
      </w:pPr>
    </w:p>
    <w:p w14:paraId="0D676E08">
      <w:pPr>
        <w:autoSpaceDE w:val="0"/>
        <w:autoSpaceDN w:val="0"/>
        <w:adjustRightInd w:val="0"/>
        <w:spacing w:line="560" w:lineRule="exact"/>
        <w:rPr>
          <w:rFonts w:cs="Times New Roman" w:asciiTheme="minorEastAsia" w:hAnsiTheme="minorEastAsia" w:eastAsiaTheme="minorEastAsia"/>
          <w:bCs/>
          <w:sz w:val="24"/>
          <w:szCs w:val="24"/>
          <w:lang w:val="zh-CN"/>
        </w:rPr>
      </w:pPr>
      <w:bookmarkStart w:id="317" w:name="_Toc331685783"/>
      <w:r>
        <w:rPr>
          <w:rFonts w:hint="eastAsia" w:cs="Times New Roman" w:asciiTheme="minorEastAsia" w:hAnsiTheme="minorEastAsia" w:eastAsiaTheme="minorEastAsia"/>
          <w:bCs/>
          <w:sz w:val="24"/>
          <w:szCs w:val="24"/>
          <w:lang w:val="zh-CN"/>
        </w:rPr>
        <w:t>甲 方：</w:t>
      </w:r>
      <w:r>
        <w:rPr>
          <w:rFonts w:hint="eastAsia" w:cs="Times New Roman" w:asciiTheme="minorEastAsia" w:hAnsiTheme="minorEastAsia" w:eastAsiaTheme="minorEastAsia"/>
          <w:bCs/>
          <w:sz w:val="24"/>
          <w:szCs w:val="24"/>
          <w:u w:val="single"/>
          <w:lang w:val="zh-CN"/>
        </w:rPr>
        <w:t xml:space="preserve">    （单位盖章）     </w:t>
      </w:r>
      <w:r>
        <w:rPr>
          <w:rFonts w:hint="eastAsia" w:cs="Times New Roman" w:asciiTheme="minorEastAsia" w:hAnsiTheme="minorEastAsia" w:eastAsiaTheme="minorEastAsia"/>
          <w:bCs/>
          <w:sz w:val="24"/>
          <w:szCs w:val="24"/>
          <w:lang w:val="zh-CN"/>
        </w:rPr>
        <w:t xml:space="preserve">          乙方：</w:t>
      </w:r>
      <w:r>
        <w:rPr>
          <w:rFonts w:hint="eastAsia" w:cs="Times New Roman" w:asciiTheme="minorEastAsia" w:hAnsiTheme="minorEastAsia" w:eastAsiaTheme="minorEastAsia"/>
          <w:bCs/>
          <w:sz w:val="24"/>
          <w:szCs w:val="24"/>
          <w:u w:val="single"/>
          <w:lang w:val="zh-CN"/>
        </w:rPr>
        <w:t xml:space="preserve">    （单位盖章）     </w:t>
      </w:r>
    </w:p>
    <w:p w14:paraId="55DAFB53">
      <w:pPr>
        <w:autoSpaceDE w:val="0"/>
        <w:autoSpaceDN w:val="0"/>
        <w:adjustRightInd w:val="0"/>
        <w:spacing w:line="560" w:lineRule="exact"/>
        <w:rPr>
          <w:rFonts w:cs="Times New Roman" w:asciiTheme="minorEastAsia" w:hAnsiTheme="minorEastAsia" w:eastAsiaTheme="minorEastAsia"/>
          <w:sz w:val="24"/>
          <w:szCs w:val="24"/>
          <w:lang w:val="zh-CN"/>
        </w:rPr>
      </w:pPr>
      <w:r>
        <w:rPr>
          <w:rFonts w:hint="eastAsia" w:cs="Times New Roman" w:asciiTheme="minorEastAsia" w:hAnsiTheme="minorEastAsia" w:eastAsiaTheme="minorEastAsia"/>
          <w:sz w:val="24"/>
          <w:szCs w:val="24"/>
          <w:lang w:val="zh-CN"/>
        </w:rPr>
        <w:t>法定代表人                             法定代表人</w:t>
      </w:r>
    </w:p>
    <w:p w14:paraId="09A31905">
      <w:pPr>
        <w:autoSpaceDE w:val="0"/>
        <w:autoSpaceDN w:val="0"/>
        <w:adjustRightInd w:val="0"/>
        <w:spacing w:line="560" w:lineRule="exact"/>
        <w:rPr>
          <w:rFonts w:cs="Times New Roman" w:asciiTheme="minorEastAsia" w:hAnsiTheme="minorEastAsia" w:eastAsiaTheme="minorEastAsia"/>
          <w:sz w:val="24"/>
          <w:szCs w:val="24"/>
          <w:lang w:val="zh-CN"/>
        </w:rPr>
      </w:pPr>
      <w:r>
        <w:rPr>
          <w:rFonts w:hint="eastAsia" w:cs="Times New Roman" w:asciiTheme="minorEastAsia" w:hAnsiTheme="minorEastAsia" w:eastAsiaTheme="minorEastAsia"/>
          <w:sz w:val="24"/>
          <w:szCs w:val="24"/>
          <w:lang w:val="zh-CN"/>
        </w:rPr>
        <w:t>或授权代表（签字）：                      或授权代表（签字）：</w:t>
      </w:r>
    </w:p>
    <w:p w14:paraId="72C57DA2">
      <w:pPr>
        <w:widowControl/>
        <w:spacing w:line="560" w:lineRule="exact"/>
        <w:jc w:val="left"/>
        <w:rPr>
          <w:rFonts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时间：年月日               时间：年月日</w:t>
      </w:r>
    </w:p>
    <w:p w14:paraId="1FFDD8FF">
      <w:pPr>
        <w:widowControl/>
        <w:spacing w:line="560" w:lineRule="exact"/>
        <w:jc w:val="left"/>
        <w:rPr>
          <w:rFonts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 xml:space="preserve">                                        乙方账户信息</w:t>
      </w:r>
    </w:p>
    <w:p w14:paraId="7D7A216F">
      <w:pPr>
        <w:widowControl/>
        <w:spacing w:line="560" w:lineRule="exact"/>
        <w:jc w:val="left"/>
        <w:rPr>
          <w:rFonts w:cs="Times New Roman" w:asciiTheme="minorEastAsia" w:hAnsiTheme="minorEastAsia" w:eastAsiaTheme="minorEastAsia"/>
          <w:bCs/>
          <w:sz w:val="24"/>
          <w:szCs w:val="24"/>
          <w:u w:val="single"/>
        </w:rPr>
      </w:pPr>
      <w:r>
        <w:rPr>
          <w:rFonts w:hint="eastAsia" w:cs="Times New Roman" w:asciiTheme="minorEastAsia" w:hAnsiTheme="minorEastAsia" w:eastAsiaTheme="minorEastAsia"/>
          <w:bCs/>
          <w:sz w:val="24"/>
          <w:szCs w:val="24"/>
        </w:rPr>
        <w:t xml:space="preserve">                                        户名：</w:t>
      </w:r>
    </w:p>
    <w:p w14:paraId="6929D1B0">
      <w:pPr>
        <w:widowControl/>
        <w:spacing w:line="560" w:lineRule="exact"/>
        <w:jc w:val="left"/>
        <w:rPr>
          <w:rFonts w:cs="Times New Roman" w:asciiTheme="minorEastAsia" w:hAnsiTheme="minorEastAsia" w:eastAsiaTheme="minorEastAsia"/>
          <w:bCs/>
          <w:sz w:val="24"/>
          <w:szCs w:val="24"/>
          <w:u w:val="single"/>
        </w:rPr>
      </w:pPr>
      <w:r>
        <w:rPr>
          <w:rFonts w:hint="eastAsia" w:cs="Times New Roman" w:asciiTheme="minorEastAsia" w:hAnsiTheme="minorEastAsia" w:eastAsiaTheme="minorEastAsia"/>
          <w:bCs/>
          <w:sz w:val="24"/>
          <w:szCs w:val="24"/>
        </w:rPr>
        <w:t xml:space="preserve">                                        账号：</w:t>
      </w:r>
    </w:p>
    <w:p w14:paraId="0F77B65A">
      <w:pPr>
        <w:widowControl/>
        <w:spacing w:line="560" w:lineRule="exact"/>
        <w:jc w:val="left"/>
        <w:rPr>
          <w:rFonts w:cs="Times New Roman" w:asciiTheme="minorEastAsia" w:hAnsiTheme="minorEastAsia" w:eastAsiaTheme="minorEastAsia"/>
          <w:bCs/>
          <w:sz w:val="24"/>
          <w:szCs w:val="24"/>
          <w:u w:val="single"/>
        </w:rPr>
      </w:pPr>
      <w:r>
        <w:rPr>
          <w:rFonts w:hint="eastAsia" w:cs="Times New Roman" w:asciiTheme="minorEastAsia" w:hAnsiTheme="minorEastAsia" w:eastAsiaTheme="minorEastAsia"/>
          <w:bCs/>
          <w:sz w:val="24"/>
          <w:szCs w:val="24"/>
        </w:rPr>
        <w:t xml:space="preserve">                                        开户银行：</w:t>
      </w:r>
    </w:p>
    <w:p w14:paraId="59F60AA6">
      <w:pPr>
        <w:rPr>
          <w:rFonts w:ascii="宋体" w:hAnsi="宋体" w:eastAsia="宋体"/>
          <w:b/>
          <w:sz w:val="24"/>
        </w:rPr>
      </w:pPr>
    </w:p>
    <w:p w14:paraId="4F3838F0">
      <w:pPr>
        <w:spacing w:line="360" w:lineRule="auto"/>
        <w:jc w:val="center"/>
        <w:outlineLvl w:val="1"/>
        <w:rPr>
          <w:rFonts w:ascii="宋体" w:hAnsi="宋体" w:eastAsia="宋体"/>
          <w:b/>
          <w:sz w:val="24"/>
        </w:rPr>
      </w:pPr>
      <w:r>
        <w:rPr>
          <w:rFonts w:hint="eastAsia" w:ascii="宋体" w:hAnsi="宋体" w:eastAsia="宋体"/>
          <w:b/>
          <w:sz w:val="24"/>
        </w:rPr>
        <w:t>第二部分合同一般条款</w:t>
      </w:r>
      <w:bookmarkEnd w:id="317"/>
    </w:p>
    <w:p w14:paraId="6D5ED9C9">
      <w:pPr>
        <w:spacing w:line="360" w:lineRule="auto"/>
        <w:ind w:firstLine="437"/>
        <w:outlineLvl w:val="2"/>
        <w:rPr>
          <w:rFonts w:ascii="宋体" w:hAnsi="宋体" w:eastAsia="宋体"/>
          <w:b/>
          <w:bCs/>
          <w:sz w:val="24"/>
          <w:lang w:val="zh-CN"/>
        </w:rPr>
      </w:pPr>
      <w:bookmarkStart w:id="318" w:name="_Toc19614"/>
      <w:bookmarkStart w:id="319" w:name="_Ref467379094"/>
      <w:bookmarkStart w:id="320" w:name="_Ref467379205"/>
      <w:bookmarkStart w:id="321" w:name="_Toc487900349"/>
      <w:bookmarkStart w:id="322" w:name="_Ref467379101"/>
      <w:bookmarkStart w:id="323" w:name="_Toc259093669"/>
      <w:bookmarkStart w:id="324" w:name="_Ref467379225"/>
      <w:bookmarkStart w:id="325" w:name="_Toc279701240"/>
      <w:bookmarkStart w:id="326" w:name="_Ref467378463"/>
      <w:bookmarkStart w:id="327" w:name="_Toc16917"/>
      <w:bookmarkStart w:id="328" w:name="_Ref467378499"/>
      <w:bookmarkStart w:id="329" w:name="_Ref467379109"/>
      <w:bookmarkStart w:id="330" w:name="_Ref467378404"/>
      <w:bookmarkStart w:id="331" w:name="_Ref467379214"/>
      <w:bookmarkStart w:id="332" w:name="_Toc28763"/>
      <w:bookmarkStart w:id="333" w:name="_Ref467379195"/>
      <w:r>
        <w:rPr>
          <w:rFonts w:hint="eastAsia" w:ascii="宋体" w:hAnsi="宋体" w:eastAsia="宋体"/>
          <w:b/>
          <w:bCs/>
          <w:sz w:val="24"/>
          <w:lang w:val="zh-CN"/>
        </w:rPr>
        <w:t>2.1</w:t>
      </w:r>
      <w:r>
        <w:rPr>
          <w:rFonts w:ascii="宋体" w:hAnsi="宋体" w:eastAsia="宋体"/>
          <w:b/>
          <w:bCs/>
          <w:sz w:val="24"/>
          <w:lang w:val="zh-CN"/>
        </w:rPr>
        <w:t xml:space="preserve"> 定义</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0C6DF5BC">
      <w:pPr>
        <w:spacing w:line="360" w:lineRule="auto"/>
        <w:ind w:firstLine="435"/>
        <w:rPr>
          <w:rFonts w:ascii="宋体" w:hAnsi="宋体" w:eastAsia="宋体"/>
          <w:sz w:val="24"/>
        </w:rPr>
      </w:pPr>
      <w:r>
        <w:rPr>
          <w:rFonts w:ascii="宋体" w:hAnsi="宋体" w:eastAsia="宋体"/>
          <w:sz w:val="24"/>
        </w:rPr>
        <w:t>本合同中的下列</w:t>
      </w:r>
      <w:r>
        <w:rPr>
          <w:rFonts w:hint="eastAsia" w:ascii="宋体" w:hAnsi="宋体" w:eastAsia="宋体"/>
          <w:sz w:val="24"/>
        </w:rPr>
        <w:t>词</w:t>
      </w:r>
      <w:r>
        <w:rPr>
          <w:rFonts w:ascii="宋体" w:hAnsi="宋体" w:eastAsia="宋体"/>
          <w:sz w:val="24"/>
        </w:rPr>
        <w:t>语应</w:t>
      </w:r>
      <w:r>
        <w:rPr>
          <w:rFonts w:hint="eastAsia" w:ascii="宋体" w:hAnsi="宋体" w:eastAsia="宋体"/>
          <w:sz w:val="24"/>
        </w:rPr>
        <w:t>按以下内容进行</w:t>
      </w:r>
      <w:r>
        <w:rPr>
          <w:rFonts w:ascii="宋体" w:hAnsi="宋体" w:eastAsia="宋体"/>
          <w:sz w:val="24"/>
        </w:rPr>
        <w:t>解释：</w:t>
      </w:r>
    </w:p>
    <w:p w14:paraId="5440C78C">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.1</w:t>
      </w:r>
      <w:r>
        <w:rPr>
          <w:rFonts w:ascii="宋体" w:hAnsi="宋体" w:eastAsia="宋体"/>
          <w:sz w:val="24"/>
        </w:rPr>
        <w:t>“合同”系指采购人和成交供应商签订的载明双方当事人所达成的协议，并包括所有的附件、附录和构成合同的其他文件。</w:t>
      </w:r>
    </w:p>
    <w:p w14:paraId="35C26014">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1.2“合同价”系指根据合同约定，成交供应商在完全履行合同义务后</w:t>
      </w:r>
      <w:r>
        <w:rPr>
          <w:rFonts w:hint="eastAsia" w:ascii="宋体" w:hAnsi="宋体" w:eastAsia="宋体"/>
          <w:sz w:val="24"/>
        </w:rPr>
        <w:t>，</w:t>
      </w:r>
      <w:r>
        <w:rPr>
          <w:rFonts w:ascii="宋体" w:hAnsi="宋体" w:eastAsia="宋体"/>
          <w:sz w:val="24"/>
        </w:rPr>
        <w:t>采购人应支付给成交供应商的价格。</w:t>
      </w:r>
    </w:p>
    <w:p w14:paraId="001E89C3">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1.3“</w:t>
      </w:r>
      <w:r>
        <w:rPr>
          <w:rFonts w:hint="eastAsia" w:ascii="宋体" w:hAnsi="宋体" w:eastAsia="宋体"/>
          <w:sz w:val="24"/>
        </w:rPr>
        <w:t>服务</w:t>
      </w:r>
      <w:r>
        <w:rPr>
          <w:rFonts w:ascii="宋体" w:hAnsi="宋体" w:eastAsia="宋体"/>
          <w:sz w:val="24"/>
        </w:rPr>
        <w:t>”系指</w:t>
      </w:r>
      <w:r>
        <w:rPr>
          <w:rFonts w:hint="eastAsia" w:ascii="宋体" w:hAnsi="宋体" w:eastAsia="宋体"/>
          <w:sz w:val="24"/>
        </w:rPr>
        <w:t>成交供应商</w:t>
      </w:r>
      <w:r>
        <w:rPr>
          <w:rFonts w:ascii="宋体" w:hAnsi="宋体" w:eastAsia="宋体"/>
          <w:sz w:val="24"/>
        </w:rPr>
        <w:t>根据合同约定应向采购人</w:t>
      </w:r>
      <w:r>
        <w:rPr>
          <w:rFonts w:hint="eastAsia" w:ascii="宋体" w:hAnsi="宋体" w:eastAsia="宋体"/>
          <w:sz w:val="24"/>
        </w:rPr>
        <w:t>履行</w:t>
      </w:r>
      <w:r>
        <w:rPr>
          <w:rFonts w:ascii="宋体" w:hAnsi="宋体" w:eastAsia="宋体"/>
          <w:sz w:val="24"/>
        </w:rPr>
        <w:t>的</w:t>
      </w:r>
      <w:r>
        <w:rPr>
          <w:rFonts w:hint="eastAsia" w:ascii="宋体" w:hAnsi="宋体" w:eastAsia="宋体"/>
          <w:sz w:val="24"/>
        </w:rPr>
        <w:t>除货物和工程以外的其他政府采购对象，包括采购人自身需要的服务和向社会公众提供的公共服务。</w:t>
      </w:r>
    </w:p>
    <w:p w14:paraId="4723A39C">
      <w:pPr>
        <w:spacing w:line="360" w:lineRule="auto"/>
        <w:ind w:firstLine="435"/>
        <w:rPr>
          <w:rFonts w:ascii="宋体" w:hAnsi="宋体" w:eastAsia="宋体"/>
          <w:sz w:val="24"/>
        </w:rPr>
      </w:pPr>
      <w:bookmarkStart w:id="334" w:name="_Ref467378840"/>
      <w:r>
        <w:rPr>
          <w:rFonts w:hint="eastAsia" w:ascii="宋体" w:hAnsi="宋体" w:eastAsia="宋体"/>
          <w:sz w:val="24"/>
        </w:rPr>
        <w:t>2.</w:t>
      </w:r>
      <w:r>
        <w:rPr>
          <w:rFonts w:ascii="宋体" w:hAnsi="宋体" w:eastAsia="宋体"/>
          <w:sz w:val="24"/>
        </w:rPr>
        <w:t>1.</w:t>
      </w:r>
      <w:r>
        <w:rPr>
          <w:rFonts w:hint="eastAsia" w:ascii="宋体" w:hAnsi="宋体" w:eastAsia="宋体"/>
          <w:sz w:val="24"/>
        </w:rPr>
        <w:t>4</w:t>
      </w:r>
      <w:r>
        <w:rPr>
          <w:rFonts w:ascii="宋体" w:hAnsi="宋体" w:eastAsia="宋体"/>
          <w:sz w:val="24"/>
        </w:rPr>
        <w:t>“</w:t>
      </w:r>
      <w:r>
        <w:rPr>
          <w:rFonts w:hint="eastAsia" w:ascii="宋体" w:hAnsi="宋体" w:eastAsia="宋体"/>
          <w:sz w:val="24"/>
        </w:rPr>
        <w:t>甲方</w:t>
      </w:r>
      <w:r>
        <w:rPr>
          <w:rFonts w:ascii="宋体" w:hAnsi="宋体" w:eastAsia="宋体"/>
          <w:sz w:val="24"/>
        </w:rPr>
        <w:t>”系指与</w:t>
      </w:r>
      <w:r>
        <w:rPr>
          <w:rFonts w:hint="eastAsia" w:ascii="宋体" w:hAnsi="宋体" w:eastAsia="宋体"/>
          <w:sz w:val="24"/>
        </w:rPr>
        <w:t>成交供应商</w:t>
      </w:r>
      <w:r>
        <w:rPr>
          <w:rFonts w:ascii="宋体" w:hAnsi="宋体" w:eastAsia="宋体"/>
          <w:sz w:val="24"/>
        </w:rPr>
        <w:t>签署合同的采购人</w:t>
      </w:r>
      <w:bookmarkEnd w:id="334"/>
      <w:r>
        <w:rPr>
          <w:rFonts w:hint="eastAsia" w:ascii="宋体" w:hAnsi="宋体" w:eastAsia="宋体"/>
          <w:sz w:val="24"/>
        </w:rPr>
        <w:t>；采购人委托采购代理机构代表其与乙方签订合同的，采购人的授权委托书作为合同附件。</w:t>
      </w:r>
    </w:p>
    <w:p w14:paraId="148138BA">
      <w:pPr>
        <w:spacing w:line="360" w:lineRule="auto"/>
        <w:ind w:firstLine="435"/>
        <w:rPr>
          <w:rFonts w:ascii="宋体" w:hAnsi="宋体" w:eastAsia="宋体"/>
          <w:sz w:val="24"/>
        </w:rPr>
      </w:pPr>
      <w:bookmarkStart w:id="335" w:name="_Ref467379400"/>
      <w:r>
        <w:rPr>
          <w:rFonts w:hint="eastAsia" w:ascii="宋体" w:hAnsi="宋体" w:eastAsia="宋体"/>
          <w:sz w:val="24"/>
        </w:rPr>
        <w:t>2.</w:t>
      </w:r>
      <w:r>
        <w:rPr>
          <w:rFonts w:ascii="宋体" w:hAnsi="宋体" w:eastAsia="宋体"/>
          <w:sz w:val="24"/>
        </w:rPr>
        <w:t>1.</w:t>
      </w:r>
      <w:r>
        <w:rPr>
          <w:rFonts w:hint="eastAsia" w:ascii="宋体" w:hAnsi="宋体" w:eastAsia="宋体"/>
          <w:sz w:val="24"/>
        </w:rPr>
        <w:t>5</w:t>
      </w:r>
      <w:r>
        <w:rPr>
          <w:rFonts w:ascii="宋体" w:hAnsi="宋体" w:eastAsia="宋体"/>
          <w:sz w:val="24"/>
        </w:rPr>
        <w:t>“乙方”系指根据合同约定</w:t>
      </w:r>
      <w:r>
        <w:rPr>
          <w:rFonts w:hint="eastAsia" w:ascii="宋体" w:hAnsi="宋体" w:eastAsia="宋体"/>
          <w:sz w:val="24"/>
        </w:rPr>
        <w:t>提供服务</w:t>
      </w:r>
      <w:r>
        <w:rPr>
          <w:rFonts w:ascii="宋体" w:hAnsi="宋体" w:eastAsia="宋体"/>
          <w:sz w:val="24"/>
        </w:rPr>
        <w:t>的成交供应商</w:t>
      </w:r>
      <w:bookmarkEnd w:id="335"/>
      <w:r>
        <w:rPr>
          <w:rFonts w:hint="eastAsia" w:ascii="宋体" w:hAnsi="宋体" w:eastAsia="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0573A443">
      <w:pPr>
        <w:spacing w:line="360" w:lineRule="auto"/>
        <w:ind w:firstLine="435"/>
        <w:rPr>
          <w:rFonts w:ascii="宋体" w:hAnsi="宋体" w:eastAsia="宋体"/>
          <w:sz w:val="24"/>
        </w:rPr>
      </w:pPr>
      <w:bookmarkStart w:id="336" w:name="_Ref467379436"/>
      <w:r>
        <w:rPr>
          <w:rFonts w:hint="eastAsia" w:ascii="宋体" w:hAnsi="宋体" w:eastAsia="宋体"/>
          <w:sz w:val="24"/>
        </w:rPr>
        <w:t>2.</w:t>
      </w:r>
      <w:r>
        <w:rPr>
          <w:rFonts w:ascii="宋体" w:hAnsi="宋体" w:eastAsia="宋体"/>
          <w:sz w:val="24"/>
        </w:rPr>
        <w:t>1.</w:t>
      </w:r>
      <w:r>
        <w:rPr>
          <w:rFonts w:hint="eastAsia" w:ascii="宋体" w:hAnsi="宋体" w:eastAsia="宋体"/>
          <w:sz w:val="24"/>
        </w:rPr>
        <w:t>6</w:t>
      </w:r>
      <w:r>
        <w:rPr>
          <w:rFonts w:ascii="宋体" w:hAnsi="宋体" w:eastAsia="宋体"/>
          <w:sz w:val="24"/>
        </w:rPr>
        <w:t>“现场”系指合同约定</w:t>
      </w:r>
      <w:r>
        <w:rPr>
          <w:rFonts w:hint="eastAsia" w:ascii="宋体" w:hAnsi="宋体" w:eastAsia="宋体"/>
          <w:sz w:val="24"/>
        </w:rPr>
        <w:t>提供服务</w:t>
      </w:r>
      <w:r>
        <w:rPr>
          <w:rFonts w:ascii="宋体" w:hAnsi="宋体" w:eastAsia="宋体"/>
          <w:sz w:val="24"/>
        </w:rPr>
        <w:t>的地点。</w:t>
      </w:r>
      <w:bookmarkEnd w:id="336"/>
    </w:p>
    <w:p w14:paraId="2811A5A3">
      <w:pPr>
        <w:spacing w:line="360" w:lineRule="auto"/>
        <w:ind w:firstLine="437"/>
        <w:outlineLvl w:val="2"/>
        <w:rPr>
          <w:rFonts w:ascii="宋体" w:hAnsi="宋体" w:eastAsia="宋体"/>
          <w:b/>
          <w:bCs/>
          <w:sz w:val="24"/>
          <w:lang w:val="zh-CN"/>
        </w:rPr>
      </w:pPr>
      <w:bookmarkStart w:id="337" w:name="_Toc279701241"/>
      <w:bookmarkStart w:id="338" w:name="_Toc27635"/>
      <w:bookmarkStart w:id="339" w:name="_Toc259093670"/>
      <w:bookmarkStart w:id="340" w:name="_Toc32504"/>
      <w:bookmarkStart w:id="341" w:name="_Toc487900350"/>
      <w:bookmarkStart w:id="342" w:name="_Toc13336"/>
      <w:r>
        <w:rPr>
          <w:rFonts w:hint="eastAsia" w:ascii="宋体" w:hAnsi="宋体" w:eastAsia="宋体"/>
          <w:b/>
          <w:bCs/>
          <w:sz w:val="24"/>
          <w:lang w:val="zh-CN"/>
        </w:rPr>
        <w:t>2.</w:t>
      </w:r>
      <w:r>
        <w:rPr>
          <w:rFonts w:ascii="宋体" w:hAnsi="宋体" w:eastAsia="宋体"/>
          <w:b/>
          <w:bCs/>
          <w:sz w:val="24"/>
          <w:lang w:val="zh-CN"/>
        </w:rPr>
        <w:t>2 技术规范</w:t>
      </w:r>
      <w:bookmarkEnd w:id="337"/>
      <w:bookmarkEnd w:id="338"/>
      <w:bookmarkEnd w:id="339"/>
      <w:bookmarkEnd w:id="340"/>
      <w:bookmarkEnd w:id="341"/>
      <w:bookmarkEnd w:id="342"/>
    </w:p>
    <w:p w14:paraId="1C825A11">
      <w:pPr>
        <w:spacing w:line="360" w:lineRule="auto"/>
        <w:ind w:firstLine="435"/>
        <w:rPr>
          <w:rFonts w:ascii="宋体" w:hAnsi="宋体" w:eastAsia="宋体"/>
          <w:sz w:val="24"/>
        </w:rPr>
      </w:pPr>
      <w:r>
        <w:rPr>
          <w:rFonts w:ascii="宋体" w:hAnsi="宋体" w:eastAsia="宋体"/>
          <w:sz w:val="24"/>
        </w:rPr>
        <w:t>货物所应遵守的技术规范应与采购文件规定的技术规范和技术规范附件(如果有的话)及其技术规范偏差表(如果被甲方接受的话)相一致</w:t>
      </w:r>
      <w:r>
        <w:rPr>
          <w:rFonts w:hint="eastAsia" w:ascii="宋体" w:hAnsi="宋体" w:eastAsia="宋体"/>
          <w:sz w:val="24"/>
        </w:rPr>
        <w:t>；</w:t>
      </w:r>
      <w:r>
        <w:rPr>
          <w:rFonts w:ascii="宋体" w:hAnsi="宋体" w:eastAsia="宋体"/>
          <w:sz w:val="24"/>
        </w:rPr>
        <w:t>如果采购文件中没有技术规范的相应说明，那么应以国家有关部门最新颁布的相应标准</w:t>
      </w:r>
      <w:r>
        <w:rPr>
          <w:rFonts w:hint="eastAsia" w:ascii="宋体" w:hAnsi="宋体" w:eastAsia="宋体"/>
          <w:sz w:val="24"/>
        </w:rPr>
        <w:t>和</w:t>
      </w:r>
      <w:r>
        <w:rPr>
          <w:rFonts w:ascii="宋体" w:hAnsi="宋体" w:eastAsia="宋体"/>
          <w:sz w:val="24"/>
        </w:rPr>
        <w:t>规范为准。</w:t>
      </w:r>
    </w:p>
    <w:p w14:paraId="2B90CC66">
      <w:pPr>
        <w:spacing w:line="360" w:lineRule="auto"/>
        <w:ind w:firstLine="437"/>
        <w:outlineLvl w:val="2"/>
        <w:rPr>
          <w:rFonts w:ascii="宋体" w:hAnsi="宋体" w:eastAsia="宋体"/>
          <w:b/>
          <w:bCs/>
          <w:sz w:val="24"/>
          <w:lang w:val="zh-CN"/>
        </w:rPr>
      </w:pPr>
      <w:bookmarkStart w:id="343" w:name="_Toc9829"/>
      <w:bookmarkStart w:id="344" w:name="_Toc487900351"/>
      <w:bookmarkStart w:id="345" w:name="_Toc31634"/>
      <w:bookmarkStart w:id="346" w:name="_Toc279701242"/>
      <w:bookmarkStart w:id="347" w:name="_Toc259093671"/>
      <w:bookmarkStart w:id="348" w:name="_Toc27853"/>
      <w:r>
        <w:rPr>
          <w:rFonts w:hint="eastAsia" w:ascii="宋体" w:hAnsi="宋体" w:eastAsia="宋体"/>
          <w:b/>
          <w:bCs/>
          <w:sz w:val="24"/>
          <w:lang w:val="zh-CN"/>
        </w:rPr>
        <w:t>2.</w:t>
      </w:r>
      <w:r>
        <w:rPr>
          <w:rFonts w:ascii="宋体" w:hAnsi="宋体" w:eastAsia="宋体"/>
          <w:b/>
          <w:bCs/>
          <w:sz w:val="24"/>
          <w:lang w:val="zh-CN"/>
        </w:rPr>
        <w:t>3 知识产权</w:t>
      </w:r>
      <w:bookmarkEnd w:id="343"/>
      <w:bookmarkEnd w:id="344"/>
      <w:bookmarkEnd w:id="345"/>
      <w:bookmarkEnd w:id="346"/>
      <w:bookmarkEnd w:id="347"/>
      <w:bookmarkEnd w:id="348"/>
    </w:p>
    <w:p w14:paraId="5B61A764">
      <w:pPr>
        <w:spacing w:line="360" w:lineRule="auto"/>
        <w:ind w:firstLine="435"/>
        <w:rPr>
          <w:rFonts w:ascii="宋体" w:hAnsi="宋体" w:eastAsia="宋体"/>
          <w:sz w:val="24"/>
        </w:rPr>
      </w:pPr>
      <w:r>
        <w:rPr>
          <w:rFonts w:hint="eastAsia" w:ascii="宋体" w:hAnsi="宋体" w:eastAsia="宋体"/>
          <w:sz w:val="24"/>
        </w:rPr>
        <w:t>2.3.1乙</w:t>
      </w:r>
      <w:r>
        <w:rPr>
          <w:rFonts w:ascii="宋体" w:hAnsi="宋体" w:eastAsia="宋体"/>
          <w:sz w:val="24"/>
        </w:rPr>
        <w:t>方应保证</w:t>
      </w:r>
      <w:r>
        <w:rPr>
          <w:rFonts w:hint="eastAsia" w:ascii="宋体" w:hAnsi="宋体" w:eastAsia="宋体"/>
          <w:sz w:val="24"/>
        </w:rPr>
        <w:t>其提供的服务</w:t>
      </w:r>
      <w:r>
        <w:rPr>
          <w:rFonts w:ascii="宋体" w:hAnsi="宋体" w:eastAsia="宋体"/>
          <w:sz w:val="24"/>
        </w:rPr>
        <w:t>不受任何第三方提出的侵犯其著作权、商标权、专利权等知识产权方面的起诉</w:t>
      </w:r>
      <w:r>
        <w:rPr>
          <w:rFonts w:hint="eastAsia" w:ascii="宋体" w:hAnsi="宋体" w:eastAsia="宋体"/>
          <w:sz w:val="24"/>
        </w:rPr>
        <w:t>；</w:t>
      </w:r>
      <w:r>
        <w:rPr>
          <w:rFonts w:ascii="宋体" w:hAnsi="宋体" w:eastAsia="宋体"/>
          <w:sz w:val="24"/>
        </w:rPr>
        <w:t>如果任何第三方提出侵权</w:t>
      </w:r>
      <w:r>
        <w:rPr>
          <w:rFonts w:hint="eastAsia" w:ascii="宋体" w:hAnsi="宋体" w:eastAsia="宋体"/>
          <w:sz w:val="24"/>
        </w:rPr>
        <w:t>指控</w:t>
      </w:r>
      <w:r>
        <w:rPr>
          <w:rFonts w:ascii="宋体" w:hAnsi="宋体" w:eastAsia="宋体"/>
          <w:sz w:val="24"/>
        </w:rPr>
        <w:t>，那么乙方须与该第三方交涉并承担由此发生的一切责任、费用和赔偿</w:t>
      </w:r>
      <w:r>
        <w:rPr>
          <w:rFonts w:hint="eastAsia" w:ascii="宋体" w:hAnsi="宋体" w:eastAsia="宋体"/>
          <w:sz w:val="24"/>
        </w:rPr>
        <w:t>；</w:t>
      </w:r>
    </w:p>
    <w:p w14:paraId="17322E67">
      <w:pPr>
        <w:spacing w:line="360" w:lineRule="auto"/>
        <w:ind w:firstLine="435"/>
        <w:rPr>
          <w:rFonts w:ascii="宋体" w:hAnsi="宋体" w:eastAsia="宋体"/>
          <w:sz w:val="24"/>
        </w:rPr>
      </w:pPr>
      <w:r>
        <w:rPr>
          <w:rFonts w:hint="eastAsia" w:ascii="宋体" w:hAnsi="宋体" w:eastAsia="宋体"/>
          <w:sz w:val="24"/>
        </w:rPr>
        <w:t>2.3.2具有知识产权的计算机软件等货物的知识产权归属，</w:t>
      </w:r>
      <w:r>
        <w:rPr>
          <w:rFonts w:ascii="宋体" w:hAnsi="宋体" w:eastAsia="宋体"/>
          <w:sz w:val="24"/>
        </w:rPr>
        <w:t>详见</w:t>
      </w:r>
      <w:r>
        <w:rPr>
          <w:rFonts w:ascii="宋体" w:hAnsi="宋体" w:eastAsia="宋体"/>
          <w:b/>
          <w:i/>
          <w:sz w:val="24"/>
          <w:u w:val="single"/>
        </w:rPr>
        <w:t>合同专用条款</w:t>
      </w:r>
      <w:r>
        <w:rPr>
          <w:rFonts w:ascii="宋体" w:hAnsi="宋体" w:eastAsia="宋体"/>
          <w:sz w:val="24"/>
        </w:rPr>
        <w:t>。</w:t>
      </w:r>
    </w:p>
    <w:p w14:paraId="4BCF689E">
      <w:pPr>
        <w:spacing w:line="360" w:lineRule="auto"/>
        <w:ind w:firstLine="437"/>
        <w:outlineLvl w:val="2"/>
        <w:rPr>
          <w:rFonts w:ascii="宋体" w:hAnsi="宋体" w:eastAsia="宋体"/>
          <w:b/>
          <w:bCs/>
          <w:sz w:val="24"/>
          <w:lang w:val="zh-CN"/>
        </w:rPr>
      </w:pPr>
      <w:bookmarkStart w:id="349" w:name="_Ref467379536"/>
      <w:bookmarkStart w:id="350" w:name="_Ref467378541"/>
      <w:bookmarkStart w:id="351" w:name="_Toc279701245"/>
      <w:bookmarkStart w:id="352" w:name="_Ref467378591"/>
      <w:bookmarkStart w:id="353" w:name="_Toc487900354"/>
      <w:bookmarkStart w:id="354" w:name="_Ref467379527"/>
      <w:bookmarkStart w:id="355" w:name="_Ref467379542"/>
      <w:bookmarkStart w:id="356" w:name="_Toc259093674"/>
      <w:bookmarkStart w:id="357" w:name="_Toc30272"/>
      <w:bookmarkStart w:id="358" w:name="_Toc19074"/>
      <w:bookmarkStart w:id="359" w:name="_Toc26182"/>
      <w:r>
        <w:rPr>
          <w:rFonts w:hint="eastAsia" w:ascii="宋体" w:hAnsi="宋体" w:eastAsia="宋体"/>
          <w:b/>
          <w:bCs/>
          <w:sz w:val="24"/>
          <w:lang w:val="zh-CN"/>
        </w:rPr>
        <w:t>2.</w:t>
      </w:r>
      <w:bookmarkEnd w:id="349"/>
      <w:bookmarkEnd w:id="350"/>
      <w:bookmarkEnd w:id="351"/>
      <w:bookmarkEnd w:id="352"/>
      <w:bookmarkEnd w:id="353"/>
      <w:bookmarkEnd w:id="354"/>
      <w:bookmarkEnd w:id="355"/>
      <w:bookmarkEnd w:id="356"/>
      <w:r>
        <w:rPr>
          <w:rFonts w:ascii="宋体" w:hAnsi="宋体" w:eastAsia="宋体"/>
          <w:b/>
          <w:bCs/>
          <w:sz w:val="24"/>
          <w:lang w:val="zh-CN"/>
        </w:rPr>
        <w:t xml:space="preserve">4 </w:t>
      </w:r>
      <w:r>
        <w:rPr>
          <w:rFonts w:hint="eastAsia" w:ascii="宋体" w:hAnsi="宋体" w:eastAsia="宋体"/>
          <w:b/>
          <w:bCs/>
          <w:sz w:val="24"/>
          <w:lang w:val="zh-CN"/>
        </w:rPr>
        <w:t>履约检查和问题反馈</w:t>
      </w:r>
      <w:bookmarkEnd w:id="357"/>
      <w:bookmarkEnd w:id="358"/>
      <w:bookmarkEnd w:id="359"/>
    </w:p>
    <w:p w14:paraId="6D5ABFC8">
      <w:pPr>
        <w:spacing w:line="360" w:lineRule="auto"/>
        <w:ind w:firstLine="435"/>
        <w:rPr>
          <w:rFonts w:ascii="宋体" w:hAnsi="宋体" w:eastAsia="宋体"/>
          <w:sz w:val="24"/>
        </w:rPr>
      </w:pPr>
      <w:bookmarkStart w:id="360" w:name="_Toc186431854"/>
      <w:bookmarkStart w:id="361" w:name="_Ref467379807"/>
      <w:bookmarkStart w:id="362" w:name="_Toc487900357"/>
      <w:bookmarkStart w:id="363" w:name="_Ref467379793"/>
      <w:bookmarkStart w:id="364" w:name="_Toc279701247"/>
      <w:bookmarkStart w:id="365" w:name="_Toc259093676"/>
      <w:r>
        <w:rPr>
          <w:rFonts w:hint="eastAsia" w:ascii="宋体" w:hAnsi="宋体" w:eastAsia="宋体"/>
          <w:sz w:val="24"/>
        </w:rPr>
        <w:t>2.4</w:t>
      </w:r>
      <w:r>
        <w:rPr>
          <w:rFonts w:ascii="宋体" w:hAnsi="宋体" w:eastAsia="宋体"/>
          <w:sz w:val="24"/>
        </w:rPr>
        <w:t>.1甲方</w:t>
      </w:r>
      <w:r>
        <w:rPr>
          <w:rFonts w:hint="eastAsia" w:ascii="宋体" w:hAnsi="宋体" w:eastAsia="宋体"/>
          <w:sz w:val="24"/>
        </w:rPr>
        <w:t>有权</w:t>
      </w:r>
      <w:r>
        <w:rPr>
          <w:rFonts w:ascii="宋体" w:hAnsi="宋体" w:eastAsia="宋体"/>
          <w:sz w:val="24"/>
        </w:rPr>
        <w:t>在其认为必要时</w:t>
      </w:r>
      <w:r>
        <w:rPr>
          <w:rFonts w:hint="eastAsia" w:ascii="宋体" w:hAnsi="宋体" w:eastAsia="宋体"/>
          <w:sz w:val="24"/>
        </w:rPr>
        <w:t>，对乙方是否能够按照合同约定提供服务进行履约检查，以确保乙方所提供的服务能够依约满足甲方项目需求，但不得因履约检查妨碍乙方的正常工作，乙方应予积极配合；</w:t>
      </w:r>
    </w:p>
    <w:p w14:paraId="05AD597A">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4</w:t>
      </w:r>
      <w:r>
        <w:rPr>
          <w:rFonts w:hint="eastAsia" w:ascii="宋体" w:hAnsi="宋体" w:eastAsia="宋体"/>
          <w:sz w:val="24"/>
        </w:rPr>
        <w:t>.2合同履行期间，甲方有权将履行过程中出现的问题反馈给乙方，双方当事人应以书面形式约定需要完善和改进的内容</w:t>
      </w:r>
      <w:bookmarkEnd w:id="360"/>
      <w:bookmarkStart w:id="366" w:name="_Toc186431855"/>
      <w:r>
        <w:rPr>
          <w:rFonts w:hint="eastAsia" w:ascii="宋体" w:hAnsi="宋体" w:eastAsia="宋体"/>
          <w:sz w:val="24"/>
        </w:rPr>
        <w:t>。</w:t>
      </w:r>
    </w:p>
    <w:bookmarkEnd w:id="366"/>
    <w:p w14:paraId="60CA240B">
      <w:pPr>
        <w:spacing w:line="360" w:lineRule="auto"/>
        <w:ind w:firstLine="437"/>
        <w:outlineLvl w:val="2"/>
        <w:rPr>
          <w:rFonts w:ascii="宋体" w:hAnsi="宋体" w:eastAsia="宋体"/>
          <w:b/>
          <w:bCs/>
          <w:sz w:val="24"/>
          <w:lang w:val="zh-CN"/>
        </w:rPr>
      </w:pPr>
      <w:bookmarkStart w:id="367" w:name="_Toc19219"/>
      <w:bookmarkStart w:id="368" w:name="_Toc7836"/>
      <w:bookmarkStart w:id="369" w:name="_Toc28451"/>
      <w:r>
        <w:rPr>
          <w:rFonts w:hint="eastAsia" w:ascii="宋体" w:hAnsi="宋体" w:eastAsia="宋体"/>
          <w:b/>
          <w:bCs/>
          <w:sz w:val="24"/>
          <w:lang w:val="zh-CN"/>
        </w:rPr>
        <w:t>2.</w:t>
      </w:r>
      <w:r>
        <w:rPr>
          <w:rFonts w:ascii="宋体" w:hAnsi="宋体" w:eastAsia="宋体"/>
          <w:b/>
          <w:bCs/>
          <w:sz w:val="24"/>
          <w:lang w:val="zh-CN"/>
        </w:rPr>
        <w:t>5结算方式和付款条件</w:t>
      </w:r>
      <w:bookmarkEnd w:id="361"/>
      <w:bookmarkEnd w:id="362"/>
      <w:bookmarkEnd w:id="363"/>
      <w:bookmarkEnd w:id="364"/>
      <w:bookmarkEnd w:id="365"/>
      <w:bookmarkEnd w:id="367"/>
      <w:bookmarkEnd w:id="368"/>
      <w:bookmarkEnd w:id="369"/>
    </w:p>
    <w:p w14:paraId="493B3ED2">
      <w:pPr>
        <w:spacing w:line="360" w:lineRule="auto"/>
        <w:ind w:firstLine="435"/>
        <w:rPr>
          <w:rFonts w:ascii="宋体" w:hAnsi="宋体" w:eastAsia="宋体"/>
          <w:sz w:val="24"/>
        </w:rPr>
      </w:pPr>
      <w:r>
        <w:rPr>
          <w:rFonts w:ascii="宋体" w:hAnsi="宋体" w:eastAsia="宋体"/>
          <w:sz w:val="24"/>
        </w:rPr>
        <w:t>详见</w:t>
      </w:r>
      <w:r>
        <w:rPr>
          <w:rFonts w:ascii="宋体" w:hAnsi="宋体" w:eastAsia="宋体"/>
          <w:b/>
          <w:i/>
          <w:sz w:val="24"/>
          <w:u w:val="single"/>
        </w:rPr>
        <w:t>合同专用条款</w:t>
      </w:r>
      <w:r>
        <w:rPr>
          <w:rFonts w:ascii="宋体" w:hAnsi="宋体" w:eastAsia="宋体"/>
          <w:sz w:val="24"/>
        </w:rPr>
        <w:t>。</w:t>
      </w:r>
    </w:p>
    <w:p w14:paraId="366B1802">
      <w:pPr>
        <w:spacing w:line="360" w:lineRule="auto"/>
        <w:ind w:firstLine="437"/>
        <w:outlineLvl w:val="2"/>
        <w:rPr>
          <w:rFonts w:ascii="宋体" w:hAnsi="宋体" w:eastAsia="宋体"/>
          <w:b/>
          <w:bCs/>
          <w:sz w:val="24"/>
          <w:lang w:val="zh-CN"/>
        </w:rPr>
      </w:pPr>
      <w:bookmarkStart w:id="370" w:name="_Toc259093677"/>
      <w:bookmarkStart w:id="371" w:name="_Ref467379863"/>
      <w:bookmarkStart w:id="372" w:name="_Ref467379923"/>
      <w:bookmarkStart w:id="373" w:name="_Ref467379852"/>
      <w:bookmarkStart w:id="374" w:name="_Toc279701248"/>
      <w:bookmarkStart w:id="375" w:name="_Toc487900358"/>
      <w:bookmarkStart w:id="376" w:name="_Toc16110"/>
      <w:bookmarkStart w:id="377" w:name="_Toc774"/>
      <w:bookmarkStart w:id="378" w:name="_Toc3225"/>
      <w:r>
        <w:rPr>
          <w:rFonts w:hint="eastAsia" w:ascii="宋体" w:hAnsi="宋体" w:eastAsia="宋体"/>
          <w:b/>
          <w:bCs/>
          <w:sz w:val="24"/>
          <w:lang w:val="zh-CN"/>
        </w:rPr>
        <w:t>2.</w:t>
      </w:r>
      <w:r>
        <w:rPr>
          <w:rFonts w:ascii="宋体" w:hAnsi="宋体" w:eastAsia="宋体"/>
          <w:b/>
          <w:bCs/>
          <w:sz w:val="24"/>
          <w:lang w:val="zh-CN"/>
        </w:rPr>
        <w:t>6技术资料</w:t>
      </w:r>
      <w:bookmarkEnd w:id="370"/>
      <w:bookmarkEnd w:id="371"/>
      <w:bookmarkEnd w:id="372"/>
      <w:bookmarkEnd w:id="373"/>
      <w:bookmarkEnd w:id="374"/>
      <w:bookmarkEnd w:id="375"/>
      <w:r>
        <w:rPr>
          <w:rFonts w:ascii="宋体" w:hAnsi="宋体" w:eastAsia="宋体"/>
          <w:b/>
          <w:bCs/>
          <w:sz w:val="24"/>
          <w:lang w:val="zh-CN"/>
        </w:rPr>
        <w:t>和保密义务</w:t>
      </w:r>
      <w:bookmarkEnd w:id="376"/>
      <w:bookmarkEnd w:id="377"/>
      <w:bookmarkEnd w:id="378"/>
    </w:p>
    <w:p w14:paraId="1E8A3864">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6.1</w:t>
      </w:r>
      <w:r>
        <w:rPr>
          <w:rFonts w:hint="eastAsia" w:ascii="宋体" w:hAnsi="宋体" w:eastAsia="宋体"/>
          <w:sz w:val="24"/>
        </w:rPr>
        <w:t>乙方有权依据合同约定和项目需要，向甲方了解有关情况，调阅有关资料等，甲方应予积极配合；</w:t>
      </w:r>
    </w:p>
    <w:p w14:paraId="6E40E8CF">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w:t>
      </w:r>
      <w:r>
        <w:rPr>
          <w:rFonts w:hint="eastAsia" w:ascii="宋体" w:hAnsi="宋体" w:eastAsia="宋体"/>
          <w:sz w:val="24"/>
        </w:rPr>
        <w:t>.2乙方有义务妥善保管和保护由甲方提供的前款信息和资料等；</w:t>
      </w:r>
    </w:p>
    <w:p w14:paraId="6C4B3B9C">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w:t>
      </w:r>
      <w:r>
        <w:rPr>
          <w:rFonts w:hint="eastAsia" w:ascii="宋体" w:hAnsi="宋体" w:eastAsia="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sz w:val="24"/>
        </w:rPr>
        <w:t>技术情报</w:t>
      </w:r>
      <w:r>
        <w:rPr>
          <w:rFonts w:hint="eastAsia" w:ascii="宋体" w:hAnsi="宋体" w:eastAsia="宋体"/>
          <w:sz w:val="24"/>
        </w:rPr>
        <w:t>、</w:t>
      </w:r>
      <w:r>
        <w:rPr>
          <w:rFonts w:ascii="宋体" w:hAnsi="宋体" w:eastAsia="宋体"/>
          <w:sz w:val="24"/>
        </w:rPr>
        <w:t>技术资料</w:t>
      </w:r>
      <w:r>
        <w:rPr>
          <w:rFonts w:hint="eastAsia" w:ascii="宋体" w:hAnsi="宋体" w:eastAsia="宋体"/>
          <w:sz w:val="24"/>
        </w:rPr>
        <w:t>、商业秘密和商业信息等，并采取一切合理和必要措施和方式防止任何第三方接触到对方当事人的上述保密信息和资料。</w:t>
      </w:r>
    </w:p>
    <w:p w14:paraId="55871557">
      <w:pPr>
        <w:spacing w:line="360" w:lineRule="auto"/>
        <w:ind w:firstLine="437"/>
        <w:outlineLvl w:val="2"/>
        <w:rPr>
          <w:rFonts w:ascii="宋体" w:hAnsi="宋体" w:eastAsia="宋体"/>
          <w:b/>
          <w:bCs/>
          <w:sz w:val="24"/>
          <w:lang w:val="zh-CN"/>
        </w:rPr>
      </w:pPr>
      <w:bookmarkStart w:id="379" w:name="_Toc7860"/>
      <w:r>
        <w:rPr>
          <w:rFonts w:ascii="宋体" w:hAnsi="宋体" w:eastAsia="宋体"/>
          <w:b/>
          <w:bCs/>
          <w:sz w:val="24"/>
          <w:lang w:val="zh-CN"/>
        </w:rPr>
        <w:t>2.7 质量保证</w:t>
      </w:r>
      <w:bookmarkEnd w:id="379"/>
    </w:p>
    <w:p w14:paraId="5980DAF3">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7</w:t>
      </w:r>
      <w:r>
        <w:rPr>
          <w:rFonts w:hint="eastAsia" w:ascii="宋体" w:hAnsi="宋体" w:eastAsia="宋体"/>
          <w:sz w:val="24"/>
        </w:rPr>
        <w:t>.1乙方应建立和完善履行合同的内部质量保证体系，并提供相关内部规章制度给甲方，以便甲方进行监督检查；</w:t>
      </w:r>
    </w:p>
    <w:p w14:paraId="67EA973B">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7</w:t>
      </w:r>
      <w:r>
        <w:rPr>
          <w:rFonts w:hint="eastAsia" w:ascii="宋体" w:hAnsi="宋体" w:eastAsia="宋体"/>
          <w:sz w:val="24"/>
        </w:rPr>
        <w:t>.2乙方应保证履行合同的人员数量和素质、软件和硬件设备的配置、场地、环境和设施等满足全面履行合同的要求，并应接受甲方的监督检查。</w:t>
      </w:r>
    </w:p>
    <w:p w14:paraId="1DC3AB33">
      <w:pPr>
        <w:spacing w:line="360" w:lineRule="auto"/>
        <w:ind w:firstLine="437"/>
        <w:outlineLvl w:val="2"/>
        <w:rPr>
          <w:rFonts w:ascii="宋体" w:hAnsi="宋体" w:eastAsia="宋体"/>
          <w:b/>
          <w:sz w:val="24"/>
        </w:rPr>
      </w:pPr>
      <w:bookmarkStart w:id="380" w:name="_Toc22267"/>
      <w:r>
        <w:rPr>
          <w:rFonts w:hint="eastAsia" w:ascii="宋体" w:hAnsi="宋体" w:eastAsia="宋体"/>
          <w:b/>
          <w:sz w:val="24"/>
        </w:rPr>
        <w:t>2.8 延迟履行</w:t>
      </w:r>
      <w:bookmarkEnd w:id="380"/>
    </w:p>
    <w:p w14:paraId="2A1107F4">
      <w:pPr>
        <w:spacing w:line="360" w:lineRule="auto"/>
        <w:ind w:firstLine="435"/>
        <w:rPr>
          <w:rFonts w:ascii="宋体" w:hAnsi="宋体" w:eastAsia="宋体"/>
          <w:sz w:val="24"/>
        </w:rPr>
      </w:pPr>
      <w:r>
        <w:rPr>
          <w:rFonts w:ascii="宋体" w:hAnsi="宋体" w:eastAsia="宋体"/>
          <w:sz w:val="24"/>
        </w:rPr>
        <w:t>在合同履行过程中，如果乙方遇到不能按时</w:t>
      </w:r>
      <w:r>
        <w:rPr>
          <w:rFonts w:hint="eastAsia" w:ascii="宋体" w:hAnsi="宋体" w:eastAsia="宋体"/>
          <w:sz w:val="24"/>
        </w:rPr>
        <w:t>提供服务</w:t>
      </w:r>
      <w:r>
        <w:rPr>
          <w:rFonts w:ascii="宋体" w:hAnsi="宋体" w:eastAsia="宋体"/>
          <w:sz w:val="24"/>
        </w:rPr>
        <w:t>的情况，应及时以书面形式将不能按时</w:t>
      </w:r>
      <w:r>
        <w:rPr>
          <w:rFonts w:hint="eastAsia" w:ascii="宋体" w:hAnsi="宋体" w:eastAsia="宋体"/>
          <w:sz w:val="24"/>
        </w:rPr>
        <w:t>提供服务</w:t>
      </w:r>
      <w:r>
        <w:rPr>
          <w:rFonts w:ascii="宋体" w:hAnsi="宋体" w:eastAsia="宋体"/>
          <w:sz w:val="24"/>
        </w:rPr>
        <w:t>的理由、预期延误时间通知甲方</w:t>
      </w:r>
      <w:r>
        <w:rPr>
          <w:rFonts w:hint="eastAsia" w:ascii="宋体" w:hAnsi="宋体" w:eastAsia="宋体"/>
          <w:sz w:val="24"/>
        </w:rPr>
        <w:t>；甲</w:t>
      </w:r>
      <w:r>
        <w:rPr>
          <w:rFonts w:ascii="宋体" w:hAnsi="宋体" w:eastAsia="宋体"/>
          <w:sz w:val="24"/>
        </w:rPr>
        <w:t>方收到乙方通知后，认为其理由正当的，可以书面形式酌情同意乙方可以延长</w:t>
      </w:r>
      <w:r>
        <w:rPr>
          <w:rFonts w:hint="eastAsia" w:ascii="宋体" w:hAnsi="宋体" w:eastAsia="宋体"/>
          <w:sz w:val="24"/>
        </w:rPr>
        <w:t>履行</w:t>
      </w:r>
      <w:r>
        <w:rPr>
          <w:rFonts w:ascii="宋体" w:hAnsi="宋体" w:eastAsia="宋体"/>
          <w:sz w:val="24"/>
        </w:rPr>
        <w:t>的具体时间。</w:t>
      </w:r>
    </w:p>
    <w:p w14:paraId="1BB20FA3">
      <w:pPr>
        <w:spacing w:line="360" w:lineRule="auto"/>
        <w:ind w:firstLine="437"/>
        <w:outlineLvl w:val="2"/>
        <w:rPr>
          <w:rFonts w:ascii="宋体" w:hAnsi="宋体" w:eastAsia="宋体"/>
          <w:b/>
          <w:bCs/>
          <w:sz w:val="24"/>
          <w:lang w:val="zh-CN"/>
        </w:rPr>
      </w:pPr>
      <w:bookmarkStart w:id="381" w:name="_Toc7502"/>
      <w:bookmarkStart w:id="382" w:name="_Ref467378121"/>
      <w:bookmarkStart w:id="383" w:name="_Toc259093683"/>
      <w:bookmarkStart w:id="384" w:name="_Toc279701254"/>
      <w:bookmarkStart w:id="385" w:name="_Toc487900364"/>
      <w:r>
        <w:rPr>
          <w:rFonts w:ascii="宋体" w:hAnsi="宋体" w:eastAsia="宋体"/>
          <w:b/>
          <w:bCs/>
          <w:sz w:val="24"/>
          <w:lang w:val="zh-CN"/>
        </w:rPr>
        <w:t>2.9 合同变更</w:t>
      </w:r>
      <w:bookmarkEnd w:id="381"/>
    </w:p>
    <w:p w14:paraId="52502EA4">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9</w:t>
      </w:r>
      <w:r>
        <w:rPr>
          <w:rFonts w:hint="eastAsia" w:ascii="宋体" w:hAnsi="宋体" w:eastAsia="宋体"/>
          <w:sz w:val="24"/>
        </w:rPr>
        <w:t>.1双方当事人协商一致，可以签订书面补充合同的形式变更合同，但不得违背采购文件确定的事项；</w:t>
      </w:r>
    </w:p>
    <w:p w14:paraId="2ECD9023">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9</w:t>
      </w:r>
      <w:r>
        <w:rPr>
          <w:rFonts w:hint="eastAsia" w:ascii="宋体" w:hAnsi="宋体" w:eastAsia="宋体"/>
          <w:sz w:val="24"/>
        </w:rPr>
        <w:t>.2合同继续履行将损害国家利益和社会公共利益的，双方当事人应当以书面形式变更合同。有过错的一方应当承担赔偿责任，双方当事人都有过错的，各自承担相应的责任。</w:t>
      </w:r>
      <w:bookmarkStart w:id="386" w:name="_Toc487900369"/>
      <w:bookmarkStart w:id="387" w:name="_Toc259093688"/>
      <w:bookmarkStart w:id="388" w:name="_Toc279701259"/>
    </w:p>
    <w:p w14:paraId="2A5ADF75">
      <w:pPr>
        <w:spacing w:line="360" w:lineRule="auto"/>
        <w:ind w:firstLine="437"/>
        <w:outlineLvl w:val="2"/>
        <w:rPr>
          <w:rFonts w:ascii="宋体" w:hAnsi="宋体" w:eastAsia="宋体"/>
          <w:b/>
          <w:bCs/>
          <w:sz w:val="24"/>
          <w:lang w:val="zh-CN"/>
        </w:rPr>
      </w:pPr>
      <w:bookmarkStart w:id="389" w:name="_Toc10366"/>
      <w:bookmarkStart w:id="390" w:name="_Toc15237"/>
      <w:bookmarkStart w:id="391" w:name="_Toc22955"/>
      <w:r>
        <w:rPr>
          <w:rFonts w:hint="eastAsia" w:ascii="宋体" w:hAnsi="宋体" w:eastAsia="宋体"/>
          <w:b/>
          <w:bCs/>
          <w:sz w:val="24"/>
          <w:lang w:val="zh-CN"/>
        </w:rPr>
        <w:t>2.1</w:t>
      </w:r>
      <w:r>
        <w:rPr>
          <w:rFonts w:ascii="宋体" w:hAnsi="宋体" w:eastAsia="宋体"/>
          <w:b/>
          <w:bCs/>
          <w:sz w:val="24"/>
          <w:lang w:val="zh-CN"/>
        </w:rPr>
        <w:t>0合同转让</w:t>
      </w:r>
      <w:bookmarkEnd w:id="386"/>
      <w:bookmarkEnd w:id="387"/>
      <w:bookmarkEnd w:id="388"/>
      <w:r>
        <w:rPr>
          <w:rFonts w:ascii="宋体" w:hAnsi="宋体" w:eastAsia="宋体"/>
          <w:b/>
          <w:bCs/>
          <w:sz w:val="24"/>
          <w:lang w:val="zh-CN"/>
        </w:rPr>
        <w:t>和分包</w:t>
      </w:r>
      <w:bookmarkEnd w:id="389"/>
      <w:bookmarkEnd w:id="390"/>
      <w:bookmarkEnd w:id="391"/>
    </w:p>
    <w:p w14:paraId="2E17C912">
      <w:pPr>
        <w:spacing w:line="360" w:lineRule="auto"/>
        <w:ind w:firstLine="435"/>
        <w:rPr>
          <w:rFonts w:ascii="宋体" w:hAnsi="宋体" w:eastAsia="宋体"/>
          <w:sz w:val="24"/>
        </w:rPr>
      </w:pPr>
      <w:r>
        <w:rPr>
          <w:rFonts w:ascii="宋体" w:hAnsi="宋体" w:eastAsia="宋体"/>
          <w:sz w:val="24"/>
        </w:rPr>
        <w:t>合同的权利义务依法不</w:t>
      </w:r>
      <w:r>
        <w:rPr>
          <w:rFonts w:hint="eastAsia" w:ascii="宋体" w:hAnsi="宋体" w:eastAsia="宋体"/>
          <w:sz w:val="24"/>
        </w:rPr>
        <w:t>得</w:t>
      </w:r>
      <w:r>
        <w:rPr>
          <w:rFonts w:ascii="宋体" w:hAnsi="宋体" w:eastAsia="宋体"/>
          <w:sz w:val="24"/>
        </w:rPr>
        <w:t>转让</w:t>
      </w:r>
      <w:r>
        <w:rPr>
          <w:rFonts w:hint="eastAsia" w:ascii="宋体" w:hAnsi="宋体" w:eastAsia="宋体"/>
          <w:sz w:val="24"/>
        </w:rPr>
        <w:t>，</w:t>
      </w:r>
      <w:r>
        <w:rPr>
          <w:rFonts w:ascii="宋体" w:hAnsi="宋体" w:eastAsia="宋体"/>
          <w:sz w:val="24"/>
        </w:rPr>
        <w:t>但经甲方</w:t>
      </w:r>
      <w:r>
        <w:rPr>
          <w:rFonts w:hint="eastAsia" w:ascii="宋体" w:hAnsi="宋体" w:eastAsia="宋体"/>
          <w:sz w:val="24"/>
        </w:rPr>
        <w:t>同意，乙方可以依法采取分包方式履行合同，即：依法可以</w:t>
      </w:r>
      <w:r>
        <w:rPr>
          <w:rFonts w:ascii="宋体" w:hAnsi="宋体" w:eastAsia="宋体"/>
          <w:sz w:val="24"/>
        </w:rPr>
        <w:t>将合同项下的部分非主体、非关键性工作分包给他人完成</w:t>
      </w:r>
      <w:r>
        <w:rPr>
          <w:rFonts w:hint="eastAsia" w:ascii="宋体" w:hAnsi="宋体" w:eastAsia="宋体"/>
          <w:sz w:val="24"/>
        </w:rPr>
        <w:t>，</w:t>
      </w:r>
      <w:r>
        <w:rPr>
          <w:rFonts w:ascii="宋体" w:hAnsi="宋体" w:eastAsia="宋体"/>
          <w:sz w:val="24"/>
        </w:rPr>
        <w:t>接受分包的人应当具备相应的资格条件，并不得再次分包</w:t>
      </w:r>
      <w:r>
        <w:rPr>
          <w:rFonts w:hint="eastAsia" w:ascii="宋体" w:hAnsi="宋体" w:eastAsia="宋体"/>
          <w:sz w:val="24"/>
        </w:rPr>
        <w:t>，</w:t>
      </w:r>
      <w:r>
        <w:rPr>
          <w:rFonts w:ascii="宋体" w:hAnsi="宋体" w:eastAsia="宋体"/>
          <w:sz w:val="24"/>
        </w:rPr>
        <w:t>且乙方应就分包项目向甲方负责</w:t>
      </w:r>
      <w:r>
        <w:rPr>
          <w:rFonts w:hint="eastAsia" w:ascii="宋体" w:hAnsi="宋体" w:eastAsia="宋体"/>
          <w:sz w:val="24"/>
        </w:rPr>
        <w:t>，</w:t>
      </w:r>
      <w:r>
        <w:rPr>
          <w:rFonts w:ascii="宋体" w:hAnsi="宋体" w:eastAsia="宋体"/>
          <w:sz w:val="24"/>
        </w:rPr>
        <w:t>并</w:t>
      </w:r>
      <w:r>
        <w:rPr>
          <w:rFonts w:hint="eastAsia" w:ascii="宋体" w:hAnsi="宋体" w:eastAsia="宋体"/>
          <w:sz w:val="24"/>
        </w:rPr>
        <w:t>与分包供应商就分包项目向甲方承担连带责任。</w:t>
      </w:r>
    </w:p>
    <w:p w14:paraId="1EE5655D">
      <w:pPr>
        <w:spacing w:line="360" w:lineRule="auto"/>
        <w:ind w:firstLine="437"/>
        <w:outlineLvl w:val="2"/>
        <w:rPr>
          <w:rFonts w:ascii="宋体" w:hAnsi="宋体" w:eastAsia="宋体"/>
          <w:b/>
          <w:bCs/>
          <w:sz w:val="24"/>
          <w:lang w:val="zh-CN"/>
        </w:rPr>
      </w:pPr>
      <w:bookmarkStart w:id="392" w:name="_Toc13566"/>
      <w:bookmarkStart w:id="393" w:name="_Toc14066"/>
      <w:bookmarkStart w:id="394" w:name="_Toc16508"/>
      <w:r>
        <w:rPr>
          <w:rFonts w:hint="eastAsia" w:ascii="宋体" w:hAnsi="宋体" w:eastAsia="宋体"/>
          <w:b/>
          <w:bCs/>
          <w:sz w:val="24"/>
          <w:lang w:val="zh-CN"/>
        </w:rPr>
        <w:t>2.1</w:t>
      </w:r>
      <w:r>
        <w:rPr>
          <w:rFonts w:ascii="宋体" w:hAnsi="宋体" w:eastAsia="宋体"/>
          <w:b/>
          <w:bCs/>
          <w:sz w:val="24"/>
          <w:lang w:val="zh-CN"/>
        </w:rPr>
        <w:t>1 不可抗力</w:t>
      </w:r>
      <w:bookmarkEnd w:id="392"/>
      <w:bookmarkEnd w:id="393"/>
      <w:bookmarkEnd w:id="394"/>
    </w:p>
    <w:p w14:paraId="3CAE7E81">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1.1如果任何一方遭遇法律规定的不可抗力，致使合同履行受阻时，履行合同的期限应予延长，延长的期限应相当于不可抗力所影响的时间</w:t>
      </w:r>
      <w:r>
        <w:rPr>
          <w:rFonts w:hint="eastAsia" w:ascii="宋体" w:hAnsi="宋体" w:eastAsia="宋体"/>
          <w:sz w:val="24"/>
        </w:rPr>
        <w:t>；</w:t>
      </w:r>
    </w:p>
    <w:p w14:paraId="7B5EEA10">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.2因不可抗力致使不能实现合同目的的，当事人可以解除合同；</w:t>
      </w:r>
    </w:p>
    <w:p w14:paraId="701FAB2E">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.3因</w:t>
      </w:r>
      <w:r>
        <w:rPr>
          <w:rFonts w:ascii="宋体" w:hAnsi="宋体" w:eastAsia="宋体"/>
          <w:sz w:val="24"/>
        </w:rPr>
        <w:t>不可抗力致使合同有变更必要的，双方当事人应在</w:t>
      </w:r>
      <w:r>
        <w:rPr>
          <w:rFonts w:ascii="宋体" w:hAnsi="宋体" w:eastAsia="宋体"/>
          <w:b/>
          <w:i/>
          <w:sz w:val="24"/>
          <w:u w:val="single"/>
        </w:rPr>
        <w:t>合同专用条款</w:t>
      </w:r>
      <w:r>
        <w:rPr>
          <w:rFonts w:ascii="宋体" w:hAnsi="宋体" w:eastAsia="宋体"/>
          <w:sz w:val="24"/>
        </w:rPr>
        <w:t>约定时间内以书面形式变更合同</w:t>
      </w:r>
      <w:r>
        <w:rPr>
          <w:rFonts w:hint="eastAsia" w:ascii="宋体" w:hAnsi="宋体" w:eastAsia="宋体"/>
          <w:sz w:val="24"/>
        </w:rPr>
        <w:t>；</w:t>
      </w:r>
    </w:p>
    <w:p w14:paraId="20F2F7D9">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4</w:t>
      </w:r>
      <w:r>
        <w:rPr>
          <w:rFonts w:ascii="宋体" w:hAnsi="宋体" w:eastAsia="宋体"/>
          <w:sz w:val="24"/>
        </w:rPr>
        <w:t>受</w:t>
      </w:r>
      <w:r>
        <w:rPr>
          <w:rFonts w:hint="eastAsia" w:ascii="宋体" w:hAnsi="宋体" w:eastAsia="宋体"/>
          <w:sz w:val="24"/>
        </w:rPr>
        <w:t>不可抗力</w:t>
      </w:r>
      <w:r>
        <w:rPr>
          <w:rFonts w:ascii="宋体" w:hAnsi="宋体" w:eastAsia="宋体"/>
          <w:sz w:val="24"/>
        </w:rPr>
        <w:t>影响的一方在不可抗力发生后</w:t>
      </w:r>
      <w:r>
        <w:rPr>
          <w:rFonts w:hint="eastAsia" w:ascii="宋体" w:hAnsi="宋体" w:eastAsia="宋体"/>
          <w:sz w:val="24"/>
        </w:rPr>
        <w:t>，</w:t>
      </w:r>
      <w:r>
        <w:rPr>
          <w:rFonts w:ascii="宋体" w:hAnsi="宋体" w:eastAsia="宋体"/>
          <w:sz w:val="24"/>
        </w:rPr>
        <w:t>应在</w:t>
      </w:r>
      <w:r>
        <w:rPr>
          <w:rFonts w:ascii="宋体" w:hAnsi="宋体" w:eastAsia="宋体"/>
          <w:b/>
          <w:i/>
          <w:sz w:val="24"/>
          <w:u w:val="single"/>
        </w:rPr>
        <w:t>合同专用条款</w:t>
      </w:r>
      <w:r>
        <w:rPr>
          <w:rFonts w:ascii="宋体" w:hAnsi="宋体" w:eastAsia="宋体"/>
          <w:sz w:val="24"/>
        </w:rPr>
        <w:t>约定时间内以书面形式通知</w:t>
      </w:r>
      <w:r>
        <w:rPr>
          <w:rFonts w:hint="eastAsia" w:ascii="宋体" w:hAnsi="宋体" w:eastAsia="宋体"/>
          <w:sz w:val="24"/>
        </w:rPr>
        <w:t>对</w:t>
      </w:r>
      <w:r>
        <w:rPr>
          <w:rFonts w:ascii="宋体" w:hAnsi="宋体" w:eastAsia="宋体"/>
          <w:sz w:val="24"/>
        </w:rPr>
        <w:t>方当事人，并在</w:t>
      </w:r>
      <w:r>
        <w:rPr>
          <w:rFonts w:ascii="宋体" w:hAnsi="宋体" w:eastAsia="宋体"/>
          <w:b/>
          <w:i/>
          <w:sz w:val="24"/>
          <w:u w:val="single"/>
        </w:rPr>
        <w:t>合同专用条款</w:t>
      </w:r>
      <w:r>
        <w:rPr>
          <w:rFonts w:ascii="宋体" w:hAnsi="宋体" w:eastAsia="宋体"/>
          <w:sz w:val="24"/>
        </w:rPr>
        <w:t>约定时间内，将有关部门出具的证明文件送达</w:t>
      </w:r>
      <w:r>
        <w:rPr>
          <w:rFonts w:hint="eastAsia" w:ascii="宋体" w:hAnsi="宋体" w:eastAsia="宋体"/>
          <w:sz w:val="24"/>
        </w:rPr>
        <w:t>对方当事人</w:t>
      </w:r>
      <w:r>
        <w:rPr>
          <w:rFonts w:ascii="宋体" w:hAnsi="宋体" w:eastAsia="宋体"/>
          <w:sz w:val="24"/>
        </w:rPr>
        <w:t>。</w:t>
      </w:r>
    </w:p>
    <w:p w14:paraId="420F0D36">
      <w:pPr>
        <w:spacing w:line="360" w:lineRule="auto"/>
        <w:ind w:firstLine="437"/>
        <w:outlineLvl w:val="2"/>
        <w:rPr>
          <w:rFonts w:ascii="宋体" w:hAnsi="宋体" w:eastAsia="宋体"/>
          <w:b/>
          <w:bCs/>
          <w:sz w:val="24"/>
          <w:lang w:val="zh-CN"/>
        </w:rPr>
      </w:pPr>
      <w:bookmarkStart w:id="395" w:name="_Toc279701255"/>
      <w:bookmarkStart w:id="396" w:name="_Toc259093684"/>
      <w:bookmarkStart w:id="397" w:name="_Toc487900365"/>
      <w:bookmarkStart w:id="398" w:name="_Toc689"/>
      <w:bookmarkStart w:id="399" w:name="_Toc6969"/>
      <w:bookmarkStart w:id="400" w:name="_Toc30676"/>
      <w:r>
        <w:rPr>
          <w:rFonts w:hint="eastAsia" w:ascii="宋体" w:hAnsi="宋体" w:eastAsia="宋体"/>
          <w:b/>
          <w:bCs/>
          <w:sz w:val="24"/>
          <w:lang w:val="zh-CN"/>
        </w:rPr>
        <w:t>2.</w:t>
      </w:r>
      <w:r>
        <w:rPr>
          <w:rFonts w:ascii="宋体" w:hAnsi="宋体" w:eastAsia="宋体"/>
          <w:b/>
          <w:bCs/>
          <w:sz w:val="24"/>
          <w:lang w:val="zh-CN"/>
        </w:rPr>
        <w:t>12税费</w:t>
      </w:r>
      <w:bookmarkEnd w:id="395"/>
      <w:bookmarkEnd w:id="396"/>
      <w:bookmarkEnd w:id="397"/>
      <w:bookmarkEnd w:id="398"/>
      <w:bookmarkEnd w:id="399"/>
      <w:bookmarkEnd w:id="400"/>
    </w:p>
    <w:p w14:paraId="1EDD1AFE">
      <w:pPr>
        <w:spacing w:line="360" w:lineRule="auto"/>
        <w:ind w:firstLine="435"/>
        <w:rPr>
          <w:rFonts w:ascii="宋体" w:hAnsi="宋体" w:eastAsia="宋体"/>
          <w:sz w:val="24"/>
        </w:rPr>
      </w:pPr>
      <w:r>
        <w:rPr>
          <w:rFonts w:ascii="宋体" w:hAnsi="宋体" w:eastAsia="宋体"/>
          <w:sz w:val="24"/>
        </w:rPr>
        <w:t>与合同有关的一切税费</w:t>
      </w:r>
      <w:r>
        <w:rPr>
          <w:rFonts w:hint="eastAsia" w:ascii="宋体" w:hAnsi="宋体" w:eastAsia="宋体"/>
          <w:sz w:val="24"/>
        </w:rPr>
        <w:t>，</w:t>
      </w:r>
      <w:r>
        <w:rPr>
          <w:rFonts w:ascii="宋体" w:hAnsi="宋体" w:eastAsia="宋体"/>
          <w:sz w:val="24"/>
        </w:rPr>
        <w:t>均按照中华人民共和国法律的相关规定</w:t>
      </w:r>
      <w:r>
        <w:rPr>
          <w:rFonts w:hint="eastAsia" w:ascii="宋体" w:hAnsi="宋体" w:eastAsia="宋体"/>
          <w:sz w:val="24"/>
        </w:rPr>
        <w:t>缴纳</w:t>
      </w:r>
      <w:r>
        <w:rPr>
          <w:rFonts w:ascii="宋体" w:hAnsi="宋体" w:eastAsia="宋体"/>
          <w:sz w:val="24"/>
        </w:rPr>
        <w:t>。</w:t>
      </w:r>
    </w:p>
    <w:p w14:paraId="2CA4F17F">
      <w:pPr>
        <w:spacing w:line="360" w:lineRule="auto"/>
        <w:ind w:firstLine="437"/>
        <w:outlineLvl w:val="2"/>
        <w:rPr>
          <w:rFonts w:ascii="宋体" w:hAnsi="宋体" w:eastAsia="宋体"/>
          <w:b/>
          <w:bCs/>
          <w:sz w:val="24"/>
          <w:lang w:val="zh-CN"/>
        </w:rPr>
      </w:pPr>
      <w:bookmarkStart w:id="401" w:name="_Toc279701258"/>
      <w:bookmarkStart w:id="402" w:name="_Toc7102"/>
      <w:bookmarkStart w:id="403" w:name="_Toc16959"/>
      <w:bookmarkStart w:id="404" w:name="_Toc487900368"/>
      <w:bookmarkStart w:id="405" w:name="_Toc259093687"/>
      <w:bookmarkStart w:id="406" w:name="_Toc8298"/>
      <w:r>
        <w:rPr>
          <w:rFonts w:hint="eastAsia" w:ascii="宋体" w:hAnsi="宋体" w:eastAsia="宋体"/>
          <w:b/>
          <w:bCs/>
          <w:sz w:val="24"/>
          <w:lang w:val="zh-CN"/>
        </w:rPr>
        <w:t>2.</w:t>
      </w:r>
      <w:r>
        <w:rPr>
          <w:rFonts w:ascii="宋体" w:hAnsi="宋体" w:eastAsia="宋体"/>
          <w:b/>
          <w:bCs/>
          <w:sz w:val="24"/>
          <w:lang w:val="zh-CN"/>
        </w:rPr>
        <w:t>13乙方破产</w:t>
      </w:r>
      <w:bookmarkEnd w:id="401"/>
      <w:bookmarkEnd w:id="402"/>
      <w:bookmarkEnd w:id="403"/>
      <w:bookmarkEnd w:id="404"/>
      <w:bookmarkEnd w:id="405"/>
      <w:bookmarkEnd w:id="406"/>
    </w:p>
    <w:p w14:paraId="0BBA5058">
      <w:pPr>
        <w:spacing w:line="360" w:lineRule="auto"/>
        <w:ind w:firstLine="435"/>
        <w:rPr>
          <w:rFonts w:ascii="宋体" w:hAnsi="宋体" w:eastAsia="宋体"/>
          <w:sz w:val="24"/>
        </w:rPr>
      </w:pPr>
      <w:r>
        <w:rPr>
          <w:rFonts w:ascii="宋体" w:hAnsi="宋体" w:eastAsia="宋体"/>
          <w:sz w:val="24"/>
        </w:rPr>
        <w:t>如果乙方破产导致合同无法履行时，甲方可以书面形式通知乙方终止合同且不给予乙方任何补偿和赔偿</w:t>
      </w:r>
      <w:r>
        <w:rPr>
          <w:rFonts w:hint="eastAsia" w:ascii="宋体" w:hAnsi="宋体" w:eastAsia="宋体"/>
          <w:sz w:val="24"/>
        </w:rPr>
        <w:t>，但合同的</w:t>
      </w:r>
      <w:r>
        <w:rPr>
          <w:rFonts w:ascii="宋体" w:hAnsi="宋体" w:eastAsia="宋体"/>
          <w:sz w:val="24"/>
        </w:rPr>
        <w:t>终止不损害或不影响甲方已经采取或将要采取的任何要求乙方支付违约金</w:t>
      </w:r>
      <w:r>
        <w:rPr>
          <w:rFonts w:hint="eastAsia" w:ascii="宋体" w:hAnsi="宋体" w:eastAsia="宋体"/>
          <w:sz w:val="24"/>
        </w:rPr>
        <w:t>、</w:t>
      </w:r>
      <w:r>
        <w:rPr>
          <w:rFonts w:ascii="宋体" w:hAnsi="宋体" w:eastAsia="宋体"/>
          <w:sz w:val="24"/>
        </w:rPr>
        <w:t>赔偿损失等的行动或补救措施的权利</w:t>
      </w:r>
      <w:r>
        <w:rPr>
          <w:rFonts w:hint="eastAsia" w:ascii="宋体" w:hAnsi="宋体" w:eastAsia="宋体"/>
          <w:sz w:val="24"/>
        </w:rPr>
        <w:t>。</w:t>
      </w:r>
    </w:p>
    <w:p w14:paraId="60E2C001">
      <w:pPr>
        <w:spacing w:line="360" w:lineRule="auto"/>
        <w:ind w:firstLine="437"/>
        <w:outlineLvl w:val="2"/>
        <w:rPr>
          <w:rFonts w:ascii="宋体" w:hAnsi="宋体" w:eastAsia="宋体"/>
          <w:b/>
          <w:sz w:val="24"/>
        </w:rPr>
      </w:pPr>
      <w:bookmarkStart w:id="407" w:name="_Toc15387"/>
      <w:bookmarkStart w:id="408" w:name="_Toc6134"/>
      <w:bookmarkStart w:id="409" w:name="_Toc29333"/>
      <w:r>
        <w:rPr>
          <w:rFonts w:hint="eastAsia" w:ascii="宋体" w:hAnsi="宋体" w:eastAsia="宋体"/>
          <w:b/>
          <w:bCs/>
          <w:sz w:val="24"/>
          <w:lang w:val="zh-CN"/>
        </w:rPr>
        <w:t>2.1</w:t>
      </w:r>
      <w:r>
        <w:rPr>
          <w:rFonts w:ascii="宋体" w:hAnsi="宋体" w:eastAsia="宋体"/>
          <w:b/>
          <w:bCs/>
          <w:sz w:val="24"/>
          <w:lang w:val="zh-CN"/>
        </w:rPr>
        <w:t>4</w:t>
      </w:r>
      <w:r>
        <w:rPr>
          <w:rFonts w:hint="eastAsia" w:ascii="宋体" w:hAnsi="宋体" w:eastAsia="宋体"/>
          <w:b/>
          <w:bCs/>
          <w:sz w:val="24"/>
          <w:lang w:val="zh-CN"/>
        </w:rPr>
        <w:t xml:space="preserve"> 合同中止、终止</w:t>
      </w:r>
      <w:bookmarkEnd w:id="407"/>
      <w:bookmarkEnd w:id="408"/>
      <w:bookmarkEnd w:id="409"/>
    </w:p>
    <w:p w14:paraId="135D975E">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4</w:t>
      </w:r>
      <w:r>
        <w:rPr>
          <w:rFonts w:hint="eastAsia" w:ascii="宋体" w:hAnsi="宋体" w:eastAsia="宋体"/>
          <w:sz w:val="24"/>
        </w:rPr>
        <w:t>.1双方当事人不得擅自中止或者终止合同；</w:t>
      </w:r>
    </w:p>
    <w:p w14:paraId="03A7F75E">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4</w:t>
      </w:r>
      <w:r>
        <w:rPr>
          <w:rFonts w:hint="eastAsia" w:ascii="宋体" w:hAnsi="宋体" w:eastAsia="宋体"/>
          <w:sz w:val="24"/>
        </w:rPr>
        <w:t>.2合同继续履行将损害国家利益和社会公共利益的，双方当事人应当中止或者终止合同。有过错的一方应当承担赔偿责任，双方当事人都有过错的，各自承担相应的责任。</w:t>
      </w:r>
    </w:p>
    <w:p w14:paraId="2DAD90BF">
      <w:pPr>
        <w:spacing w:line="360" w:lineRule="auto"/>
        <w:ind w:firstLine="437"/>
        <w:outlineLvl w:val="2"/>
        <w:rPr>
          <w:rFonts w:ascii="宋体" w:hAnsi="宋体" w:eastAsia="宋体"/>
          <w:b/>
          <w:bCs/>
          <w:sz w:val="24"/>
          <w:lang w:val="zh-CN"/>
        </w:rPr>
      </w:pPr>
      <w:bookmarkStart w:id="410" w:name="_Toc6596"/>
      <w:bookmarkStart w:id="411" w:name="_Toc14563"/>
      <w:bookmarkStart w:id="412" w:name="_Toc1125"/>
      <w:r>
        <w:rPr>
          <w:rFonts w:hint="eastAsia" w:ascii="宋体" w:hAnsi="宋体" w:eastAsia="宋体"/>
          <w:b/>
          <w:bCs/>
          <w:sz w:val="24"/>
          <w:lang w:val="zh-CN"/>
        </w:rPr>
        <w:t>2.1</w:t>
      </w:r>
      <w:r>
        <w:rPr>
          <w:rFonts w:ascii="宋体" w:hAnsi="宋体" w:eastAsia="宋体"/>
          <w:b/>
          <w:bCs/>
          <w:sz w:val="24"/>
          <w:lang w:val="zh-CN"/>
        </w:rPr>
        <w:t>5</w:t>
      </w:r>
      <w:r>
        <w:rPr>
          <w:rFonts w:hint="eastAsia" w:ascii="宋体" w:hAnsi="宋体" w:eastAsia="宋体"/>
          <w:b/>
          <w:bCs/>
          <w:sz w:val="24"/>
          <w:lang w:val="zh-CN"/>
        </w:rPr>
        <w:t xml:space="preserve"> 检验和验收</w:t>
      </w:r>
      <w:bookmarkEnd w:id="410"/>
      <w:bookmarkEnd w:id="411"/>
      <w:bookmarkEnd w:id="412"/>
    </w:p>
    <w:p w14:paraId="56362E51">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5</w:t>
      </w:r>
      <w:r>
        <w:rPr>
          <w:rFonts w:ascii="宋体" w:hAnsi="宋体" w:eastAsia="宋体"/>
          <w:sz w:val="24"/>
        </w:rPr>
        <w:t>.</w:t>
      </w:r>
      <w:r>
        <w:rPr>
          <w:rFonts w:hint="eastAsia" w:ascii="宋体" w:hAnsi="宋体" w:eastAsia="宋体"/>
          <w:sz w:val="24"/>
        </w:rPr>
        <w:t>1乙方按照</w:t>
      </w:r>
      <w:r>
        <w:rPr>
          <w:rFonts w:ascii="宋体" w:hAnsi="宋体" w:eastAsia="宋体"/>
          <w:b/>
          <w:i/>
          <w:sz w:val="24"/>
          <w:u w:val="single"/>
        </w:rPr>
        <w:t>合同专用条款</w:t>
      </w:r>
      <w:r>
        <w:rPr>
          <w:rFonts w:ascii="宋体" w:hAnsi="宋体" w:eastAsia="宋体"/>
          <w:sz w:val="24"/>
        </w:rPr>
        <w:t>的约定</w:t>
      </w:r>
      <w:r>
        <w:rPr>
          <w:rFonts w:hint="eastAsia" w:ascii="宋体" w:hAnsi="宋体" w:eastAsia="宋体"/>
          <w:sz w:val="24"/>
        </w:rPr>
        <w:t>，</w:t>
      </w:r>
      <w:r>
        <w:rPr>
          <w:rFonts w:ascii="宋体" w:hAnsi="宋体" w:eastAsia="宋体"/>
          <w:sz w:val="24"/>
        </w:rPr>
        <w:t>定期提交服务报告</w:t>
      </w:r>
      <w:r>
        <w:rPr>
          <w:rFonts w:hint="eastAsia" w:ascii="宋体" w:hAnsi="宋体" w:eastAsia="宋体"/>
          <w:sz w:val="24"/>
        </w:rPr>
        <w:t>，甲方按照</w:t>
      </w:r>
      <w:r>
        <w:rPr>
          <w:rFonts w:ascii="宋体" w:hAnsi="宋体" w:eastAsia="宋体"/>
          <w:b/>
          <w:i/>
          <w:sz w:val="24"/>
          <w:u w:val="single"/>
        </w:rPr>
        <w:t>合同专用条款</w:t>
      </w:r>
      <w:r>
        <w:rPr>
          <w:rFonts w:ascii="宋体" w:hAnsi="宋体" w:eastAsia="宋体"/>
          <w:sz w:val="24"/>
        </w:rPr>
        <w:t>的约定进行定期验收</w:t>
      </w:r>
      <w:r>
        <w:rPr>
          <w:rFonts w:hint="eastAsia" w:ascii="宋体" w:hAnsi="宋体" w:eastAsia="宋体"/>
          <w:sz w:val="24"/>
        </w:rPr>
        <w:t>；</w:t>
      </w:r>
    </w:p>
    <w:p w14:paraId="555B0637">
      <w:pPr>
        <w:spacing w:line="360" w:lineRule="auto"/>
        <w:ind w:firstLine="435"/>
        <w:rPr>
          <w:rFonts w:ascii="宋体" w:hAnsi="宋体" w:eastAsia="宋体"/>
          <w:sz w:val="24"/>
        </w:rPr>
      </w:pPr>
      <w:r>
        <w:rPr>
          <w:rFonts w:hint="eastAsia" w:ascii="宋体" w:hAnsi="宋体" w:eastAsia="宋体"/>
          <w:sz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F9B366B">
      <w:pPr>
        <w:spacing w:line="360" w:lineRule="auto"/>
        <w:ind w:firstLine="435"/>
        <w:rPr>
          <w:rFonts w:ascii="宋体" w:hAnsi="宋体" w:eastAsia="宋体"/>
          <w:sz w:val="24"/>
        </w:rPr>
      </w:pPr>
      <w:r>
        <w:rPr>
          <w:rFonts w:hint="eastAsia" w:ascii="宋体" w:hAnsi="宋体" w:eastAsia="宋体"/>
          <w:sz w:val="24"/>
        </w:rPr>
        <w:t>2.15.3检验和验收标准、程序等具体内容以及前述验收书的效力详见</w:t>
      </w:r>
      <w:r>
        <w:rPr>
          <w:rFonts w:ascii="宋体" w:hAnsi="宋体" w:eastAsia="宋体"/>
          <w:b/>
          <w:i/>
          <w:sz w:val="24"/>
          <w:u w:val="single"/>
        </w:rPr>
        <w:t>合同专用条款</w:t>
      </w:r>
      <w:r>
        <w:rPr>
          <w:rFonts w:hint="eastAsia" w:ascii="宋体" w:hAnsi="宋体" w:eastAsia="宋体"/>
          <w:i/>
          <w:sz w:val="24"/>
        </w:rPr>
        <w:t>。</w:t>
      </w:r>
    </w:p>
    <w:bookmarkEnd w:id="382"/>
    <w:bookmarkEnd w:id="383"/>
    <w:bookmarkEnd w:id="384"/>
    <w:bookmarkEnd w:id="385"/>
    <w:p w14:paraId="2EF3E5C3">
      <w:pPr>
        <w:spacing w:line="360" w:lineRule="auto"/>
        <w:ind w:firstLine="437"/>
        <w:outlineLvl w:val="2"/>
        <w:rPr>
          <w:rFonts w:ascii="宋体" w:hAnsi="宋体" w:eastAsia="宋体"/>
          <w:b/>
          <w:bCs/>
          <w:sz w:val="24"/>
        </w:rPr>
      </w:pPr>
      <w:bookmarkStart w:id="413" w:name="_Toc279701263"/>
      <w:bookmarkStart w:id="414" w:name="_Toc18567"/>
      <w:bookmarkStart w:id="415" w:name="_Toc259093692"/>
      <w:bookmarkStart w:id="416" w:name="_Toc12773"/>
      <w:bookmarkStart w:id="417" w:name="_Toc10330"/>
      <w:bookmarkStart w:id="418" w:name="_Toc487900373"/>
      <w:r>
        <w:rPr>
          <w:rFonts w:hint="eastAsia" w:ascii="宋体" w:hAnsi="宋体" w:eastAsia="宋体"/>
          <w:b/>
          <w:bCs/>
          <w:sz w:val="24"/>
        </w:rPr>
        <w:t>2.</w:t>
      </w:r>
      <w:r>
        <w:rPr>
          <w:rFonts w:ascii="宋体" w:hAnsi="宋体" w:eastAsia="宋体"/>
          <w:b/>
          <w:bCs/>
          <w:sz w:val="24"/>
        </w:rPr>
        <w:t>16</w:t>
      </w:r>
      <w:r>
        <w:rPr>
          <w:rFonts w:hint="eastAsia" w:ascii="宋体" w:hAnsi="宋体" w:eastAsia="宋体"/>
          <w:b/>
          <w:bCs/>
          <w:sz w:val="24"/>
          <w:lang w:val="zh-CN"/>
        </w:rPr>
        <w:t>合同使用的文字和</w:t>
      </w:r>
      <w:r>
        <w:rPr>
          <w:rFonts w:ascii="宋体" w:hAnsi="宋体" w:eastAsia="宋体"/>
          <w:b/>
          <w:bCs/>
          <w:sz w:val="24"/>
          <w:lang w:val="zh-CN"/>
        </w:rPr>
        <w:t>适用的法律</w:t>
      </w:r>
      <w:bookmarkEnd w:id="413"/>
      <w:bookmarkEnd w:id="414"/>
      <w:bookmarkEnd w:id="415"/>
      <w:bookmarkEnd w:id="416"/>
      <w:bookmarkEnd w:id="417"/>
      <w:bookmarkEnd w:id="418"/>
    </w:p>
    <w:p w14:paraId="40A040C4">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16.1合同使用汉语书就</w:t>
      </w:r>
      <w:r>
        <w:rPr>
          <w:rFonts w:hint="eastAsia" w:ascii="宋体" w:hAnsi="宋体" w:eastAsia="宋体"/>
          <w:sz w:val="24"/>
        </w:rPr>
        <w:t>、</w:t>
      </w:r>
      <w:r>
        <w:rPr>
          <w:rFonts w:ascii="宋体" w:hAnsi="宋体" w:eastAsia="宋体"/>
          <w:sz w:val="24"/>
        </w:rPr>
        <w:t>变更和解释</w:t>
      </w:r>
      <w:r>
        <w:rPr>
          <w:rFonts w:hint="eastAsia" w:ascii="宋体" w:hAnsi="宋体" w:eastAsia="宋体"/>
          <w:sz w:val="24"/>
        </w:rPr>
        <w:t>；</w:t>
      </w:r>
    </w:p>
    <w:p w14:paraId="35320C58">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16</w:t>
      </w:r>
      <w:r>
        <w:rPr>
          <w:rFonts w:hint="eastAsia" w:ascii="宋体" w:hAnsi="宋体" w:eastAsia="宋体"/>
          <w:sz w:val="24"/>
        </w:rPr>
        <w:t>.2合同适用</w:t>
      </w:r>
      <w:r>
        <w:rPr>
          <w:rFonts w:ascii="宋体" w:hAnsi="宋体" w:eastAsia="宋体"/>
          <w:sz w:val="24"/>
        </w:rPr>
        <w:t>中华人民共和国法律。</w:t>
      </w:r>
    </w:p>
    <w:p w14:paraId="6BB814B9">
      <w:pPr>
        <w:spacing w:line="360" w:lineRule="auto"/>
        <w:ind w:firstLine="437"/>
        <w:outlineLvl w:val="2"/>
        <w:rPr>
          <w:rFonts w:ascii="宋体" w:hAnsi="宋体" w:eastAsia="宋体"/>
          <w:b/>
          <w:sz w:val="24"/>
        </w:rPr>
      </w:pPr>
      <w:bookmarkStart w:id="419" w:name="_Toc12004"/>
      <w:bookmarkStart w:id="420" w:name="_Toc279701264"/>
      <w:bookmarkStart w:id="421" w:name="_Toc16673"/>
      <w:bookmarkStart w:id="422" w:name="_Toc259093693"/>
      <w:bookmarkStart w:id="423" w:name="_Toc3148"/>
      <w:bookmarkStart w:id="424" w:name="_Toc487900374"/>
      <w:r>
        <w:rPr>
          <w:rFonts w:hint="eastAsia" w:ascii="宋体" w:hAnsi="宋体" w:eastAsia="宋体"/>
          <w:b/>
          <w:bCs/>
          <w:sz w:val="24"/>
          <w:lang w:val="zh-CN"/>
        </w:rPr>
        <w:t>2.</w:t>
      </w:r>
      <w:r>
        <w:rPr>
          <w:rFonts w:ascii="宋体" w:hAnsi="宋体" w:eastAsia="宋体"/>
          <w:b/>
          <w:bCs/>
          <w:sz w:val="24"/>
          <w:lang w:val="zh-CN"/>
        </w:rPr>
        <w:t>17履约保证金</w:t>
      </w:r>
      <w:bookmarkEnd w:id="419"/>
      <w:bookmarkEnd w:id="420"/>
      <w:bookmarkEnd w:id="421"/>
      <w:bookmarkEnd w:id="422"/>
      <w:bookmarkEnd w:id="423"/>
    </w:p>
    <w:p w14:paraId="5747317E">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w:t>
      </w:r>
      <w:r>
        <w:rPr>
          <w:rFonts w:hint="eastAsia" w:ascii="宋体" w:hAnsi="宋体" w:eastAsia="宋体"/>
          <w:sz w:val="24"/>
        </w:rPr>
        <w:t>.1采购文件要求乙方提交履约保证金的，乙方</w:t>
      </w:r>
      <w:r>
        <w:rPr>
          <w:rFonts w:ascii="宋体" w:hAnsi="宋体" w:eastAsia="宋体"/>
          <w:sz w:val="24"/>
        </w:rPr>
        <w:t>应按</w:t>
      </w:r>
      <w:r>
        <w:rPr>
          <w:rFonts w:ascii="宋体" w:hAnsi="宋体" w:eastAsia="宋体"/>
          <w:b/>
          <w:i/>
          <w:sz w:val="24"/>
          <w:u w:val="single"/>
        </w:rPr>
        <w:t>合同专用条款</w:t>
      </w:r>
      <w:r>
        <w:rPr>
          <w:rFonts w:ascii="宋体" w:hAnsi="宋体" w:eastAsia="宋体"/>
          <w:sz w:val="24"/>
        </w:rPr>
        <w:t>约定的方式</w:t>
      </w:r>
      <w:r>
        <w:rPr>
          <w:rFonts w:hint="eastAsia" w:ascii="宋体" w:hAnsi="宋体" w:eastAsia="宋体"/>
          <w:sz w:val="24"/>
        </w:rPr>
        <w:t>，以支票、汇票、本票或者金融机构、担保机构出具的保函等非现金形式提交；</w:t>
      </w:r>
    </w:p>
    <w:p w14:paraId="2D641CD4">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17.2履约保证金在</w:t>
      </w:r>
      <w:r>
        <w:rPr>
          <w:rFonts w:ascii="宋体" w:hAnsi="宋体" w:eastAsia="宋体"/>
          <w:b/>
          <w:i/>
          <w:sz w:val="24"/>
          <w:u w:val="single"/>
        </w:rPr>
        <w:t>合同专用条款</w:t>
      </w:r>
      <w:r>
        <w:rPr>
          <w:rFonts w:ascii="宋体" w:hAnsi="宋体" w:eastAsia="宋体"/>
          <w:sz w:val="24"/>
        </w:rPr>
        <w:t>约定期间内不予退还或者应完全有效</w:t>
      </w:r>
      <w:r>
        <w:rPr>
          <w:rFonts w:hint="eastAsia" w:ascii="宋体" w:hAnsi="宋体" w:eastAsia="宋体"/>
          <w:sz w:val="24"/>
        </w:rPr>
        <w:t>，前述约定期间届满</w:t>
      </w:r>
      <w:r>
        <w:rPr>
          <w:rFonts w:ascii="宋体" w:hAnsi="宋体" w:eastAsia="宋体"/>
          <w:sz w:val="24"/>
        </w:rPr>
        <w:t>之日起</w:t>
      </w:r>
      <w:r>
        <w:rPr>
          <w:rFonts w:hint="eastAsia" w:ascii="宋体" w:hAnsi="宋体" w:eastAsia="宋体"/>
          <w:sz w:val="24"/>
        </w:rPr>
        <w:t>个</w:t>
      </w:r>
      <w:r>
        <w:rPr>
          <w:rFonts w:ascii="宋体" w:hAnsi="宋体" w:eastAsia="宋体"/>
          <w:sz w:val="24"/>
        </w:rPr>
        <w:t>工作日内，甲方应将履约保证金退还乙方</w:t>
      </w:r>
      <w:r>
        <w:rPr>
          <w:rFonts w:hint="eastAsia" w:ascii="宋体" w:hAnsi="宋体" w:eastAsia="宋体"/>
          <w:sz w:val="24"/>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甲方逾期退还履约保证金应承担违约责任。</w:t>
      </w:r>
    </w:p>
    <w:p w14:paraId="15D3FC6A">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w:t>
      </w:r>
      <w:r>
        <w:rPr>
          <w:rFonts w:hint="eastAsia" w:ascii="宋体" w:hAnsi="宋体" w:eastAsia="宋体"/>
          <w:sz w:val="24"/>
        </w:rPr>
        <w:t>.3</w:t>
      </w:r>
      <w:r>
        <w:rPr>
          <w:rFonts w:ascii="宋体" w:hAnsi="宋体" w:eastAsia="宋体"/>
          <w:sz w:val="24"/>
        </w:rPr>
        <w:t>如果乙方不履行合同</w:t>
      </w:r>
      <w:r>
        <w:rPr>
          <w:rFonts w:hint="eastAsia" w:ascii="宋体" w:hAnsi="宋体" w:eastAsia="宋体"/>
          <w:sz w:val="24"/>
        </w:rPr>
        <w:t>，履约保证金不予退还；如果乙方</w:t>
      </w:r>
      <w:r>
        <w:rPr>
          <w:rFonts w:ascii="宋体" w:hAnsi="宋体" w:eastAsia="宋体"/>
          <w:sz w:val="24"/>
        </w:rPr>
        <w:t>未能按合同</w:t>
      </w:r>
      <w:r>
        <w:rPr>
          <w:rFonts w:hint="eastAsia" w:ascii="宋体" w:hAnsi="宋体" w:eastAsia="宋体"/>
          <w:sz w:val="24"/>
        </w:rPr>
        <w:t>约</w:t>
      </w:r>
      <w:r>
        <w:rPr>
          <w:rFonts w:ascii="宋体" w:hAnsi="宋体" w:eastAsia="宋体"/>
          <w:sz w:val="24"/>
        </w:rPr>
        <w:t>定全面履行义务，那么甲方有权从履约保证金中取得补偿或赔偿</w:t>
      </w:r>
      <w:r>
        <w:rPr>
          <w:rFonts w:hint="eastAsia" w:ascii="宋体" w:hAnsi="宋体" w:eastAsia="宋体"/>
          <w:sz w:val="24"/>
        </w:rPr>
        <w:t>，同时不影响甲方要求乙方承担合同约定的超过履约保证金的违约责任的权利。</w:t>
      </w:r>
    </w:p>
    <w:bookmarkEnd w:id="424"/>
    <w:p w14:paraId="478B6ECE">
      <w:pPr>
        <w:spacing w:line="360" w:lineRule="auto"/>
        <w:ind w:firstLine="437"/>
        <w:outlineLvl w:val="2"/>
        <w:rPr>
          <w:rFonts w:ascii="宋体" w:hAnsi="宋体" w:eastAsia="宋体"/>
          <w:b/>
          <w:sz w:val="24"/>
        </w:rPr>
      </w:pPr>
      <w:bookmarkStart w:id="425" w:name="_Toc19890"/>
      <w:bookmarkStart w:id="426" w:name="_Toc6885"/>
      <w:bookmarkStart w:id="427" w:name="_Toc14001"/>
      <w:r>
        <w:rPr>
          <w:rFonts w:hint="eastAsia" w:ascii="宋体" w:hAnsi="宋体" w:eastAsia="宋体"/>
          <w:b/>
          <w:bCs/>
          <w:sz w:val="24"/>
          <w:lang w:val="zh-CN"/>
        </w:rPr>
        <w:t>2.</w:t>
      </w:r>
      <w:r>
        <w:rPr>
          <w:rFonts w:ascii="宋体" w:hAnsi="宋体" w:eastAsia="宋体"/>
          <w:b/>
          <w:bCs/>
          <w:sz w:val="24"/>
          <w:lang w:val="zh-CN"/>
        </w:rPr>
        <w:t>18</w:t>
      </w:r>
      <w:r>
        <w:rPr>
          <w:rFonts w:hint="eastAsia" w:ascii="宋体" w:hAnsi="宋体" w:eastAsia="宋体"/>
          <w:b/>
          <w:bCs/>
          <w:sz w:val="24"/>
          <w:lang w:val="zh-CN"/>
        </w:rPr>
        <w:t xml:space="preserve"> 合同份数</w:t>
      </w:r>
      <w:bookmarkEnd w:id="425"/>
      <w:bookmarkEnd w:id="426"/>
      <w:bookmarkEnd w:id="427"/>
    </w:p>
    <w:p w14:paraId="09E3A504">
      <w:pPr>
        <w:spacing w:line="360" w:lineRule="auto"/>
        <w:ind w:firstLine="435"/>
        <w:rPr>
          <w:rFonts w:ascii="宋体" w:hAnsi="宋体" w:eastAsia="宋体"/>
          <w:sz w:val="24"/>
        </w:rPr>
      </w:pPr>
      <w:r>
        <w:rPr>
          <w:rFonts w:ascii="宋体" w:hAnsi="宋体" w:eastAsia="宋体"/>
          <w:sz w:val="24"/>
        </w:rPr>
        <w:t>合同份数按</w:t>
      </w:r>
      <w:r>
        <w:rPr>
          <w:rFonts w:ascii="宋体" w:hAnsi="宋体" w:eastAsia="宋体"/>
          <w:b/>
          <w:i/>
          <w:sz w:val="24"/>
          <w:u w:val="single"/>
        </w:rPr>
        <w:t>合同专用条款</w:t>
      </w:r>
      <w:r>
        <w:rPr>
          <w:rFonts w:ascii="宋体" w:hAnsi="宋体" w:eastAsia="宋体"/>
          <w:sz w:val="24"/>
        </w:rPr>
        <w:t>规定</w:t>
      </w:r>
      <w:r>
        <w:rPr>
          <w:rFonts w:hint="eastAsia" w:ascii="宋体" w:hAnsi="宋体" w:eastAsia="宋体"/>
          <w:sz w:val="24"/>
        </w:rPr>
        <w:t>，</w:t>
      </w:r>
      <w:r>
        <w:rPr>
          <w:rFonts w:ascii="宋体" w:hAnsi="宋体" w:eastAsia="宋体"/>
          <w:sz w:val="24"/>
        </w:rPr>
        <w:t>每份均具有同等法律效力</w:t>
      </w:r>
      <w:r>
        <w:rPr>
          <w:rFonts w:hint="eastAsia" w:ascii="宋体" w:hAnsi="宋体" w:eastAsia="宋体"/>
          <w:sz w:val="24"/>
        </w:rPr>
        <w:t>。</w:t>
      </w:r>
    </w:p>
    <w:p w14:paraId="23C1204E">
      <w:pPr>
        <w:spacing w:line="360" w:lineRule="auto"/>
        <w:jc w:val="center"/>
        <w:outlineLvl w:val="1"/>
        <w:rPr>
          <w:rFonts w:ascii="宋体" w:hAnsi="宋体" w:eastAsia="宋体"/>
          <w:b/>
          <w:sz w:val="24"/>
        </w:rPr>
      </w:pPr>
      <w:r>
        <w:rPr>
          <w:rFonts w:ascii="宋体" w:hAnsi="宋体" w:eastAsia="宋体"/>
          <w:sz w:val="24"/>
        </w:rPr>
        <w:br w:type="page"/>
      </w:r>
      <w:bookmarkStart w:id="428" w:name="_Toc331685784"/>
      <w:r>
        <w:rPr>
          <w:rFonts w:hint="eastAsia" w:ascii="宋体" w:hAnsi="宋体" w:eastAsia="宋体"/>
          <w:b/>
          <w:sz w:val="24"/>
        </w:rPr>
        <w:t>第三部分合同专用条款</w:t>
      </w:r>
      <w:bookmarkEnd w:id="428"/>
    </w:p>
    <w:p w14:paraId="30E4B8A8">
      <w:pPr>
        <w:spacing w:line="360" w:lineRule="auto"/>
        <w:ind w:firstLine="435"/>
        <w:rPr>
          <w:rFonts w:ascii="宋体" w:hAnsi="宋体" w:eastAsia="宋体"/>
          <w:sz w:val="24"/>
        </w:rPr>
      </w:pPr>
      <w:r>
        <w:rPr>
          <w:rFonts w:hint="eastAsia" w:ascii="宋体" w:hAnsi="宋体" w:eastAsia="宋体"/>
          <w:sz w:val="24"/>
        </w:rPr>
        <w:t>本部分</w:t>
      </w:r>
      <w:r>
        <w:rPr>
          <w:rFonts w:ascii="宋体" w:hAnsi="宋体" w:eastAsia="宋体"/>
          <w:sz w:val="24"/>
        </w:rPr>
        <w:t>是对</w:t>
      </w:r>
      <w:r>
        <w:rPr>
          <w:rFonts w:hint="eastAsia" w:ascii="宋体" w:hAnsi="宋体" w:eastAsia="宋体"/>
          <w:sz w:val="24"/>
        </w:rPr>
        <w:t>前两</w:t>
      </w:r>
      <w:r>
        <w:rPr>
          <w:rFonts w:ascii="宋体" w:hAnsi="宋体" w:eastAsia="宋体"/>
          <w:sz w:val="24"/>
        </w:rPr>
        <w:t>部分的补充和修改</w:t>
      </w:r>
      <w:r>
        <w:rPr>
          <w:rFonts w:hint="eastAsia" w:ascii="宋体" w:hAnsi="宋体" w:eastAsia="宋体"/>
          <w:sz w:val="24"/>
        </w:rPr>
        <w:t>，</w:t>
      </w:r>
      <w:r>
        <w:rPr>
          <w:rFonts w:ascii="宋体" w:hAnsi="宋体" w:eastAsia="宋体"/>
          <w:sz w:val="24"/>
        </w:rPr>
        <w:t>如果</w:t>
      </w:r>
      <w:r>
        <w:rPr>
          <w:rFonts w:hint="eastAsia" w:ascii="宋体" w:hAnsi="宋体" w:eastAsia="宋体"/>
          <w:sz w:val="24"/>
        </w:rPr>
        <w:t>前两</w:t>
      </w:r>
      <w:r>
        <w:rPr>
          <w:rFonts w:ascii="宋体" w:hAnsi="宋体" w:eastAsia="宋体"/>
          <w:sz w:val="24"/>
        </w:rPr>
        <w:t>部分和本部分的约定不一致</w:t>
      </w:r>
      <w:r>
        <w:rPr>
          <w:rFonts w:hint="eastAsia" w:ascii="宋体" w:hAnsi="宋体" w:eastAsia="宋体"/>
          <w:sz w:val="24"/>
        </w:rPr>
        <w:t>，</w:t>
      </w:r>
      <w:r>
        <w:rPr>
          <w:rFonts w:ascii="宋体" w:hAnsi="宋体" w:eastAsia="宋体"/>
          <w:sz w:val="24"/>
        </w:rPr>
        <w:t>应以本部分的约定为准</w:t>
      </w:r>
      <w:r>
        <w:rPr>
          <w:rFonts w:hint="eastAsia" w:ascii="宋体" w:hAnsi="宋体" w:eastAsia="宋体"/>
          <w:sz w:val="24"/>
        </w:rPr>
        <w:t>。</w:t>
      </w:r>
      <w:r>
        <w:rPr>
          <w:rFonts w:ascii="宋体" w:hAnsi="宋体" w:eastAsia="宋体"/>
          <w:sz w:val="24"/>
        </w:rPr>
        <w:t>本部分的条款号应与</w:t>
      </w:r>
      <w:r>
        <w:rPr>
          <w:rFonts w:hint="eastAsia" w:ascii="宋体" w:hAnsi="宋体" w:eastAsia="宋体"/>
          <w:sz w:val="24"/>
        </w:rPr>
        <w:t>前两部分</w:t>
      </w:r>
      <w:r>
        <w:rPr>
          <w:rFonts w:ascii="宋体" w:hAnsi="宋体" w:eastAsia="宋体"/>
          <w:sz w:val="24"/>
        </w:rPr>
        <w:t>的条款号保持对应</w:t>
      </w:r>
      <w:r>
        <w:rPr>
          <w:rFonts w:hint="eastAsia" w:ascii="宋体" w:hAnsi="宋体" w:eastAsia="宋体"/>
          <w:sz w:val="24"/>
        </w:rPr>
        <w:t>；与前两部分</w:t>
      </w:r>
      <w:r>
        <w:rPr>
          <w:rFonts w:ascii="宋体" w:hAnsi="宋体" w:eastAsia="宋体"/>
          <w:sz w:val="24"/>
        </w:rPr>
        <w:t>无对应关系的内容可另行编制条款号</w:t>
      </w:r>
      <w:r>
        <w:rPr>
          <w:rFonts w:hint="eastAsia" w:ascii="宋体" w:hAnsi="宋体" w:eastAsia="宋体"/>
          <w:sz w:val="24"/>
        </w:rPr>
        <w:t>。</w:t>
      </w:r>
    </w:p>
    <w:tbl>
      <w:tblPr>
        <w:tblStyle w:val="24"/>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034"/>
        <w:gridCol w:w="1430"/>
        <w:gridCol w:w="5898"/>
      </w:tblGrid>
      <w:tr w14:paraId="035C0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618" w:type="pct"/>
            <w:tcBorders>
              <w:left w:val="single" w:color="auto" w:sz="4" w:space="0"/>
            </w:tcBorders>
            <w:vAlign w:val="center"/>
          </w:tcPr>
          <w:p w14:paraId="71464C3B">
            <w:pPr>
              <w:jc w:val="center"/>
              <w:rPr>
                <w:rFonts w:ascii="宋体" w:hAnsi="宋体" w:eastAsia="宋体"/>
                <w:b/>
                <w:sz w:val="24"/>
              </w:rPr>
            </w:pPr>
            <w:r>
              <w:rPr>
                <w:rFonts w:ascii="宋体" w:hAnsi="宋体" w:eastAsia="宋体"/>
                <w:b/>
                <w:sz w:val="24"/>
              </w:rPr>
              <w:t>条款号</w:t>
            </w:r>
          </w:p>
        </w:tc>
        <w:tc>
          <w:tcPr>
            <w:tcW w:w="855" w:type="pct"/>
          </w:tcPr>
          <w:p w14:paraId="731D78D3">
            <w:pPr>
              <w:jc w:val="center"/>
              <w:rPr>
                <w:rFonts w:ascii="宋体" w:hAnsi="宋体" w:eastAsia="宋体"/>
                <w:b/>
                <w:sz w:val="24"/>
              </w:rPr>
            </w:pPr>
          </w:p>
        </w:tc>
        <w:tc>
          <w:tcPr>
            <w:tcW w:w="3525" w:type="pct"/>
            <w:vAlign w:val="center"/>
          </w:tcPr>
          <w:p w14:paraId="1471980F">
            <w:pPr>
              <w:jc w:val="center"/>
              <w:rPr>
                <w:rFonts w:ascii="宋体" w:hAnsi="宋体" w:eastAsia="宋体"/>
                <w:b/>
                <w:sz w:val="24"/>
              </w:rPr>
            </w:pPr>
            <w:r>
              <w:rPr>
                <w:rFonts w:ascii="宋体" w:hAnsi="宋体" w:eastAsia="宋体"/>
                <w:b/>
                <w:sz w:val="24"/>
              </w:rPr>
              <w:t>约定内容</w:t>
            </w:r>
          </w:p>
        </w:tc>
      </w:tr>
      <w:tr w14:paraId="6F194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618" w:type="pct"/>
            <w:tcBorders>
              <w:left w:val="single" w:color="auto" w:sz="4" w:space="0"/>
            </w:tcBorders>
            <w:vAlign w:val="center"/>
          </w:tcPr>
          <w:p w14:paraId="6C9F2211">
            <w:pPr>
              <w:spacing w:line="560" w:lineRule="exact"/>
              <w:rPr>
                <w:rFonts w:ascii="宋体" w:hAnsi="宋体" w:eastAsia="宋体"/>
                <w:sz w:val="24"/>
              </w:rPr>
            </w:pPr>
            <w:r>
              <w:rPr>
                <w:rFonts w:hint="eastAsia" w:ascii="宋体" w:hAnsi="宋体" w:eastAsia="宋体"/>
                <w:sz w:val="24"/>
              </w:rPr>
              <w:t>第二部分</w:t>
            </w:r>
          </w:p>
          <w:p w14:paraId="46B40A3B">
            <w:pPr>
              <w:spacing w:line="560" w:lineRule="exact"/>
              <w:rPr>
                <w:rFonts w:ascii="宋体" w:hAnsi="宋体" w:eastAsia="宋体"/>
                <w:sz w:val="24"/>
              </w:rPr>
            </w:pPr>
            <w:r>
              <w:rPr>
                <w:rFonts w:ascii="宋体" w:hAnsi="宋体" w:eastAsia="宋体"/>
                <w:sz w:val="24"/>
              </w:rPr>
              <w:t>2.3.2</w:t>
            </w:r>
          </w:p>
        </w:tc>
        <w:tc>
          <w:tcPr>
            <w:tcW w:w="855" w:type="pct"/>
            <w:vAlign w:val="center"/>
          </w:tcPr>
          <w:p w14:paraId="61A2F5E0">
            <w:pPr>
              <w:pStyle w:val="70"/>
              <w:jc w:val="both"/>
              <w:rPr>
                <w:rFonts w:hAnsi="宋体" w:cs="@仿宋_GB2312"/>
                <w:color w:val="auto"/>
                <w:kern w:val="2"/>
                <w:szCs w:val="20"/>
              </w:rPr>
            </w:pPr>
            <w:r>
              <w:rPr>
                <w:rFonts w:hint="eastAsia" w:hAnsi="宋体" w:cs="@仿宋_GB2312"/>
                <w:color w:val="auto"/>
                <w:kern w:val="2"/>
                <w:szCs w:val="20"/>
              </w:rPr>
              <w:t>具有知识产权的计算机软件等货物的知识产权归属</w:t>
            </w:r>
          </w:p>
        </w:tc>
        <w:tc>
          <w:tcPr>
            <w:tcW w:w="3525" w:type="pct"/>
            <w:vAlign w:val="center"/>
          </w:tcPr>
          <w:p w14:paraId="4A7AC68F">
            <w:pPr>
              <w:pStyle w:val="70"/>
              <w:jc w:val="both"/>
              <w:rPr>
                <w:rFonts w:hAnsi="宋体" w:cs="@仿宋_GB2312"/>
                <w:color w:val="auto"/>
                <w:kern w:val="2"/>
                <w:szCs w:val="20"/>
              </w:rPr>
            </w:pPr>
            <w:r>
              <w:rPr>
                <w:rFonts w:hAnsi="宋体" w:cs="@仿宋_GB2312"/>
                <w:color w:val="auto"/>
                <w:kern w:val="2"/>
                <w:szCs w:val="20"/>
              </w:rPr>
              <w:t>无</w:t>
            </w:r>
          </w:p>
        </w:tc>
      </w:tr>
      <w:tr w14:paraId="2C9ECA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618" w:type="pct"/>
            <w:tcBorders>
              <w:left w:val="single" w:color="auto" w:sz="4" w:space="0"/>
            </w:tcBorders>
            <w:vAlign w:val="center"/>
          </w:tcPr>
          <w:p w14:paraId="4C1E6972">
            <w:pPr>
              <w:spacing w:line="560" w:lineRule="exact"/>
              <w:rPr>
                <w:rFonts w:ascii="宋体" w:hAnsi="宋体" w:eastAsia="宋体"/>
                <w:sz w:val="24"/>
              </w:rPr>
            </w:pPr>
            <w:r>
              <w:rPr>
                <w:rFonts w:hint="eastAsia" w:ascii="宋体" w:hAnsi="宋体" w:eastAsia="宋体"/>
                <w:sz w:val="24"/>
              </w:rPr>
              <w:t>第二部分</w:t>
            </w:r>
          </w:p>
          <w:p w14:paraId="55246268">
            <w:pPr>
              <w:spacing w:line="560" w:lineRule="exact"/>
              <w:rPr>
                <w:rFonts w:ascii="宋体" w:hAnsi="宋体" w:eastAsia="宋体"/>
                <w:sz w:val="24"/>
              </w:rPr>
            </w:pPr>
            <w:r>
              <w:rPr>
                <w:rFonts w:ascii="宋体" w:hAnsi="宋体" w:eastAsia="宋体"/>
                <w:sz w:val="24"/>
              </w:rPr>
              <w:t>2.5</w:t>
            </w:r>
          </w:p>
        </w:tc>
        <w:tc>
          <w:tcPr>
            <w:tcW w:w="855" w:type="pct"/>
            <w:vAlign w:val="center"/>
          </w:tcPr>
          <w:p w14:paraId="3E2E5DBC">
            <w:pPr>
              <w:spacing w:line="560" w:lineRule="exact"/>
              <w:rPr>
                <w:rFonts w:ascii="宋体" w:hAnsi="宋体" w:eastAsia="宋体"/>
                <w:sz w:val="24"/>
              </w:rPr>
            </w:pPr>
            <w:r>
              <w:rPr>
                <w:rFonts w:hint="eastAsia" w:ascii="宋体" w:hAnsi="宋体" w:eastAsia="宋体"/>
                <w:sz w:val="24"/>
              </w:rPr>
              <w:t>结算方式和付款条件</w:t>
            </w:r>
          </w:p>
        </w:tc>
        <w:tc>
          <w:tcPr>
            <w:tcW w:w="3525" w:type="pct"/>
            <w:vAlign w:val="center"/>
          </w:tcPr>
          <w:p w14:paraId="64BA7B08">
            <w:pPr>
              <w:spacing w:line="560" w:lineRule="exact"/>
              <w:rPr>
                <w:rFonts w:ascii="宋体" w:hAnsi="宋体" w:eastAsia="宋体"/>
                <w:sz w:val="24"/>
              </w:rPr>
            </w:pPr>
            <w:r>
              <w:rPr>
                <w:rFonts w:hint="eastAsia" w:ascii="宋体" w:hAnsi="宋体" w:eastAsia="宋体"/>
                <w:sz w:val="24"/>
              </w:rPr>
              <w:t>每季度末根据考核结果结算该季度运维服务费，同时预付下一季度运维服务费的70%（第四季度除外），在收到供应商开具的发票7个工作日内支付。</w:t>
            </w:r>
          </w:p>
        </w:tc>
      </w:tr>
      <w:tr w14:paraId="08E9E2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618" w:type="pct"/>
            <w:tcBorders>
              <w:left w:val="single" w:color="auto" w:sz="4" w:space="0"/>
            </w:tcBorders>
            <w:vAlign w:val="center"/>
          </w:tcPr>
          <w:p w14:paraId="64803EA8">
            <w:pPr>
              <w:spacing w:line="560" w:lineRule="exact"/>
              <w:rPr>
                <w:rFonts w:ascii="宋体" w:hAnsi="宋体" w:eastAsia="宋体"/>
                <w:sz w:val="24"/>
              </w:rPr>
            </w:pPr>
            <w:r>
              <w:rPr>
                <w:rFonts w:hint="eastAsia" w:ascii="宋体" w:hAnsi="宋体" w:eastAsia="宋体"/>
                <w:sz w:val="24"/>
              </w:rPr>
              <w:t>第二部分</w:t>
            </w:r>
          </w:p>
          <w:p w14:paraId="410A8CCB">
            <w:pPr>
              <w:spacing w:line="560" w:lineRule="exact"/>
              <w:rPr>
                <w:rFonts w:ascii="宋体" w:hAnsi="宋体" w:eastAsia="宋体"/>
                <w:sz w:val="24"/>
              </w:rPr>
            </w:pPr>
            <w:r>
              <w:rPr>
                <w:rFonts w:ascii="宋体" w:hAnsi="宋体" w:eastAsia="宋体"/>
                <w:sz w:val="24"/>
              </w:rPr>
              <w:t>2.11</w:t>
            </w:r>
          </w:p>
        </w:tc>
        <w:tc>
          <w:tcPr>
            <w:tcW w:w="855" w:type="pct"/>
            <w:vAlign w:val="center"/>
          </w:tcPr>
          <w:p w14:paraId="3BB94E88">
            <w:pPr>
              <w:spacing w:line="560" w:lineRule="exact"/>
              <w:rPr>
                <w:rFonts w:ascii="宋体" w:hAnsi="宋体" w:eastAsia="宋体"/>
                <w:sz w:val="24"/>
              </w:rPr>
            </w:pPr>
            <w:r>
              <w:rPr>
                <w:rFonts w:hint="eastAsia" w:ascii="宋体" w:hAnsi="宋体" w:eastAsia="宋体"/>
                <w:sz w:val="24"/>
              </w:rPr>
              <w:t>不可抗力</w:t>
            </w:r>
          </w:p>
        </w:tc>
        <w:tc>
          <w:tcPr>
            <w:tcW w:w="3525" w:type="pct"/>
            <w:vAlign w:val="center"/>
          </w:tcPr>
          <w:p w14:paraId="1BF3FC1B">
            <w:pPr>
              <w:spacing w:line="560" w:lineRule="exact"/>
              <w:rPr>
                <w:rFonts w:ascii="宋体" w:hAnsi="宋体" w:eastAsia="宋体"/>
                <w:sz w:val="24"/>
              </w:rPr>
            </w:pPr>
            <w:r>
              <w:rPr>
                <w:rFonts w:ascii="宋体" w:hAnsi="宋体" w:eastAsia="宋体"/>
                <w:sz w:val="24"/>
              </w:rPr>
              <w:t>2.1</w:t>
            </w:r>
            <w:r>
              <w:rPr>
                <w:rFonts w:hint="eastAsia" w:ascii="宋体" w:hAnsi="宋体" w:eastAsia="宋体"/>
                <w:sz w:val="24"/>
              </w:rPr>
              <w:t>1.1如果任何一方遭遇法律规定的不可抗力，致使合同履行受阻时，履行合同的期限应予延长，延长的期限应相当于不可抗力所影响的时间；</w:t>
            </w:r>
          </w:p>
          <w:p w14:paraId="15226421">
            <w:pPr>
              <w:spacing w:line="560" w:lineRule="exact"/>
              <w:rPr>
                <w:rFonts w:ascii="宋体" w:hAnsi="宋体" w:eastAsia="宋体"/>
                <w:sz w:val="24"/>
              </w:rPr>
            </w:pPr>
            <w:r>
              <w:rPr>
                <w:rFonts w:ascii="宋体" w:hAnsi="宋体" w:eastAsia="宋体"/>
                <w:sz w:val="24"/>
              </w:rPr>
              <w:t>2.1</w:t>
            </w:r>
            <w:r>
              <w:rPr>
                <w:rFonts w:hint="eastAsia" w:ascii="宋体" w:hAnsi="宋体" w:eastAsia="宋体"/>
                <w:sz w:val="24"/>
              </w:rPr>
              <w:t>1</w:t>
            </w:r>
            <w:r>
              <w:rPr>
                <w:rFonts w:ascii="宋体" w:hAnsi="宋体" w:eastAsia="宋体"/>
                <w:sz w:val="24"/>
              </w:rPr>
              <w:t>.2</w:t>
            </w:r>
            <w:r>
              <w:rPr>
                <w:rFonts w:hint="eastAsia" w:ascii="宋体" w:hAnsi="宋体" w:eastAsia="宋体"/>
                <w:sz w:val="24"/>
              </w:rPr>
              <w:t>因不可抗力致使不能实现合同目的的，当事人可以解除合同；</w:t>
            </w:r>
          </w:p>
          <w:p w14:paraId="5A121C1E">
            <w:pPr>
              <w:spacing w:line="560" w:lineRule="exact"/>
              <w:rPr>
                <w:rFonts w:ascii="宋体" w:hAnsi="宋体" w:eastAsia="宋体"/>
                <w:sz w:val="24"/>
              </w:rPr>
            </w:pPr>
            <w:r>
              <w:rPr>
                <w:rFonts w:ascii="宋体" w:hAnsi="宋体" w:eastAsia="宋体"/>
                <w:sz w:val="24"/>
              </w:rPr>
              <w:t>2.1</w:t>
            </w:r>
            <w:r>
              <w:rPr>
                <w:rFonts w:hint="eastAsia" w:ascii="宋体" w:hAnsi="宋体" w:eastAsia="宋体"/>
                <w:sz w:val="24"/>
              </w:rPr>
              <w:t>1</w:t>
            </w:r>
            <w:r>
              <w:rPr>
                <w:rFonts w:ascii="宋体" w:hAnsi="宋体" w:eastAsia="宋体"/>
                <w:sz w:val="24"/>
              </w:rPr>
              <w:t>.3</w:t>
            </w:r>
            <w:r>
              <w:rPr>
                <w:rFonts w:hint="eastAsia" w:ascii="宋体" w:hAnsi="宋体" w:eastAsia="宋体"/>
                <w:sz w:val="24"/>
              </w:rPr>
              <w:t>因不可抗力致使合同有变更必要的，双方当事人应在</w:t>
            </w:r>
            <w:r>
              <w:rPr>
                <w:rFonts w:ascii="宋体" w:hAnsi="宋体" w:eastAsia="宋体"/>
                <w:sz w:val="24"/>
              </w:rPr>
              <w:t>7</w:t>
            </w:r>
            <w:r>
              <w:rPr>
                <w:rFonts w:hint="eastAsia" w:ascii="宋体" w:hAnsi="宋体" w:eastAsia="宋体"/>
                <w:sz w:val="24"/>
              </w:rPr>
              <w:t>天内以书面形式变更合同</w:t>
            </w:r>
          </w:p>
          <w:p w14:paraId="39A237C9">
            <w:pPr>
              <w:spacing w:line="560" w:lineRule="exact"/>
              <w:rPr>
                <w:rFonts w:ascii="宋体" w:hAnsi="宋体" w:eastAsia="宋体"/>
                <w:sz w:val="24"/>
              </w:rPr>
            </w:pPr>
            <w:r>
              <w:rPr>
                <w:rFonts w:ascii="宋体" w:hAnsi="宋体" w:eastAsia="宋体"/>
                <w:sz w:val="24"/>
              </w:rPr>
              <w:t>2.1</w:t>
            </w:r>
            <w:r>
              <w:rPr>
                <w:rFonts w:hint="eastAsia" w:ascii="宋体" w:hAnsi="宋体" w:eastAsia="宋体"/>
                <w:sz w:val="24"/>
              </w:rPr>
              <w:t>1.</w:t>
            </w:r>
            <w:r>
              <w:rPr>
                <w:rFonts w:ascii="宋体" w:hAnsi="宋体" w:eastAsia="宋体"/>
                <w:sz w:val="24"/>
              </w:rPr>
              <w:t>4</w:t>
            </w:r>
            <w:r>
              <w:rPr>
                <w:rFonts w:hint="eastAsia" w:ascii="宋体" w:hAnsi="宋体" w:eastAsia="宋体"/>
                <w:sz w:val="24"/>
              </w:rPr>
              <w:t>受不可抗力影响的一方在不可抗力发生后 应在3天内以书面形式通知对方当事人，并在3天内，将有关部门出具的证明文件送达对方当事人。</w:t>
            </w:r>
          </w:p>
        </w:tc>
      </w:tr>
      <w:tr w14:paraId="383658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618" w:type="pct"/>
            <w:tcBorders>
              <w:left w:val="single" w:color="auto" w:sz="4" w:space="0"/>
            </w:tcBorders>
            <w:vAlign w:val="center"/>
          </w:tcPr>
          <w:p w14:paraId="2A65409F">
            <w:pPr>
              <w:spacing w:line="560" w:lineRule="exact"/>
              <w:rPr>
                <w:rFonts w:ascii="宋体" w:hAnsi="宋体" w:eastAsia="宋体"/>
                <w:sz w:val="24"/>
              </w:rPr>
            </w:pPr>
            <w:r>
              <w:rPr>
                <w:rFonts w:hint="eastAsia" w:ascii="宋体" w:hAnsi="宋体" w:eastAsia="宋体"/>
                <w:sz w:val="24"/>
              </w:rPr>
              <w:t>第二部分</w:t>
            </w:r>
          </w:p>
          <w:p w14:paraId="412821F1">
            <w:pPr>
              <w:spacing w:line="560" w:lineRule="exact"/>
              <w:rPr>
                <w:rFonts w:ascii="宋体" w:hAnsi="宋体" w:eastAsia="宋体"/>
                <w:sz w:val="24"/>
              </w:rPr>
            </w:pPr>
            <w:r>
              <w:rPr>
                <w:rFonts w:ascii="宋体" w:hAnsi="宋体" w:eastAsia="宋体"/>
                <w:sz w:val="24"/>
              </w:rPr>
              <w:t>2.15</w:t>
            </w:r>
          </w:p>
        </w:tc>
        <w:tc>
          <w:tcPr>
            <w:tcW w:w="855" w:type="pct"/>
            <w:vAlign w:val="center"/>
          </w:tcPr>
          <w:p w14:paraId="6F6C586C">
            <w:pPr>
              <w:spacing w:line="560" w:lineRule="exact"/>
              <w:rPr>
                <w:rFonts w:ascii="宋体" w:hAnsi="宋体" w:eastAsia="宋体"/>
                <w:sz w:val="24"/>
              </w:rPr>
            </w:pPr>
            <w:r>
              <w:rPr>
                <w:rFonts w:hint="eastAsia" w:ascii="宋体" w:hAnsi="宋体" w:eastAsia="宋体"/>
                <w:sz w:val="24"/>
              </w:rPr>
              <w:t>检验和验收</w:t>
            </w:r>
          </w:p>
        </w:tc>
        <w:tc>
          <w:tcPr>
            <w:tcW w:w="3525" w:type="pct"/>
            <w:vAlign w:val="center"/>
          </w:tcPr>
          <w:p w14:paraId="5E28FFD0">
            <w:pPr>
              <w:spacing w:line="560" w:lineRule="exact"/>
              <w:rPr>
                <w:rFonts w:ascii="宋体" w:hAnsi="宋体" w:eastAsia="宋体"/>
                <w:sz w:val="24"/>
              </w:rPr>
            </w:pPr>
            <w:r>
              <w:rPr>
                <w:rFonts w:hint="eastAsia" w:ascii="宋体" w:hAnsi="宋体" w:eastAsia="宋体"/>
                <w:sz w:val="24"/>
              </w:rPr>
              <w:t>无</w:t>
            </w:r>
          </w:p>
        </w:tc>
      </w:tr>
      <w:tr w14:paraId="624F5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618" w:type="pct"/>
            <w:tcBorders>
              <w:left w:val="single" w:color="auto" w:sz="4" w:space="0"/>
            </w:tcBorders>
            <w:vAlign w:val="center"/>
          </w:tcPr>
          <w:p w14:paraId="7ED9747A">
            <w:pPr>
              <w:spacing w:line="560" w:lineRule="exact"/>
              <w:rPr>
                <w:rFonts w:ascii="宋体" w:hAnsi="宋体" w:eastAsia="宋体"/>
                <w:sz w:val="24"/>
              </w:rPr>
            </w:pPr>
            <w:r>
              <w:rPr>
                <w:rFonts w:hint="eastAsia" w:ascii="宋体" w:hAnsi="宋体" w:eastAsia="宋体"/>
                <w:sz w:val="24"/>
              </w:rPr>
              <w:t>第二部分</w:t>
            </w:r>
          </w:p>
          <w:p w14:paraId="17B7AB02">
            <w:pPr>
              <w:spacing w:line="560" w:lineRule="exact"/>
              <w:rPr>
                <w:rFonts w:ascii="宋体" w:hAnsi="宋体" w:eastAsia="宋体"/>
                <w:sz w:val="24"/>
              </w:rPr>
            </w:pPr>
            <w:r>
              <w:rPr>
                <w:rFonts w:ascii="宋体" w:hAnsi="宋体" w:eastAsia="宋体"/>
                <w:sz w:val="24"/>
              </w:rPr>
              <w:t>2.17</w:t>
            </w:r>
          </w:p>
        </w:tc>
        <w:tc>
          <w:tcPr>
            <w:tcW w:w="855" w:type="pct"/>
            <w:vAlign w:val="center"/>
          </w:tcPr>
          <w:p w14:paraId="0F7C9872">
            <w:pPr>
              <w:spacing w:line="560" w:lineRule="exact"/>
              <w:rPr>
                <w:rFonts w:ascii="宋体" w:hAnsi="宋体" w:eastAsia="宋体"/>
                <w:sz w:val="24"/>
              </w:rPr>
            </w:pPr>
            <w:r>
              <w:rPr>
                <w:rFonts w:hint="eastAsia" w:ascii="宋体" w:hAnsi="宋体" w:eastAsia="宋体"/>
                <w:sz w:val="24"/>
              </w:rPr>
              <w:t>履约</w:t>
            </w:r>
            <w:r>
              <w:rPr>
                <w:rFonts w:ascii="宋体" w:hAnsi="宋体" w:eastAsia="宋体"/>
                <w:sz w:val="24"/>
              </w:rPr>
              <w:t>保证金</w:t>
            </w:r>
          </w:p>
        </w:tc>
        <w:tc>
          <w:tcPr>
            <w:tcW w:w="3525" w:type="pct"/>
            <w:vAlign w:val="center"/>
          </w:tcPr>
          <w:p w14:paraId="7F5CBBCD">
            <w:pPr>
              <w:spacing w:line="560" w:lineRule="exact"/>
              <w:rPr>
                <w:rFonts w:ascii="宋体" w:hAnsi="宋体" w:eastAsia="宋体"/>
                <w:sz w:val="24"/>
              </w:rPr>
            </w:pPr>
            <w:r>
              <w:rPr>
                <w:rFonts w:hint="eastAsia" w:ascii="宋体" w:hAnsi="宋体" w:eastAsia="宋体"/>
                <w:sz w:val="24"/>
              </w:rPr>
              <w:t>按供应商须知前附表执行。</w:t>
            </w:r>
          </w:p>
        </w:tc>
      </w:tr>
      <w:tr w14:paraId="2F2472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618" w:type="pct"/>
            <w:tcBorders>
              <w:left w:val="single" w:color="auto" w:sz="4" w:space="0"/>
            </w:tcBorders>
            <w:vAlign w:val="center"/>
          </w:tcPr>
          <w:p w14:paraId="06C8284D">
            <w:pPr>
              <w:spacing w:line="560" w:lineRule="exact"/>
              <w:rPr>
                <w:rFonts w:ascii="宋体" w:hAnsi="宋体" w:eastAsia="宋体"/>
                <w:sz w:val="24"/>
              </w:rPr>
            </w:pPr>
            <w:r>
              <w:rPr>
                <w:rFonts w:hint="eastAsia" w:ascii="宋体" w:hAnsi="宋体" w:eastAsia="宋体"/>
                <w:sz w:val="24"/>
              </w:rPr>
              <w:t>第二部分</w:t>
            </w:r>
          </w:p>
          <w:p w14:paraId="1FB2ECF5">
            <w:pPr>
              <w:spacing w:line="560" w:lineRule="exact"/>
              <w:rPr>
                <w:rFonts w:ascii="宋体" w:hAnsi="宋体" w:eastAsia="宋体"/>
                <w:sz w:val="24"/>
              </w:rPr>
            </w:pPr>
            <w:r>
              <w:rPr>
                <w:rFonts w:ascii="宋体" w:hAnsi="宋体" w:eastAsia="宋体"/>
                <w:sz w:val="24"/>
              </w:rPr>
              <w:t>2.18</w:t>
            </w:r>
          </w:p>
        </w:tc>
        <w:tc>
          <w:tcPr>
            <w:tcW w:w="855" w:type="pct"/>
          </w:tcPr>
          <w:p w14:paraId="09AAEFCB">
            <w:pPr>
              <w:spacing w:line="560" w:lineRule="exact"/>
              <w:rPr>
                <w:rFonts w:ascii="宋体" w:hAnsi="宋体" w:eastAsia="宋体"/>
                <w:sz w:val="24"/>
              </w:rPr>
            </w:pPr>
            <w:r>
              <w:rPr>
                <w:rFonts w:hint="eastAsia" w:ascii="宋体" w:hAnsi="宋体" w:eastAsia="宋体"/>
                <w:sz w:val="24"/>
              </w:rPr>
              <w:t>合同份数</w:t>
            </w:r>
          </w:p>
        </w:tc>
        <w:tc>
          <w:tcPr>
            <w:tcW w:w="3525" w:type="pct"/>
            <w:vAlign w:val="center"/>
          </w:tcPr>
          <w:p w14:paraId="052FB93D">
            <w:pPr>
              <w:spacing w:line="560" w:lineRule="exact"/>
              <w:rPr>
                <w:rFonts w:ascii="宋体" w:hAnsi="宋体" w:eastAsia="宋体"/>
                <w:sz w:val="24"/>
              </w:rPr>
            </w:pPr>
            <w:r>
              <w:rPr>
                <w:rFonts w:hint="eastAsia" w:ascii="宋体" w:hAnsi="宋体" w:eastAsia="宋体"/>
                <w:sz w:val="24"/>
              </w:rPr>
              <w:t>一式八份，双方各持四份。</w:t>
            </w:r>
          </w:p>
        </w:tc>
      </w:tr>
      <w:tr w14:paraId="0A0A32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618" w:type="pct"/>
            <w:tcBorders>
              <w:left w:val="single" w:color="auto" w:sz="4" w:space="0"/>
            </w:tcBorders>
            <w:vAlign w:val="center"/>
          </w:tcPr>
          <w:p w14:paraId="5D3F35D2">
            <w:pPr>
              <w:spacing w:line="560" w:lineRule="exact"/>
              <w:rPr>
                <w:rFonts w:ascii="宋体" w:hAnsi="宋体" w:eastAsia="宋体"/>
                <w:sz w:val="24"/>
              </w:rPr>
            </w:pPr>
          </w:p>
        </w:tc>
        <w:tc>
          <w:tcPr>
            <w:tcW w:w="855" w:type="pct"/>
          </w:tcPr>
          <w:p w14:paraId="09467A1D">
            <w:pPr>
              <w:spacing w:line="560" w:lineRule="exact"/>
              <w:rPr>
                <w:rFonts w:ascii="宋体" w:hAnsi="宋体" w:eastAsia="宋体"/>
                <w:sz w:val="24"/>
                <w:u w:val="single"/>
              </w:rPr>
            </w:pPr>
          </w:p>
        </w:tc>
        <w:tc>
          <w:tcPr>
            <w:tcW w:w="3525" w:type="pct"/>
            <w:vAlign w:val="center"/>
          </w:tcPr>
          <w:p w14:paraId="39AA77D4">
            <w:pPr>
              <w:spacing w:line="560" w:lineRule="exact"/>
              <w:rPr>
                <w:rFonts w:ascii="宋体" w:hAnsi="宋体" w:eastAsia="宋体"/>
                <w:sz w:val="24"/>
                <w:u w:val="single"/>
              </w:rPr>
            </w:pPr>
          </w:p>
        </w:tc>
      </w:tr>
    </w:tbl>
    <w:p w14:paraId="648D7899">
      <w:pPr>
        <w:spacing w:line="360" w:lineRule="auto"/>
        <w:rPr>
          <w:rFonts w:asciiTheme="minorEastAsia" w:hAnsiTheme="minorEastAsia" w:eastAsiaTheme="minorEastAsia" w:cstheme="minorEastAsia"/>
          <w:sz w:val="28"/>
          <w:szCs w:val="27"/>
        </w:rPr>
      </w:pPr>
      <w:r>
        <w:rPr>
          <w:rFonts w:hint="eastAsia" w:asciiTheme="minorEastAsia" w:hAnsiTheme="minorEastAsia" w:eastAsiaTheme="minorEastAsia" w:cstheme="minorEastAsia"/>
          <w:sz w:val="28"/>
          <w:szCs w:val="27"/>
        </w:rPr>
        <w:br w:type="page"/>
      </w:r>
    </w:p>
    <w:p w14:paraId="42280279">
      <w:pPr>
        <w:spacing w:line="360" w:lineRule="auto"/>
        <w:jc w:val="center"/>
        <w:outlineLvl w:val="0"/>
        <w:rPr>
          <w:rFonts w:asciiTheme="minorEastAsia" w:hAnsiTheme="minorEastAsia" w:eastAsiaTheme="minorEastAsia"/>
          <w:b/>
          <w:sz w:val="28"/>
        </w:rPr>
      </w:pPr>
      <w:bookmarkStart w:id="429" w:name="_Toc25148"/>
      <w:bookmarkStart w:id="430" w:name="_Toc2430"/>
      <w:r>
        <w:rPr>
          <w:rFonts w:hint="eastAsia" w:asciiTheme="minorEastAsia" w:hAnsiTheme="minorEastAsia" w:eastAsiaTheme="minorEastAsia"/>
          <w:b/>
          <w:sz w:val="28"/>
        </w:rPr>
        <w:t>第六章  响应文件格式</w:t>
      </w:r>
      <w:bookmarkEnd w:id="429"/>
      <w:bookmarkEnd w:id="430"/>
    </w:p>
    <w:p w14:paraId="78FF0069">
      <w:pPr>
        <w:spacing w:line="900" w:lineRule="exact"/>
        <w:jc w:val="center"/>
        <w:rPr>
          <w:rFonts w:asciiTheme="minorEastAsia" w:hAnsiTheme="minorEastAsia" w:eastAsiaTheme="minorEastAsia"/>
          <w:b/>
          <w:sz w:val="72"/>
        </w:rPr>
      </w:pPr>
    </w:p>
    <w:p w14:paraId="788D8C4F">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响</w:t>
      </w:r>
    </w:p>
    <w:p w14:paraId="2A74FA3F">
      <w:pPr>
        <w:spacing w:line="900" w:lineRule="exact"/>
        <w:jc w:val="center"/>
        <w:rPr>
          <w:rFonts w:asciiTheme="minorEastAsia" w:hAnsiTheme="minorEastAsia" w:eastAsiaTheme="minorEastAsia"/>
          <w:b/>
          <w:sz w:val="72"/>
        </w:rPr>
      </w:pPr>
    </w:p>
    <w:p w14:paraId="13004DA2">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应</w:t>
      </w:r>
    </w:p>
    <w:p w14:paraId="24F4E5E6">
      <w:pPr>
        <w:spacing w:line="900" w:lineRule="exact"/>
        <w:jc w:val="center"/>
        <w:rPr>
          <w:rFonts w:asciiTheme="minorEastAsia" w:hAnsiTheme="minorEastAsia" w:eastAsiaTheme="minorEastAsia"/>
          <w:b/>
          <w:sz w:val="72"/>
        </w:rPr>
      </w:pPr>
    </w:p>
    <w:p w14:paraId="66F26009">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文</w:t>
      </w:r>
    </w:p>
    <w:p w14:paraId="51BF6D66">
      <w:pPr>
        <w:spacing w:line="900" w:lineRule="exact"/>
        <w:jc w:val="center"/>
        <w:rPr>
          <w:rFonts w:asciiTheme="minorEastAsia" w:hAnsiTheme="minorEastAsia" w:eastAsiaTheme="minorEastAsia"/>
          <w:b/>
          <w:sz w:val="72"/>
        </w:rPr>
      </w:pPr>
    </w:p>
    <w:p w14:paraId="1232FAF1">
      <w:pPr>
        <w:jc w:val="center"/>
        <w:outlineLvl w:val="2"/>
        <w:rPr>
          <w:rFonts w:asciiTheme="minorEastAsia" w:hAnsiTheme="minorEastAsia" w:eastAsiaTheme="minorEastAsia"/>
          <w:b/>
          <w:sz w:val="72"/>
        </w:rPr>
      </w:pPr>
      <w:r>
        <w:rPr>
          <w:rFonts w:hint="eastAsia" w:asciiTheme="minorEastAsia" w:hAnsiTheme="minorEastAsia" w:eastAsiaTheme="minorEastAsia"/>
          <w:b/>
          <w:sz w:val="72"/>
        </w:rPr>
        <w:t>件</w:t>
      </w:r>
    </w:p>
    <w:p w14:paraId="7444B7B9">
      <w:pPr>
        <w:spacing w:afterLines="50"/>
        <w:jc w:val="center"/>
        <w:rPr>
          <w:rFonts w:asciiTheme="minorEastAsia" w:hAnsiTheme="minorEastAsia" w:eastAsiaTheme="minorEastAsia"/>
          <w:b/>
          <w:sz w:val="72"/>
        </w:rPr>
      </w:pPr>
    </w:p>
    <w:p w14:paraId="31D90597">
      <w:pPr>
        <w:spacing w:afterLines="50" w:line="500" w:lineRule="exact"/>
        <w:rPr>
          <w:rFonts w:asciiTheme="minorEastAsia" w:hAnsiTheme="minorEastAsia" w:eastAsiaTheme="minorEastAsia"/>
          <w:b/>
          <w:sz w:val="72"/>
          <w:highlight w:val="yellow"/>
        </w:rPr>
      </w:pPr>
    </w:p>
    <w:p w14:paraId="13F07C26">
      <w:pPr>
        <w:spacing w:afterLines="50" w:line="500" w:lineRule="exact"/>
        <w:jc w:val="center"/>
        <w:rPr>
          <w:rFonts w:asciiTheme="minorEastAsia" w:hAnsiTheme="minorEastAsia" w:eastAsiaTheme="minorEastAsia"/>
          <w:b/>
          <w:sz w:val="28"/>
          <w:szCs w:val="28"/>
        </w:rPr>
      </w:pPr>
    </w:p>
    <w:p w14:paraId="49CBE3F5">
      <w:pPr>
        <w:tabs>
          <w:tab w:val="left" w:pos="2410"/>
        </w:tabs>
        <w:autoSpaceDE w:val="0"/>
        <w:autoSpaceDN w:val="0"/>
        <w:adjustRightInd w:val="0"/>
        <w:snapToGrid w:val="0"/>
        <w:spacing w:line="360" w:lineRule="auto"/>
        <w:ind w:firstLine="643" w:firstLineChars="200"/>
        <w:rPr>
          <w:rFonts w:ascii="宋体" w:hAnsi="宋体" w:eastAsia="宋体"/>
          <w:b/>
          <w:spacing w:val="20"/>
          <w:kern w:val="0"/>
          <w:sz w:val="32"/>
          <w:szCs w:val="32"/>
        </w:rPr>
      </w:pPr>
      <w:r>
        <w:rPr>
          <w:rFonts w:hint="eastAsia" w:asciiTheme="minorEastAsia" w:hAnsiTheme="minorEastAsia" w:eastAsiaTheme="minorEastAsia"/>
          <w:b/>
          <w:sz w:val="32"/>
        </w:rPr>
        <w:t>项目名称：</w:t>
      </w:r>
    </w:p>
    <w:p w14:paraId="2842D6FB">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sz w:val="32"/>
          <w:u w:val="single"/>
        </w:rPr>
      </w:pPr>
      <w:r>
        <w:rPr>
          <w:rFonts w:hint="eastAsia" w:asciiTheme="minorEastAsia" w:hAnsiTheme="minorEastAsia" w:eastAsiaTheme="minorEastAsia"/>
          <w:b/>
          <w:sz w:val="32"/>
        </w:rPr>
        <w:t>项目编号：</w:t>
      </w:r>
    </w:p>
    <w:p w14:paraId="79C921D1">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sz w:val="32"/>
          <w:u w:val="single"/>
        </w:rPr>
      </w:pPr>
      <w:r>
        <w:rPr>
          <w:rFonts w:hint="eastAsia" w:asciiTheme="minorEastAsia" w:hAnsiTheme="minorEastAsia" w:eastAsiaTheme="minorEastAsia"/>
          <w:b/>
          <w:sz w:val="32"/>
        </w:rPr>
        <w:t>供 应 商：</w:t>
      </w:r>
    </w:p>
    <w:p w14:paraId="5EC69623">
      <w:pPr>
        <w:spacing w:afterLines="50" w:line="500" w:lineRule="exact"/>
        <w:jc w:val="center"/>
        <w:rPr>
          <w:rFonts w:asciiTheme="minorEastAsia" w:hAnsiTheme="minorEastAsia" w:eastAsiaTheme="minorEastAsia"/>
          <w:b/>
          <w:sz w:val="32"/>
        </w:rPr>
      </w:pPr>
      <w:bookmarkStart w:id="431" w:name="_Toc8037"/>
      <w:r>
        <w:rPr>
          <w:rFonts w:hint="eastAsia" w:asciiTheme="minorEastAsia" w:hAnsiTheme="minorEastAsia" w:eastAsiaTheme="minorEastAsia"/>
          <w:b/>
          <w:sz w:val="32"/>
        </w:rPr>
        <w:t>年月日</w:t>
      </w:r>
      <w:bookmarkEnd w:id="431"/>
    </w:p>
    <w:p w14:paraId="1A98656A">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14:paraId="0AC10242">
      <w:pPr>
        <w:spacing w:line="360" w:lineRule="auto"/>
        <w:jc w:val="center"/>
        <w:outlineLvl w:val="1"/>
        <w:rPr>
          <w:rFonts w:asciiTheme="minorEastAsia" w:hAnsiTheme="minorEastAsia" w:eastAsiaTheme="minorEastAsia"/>
          <w:b/>
          <w:sz w:val="24"/>
        </w:rPr>
      </w:pPr>
      <w:bookmarkStart w:id="432" w:name="_Toc461056631"/>
      <w:bookmarkStart w:id="433" w:name="_Toc461053086"/>
      <w:bookmarkStart w:id="434" w:name="_Toc5881"/>
      <w:bookmarkStart w:id="435" w:name="_Toc26791"/>
      <w:bookmarkStart w:id="436" w:name="_Toc520983587"/>
      <w:r>
        <w:rPr>
          <w:rFonts w:hint="eastAsia" w:asciiTheme="minorEastAsia" w:hAnsiTheme="minorEastAsia" w:eastAsiaTheme="minorEastAsia"/>
          <w:b/>
          <w:sz w:val="24"/>
        </w:rPr>
        <w:t>一</w:t>
      </w:r>
      <w:bookmarkEnd w:id="432"/>
      <w:bookmarkEnd w:id="433"/>
      <w:r>
        <w:rPr>
          <w:rFonts w:hint="eastAsia" w:asciiTheme="minorEastAsia" w:hAnsiTheme="minorEastAsia" w:eastAsiaTheme="minorEastAsia"/>
          <w:b/>
          <w:sz w:val="24"/>
        </w:rPr>
        <w:t>、报价表格式</w:t>
      </w:r>
      <w:bookmarkEnd w:id="434"/>
      <w:bookmarkEnd w:id="435"/>
      <w:bookmarkEnd w:id="436"/>
    </w:p>
    <w:p w14:paraId="47CB9956">
      <w:pPr>
        <w:spacing w:beforeLines="50" w:afterLines="50" w:line="360" w:lineRule="auto"/>
        <w:jc w:val="left"/>
        <w:outlineLvl w:val="2"/>
        <w:rPr>
          <w:rFonts w:ascii="宋体" w:hAnsi="宋体" w:eastAsia="宋体"/>
          <w:b/>
          <w:sz w:val="24"/>
          <w:szCs w:val="28"/>
        </w:rPr>
      </w:pPr>
      <w:r>
        <w:rPr>
          <w:rFonts w:hint="eastAsia" w:ascii="宋体" w:hAnsi="宋体" w:eastAsia="宋体"/>
          <w:b/>
          <w:sz w:val="24"/>
          <w:szCs w:val="28"/>
        </w:rPr>
        <w:t>1-1 报价表</w:t>
      </w:r>
    </w:p>
    <w:p w14:paraId="7E9932C6">
      <w:pPr>
        <w:snapToGrid w:val="0"/>
        <w:spacing w:line="360" w:lineRule="auto"/>
        <w:jc w:val="left"/>
        <w:rPr>
          <w:rFonts w:ascii="宋体" w:hAnsi="宋体" w:eastAsia="宋体"/>
          <w:b/>
          <w:sz w:val="24"/>
          <w:szCs w:val="28"/>
        </w:rPr>
      </w:pPr>
      <w:r>
        <w:rPr>
          <w:rFonts w:hint="eastAsia" w:ascii="宋体" w:hAnsi="宋体" w:eastAsia="宋体"/>
          <w:b/>
          <w:sz w:val="24"/>
          <w:szCs w:val="28"/>
        </w:rPr>
        <w:t>项目名称：</w:t>
      </w:r>
    </w:p>
    <w:p w14:paraId="6AAAC94C">
      <w:pPr>
        <w:snapToGrid w:val="0"/>
        <w:spacing w:afterLines="50" w:line="360" w:lineRule="auto"/>
        <w:jc w:val="left"/>
        <w:rPr>
          <w:rFonts w:ascii="宋体" w:hAnsi="宋体" w:eastAsia="宋体"/>
          <w:b/>
          <w:bCs/>
          <w:sz w:val="24"/>
          <w:szCs w:val="28"/>
          <w:u w:val="single"/>
        </w:rPr>
      </w:pPr>
      <w:r>
        <w:rPr>
          <w:rFonts w:hint="eastAsia" w:ascii="宋体" w:hAnsi="宋体" w:eastAsia="宋体"/>
          <w:b/>
          <w:sz w:val="24"/>
          <w:szCs w:val="28"/>
        </w:rPr>
        <w:t>项目编号：</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561E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05908EFA">
            <w:pPr>
              <w:spacing w:line="360" w:lineRule="auto"/>
              <w:jc w:val="center"/>
              <w:rPr>
                <w:rFonts w:ascii="宋体" w:hAnsi="宋体" w:eastAsia="宋体"/>
                <w:b/>
                <w:sz w:val="24"/>
              </w:rPr>
            </w:pPr>
            <w:r>
              <w:rPr>
                <w:rFonts w:hint="eastAsia" w:ascii="宋体" w:hAnsi="宋体" w:eastAsia="宋体"/>
                <w:b/>
                <w:sz w:val="24"/>
              </w:rPr>
              <w:t>供应商名称</w:t>
            </w:r>
          </w:p>
        </w:tc>
        <w:tc>
          <w:tcPr>
            <w:tcW w:w="3557" w:type="pct"/>
            <w:tcBorders>
              <w:left w:val="single" w:color="auto" w:sz="4" w:space="0"/>
            </w:tcBorders>
          </w:tcPr>
          <w:p w14:paraId="5D25EC94">
            <w:pPr>
              <w:spacing w:line="360" w:lineRule="auto"/>
              <w:rPr>
                <w:rFonts w:ascii="宋体" w:hAnsi="宋体" w:eastAsia="宋体"/>
                <w:b/>
                <w:sz w:val="24"/>
              </w:rPr>
            </w:pPr>
          </w:p>
        </w:tc>
      </w:tr>
      <w:tr w14:paraId="641C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5D0F94A2">
            <w:pPr>
              <w:spacing w:line="360" w:lineRule="exact"/>
              <w:jc w:val="center"/>
              <w:rPr>
                <w:rFonts w:ascii="宋体" w:hAnsi="宋体" w:eastAsia="宋体"/>
                <w:b/>
                <w:sz w:val="24"/>
              </w:rPr>
            </w:pPr>
            <w:r>
              <w:rPr>
                <w:rFonts w:hint="eastAsia" w:ascii="宋体" w:hAnsi="宋体" w:eastAsia="宋体"/>
                <w:b/>
                <w:sz w:val="24"/>
              </w:rPr>
              <w:t>磋商范围</w:t>
            </w:r>
          </w:p>
        </w:tc>
        <w:tc>
          <w:tcPr>
            <w:tcW w:w="3557" w:type="pct"/>
            <w:tcBorders>
              <w:left w:val="single" w:color="auto" w:sz="4" w:space="0"/>
            </w:tcBorders>
            <w:vAlign w:val="center"/>
          </w:tcPr>
          <w:p w14:paraId="26A0AA82">
            <w:pPr>
              <w:widowControl/>
              <w:spacing w:line="360" w:lineRule="exact"/>
              <w:rPr>
                <w:rFonts w:ascii="宋体" w:hAnsi="宋体" w:eastAsia="宋体"/>
                <w:b/>
                <w:sz w:val="24"/>
              </w:rPr>
            </w:pPr>
            <w:r>
              <w:rPr>
                <w:rFonts w:hint="eastAsia" w:asciiTheme="minorEastAsia" w:hAnsiTheme="minorEastAsia" w:eastAsiaTheme="minorEastAsia"/>
                <w:sz w:val="24"/>
                <w:szCs w:val="28"/>
              </w:rPr>
              <w:t xml:space="preserve">全部 </w:t>
            </w:r>
          </w:p>
        </w:tc>
      </w:tr>
      <w:tr w14:paraId="318D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4D1C5E70">
            <w:pPr>
              <w:spacing w:line="360" w:lineRule="auto"/>
              <w:jc w:val="center"/>
              <w:rPr>
                <w:rFonts w:ascii="宋体" w:hAnsi="宋体" w:eastAsia="宋体"/>
                <w:b/>
                <w:sz w:val="24"/>
              </w:rPr>
            </w:pPr>
            <w:r>
              <w:rPr>
                <w:rFonts w:hint="eastAsia" w:ascii="宋体" w:hAnsi="宋体" w:eastAsia="宋体"/>
                <w:b/>
                <w:sz w:val="24"/>
              </w:rPr>
              <w:t>报价</w:t>
            </w:r>
          </w:p>
          <w:p w14:paraId="6A123871">
            <w:pPr>
              <w:spacing w:line="360" w:lineRule="auto"/>
              <w:jc w:val="center"/>
              <w:rPr>
                <w:rFonts w:ascii="宋体" w:hAnsi="宋体" w:eastAsia="宋体"/>
                <w:b/>
                <w:sz w:val="24"/>
              </w:rPr>
            </w:pPr>
            <w:r>
              <w:rPr>
                <w:rFonts w:hint="eastAsia" w:ascii="宋体" w:hAnsi="宋体" w:eastAsia="宋体"/>
                <w:b/>
                <w:sz w:val="24"/>
              </w:rPr>
              <w:t>（详见备注说明）</w:t>
            </w:r>
          </w:p>
        </w:tc>
        <w:tc>
          <w:tcPr>
            <w:tcW w:w="3557" w:type="pct"/>
            <w:vAlign w:val="center"/>
          </w:tcPr>
          <w:p w14:paraId="28CFA2A6">
            <w:pPr>
              <w:snapToGrid w:val="0"/>
              <w:spacing w:line="360" w:lineRule="auto"/>
              <w:rPr>
                <w:rFonts w:ascii="宋体" w:hAnsi="宋体" w:eastAsia="宋体"/>
                <w:sz w:val="24"/>
                <w:szCs w:val="28"/>
              </w:rPr>
            </w:pPr>
          </w:p>
          <w:p w14:paraId="798270CF">
            <w:pPr>
              <w:snapToGrid w:val="0"/>
              <w:spacing w:line="360" w:lineRule="auto"/>
              <w:jc w:val="left"/>
              <w:rPr>
                <w:rFonts w:ascii="宋体" w:hAnsi="宋体" w:eastAsia="宋体" w:cs="宋体"/>
                <w:bCs/>
                <w:sz w:val="24"/>
                <w:szCs w:val="24"/>
                <w:u w:val="single"/>
              </w:rPr>
            </w:pPr>
            <w:r>
              <w:rPr>
                <w:rFonts w:hint="eastAsia" w:ascii="宋体" w:hAnsi="宋体" w:eastAsia="宋体" w:cs="宋体"/>
                <w:bCs/>
                <w:sz w:val="24"/>
                <w:szCs w:val="24"/>
              </w:rPr>
              <w:t>大写：</w:t>
            </w:r>
          </w:p>
          <w:p w14:paraId="19C79397">
            <w:pPr>
              <w:spacing w:line="360" w:lineRule="auto"/>
              <w:ind w:right="-670"/>
              <w:rPr>
                <w:rFonts w:asciiTheme="minorEastAsia" w:hAnsiTheme="minorEastAsia" w:eastAsiaTheme="minorEastAsia"/>
                <w:sz w:val="24"/>
              </w:rPr>
            </w:pPr>
            <w:r>
              <w:rPr>
                <w:rFonts w:hint="eastAsia" w:ascii="宋体" w:hAnsi="宋体" w:eastAsia="宋体" w:cs="宋体"/>
                <w:bCs/>
                <w:sz w:val="24"/>
                <w:szCs w:val="24"/>
              </w:rPr>
              <w:t>小写：</w:t>
            </w:r>
          </w:p>
          <w:p w14:paraId="73C34DC9">
            <w:pPr>
              <w:snapToGrid w:val="0"/>
              <w:spacing w:line="360" w:lineRule="auto"/>
              <w:rPr>
                <w:rFonts w:ascii="宋体" w:hAnsi="宋体" w:eastAsia="宋体"/>
                <w:b/>
                <w:sz w:val="24"/>
              </w:rPr>
            </w:pPr>
          </w:p>
        </w:tc>
      </w:tr>
      <w:tr w14:paraId="71EB3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29674BFE">
            <w:pPr>
              <w:spacing w:line="360" w:lineRule="auto"/>
              <w:jc w:val="center"/>
              <w:rPr>
                <w:rFonts w:ascii="宋体" w:hAnsi="宋体" w:eastAsia="宋体"/>
                <w:b/>
                <w:sz w:val="24"/>
              </w:rPr>
            </w:pPr>
            <w:r>
              <w:rPr>
                <w:rFonts w:hint="eastAsia" w:ascii="宋体" w:hAnsi="宋体" w:eastAsia="宋体"/>
                <w:b/>
                <w:sz w:val="24"/>
              </w:rPr>
              <w:t>备注说明</w:t>
            </w:r>
          </w:p>
        </w:tc>
        <w:tc>
          <w:tcPr>
            <w:tcW w:w="3557" w:type="pct"/>
          </w:tcPr>
          <w:p w14:paraId="7FCE36DF">
            <w:pPr>
              <w:spacing w:line="360" w:lineRule="auto"/>
              <w:rPr>
                <w:rFonts w:ascii="宋体" w:hAnsi="宋体" w:eastAsia="宋体"/>
                <w:b/>
                <w:sz w:val="24"/>
              </w:rPr>
            </w:pPr>
          </w:p>
        </w:tc>
      </w:tr>
    </w:tbl>
    <w:p w14:paraId="0B6BC4C8">
      <w:pPr>
        <w:spacing w:line="360" w:lineRule="auto"/>
        <w:ind w:firstLine="4800" w:firstLineChars="2000"/>
        <w:rPr>
          <w:rFonts w:ascii="宋体" w:hAnsi="宋体" w:eastAsia="宋体"/>
          <w:sz w:val="24"/>
        </w:rPr>
      </w:pPr>
      <w:r>
        <w:rPr>
          <w:rFonts w:hint="eastAsia" w:ascii="宋体" w:hAnsi="宋体" w:eastAsia="宋体"/>
          <w:sz w:val="24"/>
        </w:rPr>
        <w:t>供应商电子签章：</w:t>
      </w:r>
    </w:p>
    <w:p w14:paraId="0C718A1E">
      <w:pPr>
        <w:spacing w:line="360" w:lineRule="auto"/>
        <w:ind w:firstLine="4800" w:firstLineChars="2000"/>
        <w:rPr>
          <w:rFonts w:ascii="宋体" w:hAnsi="宋体" w:eastAsia="宋体"/>
          <w:sz w:val="24"/>
          <w:u w:val="single"/>
        </w:rPr>
      </w:pPr>
      <w:r>
        <w:rPr>
          <w:rFonts w:hint="eastAsia" w:ascii="宋体" w:hAnsi="宋体" w:eastAsia="宋体"/>
          <w:sz w:val="24"/>
        </w:rPr>
        <w:t>日          期：</w:t>
      </w:r>
    </w:p>
    <w:p w14:paraId="3BAB9359">
      <w:pPr>
        <w:adjustRightInd w:val="0"/>
        <w:snapToGrid w:val="0"/>
        <w:spacing w:line="360" w:lineRule="auto"/>
        <w:rPr>
          <w:rFonts w:ascii="宋体" w:hAnsi="宋体" w:eastAsia="宋体"/>
          <w:b/>
          <w:bCs/>
          <w:sz w:val="24"/>
          <w:szCs w:val="28"/>
        </w:rPr>
      </w:pPr>
      <w:r>
        <w:rPr>
          <w:rFonts w:hint="eastAsia" w:ascii="宋体" w:hAnsi="宋体" w:eastAsia="宋体"/>
          <w:b/>
          <w:bCs/>
          <w:sz w:val="24"/>
          <w:szCs w:val="28"/>
        </w:rPr>
        <w:t>注：</w:t>
      </w:r>
    </w:p>
    <w:p w14:paraId="059FEFCE">
      <w:pPr>
        <w:adjustRightInd w:val="0"/>
        <w:snapToGrid w:val="0"/>
        <w:spacing w:line="360" w:lineRule="auto"/>
        <w:ind w:firstLine="482" w:firstLineChars="200"/>
        <w:rPr>
          <w:rFonts w:ascii="宋体" w:hAnsi="宋体" w:eastAsia="宋体"/>
          <w:sz w:val="24"/>
        </w:rPr>
      </w:pPr>
      <w:r>
        <w:rPr>
          <w:rFonts w:hint="eastAsia" w:ascii="宋体" w:hAnsi="宋体" w:eastAsia="宋体"/>
          <w:b/>
          <w:bCs/>
          <w:sz w:val="24"/>
          <w:szCs w:val="28"/>
        </w:rPr>
        <w:t>1.本表内容根据磋商文件要求包括了服务及其配套的设计、采购、制造、检测、试验、运输、保险、仓储、税费以及现场落地、安装及安装耗损、调试、培训、技术服务（包括技术资料、图纸的提供）质保期内的售后服务保障等所有费用。</w:t>
      </w:r>
    </w:p>
    <w:p w14:paraId="629BD13D">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2.特殊事项在备注中注明。</w:t>
      </w:r>
    </w:p>
    <w:p w14:paraId="678E029F">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3.表中大写金额与小写金额不一致的，以大写金额为准。</w:t>
      </w:r>
    </w:p>
    <w:p w14:paraId="61FE07AF">
      <w:pPr>
        <w:widowControl/>
        <w:jc w:val="left"/>
        <w:rPr>
          <w:rFonts w:ascii="宋体" w:hAnsi="宋体" w:eastAsia="宋体"/>
          <w:b/>
          <w:bCs/>
          <w:sz w:val="24"/>
          <w:szCs w:val="28"/>
        </w:rPr>
      </w:pPr>
      <w:r>
        <w:rPr>
          <w:rFonts w:ascii="宋体" w:hAnsi="宋体" w:eastAsia="宋体"/>
          <w:b/>
          <w:bCs/>
          <w:sz w:val="24"/>
          <w:szCs w:val="28"/>
        </w:rPr>
        <w:br w:type="page"/>
      </w:r>
    </w:p>
    <w:p w14:paraId="3981AB91">
      <w:pPr>
        <w:spacing w:beforeLines="50" w:afterLines="50" w:line="360" w:lineRule="auto"/>
        <w:jc w:val="left"/>
        <w:outlineLvl w:val="2"/>
        <w:rPr>
          <w:rFonts w:ascii="宋体" w:hAnsi="宋体" w:eastAsia="宋体"/>
          <w:b/>
          <w:sz w:val="24"/>
          <w:szCs w:val="28"/>
        </w:rPr>
      </w:pPr>
      <w:r>
        <w:rPr>
          <w:rFonts w:hint="eastAsia" w:ascii="宋体" w:hAnsi="宋体" w:eastAsia="宋体"/>
          <w:b/>
          <w:sz w:val="24"/>
          <w:szCs w:val="28"/>
        </w:rPr>
        <w:t>1-2 分项报价明细表</w:t>
      </w:r>
    </w:p>
    <w:p w14:paraId="2FBE99A8">
      <w:pPr>
        <w:spacing w:line="360" w:lineRule="auto"/>
        <w:ind w:firstLine="435"/>
        <w:jc w:val="center"/>
        <w:rPr>
          <w:rFonts w:asciiTheme="minorEastAsia" w:hAnsiTheme="minorEastAsia" w:eastAsiaTheme="minorEastAsia"/>
          <w:b/>
          <w:sz w:val="24"/>
        </w:rPr>
      </w:pPr>
      <w:r>
        <w:rPr>
          <w:rFonts w:hint="eastAsia" w:asciiTheme="minorEastAsia" w:hAnsiTheme="minorEastAsia" w:eastAsiaTheme="minorEastAsia"/>
          <w:i/>
          <w:sz w:val="24"/>
        </w:rPr>
        <w:t>（仅供参考，供应商可自行制作格式）</w:t>
      </w:r>
    </w:p>
    <w:tbl>
      <w:tblPr>
        <w:tblStyle w:val="24"/>
        <w:tblW w:w="52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574"/>
        <w:gridCol w:w="2176"/>
        <w:gridCol w:w="824"/>
        <w:gridCol w:w="901"/>
        <w:gridCol w:w="869"/>
        <w:gridCol w:w="1403"/>
        <w:gridCol w:w="1403"/>
      </w:tblGrid>
      <w:tr w14:paraId="7E009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7" w:type="pct"/>
            <w:vAlign w:val="center"/>
          </w:tcPr>
          <w:p w14:paraId="1F8D2A8B">
            <w:pPr>
              <w:jc w:val="center"/>
              <w:rPr>
                <w:rFonts w:ascii="宋体" w:hAnsi="宋体" w:eastAsia="宋体"/>
                <w:b/>
                <w:sz w:val="24"/>
              </w:rPr>
            </w:pPr>
            <w:r>
              <w:rPr>
                <w:rFonts w:hint="eastAsia" w:ascii="宋体" w:hAnsi="宋体" w:eastAsia="宋体"/>
                <w:b/>
                <w:sz w:val="24"/>
              </w:rPr>
              <w:t>序号</w:t>
            </w:r>
          </w:p>
        </w:tc>
        <w:tc>
          <w:tcPr>
            <w:tcW w:w="1528" w:type="pct"/>
            <w:gridSpan w:val="2"/>
            <w:vAlign w:val="center"/>
          </w:tcPr>
          <w:p w14:paraId="6DB1AEF2">
            <w:pPr>
              <w:jc w:val="center"/>
              <w:rPr>
                <w:rFonts w:ascii="宋体" w:hAnsi="宋体" w:eastAsia="宋体"/>
                <w:b/>
                <w:sz w:val="24"/>
              </w:rPr>
            </w:pPr>
            <w:r>
              <w:rPr>
                <w:rFonts w:hint="eastAsia" w:ascii="宋体" w:hAnsi="宋体" w:eastAsia="宋体"/>
                <w:b/>
                <w:sz w:val="24"/>
              </w:rPr>
              <w:t>服务内容</w:t>
            </w:r>
          </w:p>
        </w:tc>
        <w:tc>
          <w:tcPr>
            <w:tcW w:w="458" w:type="pct"/>
            <w:vAlign w:val="center"/>
          </w:tcPr>
          <w:p w14:paraId="7F257A6E">
            <w:pPr>
              <w:jc w:val="center"/>
              <w:rPr>
                <w:rFonts w:ascii="宋体" w:hAnsi="宋体" w:eastAsia="宋体"/>
                <w:b/>
                <w:sz w:val="24"/>
              </w:rPr>
            </w:pPr>
            <w:r>
              <w:rPr>
                <w:rFonts w:hint="eastAsia" w:ascii="宋体" w:hAnsi="宋体" w:eastAsia="宋体"/>
                <w:b/>
                <w:sz w:val="24"/>
              </w:rPr>
              <w:t>单位</w:t>
            </w:r>
          </w:p>
        </w:tc>
        <w:tc>
          <w:tcPr>
            <w:tcW w:w="501" w:type="pct"/>
            <w:vAlign w:val="center"/>
          </w:tcPr>
          <w:p w14:paraId="6CE07D69">
            <w:pPr>
              <w:jc w:val="center"/>
              <w:rPr>
                <w:rFonts w:ascii="宋体" w:hAnsi="宋体" w:eastAsia="宋体"/>
                <w:b/>
                <w:sz w:val="24"/>
              </w:rPr>
            </w:pPr>
            <w:r>
              <w:rPr>
                <w:rFonts w:hint="eastAsia" w:ascii="宋体" w:hAnsi="宋体" w:eastAsia="宋体"/>
                <w:b/>
                <w:sz w:val="24"/>
              </w:rPr>
              <w:t>数量</w:t>
            </w:r>
          </w:p>
        </w:tc>
        <w:tc>
          <w:tcPr>
            <w:tcW w:w="482" w:type="pct"/>
            <w:vAlign w:val="center"/>
          </w:tcPr>
          <w:p w14:paraId="40619D15">
            <w:pPr>
              <w:jc w:val="center"/>
              <w:rPr>
                <w:rFonts w:ascii="宋体" w:hAnsi="宋体" w:eastAsia="宋体"/>
                <w:b/>
                <w:sz w:val="24"/>
              </w:rPr>
            </w:pPr>
            <w:r>
              <w:rPr>
                <w:rFonts w:hint="eastAsia" w:ascii="宋体" w:hAnsi="宋体" w:eastAsia="宋体"/>
                <w:b/>
                <w:sz w:val="24"/>
              </w:rPr>
              <w:t>单价</w:t>
            </w:r>
          </w:p>
        </w:tc>
        <w:tc>
          <w:tcPr>
            <w:tcW w:w="780" w:type="pct"/>
            <w:vAlign w:val="center"/>
          </w:tcPr>
          <w:p w14:paraId="6DAAD30C">
            <w:pPr>
              <w:jc w:val="center"/>
              <w:rPr>
                <w:rFonts w:ascii="宋体" w:hAnsi="宋体" w:eastAsia="宋体"/>
                <w:b/>
                <w:sz w:val="24"/>
              </w:rPr>
            </w:pPr>
            <w:r>
              <w:rPr>
                <w:rFonts w:hint="eastAsia" w:ascii="宋体" w:hAnsi="宋体" w:eastAsia="宋体"/>
                <w:b/>
                <w:sz w:val="24"/>
              </w:rPr>
              <w:t>小计金额（元）</w:t>
            </w:r>
          </w:p>
        </w:tc>
        <w:tc>
          <w:tcPr>
            <w:tcW w:w="780" w:type="pct"/>
            <w:vAlign w:val="center"/>
          </w:tcPr>
          <w:p w14:paraId="4CEE867A">
            <w:pPr>
              <w:jc w:val="center"/>
              <w:rPr>
                <w:rFonts w:ascii="宋体" w:hAnsi="宋体" w:eastAsia="宋体"/>
                <w:b/>
                <w:sz w:val="24"/>
              </w:rPr>
            </w:pPr>
            <w:r>
              <w:rPr>
                <w:rFonts w:hint="eastAsia" w:ascii="宋体" w:hAnsi="宋体" w:eastAsia="宋体"/>
                <w:b/>
                <w:sz w:val="24"/>
              </w:rPr>
              <w:t>备注</w:t>
            </w:r>
          </w:p>
        </w:tc>
      </w:tr>
      <w:tr w14:paraId="4ED4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467" w:type="pct"/>
            <w:tcBorders>
              <w:bottom w:val="single" w:color="auto" w:sz="4" w:space="0"/>
            </w:tcBorders>
            <w:vAlign w:val="center"/>
          </w:tcPr>
          <w:p w14:paraId="5BB563C8">
            <w:pPr>
              <w:jc w:val="center"/>
              <w:rPr>
                <w:rFonts w:ascii="宋体" w:hAnsi="宋体" w:eastAsia="宋体"/>
                <w:b/>
                <w:bCs/>
                <w:sz w:val="22"/>
                <w:szCs w:val="22"/>
              </w:rPr>
            </w:pPr>
            <w:r>
              <w:rPr>
                <w:rFonts w:hint="eastAsia" w:ascii="宋体" w:hAnsi="宋体" w:eastAsia="宋体"/>
                <w:b/>
                <w:bCs/>
                <w:sz w:val="22"/>
                <w:szCs w:val="22"/>
              </w:rPr>
              <w:t>1</w:t>
            </w:r>
          </w:p>
        </w:tc>
        <w:tc>
          <w:tcPr>
            <w:tcW w:w="1528" w:type="pct"/>
            <w:gridSpan w:val="2"/>
            <w:vAlign w:val="center"/>
          </w:tcPr>
          <w:p w14:paraId="06F87AB6">
            <w:pPr>
              <w:jc w:val="left"/>
              <w:rPr>
                <w:rFonts w:ascii="宋体" w:hAnsi="宋体" w:eastAsia="宋体"/>
                <w:b/>
                <w:bCs/>
                <w:sz w:val="22"/>
                <w:szCs w:val="22"/>
              </w:rPr>
            </w:pPr>
            <w:r>
              <w:rPr>
                <w:rFonts w:hint="eastAsia" w:ascii="宋体" w:hAnsi="宋体" w:eastAsia="宋体"/>
                <w:b/>
                <w:bCs/>
                <w:sz w:val="22"/>
                <w:szCs w:val="22"/>
              </w:rPr>
              <w:t>调度运行中心及省管泵站中控室运维服务</w:t>
            </w:r>
          </w:p>
        </w:tc>
        <w:tc>
          <w:tcPr>
            <w:tcW w:w="458" w:type="pct"/>
            <w:vAlign w:val="center"/>
          </w:tcPr>
          <w:p w14:paraId="48538F32">
            <w:pPr>
              <w:widowControl/>
              <w:jc w:val="center"/>
              <w:textAlignment w:val="center"/>
              <w:rPr>
                <w:rFonts w:ascii="宋体" w:hAnsi="宋体" w:eastAsia="宋体" w:cs="宋体"/>
                <w:color w:val="000000"/>
                <w:kern w:val="0"/>
                <w:sz w:val="22"/>
                <w:szCs w:val="22"/>
              </w:rPr>
            </w:pPr>
          </w:p>
        </w:tc>
        <w:tc>
          <w:tcPr>
            <w:tcW w:w="501" w:type="pct"/>
            <w:vAlign w:val="center"/>
          </w:tcPr>
          <w:p w14:paraId="708D9C19">
            <w:pPr>
              <w:widowControl/>
              <w:jc w:val="center"/>
              <w:textAlignment w:val="center"/>
              <w:rPr>
                <w:rFonts w:ascii="宋体" w:hAnsi="宋体" w:eastAsia="宋体" w:cs="宋体"/>
                <w:color w:val="000000"/>
                <w:kern w:val="0"/>
                <w:sz w:val="22"/>
                <w:szCs w:val="22"/>
              </w:rPr>
            </w:pPr>
          </w:p>
        </w:tc>
        <w:tc>
          <w:tcPr>
            <w:tcW w:w="482" w:type="pct"/>
            <w:vAlign w:val="center"/>
          </w:tcPr>
          <w:p w14:paraId="5F28C66A">
            <w:pPr>
              <w:jc w:val="center"/>
              <w:rPr>
                <w:rFonts w:ascii="宋体" w:hAnsi="宋体" w:eastAsia="宋体"/>
                <w:sz w:val="22"/>
                <w:szCs w:val="22"/>
              </w:rPr>
            </w:pPr>
          </w:p>
        </w:tc>
        <w:tc>
          <w:tcPr>
            <w:tcW w:w="780" w:type="pct"/>
            <w:vAlign w:val="center"/>
          </w:tcPr>
          <w:p w14:paraId="0ACC5771">
            <w:pPr>
              <w:jc w:val="center"/>
              <w:rPr>
                <w:rFonts w:ascii="宋体" w:hAnsi="宋体" w:eastAsia="宋体"/>
                <w:sz w:val="22"/>
                <w:szCs w:val="22"/>
              </w:rPr>
            </w:pPr>
          </w:p>
        </w:tc>
        <w:tc>
          <w:tcPr>
            <w:tcW w:w="780" w:type="pct"/>
            <w:vAlign w:val="center"/>
          </w:tcPr>
          <w:p w14:paraId="70B6930B">
            <w:pPr>
              <w:jc w:val="center"/>
              <w:rPr>
                <w:rFonts w:ascii="宋体" w:hAnsi="宋体" w:eastAsia="宋体"/>
                <w:sz w:val="16"/>
                <w:szCs w:val="16"/>
              </w:rPr>
            </w:pPr>
            <w:r>
              <w:rPr>
                <w:rFonts w:hint="eastAsia" w:ascii="宋体" w:hAnsi="宋体" w:eastAsia="宋体"/>
                <w:b/>
                <w:bCs/>
                <w:sz w:val="16"/>
                <w:szCs w:val="16"/>
              </w:rPr>
              <w:t>供应商此项报价不得超过本项目分项限价。</w:t>
            </w:r>
          </w:p>
        </w:tc>
      </w:tr>
      <w:tr w14:paraId="02A16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 w:type="pct"/>
            <w:tcBorders>
              <w:bottom w:val="single" w:color="auto" w:sz="4" w:space="0"/>
            </w:tcBorders>
            <w:vAlign w:val="center"/>
          </w:tcPr>
          <w:p w14:paraId="4583B1B6">
            <w:pPr>
              <w:jc w:val="center"/>
              <w:rPr>
                <w:rFonts w:ascii="宋体" w:hAnsi="宋体" w:eastAsia="宋体"/>
                <w:sz w:val="22"/>
                <w:szCs w:val="22"/>
              </w:rPr>
            </w:pPr>
            <w:r>
              <w:rPr>
                <w:rFonts w:hint="eastAsia" w:ascii="宋体" w:hAnsi="宋体" w:eastAsia="宋体"/>
                <w:sz w:val="22"/>
                <w:szCs w:val="22"/>
              </w:rPr>
              <w:t>1.1</w:t>
            </w:r>
          </w:p>
        </w:tc>
        <w:tc>
          <w:tcPr>
            <w:tcW w:w="1528" w:type="pct"/>
            <w:gridSpan w:val="2"/>
            <w:vAlign w:val="center"/>
          </w:tcPr>
          <w:p w14:paraId="56FC739D">
            <w:pPr>
              <w:jc w:val="left"/>
              <w:rPr>
                <w:rFonts w:ascii="宋体" w:hAnsi="宋体" w:eastAsia="宋体"/>
                <w:sz w:val="22"/>
                <w:szCs w:val="22"/>
              </w:rPr>
            </w:pPr>
            <w:r>
              <w:rPr>
                <w:rFonts w:hint="eastAsia" w:ascii="宋体" w:hAnsi="宋体" w:eastAsia="宋体"/>
                <w:sz w:val="22"/>
                <w:szCs w:val="22"/>
              </w:rPr>
              <w:t>调度运行中心运行维护</w:t>
            </w:r>
          </w:p>
        </w:tc>
        <w:tc>
          <w:tcPr>
            <w:tcW w:w="458" w:type="pct"/>
            <w:vAlign w:val="center"/>
          </w:tcPr>
          <w:p w14:paraId="19D773E3">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次</w:t>
            </w:r>
          </w:p>
        </w:tc>
        <w:tc>
          <w:tcPr>
            <w:tcW w:w="501" w:type="pct"/>
            <w:vAlign w:val="center"/>
          </w:tcPr>
          <w:p w14:paraId="412880E0">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482" w:type="pct"/>
            <w:vAlign w:val="center"/>
          </w:tcPr>
          <w:p w14:paraId="48331E7C">
            <w:pPr>
              <w:jc w:val="center"/>
              <w:rPr>
                <w:rFonts w:ascii="宋体" w:hAnsi="宋体" w:eastAsia="宋体"/>
                <w:sz w:val="22"/>
                <w:szCs w:val="22"/>
              </w:rPr>
            </w:pPr>
          </w:p>
        </w:tc>
        <w:tc>
          <w:tcPr>
            <w:tcW w:w="780" w:type="pct"/>
            <w:vAlign w:val="center"/>
          </w:tcPr>
          <w:p w14:paraId="7EEAD565">
            <w:pPr>
              <w:jc w:val="center"/>
              <w:rPr>
                <w:rFonts w:ascii="宋体" w:hAnsi="宋体" w:eastAsia="宋体"/>
                <w:sz w:val="22"/>
                <w:szCs w:val="22"/>
              </w:rPr>
            </w:pPr>
          </w:p>
        </w:tc>
        <w:tc>
          <w:tcPr>
            <w:tcW w:w="780" w:type="pct"/>
            <w:vAlign w:val="center"/>
          </w:tcPr>
          <w:p w14:paraId="734CA9E9">
            <w:pPr>
              <w:jc w:val="center"/>
              <w:rPr>
                <w:rFonts w:ascii="宋体" w:hAnsi="宋体" w:eastAsia="宋体"/>
                <w:sz w:val="22"/>
                <w:szCs w:val="22"/>
              </w:rPr>
            </w:pPr>
          </w:p>
        </w:tc>
      </w:tr>
      <w:tr w14:paraId="10D35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 w:type="pct"/>
            <w:tcBorders>
              <w:bottom w:val="single" w:color="auto" w:sz="4" w:space="0"/>
            </w:tcBorders>
            <w:vAlign w:val="center"/>
          </w:tcPr>
          <w:p w14:paraId="7F22CFD7">
            <w:pPr>
              <w:jc w:val="center"/>
              <w:rPr>
                <w:rFonts w:ascii="宋体" w:hAnsi="宋体" w:eastAsia="宋体"/>
                <w:sz w:val="22"/>
                <w:szCs w:val="22"/>
              </w:rPr>
            </w:pPr>
            <w:r>
              <w:rPr>
                <w:rFonts w:hint="eastAsia" w:ascii="宋体" w:hAnsi="宋体" w:eastAsia="宋体"/>
                <w:sz w:val="22"/>
                <w:szCs w:val="22"/>
              </w:rPr>
              <w:t>1.2</w:t>
            </w:r>
          </w:p>
        </w:tc>
        <w:tc>
          <w:tcPr>
            <w:tcW w:w="1528" w:type="pct"/>
            <w:gridSpan w:val="2"/>
            <w:vAlign w:val="center"/>
          </w:tcPr>
          <w:p w14:paraId="70E27650">
            <w:pPr>
              <w:jc w:val="left"/>
              <w:rPr>
                <w:rFonts w:ascii="宋体" w:hAnsi="宋体" w:eastAsia="宋体"/>
                <w:sz w:val="22"/>
                <w:szCs w:val="22"/>
              </w:rPr>
            </w:pPr>
            <w:r>
              <w:rPr>
                <w:rFonts w:hint="eastAsia" w:ascii="宋体" w:hAnsi="宋体" w:eastAsia="宋体"/>
                <w:sz w:val="22"/>
                <w:szCs w:val="22"/>
              </w:rPr>
              <w:t>省管泵站中控室运维</w:t>
            </w:r>
          </w:p>
        </w:tc>
        <w:tc>
          <w:tcPr>
            <w:tcW w:w="458" w:type="pct"/>
            <w:vAlign w:val="center"/>
          </w:tcPr>
          <w:p w14:paraId="6B56995C">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站·次</w:t>
            </w:r>
          </w:p>
        </w:tc>
        <w:tc>
          <w:tcPr>
            <w:tcW w:w="501" w:type="pct"/>
            <w:vAlign w:val="center"/>
          </w:tcPr>
          <w:p w14:paraId="214122B5">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60</w:t>
            </w:r>
          </w:p>
        </w:tc>
        <w:tc>
          <w:tcPr>
            <w:tcW w:w="482" w:type="pct"/>
            <w:vAlign w:val="center"/>
          </w:tcPr>
          <w:p w14:paraId="58658C61">
            <w:pPr>
              <w:jc w:val="center"/>
              <w:rPr>
                <w:rFonts w:ascii="宋体" w:hAnsi="宋体" w:eastAsia="宋体"/>
                <w:sz w:val="22"/>
                <w:szCs w:val="22"/>
              </w:rPr>
            </w:pPr>
          </w:p>
        </w:tc>
        <w:tc>
          <w:tcPr>
            <w:tcW w:w="780" w:type="pct"/>
            <w:vAlign w:val="center"/>
          </w:tcPr>
          <w:p w14:paraId="61139064">
            <w:pPr>
              <w:jc w:val="center"/>
              <w:rPr>
                <w:rFonts w:ascii="宋体" w:hAnsi="宋体" w:eastAsia="宋体"/>
                <w:sz w:val="22"/>
                <w:szCs w:val="22"/>
              </w:rPr>
            </w:pPr>
          </w:p>
        </w:tc>
        <w:tc>
          <w:tcPr>
            <w:tcW w:w="780" w:type="pct"/>
            <w:vAlign w:val="center"/>
          </w:tcPr>
          <w:p w14:paraId="778A5782">
            <w:pPr>
              <w:jc w:val="center"/>
              <w:rPr>
                <w:rFonts w:ascii="宋体" w:hAnsi="宋体" w:eastAsia="宋体"/>
                <w:sz w:val="22"/>
                <w:szCs w:val="22"/>
              </w:rPr>
            </w:pPr>
          </w:p>
        </w:tc>
      </w:tr>
      <w:tr w14:paraId="63CF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 w:type="pct"/>
            <w:vAlign w:val="center"/>
          </w:tcPr>
          <w:p w14:paraId="6AC486BC">
            <w:pPr>
              <w:jc w:val="center"/>
              <w:rPr>
                <w:rFonts w:ascii="宋体" w:hAnsi="宋体" w:eastAsia="宋体"/>
                <w:b/>
                <w:bCs/>
                <w:sz w:val="22"/>
                <w:szCs w:val="22"/>
              </w:rPr>
            </w:pPr>
            <w:r>
              <w:rPr>
                <w:rFonts w:hint="eastAsia" w:ascii="宋体" w:hAnsi="宋体" w:eastAsia="宋体"/>
                <w:b/>
                <w:bCs/>
                <w:sz w:val="22"/>
                <w:szCs w:val="22"/>
              </w:rPr>
              <w:t>2</w:t>
            </w:r>
          </w:p>
        </w:tc>
        <w:tc>
          <w:tcPr>
            <w:tcW w:w="1528" w:type="pct"/>
            <w:gridSpan w:val="2"/>
            <w:vAlign w:val="center"/>
          </w:tcPr>
          <w:p w14:paraId="0A06B91D">
            <w:pPr>
              <w:jc w:val="left"/>
              <w:rPr>
                <w:rFonts w:ascii="宋体" w:hAnsi="宋体" w:eastAsia="宋体"/>
                <w:b/>
                <w:bCs/>
                <w:sz w:val="22"/>
                <w:szCs w:val="22"/>
              </w:rPr>
            </w:pPr>
            <w:r>
              <w:rPr>
                <w:rFonts w:hint="eastAsia" w:ascii="宋体" w:hAnsi="宋体" w:eastAsia="宋体"/>
                <w:b/>
                <w:bCs/>
                <w:sz w:val="22"/>
                <w:szCs w:val="22"/>
              </w:rPr>
              <w:t>水质监测站点运维服务</w:t>
            </w:r>
          </w:p>
        </w:tc>
        <w:tc>
          <w:tcPr>
            <w:tcW w:w="458" w:type="pct"/>
            <w:vAlign w:val="center"/>
          </w:tcPr>
          <w:p w14:paraId="5C6B1517">
            <w:pPr>
              <w:widowControl/>
              <w:jc w:val="center"/>
              <w:textAlignment w:val="center"/>
              <w:rPr>
                <w:rFonts w:ascii="宋体" w:hAnsi="宋体" w:eastAsia="宋体" w:cs="宋体"/>
                <w:color w:val="000000"/>
                <w:kern w:val="0"/>
                <w:sz w:val="22"/>
                <w:szCs w:val="22"/>
              </w:rPr>
            </w:pPr>
          </w:p>
        </w:tc>
        <w:tc>
          <w:tcPr>
            <w:tcW w:w="501" w:type="pct"/>
            <w:vAlign w:val="center"/>
          </w:tcPr>
          <w:p w14:paraId="7C2C1EE1">
            <w:pPr>
              <w:widowControl/>
              <w:jc w:val="center"/>
              <w:textAlignment w:val="center"/>
              <w:rPr>
                <w:rFonts w:ascii="宋体" w:hAnsi="宋体" w:eastAsia="宋体" w:cs="宋体"/>
                <w:color w:val="000000"/>
                <w:kern w:val="0"/>
                <w:sz w:val="22"/>
                <w:szCs w:val="22"/>
              </w:rPr>
            </w:pPr>
          </w:p>
        </w:tc>
        <w:tc>
          <w:tcPr>
            <w:tcW w:w="482" w:type="pct"/>
            <w:vAlign w:val="center"/>
          </w:tcPr>
          <w:p w14:paraId="58D919AE">
            <w:pPr>
              <w:jc w:val="center"/>
              <w:rPr>
                <w:rFonts w:ascii="宋体" w:hAnsi="宋体" w:eastAsia="宋体"/>
                <w:sz w:val="22"/>
                <w:szCs w:val="22"/>
              </w:rPr>
            </w:pPr>
          </w:p>
        </w:tc>
        <w:tc>
          <w:tcPr>
            <w:tcW w:w="780" w:type="pct"/>
            <w:vAlign w:val="center"/>
          </w:tcPr>
          <w:p w14:paraId="2D0957FC">
            <w:pPr>
              <w:jc w:val="center"/>
              <w:rPr>
                <w:rFonts w:ascii="宋体" w:hAnsi="宋体" w:eastAsia="宋体"/>
                <w:sz w:val="22"/>
                <w:szCs w:val="22"/>
              </w:rPr>
            </w:pPr>
          </w:p>
        </w:tc>
        <w:tc>
          <w:tcPr>
            <w:tcW w:w="780" w:type="pct"/>
            <w:vAlign w:val="center"/>
          </w:tcPr>
          <w:p w14:paraId="22E133EE">
            <w:pPr>
              <w:jc w:val="center"/>
              <w:rPr>
                <w:rFonts w:ascii="宋体" w:hAnsi="宋体" w:eastAsia="宋体"/>
                <w:b/>
                <w:bCs/>
                <w:sz w:val="22"/>
                <w:szCs w:val="22"/>
              </w:rPr>
            </w:pPr>
            <w:r>
              <w:rPr>
                <w:rFonts w:hint="eastAsia" w:ascii="宋体" w:hAnsi="宋体" w:eastAsia="宋体"/>
                <w:b/>
                <w:bCs/>
                <w:sz w:val="16"/>
                <w:szCs w:val="16"/>
              </w:rPr>
              <w:t>供应商此项报价不得超过本项目分项限价。</w:t>
            </w:r>
          </w:p>
        </w:tc>
      </w:tr>
      <w:tr w14:paraId="659DD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 w:type="pct"/>
            <w:vAlign w:val="center"/>
          </w:tcPr>
          <w:p w14:paraId="7A4D2921">
            <w:pPr>
              <w:jc w:val="center"/>
              <w:rPr>
                <w:rFonts w:ascii="宋体" w:hAnsi="宋体" w:eastAsia="宋体"/>
                <w:sz w:val="22"/>
                <w:szCs w:val="22"/>
              </w:rPr>
            </w:pPr>
            <w:r>
              <w:rPr>
                <w:rFonts w:hint="eastAsia" w:ascii="宋体" w:hAnsi="宋体" w:eastAsia="宋体"/>
                <w:sz w:val="22"/>
                <w:szCs w:val="22"/>
              </w:rPr>
              <w:t>2.1</w:t>
            </w:r>
          </w:p>
        </w:tc>
        <w:tc>
          <w:tcPr>
            <w:tcW w:w="1528" w:type="pct"/>
            <w:gridSpan w:val="2"/>
            <w:vAlign w:val="center"/>
          </w:tcPr>
          <w:p w14:paraId="6FC4A6FE">
            <w:pPr>
              <w:jc w:val="left"/>
              <w:rPr>
                <w:rFonts w:ascii="宋体" w:hAnsi="宋体" w:eastAsia="宋体"/>
                <w:sz w:val="22"/>
                <w:szCs w:val="22"/>
              </w:rPr>
            </w:pPr>
            <w:r>
              <w:rPr>
                <w:rFonts w:hint="eastAsia" w:ascii="宋体" w:hAnsi="宋体" w:eastAsia="宋体"/>
                <w:sz w:val="22"/>
                <w:szCs w:val="22"/>
              </w:rPr>
              <w:t>水质监测站运行维护</w:t>
            </w:r>
          </w:p>
        </w:tc>
        <w:tc>
          <w:tcPr>
            <w:tcW w:w="458" w:type="pct"/>
            <w:vAlign w:val="center"/>
          </w:tcPr>
          <w:p w14:paraId="7952D835">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次</w:t>
            </w:r>
          </w:p>
        </w:tc>
        <w:tc>
          <w:tcPr>
            <w:tcW w:w="501" w:type="pct"/>
            <w:vAlign w:val="center"/>
          </w:tcPr>
          <w:p w14:paraId="2C9E6E19">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22</w:t>
            </w:r>
          </w:p>
        </w:tc>
        <w:tc>
          <w:tcPr>
            <w:tcW w:w="482" w:type="pct"/>
            <w:vAlign w:val="center"/>
          </w:tcPr>
          <w:p w14:paraId="0B088C15">
            <w:pPr>
              <w:jc w:val="center"/>
              <w:rPr>
                <w:rFonts w:ascii="宋体" w:hAnsi="宋体" w:eastAsia="宋体"/>
                <w:sz w:val="22"/>
                <w:szCs w:val="22"/>
              </w:rPr>
            </w:pPr>
          </w:p>
        </w:tc>
        <w:tc>
          <w:tcPr>
            <w:tcW w:w="780" w:type="pct"/>
            <w:vAlign w:val="center"/>
          </w:tcPr>
          <w:p w14:paraId="2F6A0464">
            <w:pPr>
              <w:jc w:val="center"/>
              <w:rPr>
                <w:rFonts w:ascii="宋体" w:hAnsi="宋体" w:eastAsia="宋体"/>
                <w:sz w:val="22"/>
                <w:szCs w:val="22"/>
              </w:rPr>
            </w:pPr>
          </w:p>
        </w:tc>
        <w:tc>
          <w:tcPr>
            <w:tcW w:w="780" w:type="pct"/>
            <w:vAlign w:val="center"/>
          </w:tcPr>
          <w:p w14:paraId="084AEF6F">
            <w:pPr>
              <w:jc w:val="center"/>
              <w:rPr>
                <w:rFonts w:ascii="宋体" w:hAnsi="宋体" w:eastAsia="宋体"/>
                <w:b/>
                <w:bCs/>
                <w:sz w:val="22"/>
                <w:szCs w:val="22"/>
              </w:rPr>
            </w:pPr>
          </w:p>
        </w:tc>
      </w:tr>
      <w:tr w14:paraId="32FB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 w:type="pct"/>
            <w:vAlign w:val="center"/>
          </w:tcPr>
          <w:p w14:paraId="7E7DCD3B">
            <w:pPr>
              <w:jc w:val="center"/>
              <w:rPr>
                <w:rFonts w:ascii="宋体" w:hAnsi="宋体" w:eastAsia="宋体"/>
                <w:sz w:val="22"/>
                <w:szCs w:val="22"/>
              </w:rPr>
            </w:pPr>
            <w:r>
              <w:rPr>
                <w:rFonts w:hint="eastAsia" w:ascii="宋体" w:hAnsi="宋体" w:eastAsia="宋体"/>
                <w:sz w:val="22"/>
                <w:szCs w:val="22"/>
              </w:rPr>
              <w:t>2.2</w:t>
            </w:r>
          </w:p>
        </w:tc>
        <w:tc>
          <w:tcPr>
            <w:tcW w:w="1528" w:type="pct"/>
            <w:gridSpan w:val="2"/>
            <w:vAlign w:val="center"/>
          </w:tcPr>
          <w:p w14:paraId="4C459BED">
            <w:pPr>
              <w:jc w:val="left"/>
              <w:rPr>
                <w:rFonts w:ascii="宋体" w:hAnsi="宋体" w:eastAsia="宋体"/>
                <w:sz w:val="22"/>
                <w:szCs w:val="22"/>
              </w:rPr>
            </w:pPr>
            <w:r>
              <w:rPr>
                <w:rFonts w:hint="eastAsia" w:ascii="宋体" w:hAnsi="宋体" w:eastAsia="宋体"/>
                <w:sz w:val="22"/>
                <w:szCs w:val="22"/>
              </w:rPr>
              <w:t>调度中心水质监测设备运行维护</w:t>
            </w:r>
          </w:p>
        </w:tc>
        <w:tc>
          <w:tcPr>
            <w:tcW w:w="458" w:type="pct"/>
            <w:vAlign w:val="center"/>
          </w:tcPr>
          <w:p w14:paraId="36DBE565">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次</w:t>
            </w:r>
          </w:p>
        </w:tc>
        <w:tc>
          <w:tcPr>
            <w:tcW w:w="501" w:type="pct"/>
            <w:vAlign w:val="center"/>
          </w:tcPr>
          <w:p w14:paraId="1AAFAA9E">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22</w:t>
            </w:r>
          </w:p>
        </w:tc>
        <w:tc>
          <w:tcPr>
            <w:tcW w:w="482" w:type="pct"/>
            <w:vAlign w:val="center"/>
          </w:tcPr>
          <w:p w14:paraId="4DE63CAF">
            <w:pPr>
              <w:jc w:val="center"/>
              <w:rPr>
                <w:rFonts w:ascii="宋体" w:hAnsi="宋体" w:eastAsia="宋体"/>
                <w:sz w:val="22"/>
                <w:szCs w:val="22"/>
              </w:rPr>
            </w:pPr>
          </w:p>
        </w:tc>
        <w:tc>
          <w:tcPr>
            <w:tcW w:w="780" w:type="pct"/>
            <w:vAlign w:val="center"/>
          </w:tcPr>
          <w:p w14:paraId="796630FD">
            <w:pPr>
              <w:jc w:val="center"/>
              <w:rPr>
                <w:rFonts w:ascii="宋体" w:hAnsi="宋体" w:eastAsia="宋体"/>
                <w:sz w:val="22"/>
                <w:szCs w:val="22"/>
              </w:rPr>
            </w:pPr>
          </w:p>
        </w:tc>
        <w:tc>
          <w:tcPr>
            <w:tcW w:w="780" w:type="pct"/>
            <w:vAlign w:val="center"/>
          </w:tcPr>
          <w:p w14:paraId="25A390C5">
            <w:pPr>
              <w:jc w:val="center"/>
              <w:rPr>
                <w:rFonts w:ascii="宋体" w:hAnsi="宋体" w:eastAsia="宋体"/>
                <w:b/>
                <w:bCs/>
                <w:sz w:val="22"/>
                <w:szCs w:val="22"/>
              </w:rPr>
            </w:pPr>
          </w:p>
        </w:tc>
      </w:tr>
      <w:tr w14:paraId="75A2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 w:type="pct"/>
            <w:vAlign w:val="center"/>
          </w:tcPr>
          <w:p w14:paraId="4EFE22F2">
            <w:pPr>
              <w:jc w:val="center"/>
              <w:rPr>
                <w:rFonts w:ascii="宋体" w:hAnsi="宋体" w:eastAsia="宋体"/>
                <w:sz w:val="22"/>
                <w:szCs w:val="22"/>
              </w:rPr>
            </w:pPr>
            <w:r>
              <w:rPr>
                <w:rFonts w:hint="eastAsia" w:ascii="宋体" w:hAnsi="宋体" w:eastAsia="宋体"/>
                <w:sz w:val="22"/>
                <w:szCs w:val="22"/>
              </w:rPr>
              <w:t>2.3</w:t>
            </w:r>
          </w:p>
        </w:tc>
        <w:tc>
          <w:tcPr>
            <w:tcW w:w="1528" w:type="pct"/>
            <w:gridSpan w:val="2"/>
            <w:vAlign w:val="center"/>
          </w:tcPr>
          <w:p w14:paraId="2A962BE0">
            <w:pPr>
              <w:jc w:val="left"/>
              <w:rPr>
                <w:rFonts w:ascii="宋体" w:hAnsi="宋体" w:eastAsia="宋体"/>
                <w:sz w:val="22"/>
                <w:szCs w:val="22"/>
              </w:rPr>
            </w:pPr>
            <w:r>
              <w:rPr>
                <w:rFonts w:hint="eastAsia" w:ascii="宋体" w:hAnsi="宋体" w:eastAsia="宋体"/>
                <w:sz w:val="22"/>
                <w:szCs w:val="22"/>
              </w:rPr>
              <w:t>试剂耗材费</w:t>
            </w:r>
          </w:p>
        </w:tc>
        <w:tc>
          <w:tcPr>
            <w:tcW w:w="458" w:type="pct"/>
            <w:vAlign w:val="center"/>
          </w:tcPr>
          <w:p w14:paraId="1E932695">
            <w:pPr>
              <w:widowControl/>
              <w:jc w:val="center"/>
              <w:textAlignment w:val="center"/>
              <w:rPr>
                <w:rFonts w:ascii="宋体" w:hAnsi="宋体" w:eastAsia="宋体" w:cs="宋体"/>
                <w:color w:val="000000"/>
                <w:kern w:val="0"/>
                <w:sz w:val="22"/>
                <w:szCs w:val="22"/>
              </w:rPr>
            </w:pPr>
          </w:p>
        </w:tc>
        <w:tc>
          <w:tcPr>
            <w:tcW w:w="501" w:type="pct"/>
            <w:vAlign w:val="center"/>
          </w:tcPr>
          <w:p w14:paraId="7F884240">
            <w:pPr>
              <w:widowControl/>
              <w:jc w:val="center"/>
              <w:textAlignment w:val="center"/>
              <w:rPr>
                <w:rFonts w:ascii="宋体" w:hAnsi="宋体" w:eastAsia="宋体" w:cs="宋体"/>
                <w:color w:val="000000"/>
                <w:kern w:val="0"/>
                <w:sz w:val="22"/>
                <w:szCs w:val="22"/>
              </w:rPr>
            </w:pPr>
          </w:p>
        </w:tc>
        <w:tc>
          <w:tcPr>
            <w:tcW w:w="482" w:type="pct"/>
            <w:vAlign w:val="center"/>
          </w:tcPr>
          <w:p w14:paraId="49772979">
            <w:pPr>
              <w:jc w:val="center"/>
              <w:rPr>
                <w:rFonts w:ascii="宋体" w:hAnsi="宋体" w:eastAsia="宋体"/>
                <w:sz w:val="22"/>
                <w:szCs w:val="22"/>
              </w:rPr>
            </w:pPr>
          </w:p>
        </w:tc>
        <w:tc>
          <w:tcPr>
            <w:tcW w:w="780" w:type="pct"/>
            <w:vAlign w:val="center"/>
          </w:tcPr>
          <w:p w14:paraId="51A666D9">
            <w:pPr>
              <w:jc w:val="center"/>
              <w:rPr>
                <w:rFonts w:ascii="宋体" w:hAnsi="宋体" w:eastAsia="宋体"/>
                <w:sz w:val="22"/>
                <w:szCs w:val="22"/>
              </w:rPr>
            </w:pPr>
          </w:p>
        </w:tc>
        <w:tc>
          <w:tcPr>
            <w:tcW w:w="780" w:type="pct"/>
            <w:vAlign w:val="center"/>
          </w:tcPr>
          <w:p w14:paraId="60D112C8">
            <w:pPr>
              <w:jc w:val="center"/>
              <w:rPr>
                <w:rFonts w:ascii="宋体" w:hAnsi="宋体" w:eastAsia="宋体"/>
                <w:b/>
                <w:bCs/>
                <w:sz w:val="22"/>
                <w:szCs w:val="22"/>
              </w:rPr>
            </w:pPr>
          </w:p>
        </w:tc>
      </w:tr>
      <w:tr w14:paraId="593BE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 w:type="pct"/>
            <w:vAlign w:val="center"/>
          </w:tcPr>
          <w:p w14:paraId="676D87A0">
            <w:pPr>
              <w:jc w:val="center"/>
              <w:rPr>
                <w:rFonts w:ascii="宋体" w:hAnsi="宋体" w:eastAsia="宋体"/>
                <w:sz w:val="22"/>
                <w:szCs w:val="22"/>
              </w:rPr>
            </w:pPr>
            <w:r>
              <w:rPr>
                <w:rFonts w:hint="eastAsia" w:ascii="宋体" w:hAnsi="宋体" w:eastAsia="宋体"/>
                <w:sz w:val="22"/>
                <w:szCs w:val="22"/>
              </w:rPr>
              <w:t>2.3.1</w:t>
            </w:r>
          </w:p>
        </w:tc>
        <w:tc>
          <w:tcPr>
            <w:tcW w:w="1528" w:type="pct"/>
            <w:gridSpan w:val="2"/>
            <w:vAlign w:val="center"/>
          </w:tcPr>
          <w:p w14:paraId="51C9C497">
            <w:pPr>
              <w:widowControl/>
              <w:jc w:val="left"/>
              <w:textAlignment w:val="center"/>
              <w:rPr>
                <w:rFonts w:ascii="宋体" w:hAnsi="宋体" w:eastAsia="宋体"/>
                <w:sz w:val="22"/>
                <w:szCs w:val="22"/>
              </w:rPr>
            </w:pPr>
            <w:r>
              <w:rPr>
                <w:rFonts w:hint="eastAsia" w:ascii="宋体" w:hAnsi="宋体" w:eastAsia="宋体" w:cs="宋体"/>
                <w:color w:val="000000"/>
                <w:kern w:val="0"/>
                <w:sz w:val="22"/>
                <w:szCs w:val="22"/>
              </w:rPr>
              <w:t>五参数电极耗材</w:t>
            </w:r>
          </w:p>
        </w:tc>
        <w:tc>
          <w:tcPr>
            <w:tcW w:w="458" w:type="pct"/>
            <w:vAlign w:val="center"/>
          </w:tcPr>
          <w:p w14:paraId="7D0C8543">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套</w:t>
            </w:r>
          </w:p>
        </w:tc>
        <w:tc>
          <w:tcPr>
            <w:tcW w:w="501" w:type="pct"/>
            <w:vAlign w:val="center"/>
          </w:tcPr>
          <w:p w14:paraId="785229D2">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3</w:t>
            </w:r>
          </w:p>
        </w:tc>
        <w:tc>
          <w:tcPr>
            <w:tcW w:w="482" w:type="pct"/>
            <w:vAlign w:val="center"/>
          </w:tcPr>
          <w:p w14:paraId="54E1F6CC">
            <w:pPr>
              <w:jc w:val="center"/>
              <w:rPr>
                <w:rFonts w:ascii="宋体" w:hAnsi="宋体" w:eastAsia="宋体"/>
                <w:sz w:val="22"/>
                <w:szCs w:val="22"/>
              </w:rPr>
            </w:pPr>
          </w:p>
        </w:tc>
        <w:tc>
          <w:tcPr>
            <w:tcW w:w="780" w:type="pct"/>
            <w:vAlign w:val="center"/>
          </w:tcPr>
          <w:p w14:paraId="3608595C">
            <w:pPr>
              <w:jc w:val="center"/>
              <w:rPr>
                <w:rFonts w:ascii="宋体" w:hAnsi="宋体" w:eastAsia="宋体"/>
                <w:sz w:val="22"/>
                <w:szCs w:val="22"/>
              </w:rPr>
            </w:pPr>
          </w:p>
        </w:tc>
        <w:tc>
          <w:tcPr>
            <w:tcW w:w="780" w:type="pct"/>
            <w:vAlign w:val="center"/>
          </w:tcPr>
          <w:p w14:paraId="55340D33">
            <w:pPr>
              <w:jc w:val="center"/>
              <w:rPr>
                <w:rFonts w:ascii="宋体" w:hAnsi="宋体" w:eastAsia="宋体"/>
                <w:b/>
                <w:bCs/>
                <w:sz w:val="22"/>
                <w:szCs w:val="22"/>
              </w:rPr>
            </w:pPr>
          </w:p>
        </w:tc>
      </w:tr>
      <w:tr w14:paraId="0A49E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 w:type="pct"/>
            <w:vAlign w:val="center"/>
          </w:tcPr>
          <w:p w14:paraId="6FDB47E3">
            <w:pPr>
              <w:jc w:val="center"/>
              <w:rPr>
                <w:rFonts w:ascii="宋体" w:hAnsi="宋体" w:eastAsia="宋体"/>
                <w:sz w:val="22"/>
                <w:szCs w:val="22"/>
              </w:rPr>
            </w:pPr>
            <w:r>
              <w:rPr>
                <w:rFonts w:hint="eastAsia" w:ascii="宋体" w:hAnsi="宋体" w:eastAsia="宋体"/>
                <w:sz w:val="22"/>
                <w:szCs w:val="22"/>
              </w:rPr>
              <w:t>2.3.2</w:t>
            </w:r>
          </w:p>
        </w:tc>
        <w:tc>
          <w:tcPr>
            <w:tcW w:w="1528" w:type="pct"/>
            <w:gridSpan w:val="2"/>
            <w:vAlign w:val="center"/>
          </w:tcPr>
          <w:p w14:paraId="04EE2739">
            <w:pPr>
              <w:widowControl/>
              <w:jc w:val="left"/>
              <w:textAlignment w:val="center"/>
              <w:rPr>
                <w:rFonts w:ascii="宋体" w:hAnsi="宋体" w:eastAsia="宋体"/>
                <w:sz w:val="22"/>
                <w:szCs w:val="22"/>
              </w:rPr>
            </w:pPr>
            <w:r>
              <w:rPr>
                <w:rFonts w:hint="eastAsia" w:ascii="宋体" w:hAnsi="宋体" w:eastAsia="宋体" w:cs="宋体"/>
                <w:color w:val="000000"/>
                <w:kern w:val="0"/>
                <w:sz w:val="22"/>
                <w:szCs w:val="22"/>
              </w:rPr>
              <w:t>氨氮分析仪耗材</w:t>
            </w:r>
          </w:p>
        </w:tc>
        <w:tc>
          <w:tcPr>
            <w:tcW w:w="458" w:type="pct"/>
            <w:vAlign w:val="center"/>
          </w:tcPr>
          <w:p w14:paraId="2B931330">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套</w:t>
            </w:r>
          </w:p>
        </w:tc>
        <w:tc>
          <w:tcPr>
            <w:tcW w:w="501" w:type="pct"/>
            <w:vAlign w:val="center"/>
          </w:tcPr>
          <w:p w14:paraId="0558F1B9">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6</w:t>
            </w:r>
          </w:p>
        </w:tc>
        <w:tc>
          <w:tcPr>
            <w:tcW w:w="482" w:type="pct"/>
            <w:vAlign w:val="center"/>
          </w:tcPr>
          <w:p w14:paraId="0F3900D0">
            <w:pPr>
              <w:jc w:val="center"/>
              <w:rPr>
                <w:rFonts w:ascii="宋体" w:hAnsi="宋体" w:eastAsia="宋体"/>
                <w:sz w:val="22"/>
                <w:szCs w:val="22"/>
              </w:rPr>
            </w:pPr>
          </w:p>
        </w:tc>
        <w:tc>
          <w:tcPr>
            <w:tcW w:w="780" w:type="pct"/>
            <w:vAlign w:val="center"/>
          </w:tcPr>
          <w:p w14:paraId="66B3951B">
            <w:pPr>
              <w:jc w:val="center"/>
              <w:rPr>
                <w:rFonts w:ascii="宋体" w:hAnsi="宋体" w:eastAsia="宋体"/>
                <w:sz w:val="22"/>
                <w:szCs w:val="22"/>
              </w:rPr>
            </w:pPr>
          </w:p>
        </w:tc>
        <w:tc>
          <w:tcPr>
            <w:tcW w:w="780" w:type="pct"/>
            <w:vAlign w:val="center"/>
          </w:tcPr>
          <w:p w14:paraId="7C238F97">
            <w:pPr>
              <w:jc w:val="center"/>
              <w:rPr>
                <w:rFonts w:ascii="宋体" w:hAnsi="宋体" w:eastAsia="宋体"/>
                <w:b/>
                <w:bCs/>
                <w:sz w:val="22"/>
                <w:szCs w:val="22"/>
              </w:rPr>
            </w:pPr>
          </w:p>
        </w:tc>
      </w:tr>
      <w:tr w14:paraId="4BF36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 w:type="pct"/>
            <w:vAlign w:val="center"/>
          </w:tcPr>
          <w:p w14:paraId="1B13A9E3">
            <w:pPr>
              <w:jc w:val="center"/>
              <w:rPr>
                <w:rFonts w:ascii="宋体" w:hAnsi="宋体" w:eastAsia="宋体"/>
                <w:sz w:val="22"/>
                <w:szCs w:val="22"/>
              </w:rPr>
            </w:pPr>
            <w:r>
              <w:rPr>
                <w:rFonts w:hint="eastAsia" w:ascii="宋体" w:hAnsi="宋体" w:eastAsia="宋体"/>
                <w:sz w:val="22"/>
                <w:szCs w:val="22"/>
              </w:rPr>
              <w:t>2.3.3</w:t>
            </w:r>
          </w:p>
        </w:tc>
        <w:tc>
          <w:tcPr>
            <w:tcW w:w="1528" w:type="pct"/>
            <w:gridSpan w:val="2"/>
            <w:vAlign w:val="center"/>
          </w:tcPr>
          <w:p w14:paraId="2FD83814">
            <w:pPr>
              <w:widowControl/>
              <w:jc w:val="left"/>
              <w:textAlignment w:val="center"/>
              <w:rPr>
                <w:rFonts w:ascii="宋体" w:hAnsi="宋体" w:eastAsia="宋体"/>
                <w:sz w:val="22"/>
                <w:szCs w:val="22"/>
              </w:rPr>
            </w:pPr>
            <w:r>
              <w:rPr>
                <w:rFonts w:hint="eastAsia" w:ascii="宋体" w:hAnsi="宋体" w:eastAsia="宋体" w:cs="宋体"/>
                <w:color w:val="000000"/>
                <w:kern w:val="0"/>
                <w:sz w:val="22"/>
                <w:szCs w:val="22"/>
              </w:rPr>
              <w:t>高锰酸盐指数分析仪耗材</w:t>
            </w:r>
          </w:p>
        </w:tc>
        <w:tc>
          <w:tcPr>
            <w:tcW w:w="458" w:type="pct"/>
            <w:vAlign w:val="center"/>
          </w:tcPr>
          <w:p w14:paraId="6B13CFBA">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套</w:t>
            </w:r>
          </w:p>
        </w:tc>
        <w:tc>
          <w:tcPr>
            <w:tcW w:w="501" w:type="pct"/>
            <w:vAlign w:val="center"/>
          </w:tcPr>
          <w:p w14:paraId="7DF0F771">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3</w:t>
            </w:r>
          </w:p>
        </w:tc>
        <w:tc>
          <w:tcPr>
            <w:tcW w:w="482" w:type="pct"/>
            <w:vAlign w:val="center"/>
          </w:tcPr>
          <w:p w14:paraId="4CC82AF2">
            <w:pPr>
              <w:jc w:val="center"/>
              <w:rPr>
                <w:rFonts w:ascii="宋体" w:hAnsi="宋体" w:eastAsia="宋体"/>
                <w:sz w:val="22"/>
                <w:szCs w:val="22"/>
              </w:rPr>
            </w:pPr>
          </w:p>
        </w:tc>
        <w:tc>
          <w:tcPr>
            <w:tcW w:w="780" w:type="pct"/>
            <w:vAlign w:val="center"/>
          </w:tcPr>
          <w:p w14:paraId="345280EB">
            <w:pPr>
              <w:jc w:val="center"/>
              <w:rPr>
                <w:rFonts w:ascii="宋体" w:hAnsi="宋体" w:eastAsia="宋体"/>
                <w:sz w:val="22"/>
                <w:szCs w:val="22"/>
              </w:rPr>
            </w:pPr>
          </w:p>
        </w:tc>
        <w:tc>
          <w:tcPr>
            <w:tcW w:w="780" w:type="pct"/>
            <w:vAlign w:val="center"/>
          </w:tcPr>
          <w:p w14:paraId="554AD6E1">
            <w:pPr>
              <w:jc w:val="center"/>
              <w:rPr>
                <w:rFonts w:ascii="宋体" w:hAnsi="宋体" w:eastAsia="宋体"/>
                <w:b/>
                <w:bCs/>
                <w:sz w:val="22"/>
                <w:szCs w:val="22"/>
              </w:rPr>
            </w:pPr>
          </w:p>
        </w:tc>
      </w:tr>
      <w:tr w14:paraId="3EF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 w:type="pct"/>
            <w:vAlign w:val="center"/>
          </w:tcPr>
          <w:p w14:paraId="79FC81A0">
            <w:pPr>
              <w:jc w:val="center"/>
              <w:rPr>
                <w:rFonts w:ascii="宋体" w:hAnsi="宋体" w:eastAsia="宋体"/>
                <w:sz w:val="22"/>
                <w:szCs w:val="22"/>
              </w:rPr>
            </w:pPr>
            <w:r>
              <w:rPr>
                <w:rFonts w:hint="eastAsia" w:ascii="宋体" w:hAnsi="宋体" w:eastAsia="宋体"/>
                <w:sz w:val="22"/>
                <w:szCs w:val="22"/>
              </w:rPr>
              <w:t>2.3.4</w:t>
            </w:r>
          </w:p>
        </w:tc>
        <w:tc>
          <w:tcPr>
            <w:tcW w:w="1528" w:type="pct"/>
            <w:gridSpan w:val="2"/>
            <w:vAlign w:val="center"/>
          </w:tcPr>
          <w:p w14:paraId="7DCE7336">
            <w:pPr>
              <w:widowControl/>
              <w:jc w:val="left"/>
              <w:textAlignment w:val="center"/>
              <w:rPr>
                <w:rFonts w:ascii="宋体" w:hAnsi="宋体" w:eastAsia="宋体"/>
                <w:sz w:val="22"/>
                <w:szCs w:val="22"/>
              </w:rPr>
            </w:pPr>
            <w:r>
              <w:rPr>
                <w:rFonts w:hint="eastAsia" w:ascii="宋体" w:hAnsi="宋体" w:eastAsia="宋体" w:cs="宋体"/>
                <w:color w:val="000000"/>
                <w:kern w:val="0"/>
                <w:sz w:val="22"/>
                <w:szCs w:val="22"/>
              </w:rPr>
              <w:t>总氮分析仪耗材</w:t>
            </w:r>
          </w:p>
        </w:tc>
        <w:tc>
          <w:tcPr>
            <w:tcW w:w="458" w:type="pct"/>
            <w:vAlign w:val="center"/>
          </w:tcPr>
          <w:p w14:paraId="4F81109F">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套</w:t>
            </w:r>
          </w:p>
        </w:tc>
        <w:tc>
          <w:tcPr>
            <w:tcW w:w="501" w:type="pct"/>
            <w:vAlign w:val="center"/>
          </w:tcPr>
          <w:p w14:paraId="51FC182D">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w:t>
            </w:r>
          </w:p>
        </w:tc>
        <w:tc>
          <w:tcPr>
            <w:tcW w:w="482" w:type="pct"/>
            <w:vAlign w:val="center"/>
          </w:tcPr>
          <w:p w14:paraId="7946C97C">
            <w:pPr>
              <w:jc w:val="center"/>
              <w:rPr>
                <w:rFonts w:ascii="宋体" w:hAnsi="宋体" w:eastAsia="宋体"/>
                <w:sz w:val="22"/>
                <w:szCs w:val="22"/>
              </w:rPr>
            </w:pPr>
          </w:p>
        </w:tc>
        <w:tc>
          <w:tcPr>
            <w:tcW w:w="780" w:type="pct"/>
            <w:vAlign w:val="center"/>
          </w:tcPr>
          <w:p w14:paraId="3FF5437E">
            <w:pPr>
              <w:jc w:val="center"/>
              <w:rPr>
                <w:rFonts w:ascii="宋体" w:hAnsi="宋体" w:eastAsia="宋体"/>
                <w:sz w:val="22"/>
                <w:szCs w:val="22"/>
              </w:rPr>
            </w:pPr>
          </w:p>
        </w:tc>
        <w:tc>
          <w:tcPr>
            <w:tcW w:w="780" w:type="pct"/>
            <w:vAlign w:val="center"/>
          </w:tcPr>
          <w:p w14:paraId="37AB58B4">
            <w:pPr>
              <w:jc w:val="center"/>
              <w:rPr>
                <w:rFonts w:ascii="宋体" w:hAnsi="宋体" w:eastAsia="宋体"/>
                <w:b/>
                <w:bCs/>
                <w:sz w:val="22"/>
                <w:szCs w:val="22"/>
              </w:rPr>
            </w:pPr>
          </w:p>
        </w:tc>
      </w:tr>
      <w:tr w14:paraId="7903F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 w:type="pct"/>
            <w:vAlign w:val="center"/>
          </w:tcPr>
          <w:p w14:paraId="67E94E2F">
            <w:pPr>
              <w:jc w:val="center"/>
              <w:rPr>
                <w:rFonts w:ascii="宋体" w:hAnsi="宋体" w:eastAsia="宋体"/>
                <w:sz w:val="22"/>
                <w:szCs w:val="22"/>
              </w:rPr>
            </w:pPr>
            <w:r>
              <w:rPr>
                <w:rFonts w:hint="eastAsia" w:ascii="宋体" w:hAnsi="宋体" w:eastAsia="宋体"/>
                <w:sz w:val="22"/>
                <w:szCs w:val="22"/>
              </w:rPr>
              <w:t>2.3.5</w:t>
            </w:r>
          </w:p>
        </w:tc>
        <w:tc>
          <w:tcPr>
            <w:tcW w:w="1528" w:type="pct"/>
            <w:gridSpan w:val="2"/>
            <w:vAlign w:val="center"/>
          </w:tcPr>
          <w:p w14:paraId="6189571A">
            <w:pPr>
              <w:widowControl/>
              <w:jc w:val="left"/>
              <w:textAlignment w:val="center"/>
              <w:rPr>
                <w:rFonts w:ascii="宋体" w:hAnsi="宋体" w:eastAsia="宋体"/>
                <w:sz w:val="22"/>
                <w:szCs w:val="22"/>
              </w:rPr>
            </w:pPr>
            <w:r>
              <w:rPr>
                <w:rFonts w:hint="eastAsia" w:ascii="宋体" w:hAnsi="宋体" w:eastAsia="宋体" w:cs="宋体"/>
                <w:color w:val="000000"/>
                <w:kern w:val="0"/>
                <w:sz w:val="22"/>
                <w:szCs w:val="22"/>
              </w:rPr>
              <w:t>总磷分析仪耗材</w:t>
            </w:r>
          </w:p>
        </w:tc>
        <w:tc>
          <w:tcPr>
            <w:tcW w:w="458" w:type="pct"/>
            <w:vAlign w:val="center"/>
          </w:tcPr>
          <w:p w14:paraId="7F040FAC">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套</w:t>
            </w:r>
          </w:p>
        </w:tc>
        <w:tc>
          <w:tcPr>
            <w:tcW w:w="501" w:type="pct"/>
            <w:vAlign w:val="center"/>
          </w:tcPr>
          <w:p w14:paraId="59BF25A8">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w:t>
            </w:r>
          </w:p>
        </w:tc>
        <w:tc>
          <w:tcPr>
            <w:tcW w:w="482" w:type="pct"/>
            <w:vAlign w:val="center"/>
          </w:tcPr>
          <w:p w14:paraId="5C0E13A2">
            <w:pPr>
              <w:jc w:val="center"/>
              <w:rPr>
                <w:rFonts w:ascii="宋体" w:hAnsi="宋体" w:eastAsia="宋体"/>
                <w:sz w:val="22"/>
                <w:szCs w:val="22"/>
              </w:rPr>
            </w:pPr>
          </w:p>
        </w:tc>
        <w:tc>
          <w:tcPr>
            <w:tcW w:w="780" w:type="pct"/>
            <w:vAlign w:val="center"/>
          </w:tcPr>
          <w:p w14:paraId="01B26DD5">
            <w:pPr>
              <w:jc w:val="center"/>
              <w:rPr>
                <w:rFonts w:ascii="宋体" w:hAnsi="宋体" w:eastAsia="宋体"/>
                <w:sz w:val="22"/>
                <w:szCs w:val="22"/>
              </w:rPr>
            </w:pPr>
          </w:p>
        </w:tc>
        <w:tc>
          <w:tcPr>
            <w:tcW w:w="780" w:type="pct"/>
            <w:vAlign w:val="center"/>
          </w:tcPr>
          <w:p w14:paraId="27D33AD5">
            <w:pPr>
              <w:jc w:val="center"/>
              <w:rPr>
                <w:rFonts w:ascii="宋体" w:hAnsi="宋体" w:eastAsia="宋体"/>
                <w:b/>
                <w:bCs/>
                <w:sz w:val="22"/>
                <w:szCs w:val="22"/>
              </w:rPr>
            </w:pPr>
          </w:p>
        </w:tc>
      </w:tr>
      <w:tr w14:paraId="513C3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 w:type="pct"/>
            <w:vAlign w:val="center"/>
          </w:tcPr>
          <w:p w14:paraId="156BB303">
            <w:pPr>
              <w:jc w:val="center"/>
              <w:rPr>
                <w:rFonts w:ascii="宋体" w:hAnsi="宋体" w:eastAsia="宋体"/>
                <w:sz w:val="22"/>
                <w:szCs w:val="22"/>
              </w:rPr>
            </w:pPr>
            <w:r>
              <w:rPr>
                <w:rFonts w:hint="eastAsia" w:ascii="宋体" w:hAnsi="宋体" w:eastAsia="宋体"/>
                <w:sz w:val="22"/>
                <w:szCs w:val="22"/>
              </w:rPr>
              <w:t>2.3.6</w:t>
            </w:r>
          </w:p>
        </w:tc>
        <w:tc>
          <w:tcPr>
            <w:tcW w:w="1528" w:type="pct"/>
            <w:gridSpan w:val="2"/>
            <w:vAlign w:val="center"/>
          </w:tcPr>
          <w:p w14:paraId="2B536F3E">
            <w:pPr>
              <w:widowControl/>
              <w:jc w:val="left"/>
              <w:textAlignment w:val="center"/>
              <w:rPr>
                <w:rFonts w:ascii="宋体" w:hAnsi="宋体" w:eastAsia="宋体"/>
                <w:sz w:val="22"/>
                <w:szCs w:val="22"/>
              </w:rPr>
            </w:pPr>
            <w:r>
              <w:rPr>
                <w:rFonts w:hint="eastAsia" w:ascii="宋体" w:hAnsi="宋体" w:eastAsia="宋体" w:cs="宋体"/>
                <w:color w:val="000000"/>
                <w:kern w:val="0"/>
                <w:sz w:val="22"/>
                <w:szCs w:val="22"/>
              </w:rPr>
              <w:t>氨氮试剂</w:t>
            </w:r>
          </w:p>
        </w:tc>
        <w:tc>
          <w:tcPr>
            <w:tcW w:w="458" w:type="pct"/>
            <w:vAlign w:val="center"/>
          </w:tcPr>
          <w:p w14:paraId="674F0522">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套</w:t>
            </w:r>
          </w:p>
        </w:tc>
        <w:tc>
          <w:tcPr>
            <w:tcW w:w="501" w:type="pct"/>
            <w:vAlign w:val="center"/>
          </w:tcPr>
          <w:p w14:paraId="2FFF870F">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24</w:t>
            </w:r>
          </w:p>
        </w:tc>
        <w:tc>
          <w:tcPr>
            <w:tcW w:w="482" w:type="pct"/>
            <w:vAlign w:val="center"/>
          </w:tcPr>
          <w:p w14:paraId="33686955">
            <w:pPr>
              <w:jc w:val="center"/>
              <w:rPr>
                <w:rFonts w:ascii="宋体" w:hAnsi="宋体" w:eastAsia="宋体"/>
                <w:sz w:val="22"/>
                <w:szCs w:val="22"/>
              </w:rPr>
            </w:pPr>
          </w:p>
        </w:tc>
        <w:tc>
          <w:tcPr>
            <w:tcW w:w="780" w:type="pct"/>
            <w:vAlign w:val="center"/>
          </w:tcPr>
          <w:p w14:paraId="198742D1">
            <w:pPr>
              <w:jc w:val="center"/>
              <w:rPr>
                <w:rFonts w:ascii="宋体" w:hAnsi="宋体" w:eastAsia="宋体"/>
                <w:sz w:val="22"/>
                <w:szCs w:val="22"/>
              </w:rPr>
            </w:pPr>
          </w:p>
        </w:tc>
        <w:tc>
          <w:tcPr>
            <w:tcW w:w="780" w:type="pct"/>
            <w:vAlign w:val="center"/>
          </w:tcPr>
          <w:p w14:paraId="43649E84">
            <w:pPr>
              <w:jc w:val="center"/>
              <w:rPr>
                <w:rFonts w:ascii="宋体" w:hAnsi="宋体" w:eastAsia="宋体"/>
                <w:b/>
                <w:bCs/>
                <w:sz w:val="22"/>
                <w:szCs w:val="22"/>
              </w:rPr>
            </w:pPr>
          </w:p>
        </w:tc>
      </w:tr>
      <w:tr w14:paraId="49EE4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 w:type="pct"/>
            <w:vAlign w:val="center"/>
          </w:tcPr>
          <w:p w14:paraId="737DC565">
            <w:pPr>
              <w:jc w:val="center"/>
              <w:rPr>
                <w:rFonts w:ascii="宋体" w:hAnsi="宋体" w:eastAsia="宋体"/>
                <w:sz w:val="22"/>
                <w:szCs w:val="22"/>
              </w:rPr>
            </w:pPr>
            <w:r>
              <w:rPr>
                <w:rFonts w:hint="eastAsia" w:ascii="宋体" w:hAnsi="宋体" w:eastAsia="宋体"/>
                <w:sz w:val="22"/>
                <w:szCs w:val="22"/>
              </w:rPr>
              <w:t>2.3.7</w:t>
            </w:r>
          </w:p>
        </w:tc>
        <w:tc>
          <w:tcPr>
            <w:tcW w:w="1528" w:type="pct"/>
            <w:gridSpan w:val="2"/>
            <w:vAlign w:val="center"/>
          </w:tcPr>
          <w:p w14:paraId="36BBC3C0">
            <w:pPr>
              <w:widowControl/>
              <w:jc w:val="left"/>
              <w:textAlignment w:val="center"/>
              <w:rPr>
                <w:rFonts w:ascii="宋体" w:hAnsi="宋体" w:eastAsia="宋体"/>
                <w:sz w:val="22"/>
                <w:szCs w:val="22"/>
              </w:rPr>
            </w:pPr>
            <w:r>
              <w:rPr>
                <w:rFonts w:hint="eastAsia" w:ascii="宋体" w:hAnsi="宋体" w:eastAsia="宋体" w:cs="宋体"/>
                <w:color w:val="000000"/>
                <w:kern w:val="0"/>
                <w:sz w:val="22"/>
                <w:szCs w:val="22"/>
              </w:rPr>
              <w:t>高锰酸盐指数试剂</w:t>
            </w:r>
          </w:p>
        </w:tc>
        <w:tc>
          <w:tcPr>
            <w:tcW w:w="458" w:type="pct"/>
            <w:vAlign w:val="center"/>
          </w:tcPr>
          <w:p w14:paraId="7D235155">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套</w:t>
            </w:r>
          </w:p>
        </w:tc>
        <w:tc>
          <w:tcPr>
            <w:tcW w:w="501" w:type="pct"/>
            <w:vAlign w:val="center"/>
          </w:tcPr>
          <w:p w14:paraId="4E5118B7">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12</w:t>
            </w:r>
          </w:p>
        </w:tc>
        <w:tc>
          <w:tcPr>
            <w:tcW w:w="482" w:type="pct"/>
            <w:vAlign w:val="center"/>
          </w:tcPr>
          <w:p w14:paraId="05E8D21B">
            <w:pPr>
              <w:jc w:val="center"/>
              <w:rPr>
                <w:rFonts w:ascii="宋体" w:hAnsi="宋体" w:eastAsia="宋体"/>
                <w:sz w:val="22"/>
                <w:szCs w:val="22"/>
              </w:rPr>
            </w:pPr>
          </w:p>
        </w:tc>
        <w:tc>
          <w:tcPr>
            <w:tcW w:w="780" w:type="pct"/>
            <w:vAlign w:val="center"/>
          </w:tcPr>
          <w:p w14:paraId="33BD8890">
            <w:pPr>
              <w:jc w:val="center"/>
              <w:rPr>
                <w:rFonts w:ascii="宋体" w:hAnsi="宋体" w:eastAsia="宋体"/>
                <w:sz w:val="22"/>
                <w:szCs w:val="22"/>
              </w:rPr>
            </w:pPr>
          </w:p>
        </w:tc>
        <w:tc>
          <w:tcPr>
            <w:tcW w:w="780" w:type="pct"/>
            <w:vAlign w:val="center"/>
          </w:tcPr>
          <w:p w14:paraId="2C3A9784">
            <w:pPr>
              <w:jc w:val="center"/>
              <w:rPr>
                <w:rFonts w:ascii="宋体" w:hAnsi="宋体" w:eastAsia="宋体"/>
                <w:b/>
                <w:bCs/>
                <w:sz w:val="22"/>
                <w:szCs w:val="22"/>
              </w:rPr>
            </w:pPr>
          </w:p>
        </w:tc>
      </w:tr>
      <w:tr w14:paraId="3487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 w:type="pct"/>
            <w:vAlign w:val="center"/>
          </w:tcPr>
          <w:p w14:paraId="1D370DE5">
            <w:pPr>
              <w:jc w:val="center"/>
              <w:rPr>
                <w:rFonts w:ascii="宋体" w:hAnsi="宋体" w:eastAsia="宋体"/>
                <w:sz w:val="22"/>
                <w:szCs w:val="22"/>
              </w:rPr>
            </w:pPr>
            <w:r>
              <w:rPr>
                <w:rFonts w:hint="eastAsia" w:ascii="宋体" w:hAnsi="宋体" w:eastAsia="宋体"/>
                <w:sz w:val="22"/>
                <w:szCs w:val="22"/>
              </w:rPr>
              <w:t>2.3.8</w:t>
            </w:r>
          </w:p>
        </w:tc>
        <w:tc>
          <w:tcPr>
            <w:tcW w:w="1528" w:type="pct"/>
            <w:gridSpan w:val="2"/>
            <w:vAlign w:val="center"/>
          </w:tcPr>
          <w:p w14:paraId="65E14FAF">
            <w:pPr>
              <w:widowControl/>
              <w:jc w:val="left"/>
              <w:textAlignment w:val="center"/>
              <w:rPr>
                <w:rFonts w:ascii="宋体" w:hAnsi="宋体" w:eastAsia="宋体"/>
                <w:sz w:val="22"/>
                <w:szCs w:val="22"/>
              </w:rPr>
            </w:pPr>
            <w:r>
              <w:rPr>
                <w:rFonts w:hint="eastAsia" w:ascii="宋体" w:hAnsi="宋体" w:eastAsia="宋体" w:cs="宋体"/>
                <w:color w:val="000000"/>
                <w:kern w:val="0"/>
                <w:sz w:val="22"/>
                <w:szCs w:val="22"/>
              </w:rPr>
              <w:t>总氮试剂</w:t>
            </w:r>
          </w:p>
        </w:tc>
        <w:tc>
          <w:tcPr>
            <w:tcW w:w="458" w:type="pct"/>
            <w:vAlign w:val="center"/>
          </w:tcPr>
          <w:p w14:paraId="53994F01">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套</w:t>
            </w:r>
          </w:p>
        </w:tc>
        <w:tc>
          <w:tcPr>
            <w:tcW w:w="501" w:type="pct"/>
            <w:vAlign w:val="center"/>
          </w:tcPr>
          <w:p w14:paraId="75D3E74F">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8</w:t>
            </w:r>
          </w:p>
        </w:tc>
        <w:tc>
          <w:tcPr>
            <w:tcW w:w="482" w:type="pct"/>
            <w:vAlign w:val="center"/>
          </w:tcPr>
          <w:p w14:paraId="367A16EE">
            <w:pPr>
              <w:jc w:val="center"/>
              <w:rPr>
                <w:rFonts w:ascii="宋体" w:hAnsi="宋体" w:eastAsia="宋体"/>
                <w:sz w:val="22"/>
                <w:szCs w:val="22"/>
              </w:rPr>
            </w:pPr>
          </w:p>
        </w:tc>
        <w:tc>
          <w:tcPr>
            <w:tcW w:w="780" w:type="pct"/>
            <w:vAlign w:val="center"/>
          </w:tcPr>
          <w:p w14:paraId="3451FEC3">
            <w:pPr>
              <w:jc w:val="center"/>
              <w:rPr>
                <w:rFonts w:ascii="宋体" w:hAnsi="宋体" w:eastAsia="宋体"/>
                <w:sz w:val="22"/>
                <w:szCs w:val="22"/>
              </w:rPr>
            </w:pPr>
          </w:p>
        </w:tc>
        <w:tc>
          <w:tcPr>
            <w:tcW w:w="780" w:type="pct"/>
            <w:vAlign w:val="center"/>
          </w:tcPr>
          <w:p w14:paraId="32FC7463">
            <w:pPr>
              <w:jc w:val="center"/>
              <w:rPr>
                <w:rFonts w:ascii="宋体" w:hAnsi="宋体" w:eastAsia="宋体"/>
                <w:b/>
                <w:bCs/>
                <w:sz w:val="22"/>
                <w:szCs w:val="22"/>
              </w:rPr>
            </w:pPr>
          </w:p>
        </w:tc>
      </w:tr>
      <w:tr w14:paraId="1BD8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 w:type="pct"/>
            <w:vAlign w:val="center"/>
          </w:tcPr>
          <w:p w14:paraId="295B6C21">
            <w:pPr>
              <w:jc w:val="center"/>
              <w:rPr>
                <w:rFonts w:ascii="宋体" w:hAnsi="宋体" w:eastAsia="宋体"/>
                <w:sz w:val="22"/>
                <w:szCs w:val="22"/>
              </w:rPr>
            </w:pPr>
            <w:r>
              <w:rPr>
                <w:rFonts w:hint="eastAsia" w:ascii="宋体" w:hAnsi="宋体" w:eastAsia="宋体"/>
                <w:sz w:val="22"/>
                <w:szCs w:val="22"/>
              </w:rPr>
              <w:t>2.3.9</w:t>
            </w:r>
          </w:p>
        </w:tc>
        <w:tc>
          <w:tcPr>
            <w:tcW w:w="1528" w:type="pct"/>
            <w:gridSpan w:val="2"/>
            <w:vAlign w:val="center"/>
          </w:tcPr>
          <w:p w14:paraId="58BC3BC4">
            <w:pPr>
              <w:widowControl/>
              <w:jc w:val="left"/>
              <w:textAlignment w:val="center"/>
              <w:rPr>
                <w:rFonts w:ascii="宋体" w:hAnsi="宋体" w:eastAsia="宋体"/>
                <w:sz w:val="22"/>
                <w:szCs w:val="22"/>
              </w:rPr>
            </w:pPr>
            <w:r>
              <w:rPr>
                <w:rFonts w:hint="eastAsia" w:ascii="宋体" w:hAnsi="宋体" w:eastAsia="宋体" w:cs="宋体"/>
                <w:color w:val="000000"/>
                <w:kern w:val="0"/>
                <w:sz w:val="22"/>
                <w:szCs w:val="22"/>
              </w:rPr>
              <w:t>总磷试剂</w:t>
            </w:r>
          </w:p>
        </w:tc>
        <w:tc>
          <w:tcPr>
            <w:tcW w:w="458" w:type="pct"/>
            <w:vAlign w:val="center"/>
          </w:tcPr>
          <w:p w14:paraId="073FC53F">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套</w:t>
            </w:r>
          </w:p>
        </w:tc>
        <w:tc>
          <w:tcPr>
            <w:tcW w:w="501" w:type="pct"/>
            <w:vAlign w:val="center"/>
          </w:tcPr>
          <w:p w14:paraId="736ABD29">
            <w:pPr>
              <w:widowControl/>
              <w:jc w:val="center"/>
              <w:textAlignment w:val="center"/>
              <w:rPr>
                <w:rFonts w:ascii="宋体" w:hAnsi="宋体" w:eastAsia="宋体" w:cs="宋体"/>
                <w:color w:val="000000"/>
                <w:kern w:val="0"/>
                <w:sz w:val="22"/>
                <w:szCs w:val="22"/>
              </w:rPr>
            </w:pPr>
            <w:r>
              <w:rPr>
                <w:rFonts w:ascii="宋体" w:hAnsi="宋体" w:eastAsia="宋体" w:cs="宋体"/>
                <w:color w:val="000000"/>
                <w:kern w:val="0"/>
                <w:sz w:val="22"/>
                <w:szCs w:val="22"/>
              </w:rPr>
              <w:t>8</w:t>
            </w:r>
          </w:p>
        </w:tc>
        <w:tc>
          <w:tcPr>
            <w:tcW w:w="482" w:type="pct"/>
            <w:vAlign w:val="center"/>
          </w:tcPr>
          <w:p w14:paraId="1AFDE33F">
            <w:pPr>
              <w:jc w:val="center"/>
              <w:rPr>
                <w:rFonts w:ascii="宋体" w:hAnsi="宋体" w:eastAsia="宋体"/>
                <w:sz w:val="22"/>
                <w:szCs w:val="22"/>
              </w:rPr>
            </w:pPr>
          </w:p>
        </w:tc>
        <w:tc>
          <w:tcPr>
            <w:tcW w:w="780" w:type="pct"/>
            <w:vAlign w:val="center"/>
          </w:tcPr>
          <w:p w14:paraId="03A36D66">
            <w:pPr>
              <w:jc w:val="center"/>
              <w:rPr>
                <w:rFonts w:ascii="宋体" w:hAnsi="宋体" w:eastAsia="宋体"/>
                <w:sz w:val="22"/>
                <w:szCs w:val="22"/>
              </w:rPr>
            </w:pPr>
          </w:p>
        </w:tc>
        <w:tc>
          <w:tcPr>
            <w:tcW w:w="780" w:type="pct"/>
            <w:vAlign w:val="center"/>
          </w:tcPr>
          <w:p w14:paraId="24B268AA">
            <w:pPr>
              <w:jc w:val="center"/>
              <w:rPr>
                <w:rFonts w:ascii="宋体" w:hAnsi="宋体" w:eastAsia="宋体"/>
                <w:b/>
                <w:bCs/>
                <w:sz w:val="22"/>
                <w:szCs w:val="22"/>
              </w:rPr>
            </w:pPr>
          </w:p>
        </w:tc>
      </w:tr>
      <w:tr w14:paraId="4419F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 w:type="pct"/>
            <w:vAlign w:val="center"/>
          </w:tcPr>
          <w:p w14:paraId="411C22A2">
            <w:pPr>
              <w:jc w:val="center"/>
              <w:rPr>
                <w:rFonts w:ascii="宋体" w:hAnsi="宋体" w:eastAsia="宋体"/>
                <w:b/>
                <w:sz w:val="22"/>
                <w:szCs w:val="22"/>
              </w:rPr>
            </w:pPr>
            <w:r>
              <w:rPr>
                <w:rFonts w:hint="eastAsia" w:ascii="宋体" w:hAnsi="宋体" w:eastAsia="宋体"/>
                <w:b/>
                <w:sz w:val="22"/>
                <w:szCs w:val="22"/>
              </w:rPr>
              <w:t>3</w:t>
            </w:r>
          </w:p>
        </w:tc>
        <w:tc>
          <w:tcPr>
            <w:tcW w:w="1528" w:type="pct"/>
            <w:gridSpan w:val="2"/>
            <w:vAlign w:val="center"/>
          </w:tcPr>
          <w:p w14:paraId="023300E8">
            <w:pPr>
              <w:widowControl/>
              <w:jc w:val="left"/>
              <w:textAlignment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水质站设备更新</w:t>
            </w:r>
          </w:p>
        </w:tc>
        <w:tc>
          <w:tcPr>
            <w:tcW w:w="458" w:type="pct"/>
            <w:vAlign w:val="center"/>
          </w:tcPr>
          <w:p w14:paraId="2526D43E">
            <w:pPr>
              <w:widowControl/>
              <w:jc w:val="center"/>
              <w:textAlignment w:val="center"/>
              <w:rPr>
                <w:rFonts w:ascii="宋体" w:hAnsi="宋体" w:eastAsia="宋体" w:cs="宋体"/>
                <w:color w:val="000000"/>
                <w:kern w:val="0"/>
                <w:sz w:val="22"/>
                <w:szCs w:val="22"/>
              </w:rPr>
            </w:pPr>
          </w:p>
        </w:tc>
        <w:tc>
          <w:tcPr>
            <w:tcW w:w="501" w:type="pct"/>
            <w:vAlign w:val="center"/>
          </w:tcPr>
          <w:p w14:paraId="033D671A">
            <w:pPr>
              <w:widowControl/>
              <w:jc w:val="center"/>
              <w:textAlignment w:val="center"/>
              <w:rPr>
                <w:rFonts w:ascii="宋体" w:hAnsi="宋体" w:eastAsia="宋体" w:cs="宋体"/>
                <w:color w:val="000000"/>
                <w:kern w:val="0"/>
                <w:sz w:val="22"/>
                <w:szCs w:val="22"/>
              </w:rPr>
            </w:pPr>
          </w:p>
        </w:tc>
        <w:tc>
          <w:tcPr>
            <w:tcW w:w="482" w:type="pct"/>
            <w:vAlign w:val="center"/>
          </w:tcPr>
          <w:p w14:paraId="2CAB45B2">
            <w:pPr>
              <w:jc w:val="center"/>
              <w:rPr>
                <w:rFonts w:ascii="宋体" w:hAnsi="宋体" w:eastAsia="宋体"/>
                <w:sz w:val="22"/>
                <w:szCs w:val="22"/>
              </w:rPr>
            </w:pPr>
          </w:p>
        </w:tc>
        <w:tc>
          <w:tcPr>
            <w:tcW w:w="780" w:type="pct"/>
            <w:vAlign w:val="center"/>
          </w:tcPr>
          <w:p w14:paraId="22C22B3E">
            <w:pPr>
              <w:jc w:val="center"/>
              <w:rPr>
                <w:rFonts w:ascii="宋体" w:hAnsi="宋体" w:eastAsia="宋体"/>
                <w:sz w:val="22"/>
                <w:szCs w:val="22"/>
              </w:rPr>
            </w:pPr>
          </w:p>
        </w:tc>
        <w:tc>
          <w:tcPr>
            <w:tcW w:w="780" w:type="pct"/>
            <w:vAlign w:val="center"/>
          </w:tcPr>
          <w:p w14:paraId="026E8265">
            <w:pPr>
              <w:jc w:val="center"/>
              <w:rPr>
                <w:rFonts w:ascii="宋体" w:hAnsi="宋体" w:eastAsia="宋体"/>
                <w:b/>
                <w:bCs/>
                <w:sz w:val="22"/>
                <w:szCs w:val="22"/>
              </w:rPr>
            </w:pPr>
            <w:r>
              <w:rPr>
                <w:rFonts w:hint="eastAsia" w:ascii="宋体" w:hAnsi="宋体" w:eastAsia="宋体"/>
                <w:b/>
                <w:bCs/>
                <w:sz w:val="16"/>
                <w:szCs w:val="16"/>
              </w:rPr>
              <w:t>各仪表报价含附属设备及比测率定费用，供应商此项报价不得超过本项目分项限价。</w:t>
            </w:r>
          </w:p>
        </w:tc>
      </w:tr>
      <w:tr w14:paraId="1050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 w:type="pct"/>
            <w:vAlign w:val="center"/>
          </w:tcPr>
          <w:p w14:paraId="6177CE43">
            <w:pPr>
              <w:jc w:val="center"/>
              <w:rPr>
                <w:rFonts w:ascii="宋体" w:hAnsi="宋体" w:eastAsia="宋体"/>
                <w:sz w:val="22"/>
                <w:szCs w:val="22"/>
              </w:rPr>
            </w:pPr>
            <w:r>
              <w:rPr>
                <w:rFonts w:hint="eastAsia" w:ascii="宋体" w:hAnsi="宋体" w:eastAsia="宋体"/>
                <w:sz w:val="22"/>
                <w:szCs w:val="22"/>
              </w:rPr>
              <w:t>3.1</w:t>
            </w:r>
          </w:p>
        </w:tc>
        <w:tc>
          <w:tcPr>
            <w:tcW w:w="1528" w:type="pct"/>
            <w:gridSpan w:val="2"/>
            <w:vAlign w:val="center"/>
          </w:tcPr>
          <w:p w14:paraId="47D6475D">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常规五参数仪器仪表</w:t>
            </w:r>
          </w:p>
        </w:tc>
        <w:tc>
          <w:tcPr>
            <w:tcW w:w="458" w:type="pct"/>
            <w:vAlign w:val="center"/>
          </w:tcPr>
          <w:p w14:paraId="626070C7">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套</w:t>
            </w:r>
          </w:p>
        </w:tc>
        <w:tc>
          <w:tcPr>
            <w:tcW w:w="501" w:type="pct"/>
            <w:vAlign w:val="center"/>
          </w:tcPr>
          <w:p w14:paraId="5D24D0EB">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482" w:type="pct"/>
            <w:vAlign w:val="center"/>
          </w:tcPr>
          <w:p w14:paraId="118B7901">
            <w:pPr>
              <w:jc w:val="center"/>
              <w:rPr>
                <w:rFonts w:ascii="宋体" w:hAnsi="宋体" w:eastAsia="宋体"/>
                <w:sz w:val="22"/>
                <w:szCs w:val="22"/>
              </w:rPr>
            </w:pPr>
          </w:p>
        </w:tc>
        <w:tc>
          <w:tcPr>
            <w:tcW w:w="780" w:type="pct"/>
            <w:vAlign w:val="center"/>
          </w:tcPr>
          <w:p w14:paraId="461448F5">
            <w:pPr>
              <w:jc w:val="center"/>
              <w:rPr>
                <w:rFonts w:ascii="宋体" w:hAnsi="宋体" w:eastAsia="宋体"/>
                <w:sz w:val="22"/>
                <w:szCs w:val="22"/>
              </w:rPr>
            </w:pPr>
          </w:p>
        </w:tc>
        <w:tc>
          <w:tcPr>
            <w:tcW w:w="780" w:type="pct"/>
            <w:vAlign w:val="center"/>
          </w:tcPr>
          <w:p w14:paraId="6C837749">
            <w:pPr>
              <w:jc w:val="center"/>
              <w:rPr>
                <w:rFonts w:ascii="宋体" w:hAnsi="宋体" w:eastAsia="宋体"/>
                <w:b/>
                <w:bCs/>
                <w:sz w:val="22"/>
                <w:szCs w:val="22"/>
              </w:rPr>
            </w:pPr>
          </w:p>
        </w:tc>
      </w:tr>
      <w:tr w14:paraId="3223B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 w:type="pct"/>
            <w:vAlign w:val="center"/>
          </w:tcPr>
          <w:p w14:paraId="3806671D">
            <w:pPr>
              <w:jc w:val="center"/>
              <w:rPr>
                <w:rFonts w:ascii="宋体" w:hAnsi="宋体" w:eastAsia="宋体"/>
                <w:sz w:val="22"/>
                <w:szCs w:val="22"/>
              </w:rPr>
            </w:pPr>
            <w:r>
              <w:rPr>
                <w:rFonts w:hint="eastAsia" w:ascii="宋体" w:hAnsi="宋体" w:eastAsia="宋体"/>
                <w:sz w:val="22"/>
                <w:szCs w:val="22"/>
              </w:rPr>
              <w:t>3.2</w:t>
            </w:r>
          </w:p>
        </w:tc>
        <w:tc>
          <w:tcPr>
            <w:tcW w:w="1528" w:type="pct"/>
            <w:gridSpan w:val="2"/>
            <w:vAlign w:val="center"/>
          </w:tcPr>
          <w:p w14:paraId="3065EAAF">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总磷仪器仪表</w:t>
            </w:r>
          </w:p>
        </w:tc>
        <w:tc>
          <w:tcPr>
            <w:tcW w:w="458" w:type="pct"/>
            <w:vAlign w:val="center"/>
          </w:tcPr>
          <w:p w14:paraId="4B7ECAB0">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套</w:t>
            </w:r>
          </w:p>
        </w:tc>
        <w:tc>
          <w:tcPr>
            <w:tcW w:w="501" w:type="pct"/>
            <w:vAlign w:val="center"/>
          </w:tcPr>
          <w:p w14:paraId="3D2D7924">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482" w:type="pct"/>
            <w:vAlign w:val="center"/>
          </w:tcPr>
          <w:p w14:paraId="0DAF8EB2">
            <w:pPr>
              <w:jc w:val="center"/>
              <w:rPr>
                <w:rFonts w:ascii="宋体" w:hAnsi="宋体" w:eastAsia="宋体"/>
                <w:sz w:val="22"/>
                <w:szCs w:val="22"/>
              </w:rPr>
            </w:pPr>
          </w:p>
        </w:tc>
        <w:tc>
          <w:tcPr>
            <w:tcW w:w="780" w:type="pct"/>
            <w:vAlign w:val="center"/>
          </w:tcPr>
          <w:p w14:paraId="6C150413">
            <w:pPr>
              <w:jc w:val="center"/>
              <w:rPr>
                <w:rFonts w:ascii="宋体" w:hAnsi="宋体" w:eastAsia="宋体"/>
                <w:sz w:val="22"/>
                <w:szCs w:val="22"/>
              </w:rPr>
            </w:pPr>
          </w:p>
        </w:tc>
        <w:tc>
          <w:tcPr>
            <w:tcW w:w="780" w:type="pct"/>
            <w:vAlign w:val="center"/>
          </w:tcPr>
          <w:p w14:paraId="2DAFB15D">
            <w:pPr>
              <w:jc w:val="center"/>
              <w:rPr>
                <w:rFonts w:ascii="宋体" w:hAnsi="宋体" w:eastAsia="宋体"/>
                <w:b/>
                <w:bCs/>
                <w:sz w:val="22"/>
                <w:szCs w:val="22"/>
              </w:rPr>
            </w:pPr>
          </w:p>
        </w:tc>
      </w:tr>
      <w:tr w14:paraId="120A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 w:type="pct"/>
            <w:vAlign w:val="center"/>
          </w:tcPr>
          <w:p w14:paraId="1A25E4D9">
            <w:pPr>
              <w:jc w:val="center"/>
              <w:rPr>
                <w:rFonts w:ascii="宋体" w:hAnsi="宋体" w:eastAsia="宋体"/>
                <w:sz w:val="22"/>
                <w:szCs w:val="22"/>
              </w:rPr>
            </w:pPr>
            <w:r>
              <w:rPr>
                <w:rFonts w:hint="eastAsia" w:ascii="宋体" w:hAnsi="宋体" w:eastAsia="宋体"/>
                <w:sz w:val="22"/>
                <w:szCs w:val="22"/>
              </w:rPr>
              <w:t>3.3</w:t>
            </w:r>
          </w:p>
        </w:tc>
        <w:tc>
          <w:tcPr>
            <w:tcW w:w="1528" w:type="pct"/>
            <w:gridSpan w:val="2"/>
            <w:vAlign w:val="center"/>
          </w:tcPr>
          <w:p w14:paraId="74725FFD">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总氮仪器仪表</w:t>
            </w:r>
          </w:p>
        </w:tc>
        <w:tc>
          <w:tcPr>
            <w:tcW w:w="458" w:type="pct"/>
            <w:vAlign w:val="center"/>
          </w:tcPr>
          <w:p w14:paraId="1EDB6DEE">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套</w:t>
            </w:r>
          </w:p>
        </w:tc>
        <w:tc>
          <w:tcPr>
            <w:tcW w:w="501" w:type="pct"/>
            <w:vAlign w:val="center"/>
          </w:tcPr>
          <w:p w14:paraId="4A4B680D">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482" w:type="pct"/>
            <w:vAlign w:val="center"/>
          </w:tcPr>
          <w:p w14:paraId="1E7B8836">
            <w:pPr>
              <w:jc w:val="center"/>
              <w:rPr>
                <w:rFonts w:ascii="宋体" w:hAnsi="宋体" w:eastAsia="宋体"/>
                <w:sz w:val="22"/>
                <w:szCs w:val="22"/>
              </w:rPr>
            </w:pPr>
          </w:p>
        </w:tc>
        <w:tc>
          <w:tcPr>
            <w:tcW w:w="780" w:type="pct"/>
            <w:vAlign w:val="center"/>
          </w:tcPr>
          <w:p w14:paraId="3437FE7B">
            <w:pPr>
              <w:jc w:val="center"/>
              <w:rPr>
                <w:rFonts w:ascii="宋体" w:hAnsi="宋体" w:eastAsia="宋体"/>
                <w:sz w:val="22"/>
                <w:szCs w:val="22"/>
              </w:rPr>
            </w:pPr>
          </w:p>
        </w:tc>
        <w:tc>
          <w:tcPr>
            <w:tcW w:w="780" w:type="pct"/>
            <w:vAlign w:val="center"/>
          </w:tcPr>
          <w:p w14:paraId="4A1B8FA4">
            <w:pPr>
              <w:jc w:val="center"/>
              <w:rPr>
                <w:rFonts w:ascii="宋体" w:hAnsi="宋体" w:eastAsia="宋体"/>
                <w:b/>
                <w:bCs/>
                <w:sz w:val="22"/>
                <w:szCs w:val="22"/>
              </w:rPr>
            </w:pPr>
          </w:p>
        </w:tc>
      </w:tr>
      <w:tr w14:paraId="5B98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 w:type="pct"/>
            <w:vAlign w:val="center"/>
          </w:tcPr>
          <w:p w14:paraId="3ED1A94E">
            <w:pPr>
              <w:jc w:val="center"/>
              <w:rPr>
                <w:rFonts w:ascii="宋体" w:hAnsi="宋体" w:eastAsia="宋体"/>
                <w:sz w:val="22"/>
                <w:szCs w:val="22"/>
              </w:rPr>
            </w:pPr>
            <w:r>
              <w:rPr>
                <w:rFonts w:hint="eastAsia" w:ascii="宋体" w:hAnsi="宋体" w:eastAsia="宋体"/>
                <w:sz w:val="22"/>
                <w:szCs w:val="22"/>
              </w:rPr>
              <w:t>3.4</w:t>
            </w:r>
          </w:p>
        </w:tc>
        <w:tc>
          <w:tcPr>
            <w:tcW w:w="1528" w:type="pct"/>
            <w:gridSpan w:val="2"/>
            <w:vAlign w:val="center"/>
          </w:tcPr>
          <w:p w14:paraId="20B3F049">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氨氮仪表</w:t>
            </w:r>
          </w:p>
        </w:tc>
        <w:tc>
          <w:tcPr>
            <w:tcW w:w="458" w:type="pct"/>
            <w:vAlign w:val="center"/>
          </w:tcPr>
          <w:p w14:paraId="5A1A4F9E">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套</w:t>
            </w:r>
          </w:p>
        </w:tc>
        <w:tc>
          <w:tcPr>
            <w:tcW w:w="501" w:type="pct"/>
            <w:vAlign w:val="center"/>
          </w:tcPr>
          <w:p w14:paraId="0CF162A8">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482" w:type="pct"/>
            <w:vAlign w:val="center"/>
          </w:tcPr>
          <w:p w14:paraId="1FF6993A">
            <w:pPr>
              <w:jc w:val="center"/>
              <w:rPr>
                <w:rFonts w:ascii="宋体" w:hAnsi="宋体" w:eastAsia="宋体"/>
                <w:sz w:val="22"/>
                <w:szCs w:val="22"/>
              </w:rPr>
            </w:pPr>
          </w:p>
        </w:tc>
        <w:tc>
          <w:tcPr>
            <w:tcW w:w="780" w:type="pct"/>
            <w:vAlign w:val="center"/>
          </w:tcPr>
          <w:p w14:paraId="651A1389">
            <w:pPr>
              <w:jc w:val="center"/>
              <w:rPr>
                <w:rFonts w:ascii="宋体" w:hAnsi="宋体" w:eastAsia="宋体"/>
                <w:sz w:val="22"/>
                <w:szCs w:val="22"/>
              </w:rPr>
            </w:pPr>
          </w:p>
        </w:tc>
        <w:tc>
          <w:tcPr>
            <w:tcW w:w="780" w:type="pct"/>
            <w:vAlign w:val="center"/>
          </w:tcPr>
          <w:p w14:paraId="4553A4D7">
            <w:pPr>
              <w:jc w:val="center"/>
              <w:rPr>
                <w:rFonts w:ascii="宋体" w:hAnsi="宋体" w:eastAsia="宋体"/>
                <w:b/>
                <w:bCs/>
                <w:sz w:val="22"/>
                <w:szCs w:val="22"/>
              </w:rPr>
            </w:pPr>
          </w:p>
        </w:tc>
      </w:tr>
      <w:tr w14:paraId="7AC9E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 w:type="pct"/>
            <w:vAlign w:val="center"/>
          </w:tcPr>
          <w:p w14:paraId="266FB70D">
            <w:pPr>
              <w:jc w:val="center"/>
              <w:rPr>
                <w:rFonts w:ascii="宋体" w:hAnsi="宋体" w:eastAsia="宋体"/>
                <w:sz w:val="22"/>
                <w:szCs w:val="22"/>
              </w:rPr>
            </w:pPr>
            <w:r>
              <w:rPr>
                <w:rFonts w:hint="eastAsia" w:ascii="宋体" w:hAnsi="宋体" w:eastAsia="宋体"/>
                <w:sz w:val="22"/>
                <w:szCs w:val="22"/>
              </w:rPr>
              <w:t>3.5</w:t>
            </w:r>
          </w:p>
        </w:tc>
        <w:tc>
          <w:tcPr>
            <w:tcW w:w="1528" w:type="pct"/>
            <w:gridSpan w:val="2"/>
            <w:vAlign w:val="center"/>
          </w:tcPr>
          <w:p w14:paraId="4B5553C3">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高锰酸盐指数仪表</w:t>
            </w:r>
          </w:p>
        </w:tc>
        <w:tc>
          <w:tcPr>
            <w:tcW w:w="458" w:type="pct"/>
            <w:vAlign w:val="center"/>
          </w:tcPr>
          <w:p w14:paraId="3154BF19">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套</w:t>
            </w:r>
          </w:p>
        </w:tc>
        <w:tc>
          <w:tcPr>
            <w:tcW w:w="501" w:type="pct"/>
            <w:vAlign w:val="center"/>
          </w:tcPr>
          <w:p w14:paraId="2E052FBB">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482" w:type="pct"/>
            <w:vAlign w:val="center"/>
          </w:tcPr>
          <w:p w14:paraId="30F6FA7D">
            <w:pPr>
              <w:jc w:val="center"/>
              <w:rPr>
                <w:rFonts w:ascii="宋体" w:hAnsi="宋体" w:eastAsia="宋体"/>
                <w:sz w:val="22"/>
                <w:szCs w:val="22"/>
              </w:rPr>
            </w:pPr>
          </w:p>
        </w:tc>
        <w:tc>
          <w:tcPr>
            <w:tcW w:w="780" w:type="pct"/>
            <w:vAlign w:val="center"/>
          </w:tcPr>
          <w:p w14:paraId="46497CCC">
            <w:pPr>
              <w:jc w:val="center"/>
              <w:rPr>
                <w:rFonts w:ascii="宋体" w:hAnsi="宋体" w:eastAsia="宋体"/>
                <w:sz w:val="22"/>
                <w:szCs w:val="22"/>
              </w:rPr>
            </w:pPr>
          </w:p>
        </w:tc>
        <w:tc>
          <w:tcPr>
            <w:tcW w:w="780" w:type="pct"/>
            <w:vAlign w:val="center"/>
          </w:tcPr>
          <w:p w14:paraId="5D02144D">
            <w:pPr>
              <w:jc w:val="center"/>
              <w:rPr>
                <w:rFonts w:ascii="宋体" w:hAnsi="宋体" w:eastAsia="宋体"/>
                <w:b/>
                <w:bCs/>
                <w:sz w:val="22"/>
                <w:szCs w:val="22"/>
              </w:rPr>
            </w:pPr>
          </w:p>
        </w:tc>
      </w:tr>
      <w:tr w14:paraId="5B372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 w:type="pct"/>
            <w:vAlign w:val="center"/>
          </w:tcPr>
          <w:p w14:paraId="2D3E9D83">
            <w:pPr>
              <w:jc w:val="center"/>
              <w:rPr>
                <w:rFonts w:ascii="宋体" w:hAnsi="宋体" w:eastAsia="宋体"/>
                <w:b/>
                <w:bCs/>
                <w:sz w:val="22"/>
                <w:szCs w:val="22"/>
              </w:rPr>
            </w:pPr>
            <w:r>
              <w:rPr>
                <w:rFonts w:hint="eastAsia" w:ascii="宋体" w:hAnsi="宋体" w:eastAsia="宋体"/>
                <w:b/>
                <w:bCs/>
                <w:sz w:val="22"/>
                <w:szCs w:val="22"/>
              </w:rPr>
              <w:t>4</w:t>
            </w:r>
          </w:p>
        </w:tc>
        <w:tc>
          <w:tcPr>
            <w:tcW w:w="1528" w:type="pct"/>
            <w:gridSpan w:val="2"/>
            <w:vAlign w:val="center"/>
          </w:tcPr>
          <w:p w14:paraId="73C1C913">
            <w:pPr>
              <w:jc w:val="left"/>
              <w:rPr>
                <w:rFonts w:ascii="宋体" w:hAnsi="宋体" w:eastAsia="宋体"/>
                <w:b/>
                <w:bCs/>
                <w:sz w:val="22"/>
                <w:szCs w:val="22"/>
              </w:rPr>
            </w:pPr>
            <w:r>
              <w:rPr>
                <w:rFonts w:hint="eastAsia" w:ascii="宋体" w:hAnsi="宋体" w:eastAsia="宋体"/>
                <w:b/>
                <w:bCs/>
                <w:sz w:val="22"/>
                <w:szCs w:val="22"/>
              </w:rPr>
              <w:t>通信网络服务</w:t>
            </w:r>
          </w:p>
        </w:tc>
        <w:tc>
          <w:tcPr>
            <w:tcW w:w="458" w:type="pct"/>
            <w:vAlign w:val="center"/>
          </w:tcPr>
          <w:p w14:paraId="69E468C0">
            <w:pPr>
              <w:widowControl/>
              <w:jc w:val="center"/>
              <w:textAlignment w:val="center"/>
              <w:rPr>
                <w:rFonts w:ascii="宋体" w:hAnsi="宋体" w:eastAsia="宋体" w:cs="宋体"/>
                <w:color w:val="000000"/>
                <w:kern w:val="0"/>
                <w:sz w:val="22"/>
                <w:szCs w:val="22"/>
              </w:rPr>
            </w:pPr>
          </w:p>
        </w:tc>
        <w:tc>
          <w:tcPr>
            <w:tcW w:w="501" w:type="pct"/>
            <w:vAlign w:val="center"/>
          </w:tcPr>
          <w:p w14:paraId="0888BA2B">
            <w:pPr>
              <w:widowControl/>
              <w:jc w:val="center"/>
              <w:textAlignment w:val="center"/>
              <w:rPr>
                <w:rFonts w:ascii="宋体" w:hAnsi="宋体" w:eastAsia="宋体" w:cs="宋体"/>
                <w:color w:val="000000"/>
                <w:kern w:val="0"/>
                <w:sz w:val="22"/>
                <w:szCs w:val="22"/>
              </w:rPr>
            </w:pPr>
          </w:p>
        </w:tc>
        <w:tc>
          <w:tcPr>
            <w:tcW w:w="482" w:type="pct"/>
            <w:vAlign w:val="center"/>
          </w:tcPr>
          <w:p w14:paraId="0C563ED4">
            <w:pPr>
              <w:jc w:val="center"/>
              <w:rPr>
                <w:rFonts w:ascii="宋体" w:hAnsi="宋体" w:eastAsia="宋体"/>
                <w:sz w:val="22"/>
                <w:szCs w:val="22"/>
              </w:rPr>
            </w:pPr>
          </w:p>
        </w:tc>
        <w:tc>
          <w:tcPr>
            <w:tcW w:w="780" w:type="pct"/>
            <w:vAlign w:val="center"/>
          </w:tcPr>
          <w:p w14:paraId="17279A4A">
            <w:pPr>
              <w:jc w:val="center"/>
              <w:rPr>
                <w:rFonts w:ascii="宋体" w:hAnsi="宋体" w:eastAsia="宋体"/>
                <w:sz w:val="22"/>
                <w:szCs w:val="22"/>
              </w:rPr>
            </w:pPr>
          </w:p>
        </w:tc>
        <w:tc>
          <w:tcPr>
            <w:tcW w:w="780" w:type="pct"/>
            <w:vAlign w:val="center"/>
          </w:tcPr>
          <w:p w14:paraId="680CDE30">
            <w:pPr>
              <w:jc w:val="center"/>
              <w:rPr>
                <w:rFonts w:ascii="宋体" w:hAnsi="宋体" w:eastAsia="宋体"/>
                <w:b/>
                <w:bCs/>
                <w:sz w:val="22"/>
                <w:szCs w:val="22"/>
              </w:rPr>
            </w:pPr>
            <w:r>
              <w:rPr>
                <w:rFonts w:hint="eastAsia" w:ascii="宋体" w:hAnsi="宋体" w:eastAsia="宋体"/>
                <w:b/>
                <w:bCs/>
                <w:sz w:val="16"/>
                <w:szCs w:val="16"/>
              </w:rPr>
              <w:t>供应商此项报价不得超过本项目分项限价。</w:t>
            </w:r>
          </w:p>
        </w:tc>
      </w:tr>
      <w:tr w14:paraId="5B7A2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 w:type="pct"/>
            <w:vAlign w:val="center"/>
          </w:tcPr>
          <w:p w14:paraId="46E0BE66">
            <w:pPr>
              <w:jc w:val="center"/>
              <w:rPr>
                <w:rFonts w:ascii="宋体" w:hAnsi="宋体" w:eastAsia="宋体"/>
                <w:sz w:val="22"/>
                <w:szCs w:val="22"/>
              </w:rPr>
            </w:pPr>
            <w:r>
              <w:rPr>
                <w:rFonts w:hint="eastAsia" w:ascii="宋体" w:hAnsi="宋体" w:eastAsia="宋体"/>
                <w:sz w:val="22"/>
                <w:szCs w:val="22"/>
              </w:rPr>
              <w:t>4.1</w:t>
            </w:r>
          </w:p>
        </w:tc>
        <w:tc>
          <w:tcPr>
            <w:tcW w:w="1528" w:type="pct"/>
            <w:gridSpan w:val="2"/>
            <w:vAlign w:val="center"/>
          </w:tcPr>
          <w:p w14:paraId="1072AB8E">
            <w:pPr>
              <w:jc w:val="left"/>
              <w:rPr>
                <w:rFonts w:ascii="宋体" w:hAnsi="宋体" w:eastAsia="宋体"/>
                <w:sz w:val="22"/>
                <w:szCs w:val="22"/>
              </w:rPr>
            </w:pPr>
            <w:r>
              <w:rPr>
                <w:rFonts w:hint="eastAsia" w:ascii="宋体" w:hAnsi="宋体" w:eastAsia="宋体"/>
                <w:sz w:val="22"/>
                <w:szCs w:val="22"/>
              </w:rPr>
              <w:t>公网专线</w:t>
            </w:r>
          </w:p>
        </w:tc>
        <w:tc>
          <w:tcPr>
            <w:tcW w:w="458" w:type="pct"/>
            <w:vAlign w:val="center"/>
          </w:tcPr>
          <w:p w14:paraId="69471E4D">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条·年</w:t>
            </w:r>
          </w:p>
        </w:tc>
        <w:tc>
          <w:tcPr>
            <w:tcW w:w="501" w:type="pct"/>
            <w:vAlign w:val="center"/>
          </w:tcPr>
          <w:p w14:paraId="426A05C3">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482" w:type="pct"/>
            <w:vAlign w:val="center"/>
          </w:tcPr>
          <w:p w14:paraId="4CD9DAD9">
            <w:pPr>
              <w:jc w:val="center"/>
              <w:rPr>
                <w:rFonts w:ascii="宋体" w:hAnsi="宋体" w:eastAsia="宋体"/>
                <w:sz w:val="22"/>
                <w:szCs w:val="22"/>
              </w:rPr>
            </w:pPr>
          </w:p>
        </w:tc>
        <w:tc>
          <w:tcPr>
            <w:tcW w:w="780" w:type="pct"/>
            <w:vAlign w:val="center"/>
          </w:tcPr>
          <w:p w14:paraId="7D33CA83">
            <w:pPr>
              <w:jc w:val="center"/>
              <w:rPr>
                <w:rFonts w:ascii="宋体" w:hAnsi="宋体" w:eastAsia="宋体"/>
                <w:sz w:val="22"/>
                <w:szCs w:val="22"/>
              </w:rPr>
            </w:pPr>
          </w:p>
        </w:tc>
        <w:tc>
          <w:tcPr>
            <w:tcW w:w="780" w:type="pct"/>
            <w:vAlign w:val="center"/>
          </w:tcPr>
          <w:p w14:paraId="624EE93E">
            <w:pPr>
              <w:jc w:val="center"/>
              <w:rPr>
                <w:rFonts w:ascii="宋体" w:hAnsi="宋体" w:eastAsia="宋体"/>
                <w:b/>
                <w:bCs/>
                <w:sz w:val="22"/>
                <w:szCs w:val="22"/>
              </w:rPr>
            </w:pPr>
          </w:p>
        </w:tc>
      </w:tr>
      <w:tr w14:paraId="07A21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 w:type="pct"/>
            <w:vAlign w:val="center"/>
          </w:tcPr>
          <w:p w14:paraId="0E484468">
            <w:pPr>
              <w:jc w:val="center"/>
              <w:rPr>
                <w:rFonts w:ascii="宋体" w:hAnsi="宋体" w:eastAsia="宋体"/>
                <w:sz w:val="22"/>
                <w:szCs w:val="22"/>
              </w:rPr>
            </w:pPr>
            <w:r>
              <w:rPr>
                <w:rFonts w:hint="eastAsia" w:ascii="宋体" w:hAnsi="宋体" w:eastAsia="宋体"/>
                <w:sz w:val="22"/>
                <w:szCs w:val="22"/>
              </w:rPr>
              <w:t>4.2</w:t>
            </w:r>
          </w:p>
        </w:tc>
        <w:tc>
          <w:tcPr>
            <w:tcW w:w="1528" w:type="pct"/>
            <w:gridSpan w:val="2"/>
            <w:vAlign w:val="center"/>
          </w:tcPr>
          <w:p w14:paraId="6B2840B6">
            <w:pPr>
              <w:jc w:val="left"/>
              <w:rPr>
                <w:rFonts w:ascii="宋体" w:hAnsi="宋体" w:eastAsia="宋体"/>
                <w:sz w:val="22"/>
                <w:szCs w:val="22"/>
              </w:rPr>
            </w:pPr>
            <w:r>
              <w:rPr>
                <w:rFonts w:hint="eastAsia" w:ascii="宋体" w:hAnsi="宋体" w:eastAsia="宋体"/>
                <w:sz w:val="22"/>
                <w:szCs w:val="22"/>
              </w:rPr>
              <w:t>IDC机房托管</w:t>
            </w:r>
          </w:p>
        </w:tc>
        <w:tc>
          <w:tcPr>
            <w:tcW w:w="458" w:type="pct"/>
            <w:vAlign w:val="center"/>
          </w:tcPr>
          <w:p w14:paraId="71AC0B53">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项·年</w:t>
            </w:r>
          </w:p>
        </w:tc>
        <w:tc>
          <w:tcPr>
            <w:tcW w:w="501" w:type="pct"/>
            <w:vAlign w:val="center"/>
          </w:tcPr>
          <w:p w14:paraId="7D408F40">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482" w:type="pct"/>
            <w:vAlign w:val="center"/>
          </w:tcPr>
          <w:p w14:paraId="79E985B4">
            <w:pPr>
              <w:jc w:val="center"/>
              <w:rPr>
                <w:rFonts w:ascii="宋体" w:hAnsi="宋体" w:eastAsia="宋体"/>
                <w:sz w:val="22"/>
                <w:szCs w:val="22"/>
              </w:rPr>
            </w:pPr>
          </w:p>
        </w:tc>
        <w:tc>
          <w:tcPr>
            <w:tcW w:w="780" w:type="pct"/>
            <w:vAlign w:val="center"/>
          </w:tcPr>
          <w:p w14:paraId="4C6FB15B">
            <w:pPr>
              <w:jc w:val="center"/>
              <w:rPr>
                <w:rFonts w:ascii="宋体" w:hAnsi="宋体" w:eastAsia="宋体"/>
                <w:sz w:val="22"/>
                <w:szCs w:val="22"/>
              </w:rPr>
            </w:pPr>
          </w:p>
        </w:tc>
        <w:tc>
          <w:tcPr>
            <w:tcW w:w="780" w:type="pct"/>
            <w:vAlign w:val="center"/>
          </w:tcPr>
          <w:p w14:paraId="0A4C0347">
            <w:pPr>
              <w:jc w:val="center"/>
              <w:rPr>
                <w:rFonts w:ascii="宋体" w:hAnsi="宋体" w:eastAsia="宋体"/>
                <w:b/>
                <w:bCs/>
                <w:sz w:val="22"/>
                <w:szCs w:val="22"/>
              </w:rPr>
            </w:pPr>
          </w:p>
        </w:tc>
      </w:tr>
      <w:tr w14:paraId="17BE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 w:type="pct"/>
            <w:vAlign w:val="center"/>
          </w:tcPr>
          <w:p w14:paraId="6592743F">
            <w:pPr>
              <w:jc w:val="center"/>
              <w:rPr>
                <w:rFonts w:ascii="宋体" w:hAnsi="宋体" w:eastAsia="宋体"/>
                <w:b/>
                <w:bCs/>
                <w:sz w:val="22"/>
                <w:szCs w:val="22"/>
              </w:rPr>
            </w:pPr>
            <w:r>
              <w:rPr>
                <w:rFonts w:hint="eastAsia" w:ascii="宋体" w:hAnsi="宋体" w:eastAsia="宋体"/>
                <w:b/>
                <w:bCs/>
                <w:sz w:val="22"/>
                <w:szCs w:val="22"/>
              </w:rPr>
              <w:t>5</w:t>
            </w:r>
          </w:p>
        </w:tc>
        <w:tc>
          <w:tcPr>
            <w:tcW w:w="1528" w:type="pct"/>
            <w:gridSpan w:val="2"/>
            <w:vAlign w:val="center"/>
          </w:tcPr>
          <w:p w14:paraId="7942E956">
            <w:pPr>
              <w:rPr>
                <w:rFonts w:ascii="宋体" w:hAnsi="宋体" w:eastAsia="宋体"/>
                <w:b/>
                <w:bCs/>
                <w:sz w:val="22"/>
                <w:szCs w:val="22"/>
              </w:rPr>
            </w:pPr>
            <w:r>
              <w:rPr>
                <w:rFonts w:hint="eastAsia" w:ascii="宋体" w:hAnsi="宋体" w:eastAsia="宋体"/>
                <w:b/>
                <w:bCs/>
                <w:sz w:val="22"/>
                <w:szCs w:val="22"/>
              </w:rPr>
              <w:t>不可预见费</w:t>
            </w:r>
          </w:p>
        </w:tc>
        <w:tc>
          <w:tcPr>
            <w:tcW w:w="458" w:type="pct"/>
            <w:vAlign w:val="center"/>
          </w:tcPr>
          <w:p w14:paraId="6FC41D8C">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w:t>
            </w:r>
          </w:p>
        </w:tc>
        <w:tc>
          <w:tcPr>
            <w:tcW w:w="501" w:type="pct"/>
            <w:vAlign w:val="center"/>
          </w:tcPr>
          <w:p w14:paraId="3CFA2289">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482" w:type="pct"/>
            <w:vAlign w:val="center"/>
          </w:tcPr>
          <w:p w14:paraId="50946894">
            <w:pPr>
              <w:jc w:val="center"/>
              <w:rPr>
                <w:rFonts w:ascii="宋体" w:hAnsi="宋体" w:eastAsia="宋体"/>
                <w:sz w:val="22"/>
                <w:szCs w:val="22"/>
              </w:rPr>
            </w:pPr>
            <w:r>
              <w:rPr>
                <w:rFonts w:hint="eastAsia" w:ascii="宋体" w:hAnsi="宋体" w:eastAsia="宋体"/>
                <w:sz w:val="22"/>
                <w:szCs w:val="22"/>
              </w:rPr>
              <w:t>100000.00</w:t>
            </w:r>
          </w:p>
        </w:tc>
        <w:tc>
          <w:tcPr>
            <w:tcW w:w="780" w:type="pct"/>
            <w:vAlign w:val="center"/>
          </w:tcPr>
          <w:p w14:paraId="5D9040A2">
            <w:pPr>
              <w:jc w:val="center"/>
              <w:rPr>
                <w:rFonts w:ascii="宋体" w:hAnsi="宋体" w:eastAsia="宋体"/>
                <w:sz w:val="22"/>
                <w:szCs w:val="22"/>
              </w:rPr>
            </w:pPr>
            <w:r>
              <w:rPr>
                <w:rFonts w:hint="eastAsia" w:ascii="宋体" w:hAnsi="宋体" w:eastAsia="宋体"/>
                <w:sz w:val="22"/>
                <w:szCs w:val="22"/>
              </w:rPr>
              <w:t>100000.00</w:t>
            </w:r>
          </w:p>
        </w:tc>
        <w:tc>
          <w:tcPr>
            <w:tcW w:w="780" w:type="pct"/>
            <w:vAlign w:val="center"/>
          </w:tcPr>
          <w:p w14:paraId="5245C8E6">
            <w:pPr>
              <w:jc w:val="center"/>
              <w:rPr>
                <w:rFonts w:ascii="宋体" w:hAnsi="宋体" w:eastAsia="宋体"/>
                <w:b/>
                <w:bCs/>
                <w:sz w:val="22"/>
                <w:szCs w:val="22"/>
              </w:rPr>
            </w:pPr>
            <w:r>
              <w:rPr>
                <w:rFonts w:hint="eastAsia" w:ascii="宋体" w:hAnsi="宋体" w:eastAsia="宋体"/>
                <w:b/>
                <w:bCs/>
                <w:sz w:val="16"/>
                <w:szCs w:val="16"/>
              </w:rPr>
              <w:t>此项为不可竞争费，供应商必须报此价格。</w:t>
            </w:r>
          </w:p>
        </w:tc>
      </w:tr>
      <w:tr w14:paraId="58B6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 w:type="pct"/>
            <w:vAlign w:val="center"/>
          </w:tcPr>
          <w:p w14:paraId="74348DB0">
            <w:pPr>
              <w:jc w:val="center"/>
              <w:rPr>
                <w:rFonts w:ascii="宋体" w:hAnsi="宋体" w:eastAsia="宋体"/>
                <w:sz w:val="24"/>
              </w:rPr>
            </w:pPr>
          </w:p>
        </w:tc>
        <w:tc>
          <w:tcPr>
            <w:tcW w:w="1528" w:type="pct"/>
            <w:gridSpan w:val="2"/>
            <w:vAlign w:val="center"/>
          </w:tcPr>
          <w:p w14:paraId="42490CAF">
            <w:pPr>
              <w:pStyle w:val="50"/>
              <w:ind w:left="-108"/>
              <w:jc w:val="center"/>
              <w:rPr>
                <w:rFonts w:ascii="宋体" w:hAnsi="宋体"/>
              </w:rPr>
            </w:pPr>
            <w:r>
              <w:rPr>
                <w:rFonts w:hint="eastAsia" w:ascii="宋体" w:hAnsi="宋体"/>
              </w:rPr>
              <w:t>其他费用</w:t>
            </w:r>
          </w:p>
        </w:tc>
        <w:tc>
          <w:tcPr>
            <w:tcW w:w="458" w:type="pct"/>
            <w:vAlign w:val="center"/>
          </w:tcPr>
          <w:p w14:paraId="589028B3">
            <w:pPr>
              <w:jc w:val="center"/>
              <w:rPr>
                <w:rFonts w:ascii="宋体" w:hAnsi="宋体" w:eastAsia="宋体"/>
                <w:sz w:val="24"/>
              </w:rPr>
            </w:pPr>
          </w:p>
        </w:tc>
        <w:tc>
          <w:tcPr>
            <w:tcW w:w="501" w:type="pct"/>
            <w:vAlign w:val="center"/>
          </w:tcPr>
          <w:p w14:paraId="36732E99">
            <w:pPr>
              <w:jc w:val="center"/>
              <w:rPr>
                <w:rFonts w:ascii="宋体" w:hAnsi="宋体" w:eastAsia="宋体"/>
                <w:sz w:val="24"/>
              </w:rPr>
            </w:pPr>
          </w:p>
        </w:tc>
        <w:tc>
          <w:tcPr>
            <w:tcW w:w="482" w:type="pct"/>
            <w:vAlign w:val="center"/>
          </w:tcPr>
          <w:p w14:paraId="3E2498C8">
            <w:pPr>
              <w:jc w:val="center"/>
              <w:rPr>
                <w:rFonts w:ascii="宋体" w:hAnsi="宋体" w:eastAsia="宋体"/>
                <w:sz w:val="24"/>
              </w:rPr>
            </w:pPr>
          </w:p>
        </w:tc>
        <w:tc>
          <w:tcPr>
            <w:tcW w:w="780" w:type="pct"/>
            <w:vAlign w:val="center"/>
          </w:tcPr>
          <w:p w14:paraId="0D7B77E9">
            <w:pPr>
              <w:jc w:val="center"/>
              <w:rPr>
                <w:rFonts w:ascii="宋体" w:hAnsi="宋体" w:eastAsia="宋体"/>
                <w:sz w:val="24"/>
              </w:rPr>
            </w:pPr>
          </w:p>
        </w:tc>
        <w:tc>
          <w:tcPr>
            <w:tcW w:w="780" w:type="pct"/>
            <w:vAlign w:val="center"/>
          </w:tcPr>
          <w:p w14:paraId="4230ECA3">
            <w:pPr>
              <w:jc w:val="center"/>
              <w:rPr>
                <w:rFonts w:ascii="宋体" w:hAnsi="宋体" w:eastAsia="宋体"/>
                <w:sz w:val="24"/>
              </w:rPr>
            </w:pPr>
          </w:p>
        </w:tc>
      </w:tr>
      <w:tr w14:paraId="7C56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 w:type="pct"/>
            <w:vAlign w:val="center"/>
          </w:tcPr>
          <w:p w14:paraId="38B58B14">
            <w:pPr>
              <w:jc w:val="center"/>
              <w:rPr>
                <w:rFonts w:ascii="宋体" w:hAnsi="宋体" w:eastAsia="宋体"/>
                <w:sz w:val="24"/>
              </w:rPr>
            </w:pPr>
          </w:p>
        </w:tc>
        <w:tc>
          <w:tcPr>
            <w:tcW w:w="1528" w:type="pct"/>
            <w:gridSpan w:val="2"/>
            <w:vAlign w:val="center"/>
          </w:tcPr>
          <w:p w14:paraId="03B22AF1">
            <w:pPr>
              <w:jc w:val="center"/>
              <w:rPr>
                <w:rFonts w:ascii="宋体" w:hAnsi="宋体" w:eastAsia="宋体"/>
                <w:sz w:val="24"/>
              </w:rPr>
            </w:pPr>
            <w:r>
              <w:rPr>
                <w:rFonts w:ascii="宋体" w:hAnsi="宋体" w:eastAsia="宋体"/>
                <w:sz w:val="24"/>
              </w:rPr>
              <w:t>……</w:t>
            </w:r>
          </w:p>
        </w:tc>
        <w:tc>
          <w:tcPr>
            <w:tcW w:w="458" w:type="pct"/>
            <w:vAlign w:val="center"/>
          </w:tcPr>
          <w:p w14:paraId="3EB1161D">
            <w:pPr>
              <w:jc w:val="center"/>
              <w:rPr>
                <w:rFonts w:ascii="宋体" w:hAnsi="宋体" w:eastAsia="宋体"/>
                <w:sz w:val="24"/>
              </w:rPr>
            </w:pPr>
          </w:p>
        </w:tc>
        <w:tc>
          <w:tcPr>
            <w:tcW w:w="501" w:type="pct"/>
            <w:vAlign w:val="center"/>
          </w:tcPr>
          <w:p w14:paraId="45C1B74C">
            <w:pPr>
              <w:jc w:val="center"/>
              <w:rPr>
                <w:rFonts w:ascii="宋体" w:hAnsi="宋体" w:eastAsia="宋体"/>
                <w:sz w:val="24"/>
              </w:rPr>
            </w:pPr>
          </w:p>
        </w:tc>
        <w:tc>
          <w:tcPr>
            <w:tcW w:w="482" w:type="pct"/>
            <w:vAlign w:val="center"/>
          </w:tcPr>
          <w:p w14:paraId="5976F1D8">
            <w:pPr>
              <w:jc w:val="center"/>
              <w:rPr>
                <w:rFonts w:ascii="宋体" w:hAnsi="宋体" w:eastAsia="宋体"/>
                <w:sz w:val="24"/>
              </w:rPr>
            </w:pPr>
          </w:p>
        </w:tc>
        <w:tc>
          <w:tcPr>
            <w:tcW w:w="780" w:type="pct"/>
            <w:vAlign w:val="center"/>
          </w:tcPr>
          <w:p w14:paraId="109D3BFB">
            <w:pPr>
              <w:jc w:val="center"/>
              <w:rPr>
                <w:rFonts w:ascii="宋体" w:hAnsi="宋体" w:eastAsia="宋体"/>
                <w:sz w:val="24"/>
              </w:rPr>
            </w:pPr>
          </w:p>
        </w:tc>
        <w:tc>
          <w:tcPr>
            <w:tcW w:w="780" w:type="pct"/>
            <w:vAlign w:val="center"/>
          </w:tcPr>
          <w:p w14:paraId="32CCFCEE">
            <w:pPr>
              <w:jc w:val="center"/>
              <w:rPr>
                <w:rFonts w:ascii="宋体" w:hAnsi="宋体" w:eastAsia="宋体"/>
                <w:sz w:val="24"/>
              </w:rPr>
            </w:pPr>
          </w:p>
        </w:tc>
      </w:tr>
      <w:tr w14:paraId="56ED6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86" w:type="pct"/>
            <w:gridSpan w:val="2"/>
            <w:vAlign w:val="center"/>
          </w:tcPr>
          <w:p w14:paraId="7B8BD6DE">
            <w:pPr>
              <w:jc w:val="center"/>
              <w:rPr>
                <w:rFonts w:ascii="宋体" w:hAnsi="宋体" w:eastAsia="宋体"/>
                <w:b/>
                <w:sz w:val="24"/>
              </w:rPr>
            </w:pPr>
          </w:p>
        </w:tc>
        <w:tc>
          <w:tcPr>
            <w:tcW w:w="2651" w:type="pct"/>
            <w:gridSpan w:val="4"/>
            <w:vAlign w:val="center"/>
          </w:tcPr>
          <w:p w14:paraId="6E307018">
            <w:pPr>
              <w:jc w:val="center"/>
              <w:rPr>
                <w:rFonts w:ascii="宋体" w:hAnsi="宋体" w:eastAsia="宋体"/>
                <w:sz w:val="24"/>
              </w:rPr>
            </w:pPr>
            <w:r>
              <w:rPr>
                <w:rFonts w:hint="eastAsia" w:ascii="宋体" w:hAnsi="宋体" w:eastAsia="宋体"/>
                <w:b/>
                <w:sz w:val="24"/>
              </w:rPr>
              <w:t>合计金额（元）</w:t>
            </w:r>
          </w:p>
        </w:tc>
        <w:tc>
          <w:tcPr>
            <w:tcW w:w="780" w:type="pct"/>
            <w:vAlign w:val="center"/>
          </w:tcPr>
          <w:p w14:paraId="0DF5C1B7">
            <w:pPr>
              <w:jc w:val="center"/>
              <w:rPr>
                <w:rFonts w:ascii="宋体" w:hAnsi="宋体" w:eastAsia="宋体"/>
                <w:sz w:val="24"/>
              </w:rPr>
            </w:pPr>
          </w:p>
        </w:tc>
        <w:tc>
          <w:tcPr>
            <w:tcW w:w="780" w:type="pct"/>
            <w:vAlign w:val="center"/>
          </w:tcPr>
          <w:p w14:paraId="3D6823DE">
            <w:pPr>
              <w:jc w:val="center"/>
              <w:rPr>
                <w:rFonts w:ascii="宋体" w:hAnsi="宋体" w:eastAsia="宋体"/>
                <w:sz w:val="24"/>
              </w:rPr>
            </w:pPr>
          </w:p>
        </w:tc>
      </w:tr>
    </w:tbl>
    <w:p w14:paraId="10EB0E9F">
      <w:pPr>
        <w:spacing w:line="360" w:lineRule="auto"/>
        <w:ind w:firstLine="4800" w:firstLineChars="2000"/>
        <w:rPr>
          <w:rFonts w:ascii="宋体" w:hAnsi="宋体" w:eastAsia="宋体"/>
          <w:sz w:val="24"/>
        </w:rPr>
      </w:pPr>
    </w:p>
    <w:p w14:paraId="0BE05BBF">
      <w:pPr>
        <w:spacing w:line="360" w:lineRule="auto"/>
        <w:ind w:firstLine="4800" w:firstLineChars="2000"/>
        <w:rPr>
          <w:rFonts w:ascii="宋体" w:hAnsi="宋体" w:eastAsia="宋体"/>
          <w:sz w:val="24"/>
        </w:rPr>
      </w:pPr>
      <w:r>
        <w:rPr>
          <w:rFonts w:hint="eastAsia" w:ascii="宋体" w:hAnsi="宋体" w:eastAsia="宋体"/>
          <w:sz w:val="24"/>
        </w:rPr>
        <w:t>供应商电子签章：</w:t>
      </w:r>
    </w:p>
    <w:p w14:paraId="288C0BF8">
      <w:pPr>
        <w:spacing w:line="360" w:lineRule="auto"/>
        <w:ind w:firstLine="4800" w:firstLineChars="2000"/>
        <w:rPr>
          <w:rFonts w:ascii="宋体" w:hAnsi="宋体" w:eastAsia="宋体"/>
          <w:sz w:val="24"/>
          <w:u w:val="single"/>
        </w:rPr>
      </w:pPr>
      <w:r>
        <w:rPr>
          <w:rFonts w:hint="eastAsia" w:ascii="宋体" w:hAnsi="宋体" w:eastAsia="宋体"/>
          <w:sz w:val="24"/>
        </w:rPr>
        <w:t>日          期：</w:t>
      </w:r>
    </w:p>
    <w:p w14:paraId="615CD6E0">
      <w:pPr>
        <w:adjustRightInd w:val="0"/>
        <w:snapToGrid w:val="0"/>
        <w:spacing w:line="360" w:lineRule="auto"/>
        <w:rPr>
          <w:rFonts w:ascii="宋体" w:hAnsi="宋体" w:eastAsia="宋体"/>
          <w:b/>
          <w:bCs/>
          <w:sz w:val="24"/>
          <w:szCs w:val="28"/>
        </w:rPr>
      </w:pPr>
      <w:r>
        <w:rPr>
          <w:rFonts w:hint="eastAsia" w:ascii="宋体" w:hAnsi="宋体" w:eastAsia="宋体"/>
          <w:b/>
          <w:bCs/>
          <w:sz w:val="24"/>
          <w:szCs w:val="28"/>
        </w:rPr>
        <w:t>注：</w:t>
      </w:r>
    </w:p>
    <w:p w14:paraId="7484FE6B">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表中所列服务为对应本项目需求的全部服务内容。如有漏项或缺项，供应商承担全部责任。</w:t>
      </w:r>
    </w:p>
    <w:p w14:paraId="7868A051">
      <w:pPr>
        <w:adjustRightInd w:val="0"/>
        <w:snapToGrid w:val="0"/>
        <w:spacing w:line="360" w:lineRule="auto"/>
        <w:ind w:firstLine="482" w:firstLineChars="200"/>
        <w:rPr>
          <w:rFonts w:ascii="宋体" w:hAnsi="宋体" w:eastAsia="宋体"/>
          <w:b/>
          <w:bCs/>
          <w:sz w:val="24"/>
          <w:szCs w:val="28"/>
        </w:rPr>
      </w:pPr>
    </w:p>
    <w:p w14:paraId="180D7825">
      <w:pPr>
        <w:rPr>
          <w:rFonts w:asciiTheme="minorEastAsia" w:hAnsiTheme="minorEastAsia" w:eastAsiaTheme="minorEastAsia"/>
          <w:b/>
          <w:sz w:val="24"/>
        </w:rPr>
      </w:pPr>
      <w:bookmarkStart w:id="437" w:name="_Toc461056632"/>
      <w:bookmarkStart w:id="438" w:name="_Toc461053087"/>
      <w:bookmarkStart w:id="439" w:name="_Toc32436"/>
      <w:bookmarkStart w:id="440" w:name="_Toc28695"/>
      <w:bookmarkStart w:id="441" w:name="_Toc520983588"/>
      <w:r>
        <w:rPr>
          <w:rFonts w:hint="eastAsia" w:asciiTheme="minorEastAsia" w:hAnsiTheme="minorEastAsia" w:eastAsiaTheme="minorEastAsia"/>
          <w:b/>
          <w:sz w:val="24"/>
        </w:rPr>
        <w:br w:type="page"/>
      </w:r>
    </w:p>
    <w:p w14:paraId="28C2D85A">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二</w:t>
      </w:r>
      <w:bookmarkEnd w:id="437"/>
      <w:bookmarkEnd w:id="438"/>
      <w:r>
        <w:rPr>
          <w:rFonts w:hint="eastAsia" w:asciiTheme="minorEastAsia" w:hAnsiTheme="minorEastAsia" w:eastAsiaTheme="minorEastAsia"/>
          <w:b/>
          <w:sz w:val="24"/>
        </w:rPr>
        <w:t>、最后承诺报价表</w:t>
      </w:r>
      <w:bookmarkEnd w:id="439"/>
      <w:bookmarkEnd w:id="440"/>
      <w:bookmarkEnd w:id="441"/>
    </w:p>
    <w:p w14:paraId="6784BF33">
      <w:pPr>
        <w:spacing w:beforeLines="50" w:afterLines="50" w:line="360" w:lineRule="auto"/>
        <w:ind w:firstLine="236" w:firstLineChars="98"/>
        <w:jc w:val="center"/>
        <w:rPr>
          <w:rFonts w:ascii="宋体" w:hAnsi="宋体" w:eastAsia="宋体"/>
          <w:b/>
          <w:sz w:val="24"/>
          <w:szCs w:val="28"/>
        </w:rPr>
      </w:pPr>
      <w:r>
        <w:rPr>
          <w:rFonts w:hint="eastAsia" w:ascii="宋体" w:hAnsi="宋体" w:eastAsia="宋体"/>
          <w:b/>
          <w:sz w:val="24"/>
          <w:szCs w:val="28"/>
        </w:rPr>
        <w:t>（第次报价书）</w:t>
      </w:r>
    </w:p>
    <w:p w14:paraId="79A7E0F2">
      <w:pPr>
        <w:snapToGrid w:val="0"/>
        <w:spacing w:line="360" w:lineRule="auto"/>
        <w:jc w:val="left"/>
        <w:rPr>
          <w:rFonts w:ascii="宋体" w:hAnsi="宋体" w:eastAsia="宋体"/>
          <w:b/>
          <w:sz w:val="24"/>
          <w:szCs w:val="28"/>
        </w:rPr>
      </w:pPr>
      <w:r>
        <w:rPr>
          <w:rFonts w:hint="eastAsia" w:ascii="宋体" w:hAnsi="宋体" w:eastAsia="宋体"/>
          <w:b/>
          <w:sz w:val="24"/>
          <w:szCs w:val="28"/>
        </w:rPr>
        <w:t>项目名称：</w:t>
      </w:r>
    </w:p>
    <w:p w14:paraId="0D04A259">
      <w:pPr>
        <w:snapToGrid w:val="0"/>
        <w:spacing w:afterLines="50" w:line="360" w:lineRule="auto"/>
        <w:jc w:val="left"/>
        <w:rPr>
          <w:rFonts w:ascii="宋体" w:hAnsi="宋体" w:eastAsia="宋体"/>
          <w:b/>
          <w:bCs/>
          <w:sz w:val="24"/>
          <w:szCs w:val="28"/>
        </w:rPr>
      </w:pPr>
      <w:r>
        <w:rPr>
          <w:rFonts w:hint="eastAsia" w:ascii="宋体" w:hAnsi="宋体" w:eastAsia="宋体"/>
          <w:b/>
          <w:sz w:val="24"/>
          <w:szCs w:val="28"/>
        </w:rPr>
        <w:t>项目编号：</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2CEED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5BC74B87">
            <w:pPr>
              <w:spacing w:line="360" w:lineRule="auto"/>
              <w:jc w:val="center"/>
              <w:rPr>
                <w:rFonts w:ascii="宋体" w:hAnsi="宋体" w:eastAsia="宋体"/>
                <w:b/>
                <w:sz w:val="24"/>
              </w:rPr>
            </w:pPr>
            <w:r>
              <w:rPr>
                <w:rFonts w:hint="eastAsia" w:ascii="宋体" w:hAnsi="宋体" w:eastAsia="宋体"/>
                <w:b/>
                <w:sz w:val="24"/>
              </w:rPr>
              <w:t>供应商名称</w:t>
            </w:r>
          </w:p>
        </w:tc>
        <w:tc>
          <w:tcPr>
            <w:tcW w:w="3557" w:type="pct"/>
            <w:tcBorders>
              <w:left w:val="single" w:color="auto" w:sz="4" w:space="0"/>
            </w:tcBorders>
          </w:tcPr>
          <w:p w14:paraId="423D2CD6">
            <w:pPr>
              <w:spacing w:line="360" w:lineRule="auto"/>
              <w:rPr>
                <w:rFonts w:ascii="宋体" w:hAnsi="宋体" w:eastAsia="宋体"/>
                <w:b/>
                <w:sz w:val="24"/>
              </w:rPr>
            </w:pPr>
          </w:p>
        </w:tc>
      </w:tr>
      <w:tr w14:paraId="17AF7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B703488">
            <w:pPr>
              <w:spacing w:line="360" w:lineRule="exact"/>
              <w:jc w:val="center"/>
              <w:rPr>
                <w:rFonts w:ascii="宋体" w:hAnsi="宋体" w:eastAsia="宋体"/>
                <w:b/>
                <w:sz w:val="24"/>
              </w:rPr>
            </w:pPr>
            <w:r>
              <w:rPr>
                <w:rFonts w:hint="eastAsia" w:ascii="宋体" w:hAnsi="宋体" w:eastAsia="宋体"/>
                <w:b/>
                <w:bCs/>
                <w:sz w:val="24"/>
                <w:szCs w:val="28"/>
              </w:rPr>
              <w:t>磋商</w:t>
            </w:r>
            <w:r>
              <w:rPr>
                <w:rFonts w:hint="eastAsia" w:ascii="宋体" w:hAnsi="宋体" w:eastAsia="宋体"/>
                <w:b/>
                <w:sz w:val="24"/>
              </w:rPr>
              <w:t>范围</w:t>
            </w:r>
          </w:p>
        </w:tc>
        <w:tc>
          <w:tcPr>
            <w:tcW w:w="3557" w:type="pct"/>
            <w:tcBorders>
              <w:left w:val="single" w:color="auto" w:sz="4" w:space="0"/>
            </w:tcBorders>
            <w:vAlign w:val="center"/>
          </w:tcPr>
          <w:p w14:paraId="5DE3B2BD">
            <w:pPr>
              <w:widowControl/>
              <w:spacing w:line="360" w:lineRule="exact"/>
              <w:rPr>
                <w:rFonts w:ascii="宋体" w:hAnsi="宋体" w:eastAsia="宋体"/>
                <w:b/>
                <w:sz w:val="24"/>
              </w:rPr>
            </w:pPr>
            <w:r>
              <w:rPr>
                <w:rFonts w:hint="eastAsia" w:asciiTheme="minorEastAsia" w:hAnsiTheme="minorEastAsia" w:eastAsiaTheme="minorEastAsia"/>
                <w:sz w:val="24"/>
                <w:szCs w:val="28"/>
              </w:rPr>
              <w:t xml:space="preserve">全部 </w:t>
            </w:r>
          </w:p>
        </w:tc>
      </w:tr>
      <w:tr w14:paraId="2BEDA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04282C8A">
            <w:pPr>
              <w:spacing w:line="360" w:lineRule="auto"/>
              <w:jc w:val="center"/>
              <w:rPr>
                <w:rFonts w:ascii="宋体" w:hAnsi="宋体" w:eastAsia="宋体"/>
                <w:b/>
                <w:sz w:val="24"/>
              </w:rPr>
            </w:pPr>
            <w:r>
              <w:rPr>
                <w:rFonts w:hint="eastAsia" w:ascii="宋体" w:hAnsi="宋体" w:eastAsia="宋体"/>
                <w:b/>
                <w:bCs/>
                <w:sz w:val="24"/>
                <w:szCs w:val="28"/>
              </w:rPr>
              <w:t>最后报价</w:t>
            </w:r>
          </w:p>
          <w:p w14:paraId="5CDEE43C">
            <w:pPr>
              <w:spacing w:line="360" w:lineRule="auto"/>
              <w:jc w:val="center"/>
              <w:rPr>
                <w:rFonts w:ascii="宋体" w:hAnsi="宋体" w:eastAsia="宋体"/>
                <w:b/>
                <w:sz w:val="24"/>
              </w:rPr>
            </w:pPr>
            <w:r>
              <w:rPr>
                <w:rFonts w:hint="eastAsia" w:ascii="宋体" w:hAnsi="宋体" w:eastAsia="宋体"/>
                <w:b/>
                <w:sz w:val="24"/>
              </w:rPr>
              <w:t>（详见备注说明）</w:t>
            </w:r>
          </w:p>
        </w:tc>
        <w:tc>
          <w:tcPr>
            <w:tcW w:w="3557" w:type="pct"/>
            <w:vAlign w:val="center"/>
          </w:tcPr>
          <w:p w14:paraId="3F1D561C">
            <w:pPr>
              <w:snapToGrid w:val="0"/>
              <w:spacing w:line="360" w:lineRule="auto"/>
              <w:rPr>
                <w:rFonts w:ascii="宋体" w:hAnsi="宋体" w:eastAsia="宋体"/>
                <w:sz w:val="24"/>
                <w:szCs w:val="28"/>
              </w:rPr>
            </w:pPr>
          </w:p>
          <w:p w14:paraId="34630257">
            <w:pPr>
              <w:snapToGrid w:val="0"/>
              <w:spacing w:line="360" w:lineRule="auto"/>
              <w:jc w:val="left"/>
              <w:rPr>
                <w:rFonts w:ascii="宋体" w:hAnsi="宋体" w:eastAsia="宋体" w:cs="宋体"/>
                <w:bCs/>
                <w:sz w:val="24"/>
                <w:szCs w:val="24"/>
                <w:u w:val="single"/>
              </w:rPr>
            </w:pPr>
            <w:r>
              <w:rPr>
                <w:rFonts w:hint="eastAsia" w:ascii="宋体" w:hAnsi="宋体" w:eastAsia="宋体" w:cs="宋体"/>
                <w:bCs/>
                <w:sz w:val="24"/>
                <w:szCs w:val="24"/>
              </w:rPr>
              <w:t>人民币大写：</w:t>
            </w:r>
          </w:p>
          <w:p w14:paraId="75F617DE">
            <w:pPr>
              <w:spacing w:line="360" w:lineRule="auto"/>
              <w:ind w:right="-670"/>
              <w:rPr>
                <w:rFonts w:ascii="宋体" w:hAnsi="宋体" w:eastAsia="宋体"/>
                <w:b/>
                <w:sz w:val="24"/>
              </w:rPr>
            </w:pPr>
            <w:r>
              <w:rPr>
                <w:rFonts w:hint="eastAsia" w:ascii="宋体" w:hAnsi="宋体" w:eastAsia="宋体" w:cs="宋体"/>
                <w:bCs/>
                <w:sz w:val="24"/>
                <w:szCs w:val="24"/>
              </w:rPr>
              <w:t>人民币小写：</w:t>
            </w:r>
          </w:p>
        </w:tc>
      </w:tr>
      <w:tr w14:paraId="7C6F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1443" w:type="pct"/>
            <w:vAlign w:val="center"/>
          </w:tcPr>
          <w:p w14:paraId="2AE0DDCE">
            <w:pPr>
              <w:spacing w:line="360" w:lineRule="auto"/>
              <w:jc w:val="center"/>
              <w:rPr>
                <w:rFonts w:ascii="宋体" w:hAnsi="宋体" w:eastAsia="宋体"/>
                <w:b/>
                <w:sz w:val="24"/>
              </w:rPr>
            </w:pPr>
            <w:r>
              <w:rPr>
                <w:rFonts w:hint="eastAsia" w:ascii="宋体" w:hAnsi="宋体" w:eastAsia="宋体"/>
                <w:b/>
                <w:sz w:val="24"/>
              </w:rPr>
              <w:t>备注说明</w:t>
            </w:r>
          </w:p>
        </w:tc>
        <w:tc>
          <w:tcPr>
            <w:tcW w:w="3557" w:type="pct"/>
          </w:tcPr>
          <w:p w14:paraId="14AEAC50">
            <w:pPr>
              <w:spacing w:line="360" w:lineRule="auto"/>
              <w:rPr>
                <w:rFonts w:ascii="宋体" w:hAnsi="宋体" w:eastAsia="宋体"/>
                <w:b/>
                <w:sz w:val="24"/>
              </w:rPr>
            </w:pPr>
            <w:r>
              <w:rPr>
                <w:rFonts w:hint="eastAsia" w:ascii="宋体" w:hAnsi="宋体" w:eastAsia="宋体"/>
                <w:b/>
                <w:i/>
                <w:sz w:val="24"/>
              </w:rPr>
              <w:t>（此处可补充磋商小组根据与供应商磋商情况变动的磋商文件的内容，包括采购需求中的技术、服务要求以及合同草案条款。）</w:t>
            </w:r>
          </w:p>
        </w:tc>
      </w:tr>
      <w:tr w14:paraId="3A142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vAlign w:val="center"/>
          </w:tcPr>
          <w:p w14:paraId="378E363D">
            <w:pPr>
              <w:spacing w:line="360" w:lineRule="auto"/>
              <w:jc w:val="center"/>
              <w:rPr>
                <w:rFonts w:ascii="宋体" w:hAnsi="宋体" w:eastAsia="宋体"/>
                <w:b/>
                <w:sz w:val="24"/>
              </w:rPr>
            </w:pPr>
            <w:r>
              <w:rPr>
                <w:rFonts w:hint="eastAsia" w:ascii="宋体" w:hAnsi="宋体" w:eastAsia="宋体"/>
                <w:b/>
                <w:bCs/>
                <w:sz w:val="24"/>
                <w:szCs w:val="28"/>
              </w:rPr>
              <w:t>磋商小组</w:t>
            </w:r>
            <w:r>
              <w:rPr>
                <w:rFonts w:ascii="宋体" w:hAnsi="宋体" w:eastAsia="宋体"/>
                <w:b/>
                <w:bCs/>
                <w:sz w:val="24"/>
                <w:szCs w:val="28"/>
              </w:rPr>
              <w:t>签字</w:t>
            </w:r>
          </w:p>
        </w:tc>
        <w:tc>
          <w:tcPr>
            <w:tcW w:w="3557" w:type="pct"/>
          </w:tcPr>
          <w:p w14:paraId="04827516">
            <w:pPr>
              <w:spacing w:line="360" w:lineRule="auto"/>
              <w:rPr>
                <w:rFonts w:ascii="宋体" w:hAnsi="宋体" w:eastAsia="宋体"/>
                <w:b/>
                <w:sz w:val="24"/>
              </w:rPr>
            </w:pPr>
          </w:p>
        </w:tc>
      </w:tr>
    </w:tbl>
    <w:p w14:paraId="17872C77">
      <w:pPr>
        <w:spacing w:line="360" w:lineRule="auto"/>
        <w:ind w:firstLine="3600" w:firstLineChars="1500"/>
        <w:jc w:val="left"/>
        <w:rPr>
          <w:rFonts w:ascii="宋体" w:hAnsi="宋体" w:eastAsia="宋体"/>
          <w:sz w:val="24"/>
        </w:rPr>
      </w:pPr>
      <w:r>
        <w:rPr>
          <w:rFonts w:hint="eastAsia" w:ascii="宋体" w:hAnsi="宋体" w:eastAsia="宋体"/>
          <w:sz w:val="24"/>
        </w:rPr>
        <w:t>供应商公章或授权代表签字：</w:t>
      </w:r>
    </w:p>
    <w:p w14:paraId="4FF75198">
      <w:pPr>
        <w:spacing w:line="360" w:lineRule="auto"/>
        <w:ind w:firstLine="4800" w:firstLineChars="2000"/>
        <w:rPr>
          <w:rFonts w:ascii="宋体" w:hAnsi="宋体" w:eastAsia="宋体"/>
          <w:sz w:val="24"/>
          <w:u w:val="single"/>
        </w:rPr>
      </w:pPr>
      <w:r>
        <w:rPr>
          <w:rFonts w:hint="eastAsia" w:ascii="宋体" w:hAnsi="宋体" w:eastAsia="宋体"/>
          <w:sz w:val="24"/>
        </w:rPr>
        <w:t>日          期：</w:t>
      </w:r>
    </w:p>
    <w:p w14:paraId="0783125B">
      <w:pPr>
        <w:spacing w:line="360" w:lineRule="auto"/>
        <w:jc w:val="left"/>
        <w:rPr>
          <w:rFonts w:ascii="宋体" w:hAnsi="宋体" w:eastAsia="宋体"/>
          <w:b/>
          <w:bCs/>
          <w:sz w:val="24"/>
        </w:rPr>
      </w:pPr>
      <w:r>
        <w:rPr>
          <w:rFonts w:hint="eastAsia" w:ascii="宋体" w:hAnsi="宋体" w:eastAsia="宋体"/>
          <w:b/>
          <w:bCs/>
          <w:sz w:val="24"/>
        </w:rPr>
        <w:t>注：</w:t>
      </w:r>
    </w:p>
    <w:p w14:paraId="657509B1">
      <w:pPr>
        <w:spacing w:line="360" w:lineRule="auto"/>
        <w:ind w:firstLine="482" w:firstLineChars="200"/>
        <w:jc w:val="left"/>
        <w:rPr>
          <w:rFonts w:ascii="宋体" w:hAnsi="宋体" w:eastAsia="宋体"/>
          <w:bCs/>
          <w:sz w:val="24"/>
        </w:rPr>
      </w:pPr>
      <w:r>
        <w:rPr>
          <w:rFonts w:hint="eastAsia" w:ascii="宋体" w:hAnsi="宋体" w:eastAsia="宋体"/>
          <w:b/>
          <w:bCs/>
          <w:sz w:val="24"/>
        </w:rPr>
        <w:t>1.本页《报价表》由供应商在接到报价通知后依据磋商情况填写,并在规定时间内提交。</w:t>
      </w:r>
      <w:r>
        <w:rPr>
          <w:rFonts w:hint="eastAsia" w:ascii="宋体" w:hAnsi="宋体" w:eastAsia="宋体"/>
          <w:sz w:val="24"/>
        </w:rPr>
        <w:t>考虑磋商报价的方便，供应商在填写最后承诺报价后，（第一次报价-最后承诺报价）除以第一次报价后得出的优惠率视同为需求表中全部分项设备、工程量或服务的优惠浮动值（特定分项优惠除外），而不考虑措施项目清单和规费税金清单的金额改变。</w:t>
      </w:r>
      <w:r>
        <w:rPr>
          <w:rFonts w:hint="eastAsia" w:ascii="宋体" w:hAnsi="宋体" w:eastAsia="宋体"/>
          <w:bCs/>
          <w:sz w:val="24"/>
        </w:rPr>
        <w:t>此优惠率调整原则适用于合同内价格的计算及项目增减、变更时价格的计算。</w:t>
      </w:r>
    </w:p>
    <w:p w14:paraId="6CDFF25A">
      <w:pPr>
        <w:adjustRightInd w:val="0"/>
        <w:snapToGrid w:val="0"/>
        <w:spacing w:line="360" w:lineRule="auto"/>
        <w:ind w:firstLine="482" w:firstLineChars="200"/>
        <w:rPr>
          <w:rFonts w:ascii="宋体" w:hAnsi="宋体" w:eastAsia="宋体"/>
          <w:bCs/>
          <w:sz w:val="24"/>
        </w:rPr>
      </w:pPr>
      <w:r>
        <w:rPr>
          <w:rFonts w:hint="eastAsia" w:ascii="宋体" w:hAnsi="宋体" w:eastAsia="宋体"/>
          <w:b/>
          <w:bCs/>
          <w:sz w:val="24"/>
          <w:szCs w:val="28"/>
        </w:rPr>
        <w:t>2.表中大写金额与小写金额不一致的，以大写金额为准。</w:t>
      </w:r>
    </w:p>
    <w:p w14:paraId="0F85608B">
      <w:pPr>
        <w:widowControl/>
        <w:jc w:val="left"/>
        <w:rPr>
          <w:rFonts w:ascii="宋体" w:hAnsi="宋体" w:eastAsia="宋体"/>
          <w:bCs/>
          <w:sz w:val="24"/>
        </w:rPr>
      </w:pPr>
    </w:p>
    <w:p w14:paraId="217A011C">
      <w:pPr>
        <w:spacing w:line="360" w:lineRule="auto"/>
        <w:jc w:val="center"/>
        <w:outlineLvl w:val="1"/>
        <w:rPr>
          <w:rFonts w:asciiTheme="minorEastAsia" w:hAnsiTheme="minorEastAsia" w:eastAsiaTheme="minorEastAsia"/>
          <w:b/>
          <w:sz w:val="24"/>
        </w:rPr>
      </w:pPr>
      <w:bookmarkStart w:id="442" w:name="_Toc520983591"/>
      <w:bookmarkStart w:id="443" w:name="_Toc11500"/>
      <w:bookmarkStart w:id="444" w:name="_Toc32385"/>
      <w:r>
        <w:rPr>
          <w:rFonts w:hint="eastAsia" w:asciiTheme="minorEastAsia" w:hAnsiTheme="minorEastAsia" w:eastAsiaTheme="minorEastAsia"/>
          <w:b/>
          <w:sz w:val="24"/>
        </w:rPr>
        <w:t>三、磋商响应函</w:t>
      </w:r>
      <w:bookmarkEnd w:id="442"/>
      <w:bookmarkEnd w:id="443"/>
      <w:bookmarkEnd w:id="444"/>
    </w:p>
    <w:p w14:paraId="152391BD">
      <w:pPr>
        <w:pStyle w:val="14"/>
        <w:spacing w:line="360" w:lineRule="auto"/>
        <w:rPr>
          <w:rFonts w:ascii="宋体" w:hAnsi="宋体"/>
          <w:sz w:val="24"/>
        </w:rPr>
      </w:pPr>
      <w:r>
        <w:rPr>
          <w:rFonts w:hint="eastAsia" w:ascii="宋体" w:hAnsi="宋体"/>
          <w:sz w:val="24"/>
        </w:rPr>
        <w:t>致：采购人</w:t>
      </w:r>
    </w:p>
    <w:p w14:paraId="3F49F984">
      <w:pPr>
        <w:spacing w:line="360" w:lineRule="auto"/>
        <w:ind w:firstLine="480" w:firstLineChars="200"/>
        <w:rPr>
          <w:rFonts w:ascii="宋体" w:hAnsi="宋体" w:eastAsia="宋体"/>
          <w:dstrike/>
          <w:sz w:val="24"/>
          <w:highlight w:val="yellow"/>
        </w:rPr>
      </w:pPr>
      <w:r>
        <w:rPr>
          <w:rFonts w:hint="eastAsia" w:ascii="宋体" w:hAnsi="宋体" w:eastAsia="宋体"/>
          <w:sz w:val="24"/>
        </w:rPr>
        <w:t>根据贵方的</w:t>
      </w:r>
      <w:bookmarkStart w:id="445" w:name="_Hlk44287543"/>
      <w:r>
        <w:rPr>
          <w:rFonts w:hint="eastAsia" w:ascii="宋体" w:hAnsi="宋体" w:eastAsia="宋体"/>
          <w:sz w:val="24"/>
        </w:rPr>
        <w:t>竞争性磋商公告和磋商邀请</w:t>
      </w:r>
      <w:bookmarkEnd w:id="445"/>
      <w:r>
        <w:rPr>
          <w:rFonts w:hint="eastAsia" w:ascii="宋体" w:hAnsi="宋体" w:eastAsia="宋体"/>
          <w:sz w:val="24"/>
        </w:rPr>
        <w:t>，我方兹宣布同意如下：</w:t>
      </w:r>
    </w:p>
    <w:p w14:paraId="7B06C08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宋体" w:hAnsi="宋体" w:eastAsia="宋体" w:cs="宋体"/>
          <w:sz w:val="24"/>
          <w:szCs w:val="24"/>
        </w:rPr>
        <w:t>我方根据磋商文件的规定，严格履行合同的责任和义务,并保证于买方要求的日期内完成，并通过买方验收。</w:t>
      </w:r>
    </w:p>
    <w:p w14:paraId="33DF739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2.我方已详细审核全部磋商文件，包括磋商文件附件及更正公告（如有），我方正式认可并遵守本次磋商文件，并对磋商文件各项条款、规定及要求均无异议。</w:t>
      </w:r>
    </w:p>
    <w:p w14:paraId="1B81272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3.我方同意从磋商文件规定的磋商日期起遵循本磋商文件，并在磋商文件规定的磋商有效期之前均具有约束力。</w:t>
      </w:r>
    </w:p>
    <w:p w14:paraId="73AF25D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我方声明响应文件所提供的一切资料均真实无误、及时、有效，企业运营正常。由于我方提供资料不实而造成的责任和后果由我方承担。我方同意按照贵方提出的要求，提供与磋商有关的任何证据、数据或资料。</w:t>
      </w:r>
    </w:p>
    <w:p w14:paraId="2A64E2FF">
      <w:pPr>
        <w:spacing w:line="360" w:lineRule="auto"/>
        <w:ind w:firstLine="480" w:firstLineChars="200"/>
        <w:rPr>
          <w:rFonts w:ascii="宋体" w:hAnsi="宋体" w:eastAsia="宋体"/>
          <w:sz w:val="24"/>
        </w:rPr>
      </w:pPr>
    </w:p>
    <w:p w14:paraId="48C41219">
      <w:pPr>
        <w:spacing w:line="360" w:lineRule="auto"/>
        <w:ind w:firstLine="4800" w:firstLineChars="2000"/>
        <w:rPr>
          <w:rFonts w:ascii="宋体" w:hAnsi="宋体" w:eastAsia="宋体"/>
          <w:sz w:val="24"/>
        </w:rPr>
      </w:pPr>
      <w:r>
        <w:rPr>
          <w:rFonts w:hint="eastAsia" w:ascii="宋体" w:hAnsi="宋体" w:eastAsia="宋体"/>
          <w:sz w:val="24"/>
        </w:rPr>
        <w:t>供应商电子签章：</w:t>
      </w:r>
    </w:p>
    <w:p w14:paraId="178EF202">
      <w:pPr>
        <w:spacing w:line="360" w:lineRule="auto"/>
        <w:ind w:firstLine="4800" w:firstLineChars="2000"/>
        <w:rPr>
          <w:rFonts w:ascii="宋体" w:hAnsi="宋体" w:eastAsia="宋体"/>
          <w:sz w:val="24"/>
          <w:u w:val="single"/>
        </w:rPr>
      </w:pPr>
      <w:r>
        <w:rPr>
          <w:rFonts w:hint="eastAsia" w:ascii="宋体" w:hAnsi="宋体" w:eastAsia="宋体"/>
          <w:sz w:val="24"/>
        </w:rPr>
        <w:t>日          期：</w:t>
      </w:r>
    </w:p>
    <w:p w14:paraId="5405D124">
      <w:pPr>
        <w:widowControl/>
        <w:jc w:val="left"/>
        <w:rPr>
          <w:rFonts w:ascii="宋体" w:hAnsi="宋体" w:eastAsia="宋体"/>
          <w:sz w:val="24"/>
        </w:rPr>
      </w:pPr>
      <w:r>
        <w:rPr>
          <w:rFonts w:ascii="宋体" w:hAnsi="宋体" w:eastAsia="宋体"/>
          <w:sz w:val="24"/>
        </w:rPr>
        <w:br w:type="page"/>
      </w:r>
    </w:p>
    <w:p w14:paraId="34F51A2C">
      <w:pPr>
        <w:spacing w:line="360" w:lineRule="auto"/>
        <w:jc w:val="center"/>
        <w:outlineLvl w:val="1"/>
        <w:rPr>
          <w:rFonts w:asciiTheme="minorEastAsia" w:hAnsiTheme="minorEastAsia" w:eastAsiaTheme="minorEastAsia"/>
          <w:b/>
          <w:sz w:val="24"/>
        </w:rPr>
      </w:pPr>
      <w:bookmarkStart w:id="446" w:name="_Toc21328"/>
      <w:r>
        <w:rPr>
          <w:rFonts w:hint="eastAsia" w:asciiTheme="minorEastAsia" w:hAnsiTheme="minorEastAsia" w:eastAsiaTheme="minorEastAsia"/>
          <w:b/>
          <w:sz w:val="24"/>
        </w:rPr>
        <w:t>四、供应商资格声明书</w:t>
      </w:r>
      <w:bookmarkEnd w:id="446"/>
    </w:p>
    <w:p w14:paraId="423F3072">
      <w:pPr>
        <w:pStyle w:val="14"/>
        <w:spacing w:line="360" w:lineRule="auto"/>
        <w:rPr>
          <w:rFonts w:asciiTheme="minorEastAsia" w:hAnsiTheme="minorEastAsia" w:cstheme="minorEastAsia"/>
          <w:sz w:val="24"/>
          <w:szCs w:val="24"/>
        </w:rPr>
      </w:pPr>
      <w:r>
        <w:rPr>
          <w:rFonts w:hint="eastAsia" w:ascii="宋体" w:hAnsi="宋体"/>
          <w:sz w:val="24"/>
        </w:rPr>
        <w:t>致：采购人</w:t>
      </w:r>
    </w:p>
    <w:p w14:paraId="72A7B567">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在参与本次项目磋商中，我单位承诺：</w:t>
      </w:r>
    </w:p>
    <w:p w14:paraId="1B8CF234">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（一）具有良好的商业信誉和健全的财务会计制度；</w:t>
      </w:r>
    </w:p>
    <w:p w14:paraId="403C6F23">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（二）具有履行合同所必需的设备和专业技术能力；</w:t>
      </w:r>
    </w:p>
    <w:p w14:paraId="40180754">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（三）有依法缴纳税收和社会保障资金的良好记录；</w:t>
      </w:r>
    </w:p>
    <w:p w14:paraId="6A64EC22">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912814D">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（五）我单位不存在为采购项目提供整体设计、规范编制或者项目管理、监理、检测等服务后，再参加该采购项目的其他采购活动的情形（单一来源采购项目除外）；</w:t>
      </w:r>
    </w:p>
    <w:p w14:paraId="78D5A867">
      <w:pPr>
        <w:widowControl/>
        <w:spacing w:line="360" w:lineRule="auto"/>
        <w:ind w:firstLine="480" w:firstLineChars="200"/>
        <w:jc w:val="left"/>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（六）与我单位存在单位负责人为同一人或者存在直接控股、管理关系的其他法人单位信息如下（如有，不论其是否参加同一合同项下的政府采购活动均须填写）：</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4191"/>
        <w:gridCol w:w="2510"/>
      </w:tblGrid>
      <w:tr w14:paraId="39B6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173B953E">
            <w:pPr>
              <w:widowControl/>
              <w:spacing w:line="360" w:lineRule="auto"/>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序号</w:t>
            </w:r>
          </w:p>
        </w:tc>
        <w:tc>
          <w:tcPr>
            <w:tcW w:w="4501" w:type="dxa"/>
          </w:tcPr>
          <w:p w14:paraId="170166D4">
            <w:pPr>
              <w:pStyle w:val="9"/>
              <w:jc w:val="center"/>
              <w:rPr>
                <w:rFonts w:asciiTheme="minorEastAsia" w:hAnsiTheme="minorEastAsia" w:eastAsiaTheme="minorEastAsia" w:cstheme="minorEastAsia"/>
                <w:color w:val="000000"/>
                <w:kern w:val="0"/>
                <w:sz w:val="24"/>
                <w:lang w:val="en-US"/>
              </w:rPr>
            </w:pPr>
            <w:r>
              <w:rPr>
                <w:rFonts w:hint="eastAsia" w:asciiTheme="minorEastAsia" w:hAnsiTheme="minorEastAsia" w:eastAsiaTheme="minorEastAsia" w:cstheme="minorEastAsia"/>
                <w:color w:val="000000"/>
                <w:kern w:val="0"/>
                <w:sz w:val="24"/>
                <w:lang w:val="en-US"/>
              </w:rPr>
              <w:t>单位名称</w:t>
            </w:r>
          </w:p>
        </w:tc>
        <w:tc>
          <w:tcPr>
            <w:tcW w:w="2681" w:type="dxa"/>
          </w:tcPr>
          <w:p w14:paraId="4E9F87B6">
            <w:pPr>
              <w:pStyle w:val="9"/>
              <w:jc w:val="center"/>
              <w:rPr>
                <w:rFonts w:asciiTheme="minorEastAsia" w:hAnsiTheme="minorEastAsia" w:eastAsiaTheme="minorEastAsia" w:cstheme="minorEastAsia"/>
                <w:color w:val="000000"/>
                <w:kern w:val="0"/>
                <w:sz w:val="24"/>
                <w:lang w:val="en-US"/>
              </w:rPr>
            </w:pPr>
            <w:r>
              <w:rPr>
                <w:rFonts w:hint="eastAsia" w:asciiTheme="minorEastAsia" w:hAnsiTheme="minorEastAsia" w:eastAsiaTheme="minorEastAsia" w:cstheme="minorEastAsia"/>
                <w:color w:val="000000"/>
                <w:kern w:val="0"/>
                <w:sz w:val="24"/>
                <w:lang w:val="en-US"/>
              </w:rPr>
              <w:t>相互关系</w:t>
            </w:r>
          </w:p>
        </w:tc>
      </w:tr>
      <w:tr w14:paraId="5205A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5B496FA1">
            <w:pPr>
              <w:pStyle w:val="9"/>
              <w:jc w:val="center"/>
              <w:rPr>
                <w:rFonts w:asciiTheme="minorEastAsia" w:hAnsiTheme="minorEastAsia" w:eastAsiaTheme="minorEastAsia" w:cstheme="minorEastAsia"/>
                <w:color w:val="000000"/>
                <w:kern w:val="0"/>
                <w:sz w:val="24"/>
                <w:lang w:val="en-US"/>
              </w:rPr>
            </w:pPr>
            <w:r>
              <w:rPr>
                <w:rFonts w:hint="eastAsia" w:asciiTheme="minorEastAsia" w:hAnsiTheme="minorEastAsia" w:eastAsiaTheme="minorEastAsia" w:cstheme="minorEastAsia"/>
                <w:color w:val="000000"/>
                <w:kern w:val="0"/>
                <w:sz w:val="24"/>
                <w:lang w:val="en-US"/>
              </w:rPr>
              <w:t>1</w:t>
            </w:r>
          </w:p>
        </w:tc>
        <w:tc>
          <w:tcPr>
            <w:tcW w:w="4501" w:type="dxa"/>
          </w:tcPr>
          <w:p w14:paraId="73A3E647">
            <w:pPr>
              <w:pStyle w:val="9"/>
              <w:jc w:val="center"/>
              <w:rPr>
                <w:rFonts w:asciiTheme="minorEastAsia" w:hAnsiTheme="minorEastAsia" w:eastAsiaTheme="minorEastAsia" w:cstheme="minorEastAsia"/>
                <w:color w:val="000000"/>
                <w:kern w:val="0"/>
                <w:sz w:val="24"/>
                <w:lang w:val="en-US"/>
              </w:rPr>
            </w:pPr>
          </w:p>
        </w:tc>
        <w:tc>
          <w:tcPr>
            <w:tcW w:w="2681" w:type="dxa"/>
          </w:tcPr>
          <w:p w14:paraId="70DFD7C9">
            <w:pPr>
              <w:pStyle w:val="9"/>
              <w:jc w:val="center"/>
              <w:rPr>
                <w:rFonts w:asciiTheme="minorEastAsia" w:hAnsiTheme="minorEastAsia" w:eastAsiaTheme="minorEastAsia" w:cstheme="minorEastAsia"/>
                <w:color w:val="000000"/>
                <w:kern w:val="0"/>
                <w:sz w:val="24"/>
                <w:lang w:val="en-US"/>
              </w:rPr>
            </w:pPr>
          </w:p>
        </w:tc>
      </w:tr>
      <w:tr w14:paraId="3FB6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151210B3">
            <w:pPr>
              <w:pStyle w:val="9"/>
              <w:jc w:val="center"/>
              <w:rPr>
                <w:rFonts w:asciiTheme="minorEastAsia" w:hAnsiTheme="minorEastAsia" w:eastAsiaTheme="minorEastAsia" w:cstheme="minorEastAsia"/>
                <w:color w:val="000000"/>
                <w:kern w:val="0"/>
                <w:sz w:val="24"/>
                <w:lang w:val="en-US"/>
              </w:rPr>
            </w:pPr>
            <w:r>
              <w:rPr>
                <w:rFonts w:hint="eastAsia" w:asciiTheme="minorEastAsia" w:hAnsiTheme="minorEastAsia" w:eastAsiaTheme="minorEastAsia" w:cstheme="minorEastAsia"/>
                <w:color w:val="000000"/>
                <w:kern w:val="0"/>
                <w:sz w:val="24"/>
                <w:lang w:val="en-US"/>
              </w:rPr>
              <w:t>2</w:t>
            </w:r>
          </w:p>
        </w:tc>
        <w:tc>
          <w:tcPr>
            <w:tcW w:w="4501" w:type="dxa"/>
          </w:tcPr>
          <w:p w14:paraId="6A6CD91F">
            <w:pPr>
              <w:pStyle w:val="9"/>
              <w:jc w:val="center"/>
              <w:rPr>
                <w:rFonts w:asciiTheme="minorEastAsia" w:hAnsiTheme="minorEastAsia" w:eastAsiaTheme="minorEastAsia" w:cstheme="minorEastAsia"/>
                <w:color w:val="000000"/>
                <w:kern w:val="0"/>
                <w:sz w:val="24"/>
                <w:lang w:val="en-US"/>
              </w:rPr>
            </w:pPr>
          </w:p>
        </w:tc>
        <w:tc>
          <w:tcPr>
            <w:tcW w:w="2681" w:type="dxa"/>
          </w:tcPr>
          <w:p w14:paraId="44373F57">
            <w:pPr>
              <w:pStyle w:val="9"/>
              <w:jc w:val="center"/>
              <w:rPr>
                <w:rFonts w:asciiTheme="minorEastAsia" w:hAnsiTheme="minorEastAsia" w:eastAsiaTheme="minorEastAsia" w:cstheme="minorEastAsia"/>
                <w:color w:val="000000"/>
                <w:kern w:val="0"/>
                <w:sz w:val="24"/>
                <w:lang w:val="en-US"/>
              </w:rPr>
            </w:pPr>
          </w:p>
        </w:tc>
      </w:tr>
    </w:tbl>
    <w:p w14:paraId="5ED13242">
      <w:pPr>
        <w:spacing w:line="360" w:lineRule="auto"/>
        <w:ind w:firstLine="435"/>
        <w:rPr>
          <w:rFonts w:ascii="宋体" w:hAnsi="宋体" w:eastAsia="宋体"/>
          <w:sz w:val="24"/>
        </w:rPr>
      </w:pPr>
      <w:r>
        <w:rPr>
          <w:rFonts w:hint="eastAsia" w:ascii="宋体" w:hAnsi="宋体" w:eastAsia="宋体"/>
          <w:sz w:val="24"/>
        </w:rPr>
        <w:t>本单位对</w:t>
      </w:r>
      <w:r>
        <w:rPr>
          <w:rFonts w:hint="eastAsia" w:asciiTheme="minorEastAsia" w:hAnsiTheme="minorEastAsia" w:eastAsiaTheme="minorEastAsia"/>
          <w:sz w:val="24"/>
        </w:rPr>
        <w:t>上述</w:t>
      </w:r>
      <w:r>
        <w:rPr>
          <w:rFonts w:hint="eastAsia" w:ascii="宋体" w:hAnsi="宋体" w:eastAsia="宋体"/>
          <w:sz w:val="24"/>
        </w:rPr>
        <w:t>声明的真实性负责。如有虚假，将依法承担相应责任。</w:t>
      </w:r>
    </w:p>
    <w:p w14:paraId="7EFCDF61">
      <w:pPr>
        <w:spacing w:line="360" w:lineRule="auto"/>
        <w:ind w:firstLine="4800" w:firstLineChars="2000"/>
        <w:rPr>
          <w:rFonts w:ascii="宋体" w:hAnsi="宋体" w:eastAsia="宋体"/>
          <w:sz w:val="24"/>
          <w:u w:val="single"/>
        </w:rPr>
      </w:pPr>
      <w:r>
        <w:rPr>
          <w:rFonts w:hint="eastAsia" w:ascii="宋体" w:hAnsi="宋体" w:eastAsia="宋体"/>
          <w:sz w:val="24"/>
        </w:rPr>
        <w:t>供应商电子签章：</w:t>
      </w:r>
    </w:p>
    <w:p w14:paraId="18691318">
      <w:pPr>
        <w:tabs>
          <w:tab w:val="left" w:pos="630"/>
        </w:tabs>
        <w:spacing w:line="360" w:lineRule="auto"/>
        <w:ind w:firstLine="4800" w:firstLineChars="2000"/>
        <w:rPr>
          <w:rFonts w:ascii="宋体" w:hAnsi="宋体" w:eastAsia="宋体"/>
          <w:sz w:val="24"/>
          <w:u w:val="single"/>
        </w:rPr>
      </w:pPr>
      <w:r>
        <w:rPr>
          <w:rFonts w:hint="eastAsia" w:ascii="宋体" w:hAnsi="宋体" w:eastAsia="宋体"/>
          <w:sz w:val="24"/>
        </w:rPr>
        <w:t>日      期：</w:t>
      </w:r>
    </w:p>
    <w:p w14:paraId="69A099E9">
      <w:pPr>
        <w:spacing w:line="440" w:lineRule="exact"/>
        <w:ind w:firstLine="4800" w:firstLineChars="2000"/>
        <w:rPr>
          <w:rFonts w:ascii="宋体" w:hAnsi="宋体" w:eastAsia="宋体"/>
          <w:sz w:val="24"/>
          <w:szCs w:val="24"/>
          <w:u w:val="single"/>
        </w:rPr>
      </w:pPr>
    </w:p>
    <w:p w14:paraId="61D81424">
      <w:pPr>
        <w:widowControl/>
        <w:jc w:val="left"/>
        <w:rPr>
          <w:rFonts w:ascii="宋体" w:hAnsi="宋体" w:eastAsia="宋体"/>
          <w:sz w:val="24"/>
        </w:rPr>
      </w:pPr>
      <w:r>
        <w:rPr>
          <w:rFonts w:ascii="宋体" w:hAnsi="宋体" w:eastAsia="宋体"/>
          <w:sz w:val="24"/>
        </w:rPr>
        <w:br w:type="page"/>
      </w:r>
    </w:p>
    <w:p w14:paraId="106B9796">
      <w:pPr>
        <w:spacing w:line="360" w:lineRule="auto"/>
        <w:jc w:val="center"/>
        <w:outlineLvl w:val="1"/>
        <w:rPr>
          <w:rFonts w:asciiTheme="minorEastAsia" w:hAnsiTheme="minorEastAsia" w:eastAsiaTheme="minorEastAsia"/>
          <w:b/>
          <w:sz w:val="24"/>
        </w:rPr>
      </w:pPr>
      <w:bookmarkStart w:id="447" w:name="_Toc516969106"/>
      <w:bookmarkStart w:id="448" w:name="_Toc121626298"/>
      <w:bookmarkStart w:id="449" w:name="_Toc26922"/>
      <w:bookmarkStart w:id="450" w:name="_Toc204594911"/>
      <w:bookmarkStart w:id="451" w:name="_Toc520983594"/>
      <w:bookmarkStart w:id="452" w:name="_Toc31518"/>
      <w:r>
        <w:rPr>
          <w:rFonts w:hint="eastAsia" w:asciiTheme="minorEastAsia" w:hAnsiTheme="minorEastAsia" w:eastAsiaTheme="minorEastAsia"/>
          <w:b/>
          <w:sz w:val="24"/>
        </w:rPr>
        <w:t>五、授权书</w:t>
      </w:r>
      <w:bookmarkEnd w:id="447"/>
      <w:bookmarkEnd w:id="448"/>
      <w:bookmarkEnd w:id="449"/>
      <w:bookmarkEnd w:id="450"/>
      <w:bookmarkEnd w:id="451"/>
      <w:bookmarkEnd w:id="452"/>
    </w:p>
    <w:p w14:paraId="4742A4F8">
      <w:pPr>
        <w:spacing w:line="360" w:lineRule="auto"/>
        <w:jc w:val="center"/>
        <w:rPr>
          <w:rFonts w:asciiTheme="minorEastAsia" w:hAnsiTheme="minorEastAsia" w:eastAsiaTheme="minorEastAsia"/>
          <w:b/>
          <w:sz w:val="24"/>
        </w:rPr>
      </w:pPr>
    </w:p>
    <w:p w14:paraId="7EA416C3">
      <w:pPr>
        <w:pStyle w:val="13"/>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本授权书声明：（供应商名称）授权（供应商授权代表姓名）代表我方参加本项目</w:t>
      </w:r>
      <w:r>
        <w:rPr>
          <w:rFonts w:hint="eastAsia" w:hAnsi="宋体" w:eastAsia="宋体"/>
          <w:bCs/>
          <w:sz w:val="24"/>
          <w:szCs w:val="28"/>
        </w:rPr>
        <w:t>采购活动</w:t>
      </w:r>
      <w:r>
        <w:rPr>
          <w:rFonts w:hint="eastAsia" w:hAnsi="宋体" w:eastAsia="宋体"/>
          <w:sz w:val="24"/>
          <w:szCs w:val="28"/>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7FE1225B">
      <w:pPr>
        <w:pStyle w:val="13"/>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本授权书自出具之日起生效。</w:t>
      </w:r>
    </w:p>
    <w:p w14:paraId="6A5ABA7A">
      <w:pPr>
        <w:pStyle w:val="13"/>
        <w:snapToGrid w:val="0"/>
        <w:spacing w:line="360" w:lineRule="auto"/>
        <w:ind w:firstLine="480" w:firstLineChars="200"/>
        <w:jc w:val="left"/>
        <w:rPr>
          <w:rFonts w:hAnsi="宋体" w:eastAsia="宋体"/>
          <w:sz w:val="24"/>
        </w:rPr>
      </w:pPr>
      <w:r>
        <w:rPr>
          <w:rFonts w:hint="eastAsia" w:hAnsi="宋体" w:eastAsia="宋体"/>
          <w:sz w:val="24"/>
          <w:szCs w:val="28"/>
        </w:rPr>
        <w:t>授权代表</w:t>
      </w:r>
      <w:r>
        <w:rPr>
          <w:rFonts w:hint="eastAsia" w:hAnsi="宋体" w:eastAsia="宋体"/>
          <w:sz w:val="24"/>
        </w:rPr>
        <w:t>身份证明扫描件：</w:t>
      </w:r>
    </w:p>
    <w:p w14:paraId="6C5939B1">
      <w:pPr>
        <w:pStyle w:val="13"/>
        <w:snapToGrid w:val="0"/>
        <w:spacing w:line="360" w:lineRule="auto"/>
        <w:ind w:firstLine="480" w:firstLineChars="200"/>
        <w:jc w:val="left"/>
        <w:rPr>
          <w:rFonts w:hAnsi="宋体" w:eastAsia="宋体"/>
          <w:sz w:val="24"/>
        </w:rPr>
      </w:pPr>
    </w:p>
    <w:p w14:paraId="51A57B01">
      <w:pPr>
        <w:pStyle w:val="13"/>
        <w:snapToGrid w:val="0"/>
        <w:spacing w:line="360" w:lineRule="auto"/>
        <w:ind w:firstLine="480" w:firstLineChars="200"/>
        <w:jc w:val="left"/>
        <w:rPr>
          <w:rFonts w:hAnsi="宋体" w:eastAsia="宋体"/>
          <w:sz w:val="24"/>
        </w:rPr>
      </w:pPr>
    </w:p>
    <w:p w14:paraId="6F285D69">
      <w:pPr>
        <w:pStyle w:val="13"/>
        <w:snapToGrid w:val="0"/>
        <w:spacing w:line="360" w:lineRule="auto"/>
        <w:ind w:firstLine="480" w:firstLineChars="200"/>
        <w:jc w:val="left"/>
        <w:rPr>
          <w:rFonts w:hAnsi="宋体" w:eastAsia="宋体"/>
          <w:sz w:val="24"/>
        </w:rPr>
      </w:pPr>
    </w:p>
    <w:p w14:paraId="20FC17C7">
      <w:pPr>
        <w:pStyle w:val="13"/>
        <w:snapToGrid w:val="0"/>
        <w:spacing w:line="360" w:lineRule="auto"/>
        <w:ind w:firstLine="480" w:firstLineChars="200"/>
        <w:jc w:val="left"/>
        <w:rPr>
          <w:rFonts w:hAnsi="宋体" w:eastAsia="宋体"/>
          <w:sz w:val="24"/>
        </w:rPr>
      </w:pPr>
    </w:p>
    <w:p w14:paraId="20C61AE1">
      <w:pPr>
        <w:pStyle w:val="13"/>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37FCACE8">
      <w:pPr>
        <w:pStyle w:val="13"/>
        <w:snapToGrid w:val="0"/>
        <w:spacing w:line="360" w:lineRule="auto"/>
        <w:ind w:firstLine="480" w:firstLineChars="200"/>
        <w:jc w:val="left"/>
        <w:rPr>
          <w:rFonts w:hAnsi="宋体" w:eastAsia="宋体"/>
          <w:sz w:val="24"/>
          <w:szCs w:val="28"/>
        </w:rPr>
      </w:pPr>
    </w:p>
    <w:p w14:paraId="37521ACB">
      <w:pPr>
        <w:spacing w:line="360" w:lineRule="auto"/>
        <w:ind w:firstLine="360" w:firstLineChars="150"/>
        <w:rPr>
          <w:rFonts w:ascii="宋体" w:hAnsi="宋体" w:eastAsia="宋体"/>
          <w:sz w:val="24"/>
          <w:szCs w:val="28"/>
        </w:rPr>
      </w:pPr>
      <w:r>
        <w:rPr>
          <w:rFonts w:hint="eastAsia" w:ascii="宋体" w:hAnsi="宋体" w:eastAsia="宋体"/>
          <w:sz w:val="24"/>
          <w:szCs w:val="28"/>
        </w:rPr>
        <w:t>特此声明。</w:t>
      </w:r>
    </w:p>
    <w:p w14:paraId="24FFAE9D">
      <w:pPr>
        <w:spacing w:line="360" w:lineRule="auto"/>
        <w:rPr>
          <w:rFonts w:ascii="宋体" w:hAnsi="宋体" w:eastAsia="宋体"/>
          <w:sz w:val="24"/>
          <w:szCs w:val="28"/>
        </w:rPr>
      </w:pPr>
    </w:p>
    <w:p w14:paraId="75284379">
      <w:pPr>
        <w:spacing w:line="360" w:lineRule="auto"/>
        <w:ind w:firstLine="4800" w:firstLineChars="2000"/>
        <w:rPr>
          <w:rFonts w:ascii="宋体" w:hAnsi="宋体" w:eastAsia="宋体"/>
          <w:sz w:val="24"/>
          <w:u w:val="single"/>
        </w:rPr>
      </w:pPr>
      <w:r>
        <w:rPr>
          <w:rFonts w:hint="eastAsia" w:ascii="宋体" w:hAnsi="宋体" w:eastAsia="宋体"/>
          <w:sz w:val="24"/>
        </w:rPr>
        <w:t>供应商电子签章：</w:t>
      </w:r>
    </w:p>
    <w:p w14:paraId="7803CBBC">
      <w:pPr>
        <w:tabs>
          <w:tab w:val="left" w:pos="630"/>
        </w:tabs>
        <w:spacing w:line="360" w:lineRule="auto"/>
        <w:ind w:firstLine="4800" w:firstLineChars="2000"/>
        <w:rPr>
          <w:rFonts w:ascii="宋体" w:hAnsi="宋体" w:eastAsia="宋体"/>
          <w:sz w:val="24"/>
          <w:szCs w:val="28"/>
        </w:rPr>
      </w:pPr>
      <w:r>
        <w:rPr>
          <w:rFonts w:hint="eastAsia" w:ascii="宋体" w:hAnsi="宋体" w:eastAsia="宋体"/>
          <w:sz w:val="24"/>
        </w:rPr>
        <w:t>日      期：</w:t>
      </w:r>
    </w:p>
    <w:p w14:paraId="0DEAB46C">
      <w:pPr>
        <w:spacing w:line="360" w:lineRule="auto"/>
        <w:rPr>
          <w:rFonts w:ascii="宋体" w:hAnsi="宋体" w:eastAsia="宋体"/>
          <w:sz w:val="24"/>
          <w:szCs w:val="28"/>
        </w:rPr>
      </w:pPr>
    </w:p>
    <w:p w14:paraId="0A5188CE">
      <w:pPr>
        <w:spacing w:line="360" w:lineRule="auto"/>
        <w:rPr>
          <w:rFonts w:ascii="宋体" w:hAnsi="宋体" w:eastAsia="宋体"/>
          <w:sz w:val="24"/>
          <w:szCs w:val="28"/>
        </w:rPr>
      </w:pPr>
    </w:p>
    <w:p w14:paraId="1BA64462">
      <w:pPr>
        <w:pStyle w:val="13"/>
        <w:snapToGrid w:val="0"/>
        <w:spacing w:line="360" w:lineRule="auto"/>
        <w:jc w:val="left"/>
        <w:rPr>
          <w:rFonts w:hAnsi="宋体" w:eastAsia="宋体"/>
          <w:sz w:val="24"/>
          <w:szCs w:val="28"/>
        </w:rPr>
      </w:pPr>
      <w:r>
        <w:rPr>
          <w:rFonts w:hint="eastAsia" w:hAnsi="宋体" w:eastAsia="宋体"/>
          <w:sz w:val="24"/>
          <w:szCs w:val="28"/>
        </w:rPr>
        <w:t>注：</w:t>
      </w:r>
    </w:p>
    <w:p w14:paraId="7E6FD230">
      <w:pPr>
        <w:pStyle w:val="13"/>
        <w:snapToGrid w:val="0"/>
        <w:spacing w:line="360" w:lineRule="auto"/>
        <w:jc w:val="left"/>
        <w:rPr>
          <w:rFonts w:hAnsi="宋体" w:eastAsia="宋体"/>
          <w:sz w:val="24"/>
          <w:szCs w:val="28"/>
        </w:rPr>
      </w:pPr>
      <w:r>
        <w:rPr>
          <w:rFonts w:hint="eastAsia" w:hAnsi="宋体" w:eastAsia="宋体"/>
          <w:sz w:val="24"/>
          <w:szCs w:val="28"/>
        </w:rPr>
        <w:t>1.本项目只允许有唯一的供应商授权代表，提供身份证明扫描件；</w:t>
      </w:r>
    </w:p>
    <w:p w14:paraId="6E34EEE9">
      <w:pPr>
        <w:spacing w:line="360" w:lineRule="auto"/>
        <w:jc w:val="left"/>
        <w:rPr>
          <w:rFonts w:ascii="宋体" w:hAnsi="宋体" w:eastAsia="宋体"/>
          <w:sz w:val="24"/>
        </w:rPr>
      </w:pPr>
      <w:r>
        <w:rPr>
          <w:rFonts w:hint="eastAsia" w:ascii="宋体" w:hAnsi="宋体" w:eastAsia="宋体"/>
          <w:sz w:val="24"/>
        </w:rPr>
        <w:t>2.法定代表人参加磋商的无需提供授权书，仅提供身份证明扫描件。</w:t>
      </w:r>
    </w:p>
    <w:p w14:paraId="1D6D837F">
      <w:pPr>
        <w:widowControl/>
        <w:jc w:val="left"/>
        <w:rPr>
          <w:rFonts w:ascii="宋体" w:hAnsi="宋体" w:eastAsia="宋体"/>
          <w:sz w:val="24"/>
        </w:rPr>
      </w:pPr>
      <w:r>
        <w:rPr>
          <w:rFonts w:ascii="宋体" w:hAnsi="宋体" w:eastAsia="宋体"/>
          <w:sz w:val="24"/>
        </w:rPr>
        <w:br w:type="page"/>
      </w:r>
    </w:p>
    <w:p w14:paraId="11ACF523">
      <w:pPr>
        <w:spacing w:line="360" w:lineRule="auto"/>
        <w:jc w:val="center"/>
        <w:outlineLvl w:val="1"/>
        <w:rPr>
          <w:rFonts w:asciiTheme="minorEastAsia" w:hAnsiTheme="minorEastAsia" w:eastAsiaTheme="minorEastAsia"/>
          <w:b/>
          <w:sz w:val="24"/>
        </w:rPr>
      </w:pPr>
      <w:bookmarkStart w:id="453" w:name="_Toc28033"/>
      <w:bookmarkStart w:id="454" w:name="_Toc22233"/>
      <w:r>
        <w:rPr>
          <w:rFonts w:hint="eastAsia" w:asciiTheme="minorEastAsia" w:hAnsiTheme="minorEastAsia" w:eastAsiaTheme="minorEastAsia"/>
          <w:b/>
          <w:sz w:val="24"/>
        </w:rPr>
        <w:t>六、磋商响应表</w:t>
      </w:r>
      <w:bookmarkEnd w:id="453"/>
      <w:bookmarkEnd w:id="454"/>
    </w:p>
    <w:p w14:paraId="0F972C8B">
      <w:pPr>
        <w:spacing w:line="360" w:lineRule="auto"/>
        <w:ind w:firstLine="435"/>
        <w:outlineLvl w:val="2"/>
        <w:rPr>
          <w:rFonts w:asciiTheme="minorEastAsia" w:hAnsiTheme="minorEastAsia" w:eastAsiaTheme="minorEastAsia"/>
          <w:b/>
          <w:sz w:val="24"/>
        </w:rPr>
      </w:pPr>
      <w:r>
        <w:rPr>
          <w:rFonts w:hint="eastAsia" w:asciiTheme="minorEastAsia" w:hAnsiTheme="minorEastAsia" w:eastAsiaTheme="minorEastAsia"/>
          <w:b/>
          <w:sz w:val="24"/>
        </w:rPr>
        <w:t>6</w:t>
      </w:r>
      <w:r>
        <w:rPr>
          <w:rFonts w:asciiTheme="minorEastAsia" w:hAnsiTheme="minorEastAsia" w:eastAsiaTheme="minorEastAsia"/>
          <w:b/>
          <w:sz w:val="24"/>
        </w:rPr>
        <w:t>.1</w:t>
      </w:r>
      <w:r>
        <w:rPr>
          <w:rFonts w:hint="eastAsia" w:asciiTheme="minorEastAsia" w:hAnsiTheme="minorEastAsia" w:eastAsiaTheme="minorEastAsia"/>
          <w:b/>
          <w:sz w:val="24"/>
        </w:rPr>
        <w:t>商务响应表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442D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5C884C98">
            <w:pPr>
              <w:pStyle w:val="13"/>
              <w:jc w:val="center"/>
              <w:rPr>
                <w:rFonts w:cs="Wingdings" w:asciiTheme="minorEastAsia" w:hAnsiTheme="minorEastAsia"/>
                <w:b/>
                <w:sz w:val="24"/>
              </w:rPr>
            </w:pPr>
            <w:r>
              <w:rPr>
                <w:rFonts w:hint="eastAsia" w:cs="Wingdings" w:asciiTheme="minorEastAsia" w:hAnsiTheme="minorEastAsia"/>
                <w:b/>
                <w:sz w:val="24"/>
              </w:rPr>
              <w:t>序号</w:t>
            </w:r>
          </w:p>
        </w:tc>
        <w:tc>
          <w:tcPr>
            <w:tcW w:w="1124" w:type="pct"/>
            <w:vAlign w:val="center"/>
          </w:tcPr>
          <w:p w14:paraId="12339F17">
            <w:pPr>
              <w:pStyle w:val="13"/>
              <w:jc w:val="center"/>
              <w:rPr>
                <w:rFonts w:cs="Wingdings" w:asciiTheme="minorEastAsia" w:hAnsiTheme="minorEastAsia"/>
                <w:b/>
                <w:sz w:val="24"/>
              </w:rPr>
            </w:pPr>
            <w:r>
              <w:rPr>
                <w:rFonts w:hint="eastAsia" w:asciiTheme="minorEastAsia" w:hAnsiTheme="minorEastAsia"/>
                <w:b/>
                <w:bCs/>
                <w:sz w:val="24"/>
                <w:szCs w:val="24"/>
              </w:rPr>
              <w:t>商务条款</w:t>
            </w:r>
          </w:p>
        </w:tc>
        <w:tc>
          <w:tcPr>
            <w:tcW w:w="1465" w:type="pct"/>
            <w:vAlign w:val="center"/>
          </w:tcPr>
          <w:p w14:paraId="4F51A3EE">
            <w:pPr>
              <w:pStyle w:val="13"/>
              <w:jc w:val="center"/>
              <w:rPr>
                <w:rFonts w:cs="Wingdings" w:asciiTheme="minorEastAsia" w:hAnsiTheme="minorEastAsia"/>
                <w:b/>
                <w:sz w:val="24"/>
              </w:rPr>
            </w:pPr>
            <w:r>
              <w:rPr>
                <w:rFonts w:hint="eastAsia" w:cs="Wingdings" w:asciiTheme="minorEastAsia" w:hAnsiTheme="minorEastAsia"/>
                <w:b/>
                <w:sz w:val="24"/>
              </w:rPr>
              <w:t>磋商文件要求</w:t>
            </w:r>
          </w:p>
        </w:tc>
        <w:tc>
          <w:tcPr>
            <w:tcW w:w="1510" w:type="pct"/>
            <w:vAlign w:val="center"/>
          </w:tcPr>
          <w:p w14:paraId="3237F642">
            <w:pPr>
              <w:pStyle w:val="13"/>
              <w:jc w:val="center"/>
              <w:rPr>
                <w:rFonts w:cs="Wingdings" w:asciiTheme="minorEastAsia" w:hAnsiTheme="minorEastAsia"/>
                <w:b/>
                <w:sz w:val="24"/>
              </w:rPr>
            </w:pPr>
            <w:r>
              <w:rPr>
                <w:rFonts w:hint="eastAsia" w:cs="Wingdings" w:asciiTheme="minorEastAsia" w:hAnsiTheme="minorEastAsia"/>
                <w:b/>
                <w:sz w:val="24"/>
              </w:rPr>
              <w:t>供应商承诺</w:t>
            </w:r>
          </w:p>
        </w:tc>
        <w:tc>
          <w:tcPr>
            <w:tcW w:w="475" w:type="pct"/>
            <w:vAlign w:val="center"/>
          </w:tcPr>
          <w:p w14:paraId="3EE6A705">
            <w:pPr>
              <w:pStyle w:val="13"/>
              <w:jc w:val="center"/>
              <w:rPr>
                <w:rFonts w:cs="Wingdings" w:asciiTheme="minorEastAsia" w:hAnsiTheme="minorEastAsia"/>
                <w:b/>
                <w:sz w:val="24"/>
              </w:rPr>
            </w:pPr>
            <w:r>
              <w:rPr>
                <w:rFonts w:hint="eastAsia" w:cs="Wingdings" w:asciiTheme="minorEastAsia" w:hAnsiTheme="minorEastAsia"/>
                <w:b/>
                <w:sz w:val="24"/>
              </w:rPr>
              <w:t>偏离说明</w:t>
            </w:r>
          </w:p>
        </w:tc>
      </w:tr>
      <w:tr w14:paraId="41DA2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632CD23">
            <w:pPr>
              <w:jc w:val="center"/>
              <w:rPr>
                <w:rFonts w:asciiTheme="minorEastAsia" w:hAnsiTheme="minorEastAsia" w:eastAsiaTheme="minorEastAsia"/>
                <w:sz w:val="24"/>
              </w:rPr>
            </w:pPr>
            <w:r>
              <w:rPr>
                <w:rFonts w:asciiTheme="minorEastAsia" w:hAnsiTheme="minorEastAsia" w:eastAsiaTheme="minorEastAsia"/>
                <w:sz w:val="24"/>
              </w:rPr>
              <w:t>1</w:t>
            </w:r>
          </w:p>
        </w:tc>
        <w:tc>
          <w:tcPr>
            <w:tcW w:w="1124" w:type="pct"/>
            <w:vAlign w:val="center"/>
          </w:tcPr>
          <w:p w14:paraId="61D0FE49">
            <w:pPr>
              <w:jc w:val="center"/>
              <w:rPr>
                <w:rFonts w:ascii="宋体" w:hAnsi="宋体" w:eastAsia="宋体"/>
                <w:sz w:val="24"/>
              </w:rPr>
            </w:pPr>
            <w:r>
              <w:rPr>
                <w:rFonts w:asciiTheme="minorEastAsia" w:hAnsiTheme="minorEastAsia" w:eastAsiaTheme="minorEastAsia"/>
                <w:sz w:val="24"/>
              </w:rPr>
              <w:t>付款方式</w:t>
            </w:r>
          </w:p>
        </w:tc>
        <w:tc>
          <w:tcPr>
            <w:tcW w:w="2498" w:type="dxa"/>
            <w:vAlign w:val="center"/>
          </w:tcPr>
          <w:p w14:paraId="7E6923EE">
            <w:pPr>
              <w:pStyle w:val="42"/>
              <w:widowControl w:val="0"/>
              <w:spacing w:before="0" w:beforeAutospacing="0" w:after="0" w:afterAutospacing="0" w:line="360" w:lineRule="auto"/>
              <w:jc w:val="both"/>
              <w:rPr>
                <w:rFonts w:asciiTheme="minorEastAsia" w:hAnsiTheme="minorEastAsia" w:eastAsiaTheme="minorEastAsia"/>
                <w:sz w:val="24"/>
              </w:rPr>
            </w:pPr>
            <w:r>
              <w:rPr>
                <w:rFonts w:hint="eastAsia" w:ascii="宋体" w:hAnsi="宋体" w:eastAsia="宋体"/>
                <w:b w:val="0"/>
                <w:sz w:val="24"/>
              </w:rPr>
              <w:t>每季度末根据考核结果结算该季度运维服务费，同时预付下一季度运维服务费的70%（第四季度除外），在收到供应商开具的发票7个工作日内支付。</w:t>
            </w:r>
          </w:p>
        </w:tc>
        <w:tc>
          <w:tcPr>
            <w:tcW w:w="1510" w:type="pct"/>
            <w:vAlign w:val="center"/>
          </w:tcPr>
          <w:p w14:paraId="490F219C">
            <w:pPr>
              <w:jc w:val="center"/>
              <w:rPr>
                <w:rFonts w:asciiTheme="minorEastAsia" w:hAnsiTheme="minorEastAsia" w:eastAsiaTheme="minorEastAsia"/>
                <w:sz w:val="24"/>
              </w:rPr>
            </w:pPr>
          </w:p>
        </w:tc>
        <w:tc>
          <w:tcPr>
            <w:tcW w:w="475" w:type="pct"/>
            <w:vAlign w:val="center"/>
          </w:tcPr>
          <w:p w14:paraId="485136E9">
            <w:pPr>
              <w:jc w:val="center"/>
              <w:rPr>
                <w:rFonts w:asciiTheme="minorEastAsia" w:hAnsiTheme="minorEastAsia" w:eastAsiaTheme="minorEastAsia"/>
                <w:sz w:val="24"/>
              </w:rPr>
            </w:pPr>
          </w:p>
        </w:tc>
      </w:tr>
      <w:tr w14:paraId="1E376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D7FC043">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124" w:type="pct"/>
            <w:vAlign w:val="center"/>
          </w:tcPr>
          <w:p w14:paraId="0EC8D29B">
            <w:pPr>
              <w:jc w:val="center"/>
              <w:rPr>
                <w:rFonts w:ascii="宋体" w:hAnsi="宋体" w:eastAsia="宋体"/>
                <w:sz w:val="24"/>
              </w:rPr>
            </w:pPr>
            <w:r>
              <w:rPr>
                <w:rFonts w:hint="eastAsia" w:ascii="宋体" w:hAnsi="宋体" w:eastAsia="宋体"/>
                <w:sz w:val="24"/>
              </w:rPr>
              <w:t>服务地点</w:t>
            </w:r>
          </w:p>
        </w:tc>
        <w:tc>
          <w:tcPr>
            <w:tcW w:w="2498" w:type="dxa"/>
            <w:vAlign w:val="center"/>
          </w:tcPr>
          <w:p w14:paraId="3F24E431">
            <w:pPr>
              <w:pStyle w:val="42"/>
              <w:widowControl w:val="0"/>
              <w:spacing w:before="0" w:beforeAutospacing="0" w:after="0" w:afterAutospacing="0" w:line="360" w:lineRule="auto"/>
              <w:jc w:val="both"/>
              <w:rPr>
                <w:rFonts w:asciiTheme="minorEastAsia" w:hAnsiTheme="minorEastAsia" w:eastAsiaTheme="minorEastAsia"/>
                <w:sz w:val="24"/>
              </w:rPr>
            </w:pPr>
            <w:r>
              <w:rPr>
                <w:rFonts w:hint="eastAsia" w:ascii="宋体" w:hAnsi="宋体" w:eastAsia="宋体"/>
                <w:b w:val="0"/>
                <w:sz w:val="24"/>
              </w:rPr>
              <w:t>安徽省蚌埠市、宿州市、淮北市境内。</w:t>
            </w:r>
          </w:p>
        </w:tc>
        <w:tc>
          <w:tcPr>
            <w:tcW w:w="1510" w:type="pct"/>
            <w:vAlign w:val="center"/>
          </w:tcPr>
          <w:p w14:paraId="07040834">
            <w:pPr>
              <w:jc w:val="center"/>
              <w:rPr>
                <w:rFonts w:asciiTheme="minorEastAsia" w:hAnsiTheme="minorEastAsia" w:eastAsiaTheme="minorEastAsia"/>
                <w:sz w:val="24"/>
              </w:rPr>
            </w:pPr>
          </w:p>
        </w:tc>
        <w:tc>
          <w:tcPr>
            <w:tcW w:w="475" w:type="pct"/>
            <w:vAlign w:val="center"/>
          </w:tcPr>
          <w:p w14:paraId="65274A9F">
            <w:pPr>
              <w:jc w:val="center"/>
              <w:rPr>
                <w:rFonts w:asciiTheme="minorEastAsia" w:hAnsiTheme="minorEastAsia" w:eastAsiaTheme="minorEastAsia"/>
                <w:sz w:val="24"/>
              </w:rPr>
            </w:pPr>
          </w:p>
        </w:tc>
      </w:tr>
      <w:tr w14:paraId="5FA8E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5D09FF6">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124" w:type="pct"/>
            <w:vAlign w:val="center"/>
          </w:tcPr>
          <w:p w14:paraId="21E33F79">
            <w:pPr>
              <w:jc w:val="center"/>
              <w:rPr>
                <w:rFonts w:ascii="宋体" w:hAnsi="宋体" w:eastAsia="宋体"/>
                <w:sz w:val="24"/>
              </w:rPr>
            </w:pPr>
            <w:r>
              <w:rPr>
                <w:rFonts w:hint="eastAsia" w:ascii="宋体" w:hAnsi="宋体" w:eastAsia="宋体"/>
                <w:sz w:val="24"/>
              </w:rPr>
              <w:t>服务期限</w:t>
            </w:r>
          </w:p>
        </w:tc>
        <w:tc>
          <w:tcPr>
            <w:tcW w:w="2498" w:type="dxa"/>
            <w:vAlign w:val="center"/>
          </w:tcPr>
          <w:p w14:paraId="4BFDC7DF">
            <w:pPr>
              <w:pStyle w:val="42"/>
              <w:widowControl w:val="0"/>
              <w:spacing w:before="0" w:beforeAutospacing="0" w:after="0" w:afterAutospacing="0" w:line="360" w:lineRule="auto"/>
              <w:jc w:val="both"/>
              <w:rPr>
                <w:rFonts w:asciiTheme="minorEastAsia" w:hAnsiTheme="minorEastAsia" w:eastAsiaTheme="minorEastAsia"/>
                <w:sz w:val="24"/>
              </w:rPr>
            </w:pPr>
            <w:r>
              <w:rPr>
                <w:rFonts w:hint="eastAsia" w:ascii="宋体" w:hAnsi="宋体" w:eastAsia="宋体"/>
                <w:b w:val="0"/>
                <w:sz w:val="24"/>
              </w:rPr>
              <w:t>自合同签订之日至2026年12月。</w:t>
            </w:r>
          </w:p>
        </w:tc>
        <w:tc>
          <w:tcPr>
            <w:tcW w:w="1510" w:type="pct"/>
            <w:vAlign w:val="center"/>
          </w:tcPr>
          <w:p w14:paraId="3838FFB1">
            <w:pPr>
              <w:pStyle w:val="50"/>
              <w:jc w:val="center"/>
              <w:rPr>
                <w:rFonts w:asciiTheme="minorEastAsia" w:hAnsiTheme="minorEastAsia" w:eastAsiaTheme="minorEastAsia"/>
              </w:rPr>
            </w:pPr>
          </w:p>
        </w:tc>
        <w:tc>
          <w:tcPr>
            <w:tcW w:w="475" w:type="pct"/>
            <w:vAlign w:val="center"/>
          </w:tcPr>
          <w:p w14:paraId="1D08D974">
            <w:pPr>
              <w:jc w:val="center"/>
              <w:rPr>
                <w:rFonts w:asciiTheme="minorEastAsia" w:hAnsiTheme="minorEastAsia" w:eastAsiaTheme="minorEastAsia"/>
                <w:sz w:val="24"/>
              </w:rPr>
            </w:pPr>
          </w:p>
        </w:tc>
      </w:tr>
      <w:tr w14:paraId="6C6E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52ABE59">
            <w:pPr>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1124" w:type="pct"/>
            <w:vAlign w:val="center"/>
          </w:tcPr>
          <w:p w14:paraId="6B1DF0CA">
            <w:pPr>
              <w:jc w:val="center"/>
              <w:rPr>
                <w:rFonts w:ascii="宋体" w:hAnsi="宋体" w:eastAsia="宋体"/>
                <w:sz w:val="24"/>
              </w:rPr>
            </w:pPr>
          </w:p>
        </w:tc>
        <w:tc>
          <w:tcPr>
            <w:tcW w:w="1465" w:type="pct"/>
            <w:vAlign w:val="center"/>
          </w:tcPr>
          <w:p w14:paraId="3A800A06">
            <w:pPr>
              <w:jc w:val="center"/>
              <w:rPr>
                <w:rFonts w:asciiTheme="minorEastAsia" w:hAnsiTheme="minorEastAsia" w:eastAsiaTheme="minorEastAsia"/>
                <w:sz w:val="24"/>
              </w:rPr>
            </w:pPr>
          </w:p>
        </w:tc>
        <w:tc>
          <w:tcPr>
            <w:tcW w:w="1510" w:type="pct"/>
            <w:vAlign w:val="center"/>
          </w:tcPr>
          <w:p w14:paraId="557D19E5">
            <w:pPr>
              <w:jc w:val="center"/>
              <w:rPr>
                <w:rFonts w:asciiTheme="minorEastAsia" w:hAnsiTheme="minorEastAsia" w:eastAsiaTheme="minorEastAsia"/>
                <w:sz w:val="24"/>
              </w:rPr>
            </w:pPr>
          </w:p>
        </w:tc>
        <w:tc>
          <w:tcPr>
            <w:tcW w:w="475" w:type="pct"/>
            <w:vAlign w:val="center"/>
          </w:tcPr>
          <w:p w14:paraId="52E6876D">
            <w:pPr>
              <w:jc w:val="center"/>
              <w:rPr>
                <w:rFonts w:asciiTheme="minorEastAsia" w:hAnsiTheme="minorEastAsia" w:eastAsiaTheme="minorEastAsia"/>
                <w:sz w:val="24"/>
              </w:rPr>
            </w:pPr>
          </w:p>
        </w:tc>
      </w:tr>
    </w:tbl>
    <w:p w14:paraId="092F9473">
      <w:pPr>
        <w:rPr>
          <w:rFonts w:asciiTheme="minorEastAsia" w:hAnsiTheme="minorEastAsia" w:eastAsiaTheme="minorEastAsia"/>
          <w:sz w:val="24"/>
        </w:rPr>
      </w:pPr>
      <w:r>
        <w:rPr>
          <w:rFonts w:asciiTheme="minorEastAsia" w:hAnsiTheme="minorEastAsia" w:eastAsiaTheme="minorEastAsia"/>
          <w:sz w:val="24"/>
        </w:rPr>
        <w:br w:type="page"/>
      </w:r>
    </w:p>
    <w:p w14:paraId="35C28A47">
      <w:pPr>
        <w:widowControl/>
        <w:jc w:val="left"/>
        <w:rPr>
          <w:rFonts w:asciiTheme="minorEastAsia" w:hAnsiTheme="minorEastAsia" w:eastAsiaTheme="minorEastAsia"/>
          <w:sz w:val="24"/>
        </w:rPr>
      </w:pPr>
    </w:p>
    <w:p w14:paraId="1FABEDC9">
      <w:pPr>
        <w:spacing w:line="360" w:lineRule="auto"/>
        <w:jc w:val="center"/>
        <w:outlineLvl w:val="1"/>
        <w:rPr>
          <w:rFonts w:asciiTheme="minorEastAsia" w:hAnsiTheme="minorEastAsia" w:eastAsiaTheme="minorEastAsia"/>
          <w:b/>
          <w:sz w:val="24"/>
        </w:rPr>
      </w:pPr>
      <w:bookmarkStart w:id="455" w:name="_Toc17888"/>
      <w:bookmarkStart w:id="456" w:name="_Toc6445"/>
      <w:bookmarkStart w:id="457" w:name="_Hlk60608597"/>
      <w:r>
        <w:rPr>
          <w:rFonts w:hint="eastAsia" w:asciiTheme="minorEastAsia" w:hAnsiTheme="minorEastAsia" w:eastAsiaTheme="minorEastAsia"/>
          <w:b/>
          <w:sz w:val="24"/>
        </w:rPr>
        <w:t>七、中小企业声明函</w:t>
      </w:r>
      <w:bookmarkEnd w:id="455"/>
      <w:bookmarkEnd w:id="456"/>
    </w:p>
    <w:p w14:paraId="111DE7F9">
      <w:pPr>
        <w:pStyle w:val="9"/>
        <w:jc w:val="center"/>
        <w:rPr>
          <w:rFonts w:ascii="宋体" w:hAnsi="宋体" w:eastAsia="宋体"/>
          <w:i/>
          <w:sz w:val="24"/>
          <w:lang w:val="en-US"/>
        </w:rPr>
      </w:pPr>
      <w:r>
        <w:rPr>
          <w:rFonts w:hint="eastAsia" w:ascii="宋体" w:hAnsi="宋体" w:eastAsia="宋体"/>
          <w:i/>
          <w:sz w:val="24"/>
          <w:lang w:val="en-US"/>
        </w:rPr>
        <w:t>（</w:t>
      </w:r>
      <w:r>
        <w:rPr>
          <w:rFonts w:hint="eastAsia" w:ascii="宋体" w:hAnsi="宋体" w:eastAsia="宋体"/>
          <w:i/>
          <w:sz w:val="24"/>
        </w:rPr>
        <w:t>非中小企业</w:t>
      </w:r>
      <w:r>
        <w:rPr>
          <w:rFonts w:hint="eastAsia" w:ascii="宋体" w:hAnsi="宋体" w:eastAsia="宋体"/>
          <w:i/>
          <w:sz w:val="24"/>
          <w:lang w:val="en-US"/>
        </w:rPr>
        <w:t>磋商，不需此件，请删去“中小企业声明函”）</w:t>
      </w:r>
    </w:p>
    <w:p w14:paraId="2CF76262">
      <w:pPr>
        <w:spacing w:line="360" w:lineRule="auto"/>
        <w:ind w:firstLine="435"/>
        <w:rPr>
          <w:rFonts w:ascii="宋体" w:hAnsi="宋体" w:eastAsia="宋体"/>
          <w:sz w:val="24"/>
          <w:szCs w:val="24"/>
          <w:lang w:val="zh-CN"/>
        </w:rPr>
      </w:pPr>
      <w:r>
        <w:rPr>
          <w:rFonts w:hint="eastAsia" w:ascii="宋体" w:hAnsi="宋体" w:eastAsia="宋体"/>
          <w:sz w:val="24"/>
          <w:szCs w:val="24"/>
          <w:lang w:val="zh-CN"/>
        </w:rPr>
        <w:t>本公司（联合体）郑重声明，根据《政府采购促进中小企业发展管理办法》（财库﹝2020﹞46号）的规定，本公司（联合体）参加</w:t>
      </w:r>
      <w:r>
        <w:rPr>
          <w:rFonts w:hint="eastAsia" w:ascii="宋体" w:hAnsi="宋体" w:eastAsia="宋体"/>
          <w:sz w:val="24"/>
          <w:szCs w:val="24"/>
          <w:u w:val="single"/>
          <w:lang w:val="zh-CN"/>
        </w:rPr>
        <w:t>安徽省怀洪新河河道管理局（安徽省淮水北调工程管理中心）</w:t>
      </w:r>
      <w:r>
        <w:rPr>
          <w:rFonts w:hint="eastAsia" w:ascii="宋体" w:hAnsi="宋体" w:eastAsia="宋体"/>
          <w:sz w:val="24"/>
          <w:szCs w:val="24"/>
          <w:lang w:val="zh-CN"/>
        </w:rPr>
        <w:t>的</w:t>
      </w:r>
      <w:r>
        <w:rPr>
          <w:rFonts w:hint="eastAsia" w:ascii="宋体" w:hAnsi="宋体" w:eastAsia="宋体"/>
          <w:sz w:val="24"/>
          <w:szCs w:val="24"/>
          <w:u w:val="single"/>
          <w:lang w:val="zh-CN"/>
        </w:rPr>
        <w:t>安徽省淮水北调工程2026年度调度管理设施设备运行维护项目</w:t>
      </w:r>
      <w:r>
        <w:rPr>
          <w:rFonts w:hint="eastAsia" w:ascii="宋体" w:hAnsi="宋体" w:eastAsia="宋体"/>
          <w:sz w:val="24"/>
          <w:szCs w:val="24"/>
          <w:lang w:val="zh-CN"/>
        </w:rPr>
        <w:t xml:space="preserve">采购活动，服务全部由符合政策要求的中小企业承接。相关企业（含联合体中的中小企业、签订分包意向协议的中小企业）的具体情况如下： </w:t>
      </w:r>
    </w:p>
    <w:p w14:paraId="619CBF02">
      <w:pPr>
        <w:spacing w:line="360" w:lineRule="auto"/>
        <w:ind w:firstLine="435"/>
        <w:rPr>
          <w:rFonts w:ascii="宋体" w:hAnsi="宋体" w:eastAsia="宋体"/>
          <w:sz w:val="24"/>
          <w:szCs w:val="24"/>
          <w:lang w:val="zh-CN"/>
        </w:rPr>
      </w:pPr>
      <w:r>
        <w:rPr>
          <w:rFonts w:hint="eastAsia" w:ascii="宋体" w:hAnsi="宋体" w:eastAsia="宋体"/>
          <w:sz w:val="24"/>
          <w:szCs w:val="24"/>
          <w:lang w:val="zh-CN"/>
        </w:rPr>
        <w:t>1.</w:t>
      </w:r>
      <w:r>
        <w:rPr>
          <w:rFonts w:hint="eastAsia" w:ascii="宋体" w:hAnsi="宋体" w:eastAsia="宋体"/>
          <w:sz w:val="24"/>
          <w:szCs w:val="24"/>
          <w:u w:val="single"/>
          <w:lang w:val="zh-CN"/>
        </w:rPr>
        <w:t xml:space="preserve"> 安徽省淮水北调工程2026年度调度管理设施设备运行维护项目 </w:t>
      </w:r>
      <w:r>
        <w:rPr>
          <w:rFonts w:hint="eastAsia" w:ascii="宋体" w:hAnsi="宋体" w:eastAsia="宋体"/>
          <w:sz w:val="24"/>
          <w:szCs w:val="24"/>
          <w:lang w:val="zh-CN"/>
        </w:rPr>
        <w:t>，属于</w:t>
      </w:r>
      <w:r>
        <w:rPr>
          <w:rFonts w:hint="eastAsia" w:ascii="宋体" w:hAnsi="宋体" w:eastAsia="宋体"/>
          <w:sz w:val="24"/>
          <w:szCs w:val="24"/>
          <w:u w:val="single"/>
          <w:lang w:val="zh-CN"/>
        </w:rPr>
        <w:t>其他未</w:t>
      </w:r>
      <w:r>
        <w:rPr>
          <w:rFonts w:ascii="宋体" w:hAnsi="宋体" w:eastAsia="宋体"/>
          <w:sz w:val="24"/>
          <w:szCs w:val="24"/>
          <w:u w:val="single"/>
          <w:lang w:val="zh-CN"/>
        </w:rPr>
        <w:t>列明</w:t>
      </w:r>
      <w:r>
        <w:rPr>
          <w:rFonts w:hint="eastAsia" w:ascii="宋体" w:hAnsi="宋体" w:eastAsia="宋体"/>
          <w:sz w:val="24"/>
          <w:szCs w:val="24"/>
          <w:lang w:val="zh-CN"/>
        </w:rPr>
        <w:t>行业；承接企业为</w:t>
      </w:r>
      <w:r>
        <w:rPr>
          <w:rFonts w:hint="eastAsia" w:ascii="宋体" w:hAnsi="宋体" w:eastAsia="宋体"/>
          <w:sz w:val="24"/>
          <w:szCs w:val="24"/>
          <w:u w:val="single"/>
          <w:lang w:val="zh-CN"/>
        </w:rPr>
        <w:t>（企业名称）</w:t>
      </w:r>
      <w:r>
        <w:rPr>
          <w:rFonts w:hint="eastAsia" w:ascii="宋体" w:hAnsi="宋体" w:eastAsia="宋体"/>
          <w:sz w:val="24"/>
          <w:szCs w:val="24"/>
          <w:lang w:val="zh-CN"/>
        </w:rPr>
        <w:t>，从业人员人，营业收入为万元，资产总额为万元，属于</w:t>
      </w:r>
      <w:r>
        <w:rPr>
          <w:rFonts w:hint="eastAsia" w:ascii="宋体" w:hAnsi="宋体" w:eastAsia="宋体"/>
          <w:sz w:val="24"/>
          <w:szCs w:val="24"/>
          <w:u w:val="single"/>
          <w:lang w:val="zh-CN"/>
        </w:rPr>
        <w:t>（中型企业、小型企业、微型企业）</w:t>
      </w:r>
      <w:r>
        <w:rPr>
          <w:rFonts w:hint="eastAsia" w:ascii="宋体" w:hAnsi="宋体" w:eastAsia="宋体"/>
          <w:sz w:val="24"/>
          <w:szCs w:val="24"/>
          <w:lang w:val="zh-CN"/>
        </w:rPr>
        <w:t xml:space="preserve">； </w:t>
      </w:r>
    </w:p>
    <w:p w14:paraId="002D5262">
      <w:pPr>
        <w:spacing w:line="360" w:lineRule="auto"/>
        <w:ind w:firstLine="435"/>
        <w:rPr>
          <w:rFonts w:ascii="宋体" w:hAnsi="宋体" w:eastAsia="宋体"/>
          <w:sz w:val="24"/>
          <w:szCs w:val="24"/>
          <w:lang w:val="zh-CN"/>
        </w:rPr>
      </w:pPr>
      <w:r>
        <w:rPr>
          <w:rFonts w:hint="eastAsia" w:ascii="宋体" w:hAnsi="宋体" w:eastAsia="宋体"/>
          <w:sz w:val="24"/>
          <w:szCs w:val="24"/>
          <w:lang w:val="zh-CN"/>
        </w:rPr>
        <w:t>……</w:t>
      </w:r>
    </w:p>
    <w:p w14:paraId="211F9239">
      <w:pPr>
        <w:spacing w:line="360" w:lineRule="auto"/>
        <w:ind w:firstLine="435"/>
        <w:rPr>
          <w:rFonts w:ascii="宋体" w:hAnsi="宋体" w:eastAsia="宋体"/>
          <w:sz w:val="24"/>
          <w:szCs w:val="24"/>
          <w:lang w:val="zh-CN"/>
        </w:rPr>
      </w:pPr>
      <w:r>
        <w:rPr>
          <w:rFonts w:hint="eastAsia" w:ascii="宋体" w:hAnsi="宋体" w:eastAsia="宋体"/>
          <w:sz w:val="24"/>
          <w:szCs w:val="24"/>
          <w:lang w:val="zh-CN"/>
        </w:rPr>
        <w:t>以上企业，不属于大企业的分支机构，不存在控股股东为大企业的情形，也不存在与大企业的负责人为同一人的情形。</w:t>
      </w:r>
    </w:p>
    <w:p w14:paraId="1D637439">
      <w:pPr>
        <w:spacing w:line="360" w:lineRule="auto"/>
        <w:ind w:firstLine="435"/>
        <w:rPr>
          <w:rFonts w:ascii="宋体" w:hAnsi="宋体" w:eastAsia="宋体"/>
          <w:sz w:val="24"/>
          <w:szCs w:val="24"/>
          <w:lang w:val="zh-CN"/>
        </w:rPr>
      </w:pPr>
      <w:r>
        <w:rPr>
          <w:rFonts w:hint="eastAsia" w:ascii="宋体" w:hAnsi="宋体" w:eastAsia="宋体"/>
          <w:sz w:val="24"/>
          <w:szCs w:val="24"/>
          <w:lang w:val="zh-CN"/>
        </w:rPr>
        <w:t xml:space="preserve">本企业对上述声明内容的真实性负责。如有虚假，将依法承担相应责任。 </w:t>
      </w:r>
    </w:p>
    <w:p w14:paraId="601E3D0B">
      <w:pPr>
        <w:spacing w:line="360" w:lineRule="auto"/>
        <w:ind w:firstLine="435"/>
        <w:rPr>
          <w:rFonts w:asciiTheme="minorEastAsia" w:hAnsiTheme="minorEastAsia" w:eastAsiaTheme="minorEastAsia"/>
          <w:sz w:val="24"/>
          <w:szCs w:val="24"/>
        </w:rPr>
      </w:pPr>
    </w:p>
    <w:p w14:paraId="4798D532">
      <w:pPr>
        <w:spacing w:line="360" w:lineRule="auto"/>
        <w:ind w:firstLine="435"/>
        <w:rPr>
          <w:rFonts w:asciiTheme="minorEastAsia" w:hAnsiTheme="minorEastAsia" w:eastAsiaTheme="minorEastAsia"/>
          <w:sz w:val="24"/>
          <w:szCs w:val="24"/>
        </w:rPr>
      </w:pPr>
    </w:p>
    <w:p w14:paraId="10F90F33">
      <w:pPr>
        <w:spacing w:line="360" w:lineRule="auto"/>
        <w:ind w:firstLine="4228" w:firstLineChars="1762"/>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供应商</w:t>
      </w:r>
      <w:r>
        <w:rPr>
          <w:rFonts w:asciiTheme="minorEastAsia" w:hAnsiTheme="minorEastAsia" w:eastAsiaTheme="minorEastAsia"/>
          <w:sz w:val="24"/>
          <w:szCs w:val="24"/>
        </w:rPr>
        <w:t>电子签章</w:t>
      </w:r>
      <w:r>
        <w:rPr>
          <w:rFonts w:hint="eastAsia" w:asciiTheme="minorEastAsia" w:hAnsiTheme="minorEastAsia" w:eastAsiaTheme="minorEastAsia"/>
          <w:sz w:val="24"/>
          <w:szCs w:val="24"/>
        </w:rPr>
        <w:t>：</w:t>
      </w:r>
    </w:p>
    <w:p w14:paraId="309A7779">
      <w:pPr>
        <w:tabs>
          <w:tab w:val="left" w:pos="4620"/>
        </w:tabs>
        <w:spacing w:line="360" w:lineRule="auto"/>
        <w:ind w:firstLine="4252" w:firstLineChars="1772"/>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日    期：</w:t>
      </w:r>
    </w:p>
    <w:p w14:paraId="5A8A79A6">
      <w:pPr>
        <w:tabs>
          <w:tab w:val="left" w:pos="4620"/>
        </w:tabs>
        <w:spacing w:line="360" w:lineRule="auto"/>
        <w:jc w:val="left"/>
        <w:rPr>
          <w:rFonts w:asciiTheme="minorEastAsia" w:hAnsiTheme="minorEastAsia" w:eastAsiaTheme="minorEastAsia"/>
          <w:sz w:val="24"/>
          <w:szCs w:val="24"/>
        </w:rPr>
      </w:pPr>
    </w:p>
    <w:p w14:paraId="445768A8">
      <w:pPr>
        <w:tabs>
          <w:tab w:val="left" w:pos="4620"/>
        </w:tabs>
        <w:spacing w:line="360" w:lineRule="auto"/>
        <w:jc w:val="left"/>
        <w:rPr>
          <w:rFonts w:asciiTheme="minorEastAsia" w:hAnsiTheme="minorEastAsia" w:eastAsiaTheme="minorEastAsia"/>
          <w:sz w:val="24"/>
          <w:szCs w:val="24"/>
        </w:rPr>
      </w:pPr>
    </w:p>
    <w:p w14:paraId="757E866B">
      <w:pPr>
        <w:tabs>
          <w:tab w:val="left" w:pos="4620"/>
        </w:tabs>
        <w:spacing w:line="360" w:lineRule="auto"/>
        <w:jc w:val="left"/>
        <w:rPr>
          <w:rFonts w:asciiTheme="minorEastAsia" w:hAnsiTheme="minorEastAsia" w:eastAsiaTheme="minorEastAsia"/>
          <w:sz w:val="24"/>
          <w:szCs w:val="24"/>
        </w:rPr>
      </w:pPr>
    </w:p>
    <w:p w14:paraId="1BD73C16">
      <w:pPr>
        <w:tabs>
          <w:tab w:val="left" w:pos="4620"/>
        </w:tabs>
        <w:spacing w:line="360" w:lineRule="auto"/>
        <w:jc w:val="left"/>
        <w:rPr>
          <w:rFonts w:asciiTheme="minorEastAsia" w:hAnsiTheme="minorEastAsia" w:eastAsiaTheme="minorEastAsia"/>
          <w:sz w:val="24"/>
          <w:szCs w:val="24"/>
        </w:rPr>
      </w:pPr>
    </w:p>
    <w:bookmarkEnd w:id="457"/>
    <w:p w14:paraId="688FC0B9">
      <w:pPr>
        <w:tabs>
          <w:tab w:val="left" w:pos="4620"/>
        </w:tabs>
        <w:spacing w:line="360" w:lineRule="auto"/>
        <w:jc w:val="left"/>
        <w:rPr>
          <w:rFonts w:asciiTheme="minorEastAsia" w:hAnsiTheme="minorEastAsia" w:eastAsiaTheme="minorEastAsia"/>
          <w:b/>
          <w:szCs w:val="24"/>
        </w:rPr>
      </w:pPr>
      <w:r>
        <w:rPr>
          <w:rFonts w:hint="eastAsia" w:asciiTheme="minorEastAsia" w:hAnsiTheme="minorEastAsia" w:eastAsiaTheme="minorEastAsia"/>
          <w:b/>
          <w:szCs w:val="24"/>
        </w:rPr>
        <w:t>注：</w:t>
      </w:r>
    </w:p>
    <w:p w14:paraId="3C950BED">
      <w:pPr>
        <w:tabs>
          <w:tab w:val="left" w:pos="4620"/>
        </w:tabs>
        <w:spacing w:line="360" w:lineRule="auto"/>
        <w:jc w:val="left"/>
        <w:rPr>
          <w:rFonts w:asciiTheme="minorEastAsia" w:hAnsiTheme="minorEastAsia" w:eastAsiaTheme="minorEastAsia"/>
          <w:szCs w:val="24"/>
        </w:rPr>
      </w:pPr>
      <w:r>
        <w:rPr>
          <w:rFonts w:asciiTheme="minorEastAsia" w:hAnsiTheme="minorEastAsia" w:eastAsiaTheme="minorEastAsia"/>
          <w:szCs w:val="24"/>
        </w:rPr>
        <w:t>1.从业人员、营业收入、资产总额填报上一年数据，无上一年数据的新成立企业可不填报。</w:t>
      </w:r>
    </w:p>
    <w:p w14:paraId="74472016">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2.供应商应根据《政府采购促进中小企业发展管理办法》（财库﹝2020﹞46号）和《关于印发中小企业划型标准规定的通知》(工信部联企业〔2011〕300号)相关规定，如实填写中小企业声明函。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szCs w:val="21"/>
          <w:lang w:val="zh-CN"/>
        </w:rPr>
        <w:t>如有虚假，将依法承担相应责任。</w:t>
      </w:r>
      <w:r>
        <w:rPr>
          <w:rFonts w:hint="eastAsia" w:ascii="宋体" w:hAnsi="宋体" w:eastAsia="宋体" w:cs="宋体"/>
          <w:b/>
          <w:bCs/>
          <w:szCs w:val="21"/>
        </w:rPr>
        <w:t>供应商自行登录工业和信息化部官网进行中小企业规模类型自测（查询网址https://www.miit.gov.cn/）。</w:t>
      </w:r>
    </w:p>
    <w:p w14:paraId="3CD91F61">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3.上述“</w:t>
      </w:r>
      <w:r>
        <w:rPr>
          <w:rFonts w:hint="eastAsia" w:ascii="宋体" w:hAnsi="宋体" w:eastAsia="宋体" w:cs="宋体"/>
          <w:b/>
          <w:bCs/>
          <w:szCs w:val="21"/>
          <w:u w:val="single"/>
          <w:lang w:val="zh-CN"/>
        </w:rPr>
        <w:t>标的名称</w:t>
      </w:r>
      <w:r>
        <w:rPr>
          <w:rFonts w:hint="eastAsia" w:ascii="宋体" w:hAnsi="宋体" w:eastAsia="宋体" w:cs="宋体"/>
          <w:b/>
          <w:bCs/>
          <w:szCs w:val="21"/>
        </w:rPr>
        <w:t>”，详见第三章采购需求前附表中明确的“标的名称”。</w:t>
      </w:r>
    </w:p>
    <w:p w14:paraId="567DBBB0">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4.上述“</w:t>
      </w:r>
      <w:r>
        <w:rPr>
          <w:rFonts w:hint="eastAsia" w:ascii="宋体" w:hAnsi="宋体" w:eastAsia="宋体" w:cs="宋体"/>
          <w:b/>
          <w:bCs/>
          <w:szCs w:val="21"/>
          <w:u w:val="single"/>
        </w:rPr>
        <w:t>采购文件中明确的所属行业</w:t>
      </w:r>
      <w:r>
        <w:rPr>
          <w:rFonts w:hint="eastAsia" w:ascii="宋体" w:hAnsi="宋体" w:eastAsia="宋体" w:cs="宋体"/>
          <w:b/>
          <w:bCs/>
          <w:szCs w:val="21"/>
        </w:rPr>
        <w:t>”，详见第三章采购需求前附表中明确的“所属行业”。</w:t>
      </w:r>
    </w:p>
    <w:p w14:paraId="04656BBB">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5．填写示例：</w:t>
      </w:r>
      <w:r>
        <w:rPr>
          <w:rFonts w:hint="eastAsia" w:ascii="宋体" w:hAnsi="宋体" w:eastAsia="宋体" w:cs="宋体"/>
          <w:b/>
          <w:bCs/>
          <w:szCs w:val="21"/>
          <w:u w:val="single"/>
        </w:rPr>
        <w:t>某标的名称</w:t>
      </w:r>
      <w:r>
        <w:rPr>
          <w:rFonts w:hint="eastAsia" w:ascii="宋体" w:hAnsi="宋体" w:eastAsia="宋体" w:cs="宋体"/>
          <w:b/>
          <w:bCs/>
          <w:szCs w:val="21"/>
        </w:rPr>
        <w:t>（</w:t>
      </w:r>
      <w:r>
        <w:rPr>
          <w:rFonts w:hint="eastAsia" w:ascii="宋体" w:hAnsi="宋体" w:eastAsia="宋体" w:cs="宋体"/>
          <w:b/>
          <w:bCs/>
          <w:szCs w:val="21"/>
          <w:u w:val="single"/>
        </w:rPr>
        <w:t>填写第三章采购需求前附表中明确的“标的名称”</w:t>
      </w:r>
      <w:r>
        <w:rPr>
          <w:rFonts w:hint="eastAsia" w:ascii="宋体" w:hAnsi="宋体" w:eastAsia="宋体" w:cs="宋体"/>
          <w:b/>
          <w:bCs/>
          <w:szCs w:val="21"/>
        </w:rPr>
        <w:t>），属于</w:t>
      </w:r>
      <w:r>
        <w:rPr>
          <w:rFonts w:hint="eastAsia" w:ascii="宋体" w:hAnsi="宋体" w:eastAsia="宋体" w:cs="宋体"/>
          <w:b/>
          <w:bCs/>
          <w:szCs w:val="21"/>
          <w:u w:val="single"/>
        </w:rPr>
        <w:t>（填写第三章采购需求前附表中明确的“所属行业”，如软件和信息技术服务业）</w:t>
      </w:r>
      <w:r>
        <w:rPr>
          <w:rFonts w:hint="eastAsia" w:ascii="宋体" w:hAnsi="宋体" w:eastAsia="宋体" w:cs="宋体"/>
          <w:b/>
          <w:bCs/>
          <w:szCs w:val="21"/>
        </w:rPr>
        <w:t>行业；承接企业为</w:t>
      </w:r>
      <w:r>
        <w:rPr>
          <w:rFonts w:hint="eastAsia" w:ascii="宋体" w:hAnsi="宋体" w:eastAsia="宋体" w:cs="宋体"/>
          <w:b/>
          <w:bCs/>
          <w:szCs w:val="21"/>
          <w:u w:val="single"/>
          <w:lang w:val="zh-CN"/>
        </w:rPr>
        <w:t>某</w:t>
      </w:r>
      <w:r>
        <w:rPr>
          <w:rFonts w:hint="eastAsia" w:ascii="宋体" w:hAnsi="宋体" w:eastAsia="宋体" w:cs="宋体"/>
          <w:b/>
          <w:bCs/>
          <w:szCs w:val="21"/>
          <w:u w:val="single"/>
        </w:rPr>
        <w:t>企业</w:t>
      </w:r>
      <w:r>
        <w:rPr>
          <w:rFonts w:hint="eastAsia" w:ascii="宋体" w:hAnsi="宋体" w:eastAsia="宋体" w:cs="宋体"/>
          <w:b/>
          <w:bCs/>
          <w:szCs w:val="21"/>
        </w:rPr>
        <w:t>，</w:t>
      </w:r>
      <w:r>
        <w:rPr>
          <w:rFonts w:hint="eastAsia" w:ascii="宋体" w:hAnsi="宋体" w:eastAsia="宋体" w:cs="宋体"/>
          <w:b/>
          <w:bCs/>
          <w:szCs w:val="21"/>
          <w:lang w:val="zh-CN"/>
        </w:rPr>
        <w:t>从业人员</w:t>
      </w:r>
      <w:r>
        <w:rPr>
          <w:rFonts w:hint="eastAsia" w:ascii="宋体" w:hAnsi="宋体" w:eastAsia="宋体" w:cs="宋体"/>
          <w:b/>
          <w:bCs/>
          <w:szCs w:val="21"/>
          <w:u w:val="single"/>
        </w:rPr>
        <w:t>100</w:t>
      </w:r>
      <w:r>
        <w:rPr>
          <w:rFonts w:hint="eastAsia" w:ascii="宋体" w:hAnsi="宋体" w:eastAsia="宋体" w:cs="宋体"/>
          <w:b/>
          <w:bCs/>
          <w:szCs w:val="21"/>
          <w:lang w:val="zh-CN"/>
        </w:rPr>
        <w:t>人</w:t>
      </w:r>
      <w:r>
        <w:rPr>
          <w:rFonts w:hint="eastAsia" w:ascii="宋体" w:hAnsi="宋体" w:eastAsia="宋体" w:cs="宋体"/>
          <w:b/>
          <w:bCs/>
          <w:szCs w:val="21"/>
        </w:rPr>
        <w:t>，</w:t>
      </w:r>
      <w:r>
        <w:rPr>
          <w:rFonts w:hint="eastAsia" w:ascii="宋体" w:hAnsi="宋体" w:eastAsia="宋体" w:cs="宋体"/>
          <w:b/>
          <w:bCs/>
          <w:szCs w:val="21"/>
          <w:lang w:val="zh-CN"/>
        </w:rPr>
        <w:t>营业收入为</w:t>
      </w:r>
      <w:r>
        <w:rPr>
          <w:rFonts w:hint="eastAsia" w:ascii="宋体" w:hAnsi="宋体" w:eastAsia="宋体" w:cs="宋体"/>
          <w:b/>
          <w:bCs/>
          <w:szCs w:val="21"/>
          <w:u w:val="single"/>
        </w:rPr>
        <w:t>10000</w:t>
      </w:r>
      <w:r>
        <w:rPr>
          <w:rFonts w:hint="eastAsia" w:ascii="宋体" w:hAnsi="宋体" w:eastAsia="宋体" w:cs="宋体"/>
          <w:b/>
          <w:bCs/>
          <w:szCs w:val="21"/>
          <w:lang w:val="zh-CN"/>
        </w:rPr>
        <w:t>万元</w:t>
      </w:r>
      <w:r>
        <w:rPr>
          <w:rFonts w:hint="eastAsia" w:ascii="宋体" w:hAnsi="宋体" w:eastAsia="宋体" w:cs="宋体"/>
          <w:b/>
          <w:bCs/>
          <w:szCs w:val="21"/>
        </w:rPr>
        <w:t>，</w:t>
      </w:r>
      <w:r>
        <w:rPr>
          <w:rFonts w:hint="eastAsia" w:ascii="宋体" w:hAnsi="宋体" w:eastAsia="宋体" w:cs="宋体"/>
          <w:b/>
          <w:bCs/>
          <w:szCs w:val="21"/>
          <w:lang w:val="zh-CN"/>
        </w:rPr>
        <w:t>资产总额为</w:t>
      </w:r>
      <w:r>
        <w:rPr>
          <w:rFonts w:hint="eastAsia" w:ascii="宋体" w:hAnsi="宋体" w:eastAsia="宋体" w:cs="宋体"/>
          <w:b/>
          <w:bCs/>
          <w:szCs w:val="21"/>
          <w:u w:val="single"/>
        </w:rPr>
        <w:t>5000</w:t>
      </w:r>
      <w:r>
        <w:rPr>
          <w:rFonts w:hint="eastAsia" w:ascii="宋体" w:hAnsi="宋体" w:eastAsia="宋体" w:cs="宋体"/>
          <w:b/>
          <w:bCs/>
          <w:szCs w:val="21"/>
          <w:lang w:val="zh-CN"/>
        </w:rPr>
        <w:t>万元</w:t>
      </w:r>
      <w:r>
        <w:rPr>
          <w:rFonts w:hint="eastAsia" w:ascii="宋体" w:hAnsi="宋体" w:eastAsia="宋体" w:cs="宋体"/>
          <w:b/>
          <w:bCs/>
          <w:szCs w:val="21"/>
        </w:rPr>
        <w:t>，</w:t>
      </w:r>
      <w:r>
        <w:rPr>
          <w:rFonts w:hint="eastAsia" w:ascii="宋体" w:hAnsi="宋体" w:eastAsia="宋体" w:cs="宋体"/>
          <w:b/>
          <w:bCs/>
          <w:szCs w:val="21"/>
          <w:lang w:val="zh-CN"/>
        </w:rPr>
        <w:t>属于</w:t>
      </w:r>
      <w:r>
        <w:rPr>
          <w:rFonts w:hint="eastAsia" w:ascii="宋体" w:hAnsi="宋体" w:eastAsia="宋体" w:cs="宋体"/>
          <w:b/>
          <w:bCs/>
          <w:szCs w:val="21"/>
        </w:rPr>
        <w:t>中</w:t>
      </w:r>
      <w:r>
        <w:rPr>
          <w:rFonts w:hint="eastAsia" w:ascii="宋体" w:hAnsi="宋体" w:eastAsia="宋体" w:cs="宋体"/>
          <w:b/>
          <w:bCs/>
          <w:szCs w:val="21"/>
          <w:u w:val="single"/>
          <w:lang w:val="zh-CN"/>
        </w:rPr>
        <w:t>型</w:t>
      </w:r>
      <w:r>
        <w:rPr>
          <w:rFonts w:hint="eastAsia" w:ascii="宋体" w:hAnsi="宋体" w:eastAsia="宋体" w:cs="宋体"/>
          <w:b/>
          <w:bCs/>
          <w:szCs w:val="21"/>
          <w:lang w:val="zh-CN"/>
        </w:rPr>
        <w:t>企业</w:t>
      </w:r>
      <w:r>
        <w:rPr>
          <w:rFonts w:hint="eastAsia" w:ascii="宋体" w:hAnsi="宋体" w:eastAsia="宋体" w:cs="宋体"/>
          <w:b/>
          <w:bCs/>
          <w:szCs w:val="21"/>
        </w:rPr>
        <w:t>[供应商自行登录工业和信息化部官网进行中小企业规模类型自测（查询网址https://www.miit.gov.cn/）]</w:t>
      </w:r>
      <w:r>
        <w:rPr>
          <w:rFonts w:hint="eastAsia" w:ascii="宋体" w:hAnsi="宋体" w:eastAsia="宋体" w:cs="宋体"/>
          <w:b/>
          <w:bCs/>
          <w:szCs w:val="21"/>
          <w:lang w:val="zh-CN"/>
        </w:rPr>
        <w:t>。</w:t>
      </w:r>
    </w:p>
    <w:p w14:paraId="7A4C68BD">
      <w:pPr>
        <w:tabs>
          <w:tab w:val="left" w:pos="4620"/>
        </w:tabs>
        <w:spacing w:line="360" w:lineRule="auto"/>
        <w:rPr>
          <w:rFonts w:asciiTheme="minorEastAsia" w:hAnsiTheme="minorEastAsia" w:eastAsiaTheme="minorEastAsia"/>
          <w:sz w:val="24"/>
        </w:rPr>
      </w:pPr>
      <w:r>
        <w:rPr>
          <w:rFonts w:asciiTheme="minorEastAsia" w:hAnsiTheme="minorEastAsia" w:eastAsiaTheme="minorEastAsia"/>
          <w:sz w:val="24"/>
        </w:rPr>
        <w:br w:type="page"/>
      </w:r>
    </w:p>
    <w:p w14:paraId="41E2A3F5">
      <w:pPr>
        <w:spacing w:line="360" w:lineRule="auto"/>
        <w:jc w:val="center"/>
        <w:outlineLvl w:val="1"/>
        <w:rPr>
          <w:rFonts w:asciiTheme="minorEastAsia" w:hAnsiTheme="minorEastAsia" w:eastAsiaTheme="minorEastAsia"/>
          <w:b/>
          <w:sz w:val="24"/>
        </w:rPr>
      </w:pPr>
      <w:bookmarkStart w:id="458" w:name="_Toc5908"/>
      <w:bookmarkStart w:id="459" w:name="_Toc17713"/>
      <w:bookmarkStart w:id="460" w:name="_Hlk60608725"/>
      <w:r>
        <w:rPr>
          <w:rFonts w:hint="eastAsia" w:asciiTheme="minorEastAsia" w:hAnsiTheme="minorEastAsia" w:eastAsiaTheme="minorEastAsia"/>
          <w:b/>
          <w:sz w:val="24"/>
        </w:rPr>
        <w:t>八、残疾人福利性单位声明函</w:t>
      </w:r>
      <w:bookmarkEnd w:id="458"/>
      <w:bookmarkEnd w:id="459"/>
    </w:p>
    <w:p w14:paraId="58EEE67B">
      <w:pPr>
        <w:pStyle w:val="9"/>
        <w:jc w:val="center"/>
        <w:rPr>
          <w:rFonts w:asciiTheme="minorEastAsia" w:hAnsiTheme="minorEastAsia" w:eastAsiaTheme="minorEastAsia"/>
          <w:spacing w:val="6"/>
          <w:sz w:val="24"/>
        </w:rPr>
      </w:pPr>
      <w:r>
        <w:rPr>
          <w:rFonts w:hint="eastAsia" w:ascii="宋体" w:hAnsi="宋体" w:eastAsia="宋体"/>
          <w:i/>
          <w:sz w:val="24"/>
          <w:lang w:val="en-US"/>
        </w:rPr>
        <w:t>（非残疾人福利性单位磋商，请删去“残疾人福利性单位声明函”）</w:t>
      </w:r>
    </w:p>
    <w:p w14:paraId="25D759CE">
      <w:pPr>
        <w:spacing w:line="360" w:lineRule="auto"/>
        <w:ind w:firstLine="435"/>
        <w:rPr>
          <w:rFonts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本单位</w:t>
      </w:r>
      <w:r>
        <w:rPr>
          <w:rFonts w:hint="eastAsia" w:asciiTheme="minorEastAsia" w:hAnsiTheme="minorEastAsia" w:eastAsiaTheme="minorEastAsia"/>
          <w:sz w:val="24"/>
        </w:rPr>
        <w:t>郑重</w:t>
      </w:r>
      <w:r>
        <w:rPr>
          <w:rFonts w:hint="eastAsia" w:asciiTheme="minorEastAsia" w:hAnsiTheme="minorEastAsia" w:eastAsiaTheme="minorEastAsia"/>
          <w:spacing w:val="6"/>
          <w:sz w:val="24"/>
          <w:szCs w:val="24"/>
        </w:rPr>
        <w:t>声明，根据《财政部 民政部 中国残疾人联合会关于促进残疾人就业政府采购政策的通知》（财库</w:t>
      </w:r>
      <w:r>
        <w:rPr>
          <w:rFonts w:hint="eastAsia" w:asciiTheme="minorEastAsia" w:hAnsiTheme="minorEastAsia" w:eastAsiaTheme="minorEastAsia"/>
          <w:sz w:val="24"/>
          <w:szCs w:val="24"/>
        </w:rPr>
        <w:t>〔2017〕141</w:t>
      </w:r>
      <w:r>
        <w:rPr>
          <w:rFonts w:hint="eastAsia" w:asciiTheme="minorEastAsia" w:hAnsiTheme="minorEastAsia" w:eastAsiaTheme="minorEastAsia"/>
          <w:spacing w:val="6"/>
          <w:sz w:val="24"/>
          <w:szCs w:val="24"/>
        </w:rPr>
        <w:t>号）的规定，本单位为</w:t>
      </w:r>
      <w:r>
        <w:rPr>
          <w:rFonts w:hint="eastAsia" w:asciiTheme="minorEastAsia" w:hAnsiTheme="minorEastAsia" w:eastAsiaTheme="minorEastAsia"/>
          <w:bCs/>
          <w:sz w:val="24"/>
          <w:szCs w:val="24"/>
        </w:rPr>
        <w:t>符合</w:t>
      </w:r>
      <w:r>
        <w:rPr>
          <w:rFonts w:hint="eastAsia" w:asciiTheme="minorEastAsia" w:hAnsiTheme="minorEastAsia" w:eastAsiaTheme="minorEastAsia"/>
          <w:spacing w:val="6"/>
          <w:sz w:val="24"/>
          <w:szCs w:val="24"/>
        </w:rPr>
        <w:t>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6411C3C">
      <w:pPr>
        <w:spacing w:line="360" w:lineRule="auto"/>
        <w:ind w:firstLine="435"/>
        <w:rPr>
          <w:rFonts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本单位对上述声明的真实性负责。如有虚假，将依法承担相应责任。</w:t>
      </w:r>
    </w:p>
    <w:p w14:paraId="29556B13">
      <w:pPr>
        <w:spacing w:line="360" w:lineRule="auto"/>
        <w:ind w:firstLine="4228" w:firstLineChars="1762"/>
        <w:rPr>
          <w:rFonts w:asciiTheme="minorEastAsia" w:hAnsiTheme="minorEastAsia" w:eastAsiaTheme="minorEastAsia"/>
          <w:sz w:val="24"/>
          <w:szCs w:val="24"/>
        </w:rPr>
      </w:pPr>
    </w:p>
    <w:p w14:paraId="4E83266D">
      <w:pPr>
        <w:spacing w:line="360" w:lineRule="auto"/>
        <w:ind w:firstLine="4228" w:firstLineChars="1762"/>
        <w:rPr>
          <w:rFonts w:asciiTheme="minorEastAsia" w:hAnsiTheme="minorEastAsia" w:eastAsiaTheme="minorEastAsia"/>
          <w:sz w:val="24"/>
          <w:szCs w:val="24"/>
        </w:rPr>
      </w:pPr>
    </w:p>
    <w:p w14:paraId="669A669E">
      <w:pPr>
        <w:spacing w:line="360" w:lineRule="auto"/>
        <w:ind w:firstLine="4228" w:firstLineChars="1762"/>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供应商</w:t>
      </w:r>
      <w:r>
        <w:rPr>
          <w:rFonts w:asciiTheme="minorEastAsia" w:hAnsiTheme="minorEastAsia" w:eastAsiaTheme="minorEastAsia"/>
          <w:sz w:val="24"/>
          <w:szCs w:val="24"/>
        </w:rPr>
        <w:t>电子签章</w:t>
      </w:r>
      <w:r>
        <w:rPr>
          <w:rFonts w:hint="eastAsia" w:asciiTheme="minorEastAsia" w:hAnsiTheme="minorEastAsia" w:eastAsiaTheme="minorEastAsia"/>
          <w:sz w:val="24"/>
          <w:szCs w:val="24"/>
        </w:rPr>
        <w:t>：</w:t>
      </w:r>
    </w:p>
    <w:p w14:paraId="31289A09">
      <w:pPr>
        <w:tabs>
          <w:tab w:val="left" w:pos="4620"/>
        </w:tabs>
        <w:spacing w:line="360" w:lineRule="auto"/>
        <w:ind w:firstLine="4252" w:firstLineChars="1772"/>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日    期：</w:t>
      </w:r>
    </w:p>
    <w:bookmarkEnd w:id="460"/>
    <w:p w14:paraId="6ED088D4">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10FC43B0">
      <w:pPr>
        <w:spacing w:line="360" w:lineRule="auto"/>
        <w:jc w:val="center"/>
        <w:outlineLvl w:val="1"/>
        <w:rPr>
          <w:rFonts w:asciiTheme="minorEastAsia" w:hAnsiTheme="minorEastAsia" w:eastAsiaTheme="minorEastAsia"/>
          <w:b/>
          <w:sz w:val="24"/>
        </w:rPr>
      </w:pPr>
      <w:bookmarkStart w:id="461" w:name="_Toc20592"/>
      <w:bookmarkStart w:id="462" w:name="_Toc2278"/>
      <w:bookmarkStart w:id="463" w:name="_Hlk44283088"/>
      <w:r>
        <w:rPr>
          <w:rFonts w:hint="eastAsia" w:asciiTheme="minorEastAsia" w:hAnsiTheme="minorEastAsia" w:eastAsiaTheme="minorEastAsia"/>
          <w:b/>
          <w:sz w:val="24"/>
        </w:rPr>
        <w:t>九、诚信履约承诺函</w:t>
      </w:r>
      <w:bookmarkEnd w:id="461"/>
      <w:bookmarkEnd w:id="462"/>
    </w:p>
    <w:p w14:paraId="069B2D7D">
      <w:pPr>
        <w:spacing w:line="360" w:lineRule="auto"/>
        <w:rPr>
          <w:rFonts w:asciiTheme="minorEastAsia" w:hAnsiTheme="minorEastAsia" w:eastAsiaTheme="minorEastAsia"/>
          <w:b/>
          <w:bCs/>
          <w:sz w:val="24"/>
        </w:rPr>
      </w:pPr>
    </w:p>
    <w:p w14:paraId="7B6E41AA">
      <w:pPr>
        <w:spacing w:line="360" w:lineRule="auto"/>
        <w:rPr>
          <w:rFonts w:asciiTheme="minorEastAsia" w:hAnsiTheme="minorEastAsia" w:eastAsiaTheme="minorEastAsia"/>
          <w:b/>
          <w:bCs/>
          <w:sz w:val="24"/>
          <w:u w:val="single"/>
        </w:rPr>
      </w:pPr>
      <w:r>
        <w:rPr>
          <w:rFonts w:hint="eastAsia" w:asciiTheme="minorEastAsia" w:hAnsiTheme="minorEastAsia" w:eastAsiaTheme="minorEastAsia"/>
          <w:b/>
          <w:bCs/>
          <w:sz w:val="24"/>
        </w:rPr>
        <w:t>致：采购人</w:t>
      </w:r>
    </w:p>
    <w:p w14:paraId="5CB317B8">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68DDC472">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（1）中标或者成交后无正当理由拒不与采购人签订政府采购合同；</w:t>
      </w:r>
    </w:p>
    <w:p w14:paraId="2DE81A4E">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（2）未按照采购文件确定的事项签订政府采购合同；</w:t>
      </w:r>
    </w:p>
    <w:p w14:paraId="57358346">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（3）将政府采购合同转包；</w:t>
      </w:r>
    </w:p>
    <w:p w14:paraId="2F5E5DB8">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（4）提供假冒伪劣产品；</w:t>
      </w:r>
    </w:p>
    <w:p w14:paraId="01B642B9">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（5）擅自变更、中止或者终止政府采购合同。</w:t>
      </w:r>
    </w:p>
    <w:p w14:paraId="6E648DF3">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A322FB4">
      <w:pPr>
        <w:spacing w:line="360" w:lineRule="auto"/>
        <w:rPr>
          <w:rFonts w:asciiTheme="minorEastAsia" w:hAnsiTheme="minorEastAsia" w:eastAsiaTheme="minorEastAsia"/>
          <w:bCs/>
          <w:sz w:val="24"/>
        </w:rPr>
      </w:pPr>
    </w:p>
    <w:p w14:paraId="1C8F660F">
      <w:pPr>
        <w:spacing w:line="360" w:lineRule="auto"/>
        <w:rPr>
          <w:rFonts w:asciiTheme="minorEastAsia" w:hAnsiTheme="minorEastAsia" w:eastAsiaTheme="minorEastAsia"/>
          <w:bCs/>
          <w:sz w:val="24"/>
        </w:rPr>
      </w:pPr>
    </w:p>
    <w:p w14:paraId="1F06A7FB">
      <w:pPr>
        <w:spacing w:line="360" w:lineRule="auto"/>
        <w:ind w:firstLine="4320" w:firstLineChars="1800"/>
        <w:rPr>
          <w:rFonts w:asciiTheme="minorEastAsia" w:hAnsiTheme="minorEastAsia" w:eastAsiaTheme="minorEastAsia"/>
          <w:bCs/>
          <w:sz w:val="24"/>
          <w:u w:val="single"/>
        </w:rPr>
      </w:pPr>
      <w:r>
        <w:rPr>
          <w:rFonts w:hint="eastAsia" w:asciiTheme="minorEastAsia" w:hAnsiTheme="minorEastAsia" w:eastAsiaTheme="minorEastAsia"/>
          <w:bCs/>
          <w:sz w:val="24"/>
        </w:rPr>
        <w:t>供应商电子签章：</w:t>
      </w:r>
    </w:p>
    <w:p w14:paraId="26A87605">
      <w:pPr>
        <w:spacing w:line="360" w:lineRule="auto"/>
        <w:ind w:firstLine="4320" w:firstLineChars="1800"/>
        <w:rPr>
          <w:rFonts w:asciiTheme="minorEastAsia" w:hAnsiTheme="minorEastAsia" w:eastAsiaTheme="minorEastAsia"/>
          <w:bCs/>
          <w:sz w:val="24"/>
        </w:rPr>
      </w:pPr>
      <w:r>
        <w:rPr>
          <w:rFonts w:hint="eastAsia" w:asciiTheme="minorEastAsia" w:hAnsiTheme="minorEastAsia" w:eastAsiaTheme="minorEastAsia"/>
          <w:bCs/>
          <w:sz w:val="24"/>
        </w:rPr>
        <w:t>日          期：</w:t>
      </w:r>
    </w:p>
    <w:p w14:paraId="589CAF6F">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bookmarkEnd w:id="463"/>
    <w:p w14:paraId="782CDB79">
      <w:pPr>
        <w:spacing w:line="360" w:lineRule="auto"/>
        <w:jc w:val="center"/>
        <w:outlineLvl w:val="1"/>
        <w:rPr>
          <w:rFonts w:asciiTheme="minorEastAsia" w:hAnsiTheme="minorEastAsia" w:eastAsiaTheme="minorEastAsia"/>
          <w:b/>
          <w:sz w:val="24"/>
        </w:rPr>
      </w:pPr>
      <w:bookmarkStart w:id="464" w:name="_Toc7807"/>
      <w:bookmarkStart w:id="465" w:name="_Toc3826"/>
      <w:r>
        <w:rPr>
          <w:rFonts w:hint="eastAsia" w:asciiTheme="minorEastAsia" w:hAnsiTheme="minorEastAsia" w:eastAsiaTheme="minorEastAsia"/>
          <w:b/>
          <w:sz w:val="24"/>
        </w:rPr>
        <w:t>十、其他相关证明材料</w:t>
      </w:r>
      <w:bookmarkEnd w:id="464"/>
      <w:bookmarkEnd w:id="465"/>
    </w:p>
    <w:p w14:paraId="5E30DBEA">
      <w:pPr>
        <w:tabs>
          <w:tab w:val="left" w:pos="4620"/>
        </w:tabs>
        <w:spacing w:line="360" w:lineRule="auto"/>
        <w:ind w:firstLine="480" w:firstLineChars="200"/>
        <w:rPr>
          <w:rFonts w:ascii="宋体" w:hAnsi="宋体" w:eastAsia="宋体"/>
          <w:sz w:val="24"/>
        </w:rPr>
      </w:pPr>
      <w:r>
        <w:rPr>
          <w:rFonts w:hint="eastAsia" w:ascii="宋体" w:hAnsi="宋体" w:eastAsia="宋体"/>
          <w:sz w:val="24"/>
        </w:rPr>
        <w:t>提供符合磋商邀请、采购需求及评审方法和标准规定的相关证明文件。</w:t>
      </w:r>
    </w:p>
    <w:p w14:paraId="48AEEFCD">
      <w:pPr>
        <w:spacing w:line="360" w:lineRule="auto"/>
        <w:ind w:firstLine="435"/>
        <w:rPr>
          <w:rFonts w:asciiTheme="minorEastAsia" w:hAnsiTheme="minorEastAsia" w:eastAsiaTheme="minorEastAsia"/>
          <w:sz w:val="24"/>
        </w:rPr>
      </w:pPr>
    </w:p>
    <w:p w14:paraId="3FCC362B">
      <w:pPr>
        <w:spacing w:line="360" w:lineRule="auto"/>
        <w:ind w:firstLine="480" w:firstLineChars="200"/>
        <w:rPr>
          <w:rFonts w:asciiTheme="minorEastAsia" w:hAnsiTheme="minorEastAsia" w:eastAsiaTheme="minorEastAsia"/>
          <w:sz w:val="24"/>
        </w:rPr>
      </w:pPr>
    </w:p>
    <w:p w14:paraId="1E21134D">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b/>
          <w:sz w:val="24"/>
        </w:rPr>
        <w:t>特别提示：</w:t>
      </w:r>
    </w:p>
    <w:p w14:paraId="4BBC39B5">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sz w:val="24"/>
        </w:rPr>
        <w:t>供应商在响应文件制作时可在此栏内上传磋商文件要求上传的证明资料，如营业执照、证书等，应将上述证明材料制作成扫描件上传。</w:t>
      </w:r>
    </w:p>
    <w:p w14:paraId="09A8848C">
      <w:pPr>
        <w:spacing w:line="360" w:lineRule="auto"/>
        <w:jc w:val="center"/>
        <w:rPr>
          <w:rFonts w:asciiTheme="minorEastAsia" w:hAnsiTheme="minorEastAsia" w:eastAsiaTheme="minorEastAsia"/>
          <w:b/>
          <w:sz w:val="24"/>
        </w:rPr>
      </w:pPr>
    </w:p>
    <w:p w14:paraId="7790F1BD">
      <w:pPr>
        <w:widowControl/>
        <w:jc w:val="left"/>
        <w:rPr>
          <w:rFonts w:ascii="宋体" w:hAnsi="宋体" w:eastAsia="宋体"/>
          <w:bCs/>
          <w:sz w:val="24"/>
        </w:rPr>
      </w:pPr>
      <w:r>
        <w:rPr>
          <w:rFonts w:asciiTheme="minorEastAsia" w:hAnsiTheme="minorEastAsia" w:eastAsiaTheme="minorEastAsia"/>
          <w:sz w:val="24"/>
        </w:rPr>
        <w:br w:type="page"/>
      </w:r>
    </w:p>
    <w:p w14:paraId="14BE1C45">
      <w:pPr>
        <w:spacing w:line="360" w:lineRule="auto"/>
        <w:jc w:val="center"/>
        <w:outlineLvl w:val="0"/>
        <w:rPr>
          <w:rFonts w:ascii="宋体" w:hAnsi="宋体" w:eastAsia="宋体"/>
          <w:b/>
          <w:bCs/>
          <w:sz w:val="28"/>
        </w:rPr>
      </w:pPr>
      <w:bookmarkStart w:id="466" w:name="_Toc63440924"/>
      <w:bookmarkStart w:id="467" w:name="_Toc19418"/>
      <w:r>
        <w:rPr>
          <w:rFonts w:hint="eastAsia" w:ascii="宋体" w:hAnsi="宋体" w:eastAsia="宋体"/>
          <w:b/>
          <w:bCs/>
          <w:sz w:val="28"/>
        </w:rPr>
        <w:t>第七章  政府采购</w:t>
      </w:r>
      <w:bookmarkEnd w:id="466"/>
      <w:r>
        <w:rPr>
          <w:rFonts w:hint="eastAsia" w:asciiTheme="minorEastAsia" w:hAnsiTheme="minorEastAsia" w:eastAsiaTheme="minorEastAsia"/>
          <w:b/>
          <w:sz w:val="28"/>
        </w:rPr>
        <w:t>供应</w:t>
      </w:r>
      <w:r>
        <w:rPr>
          <w:rFonts w:hint="eastAsia" w:ascii="宋体" w:hAnsi="宋体" w:eastAsia="宋体"/>
          <w:b/>
          <w:bCs/>
          <w:sz w:val="28"/>
        </w:rPr>
        <w:t>商询问函和质疑函范本</w:t>
      </w:r>
      <w:bookmarkEnd w:id="467"/>
    </w:p>
    <w:p w14:paraId="1CE4309B">
      <w:pPr>
        <w:spacing w:line="360" w:lineRule="auto"/>
        <w:jc w:val="center"/>
        <w:outlineLvl w:val="1"/>
        <w:rPr>
          <w:rFonts w:ascii="仿宋" w:hAnsi="仿宋" w:eastAsia="仿宋" w:cs="仿宋"/>
          <w:b/>
          <w:bCs/>
          <w:sz w:val="32"/>
          <w:szCs w:val="44"/>
        </w:rPr>
      </w:pPr>
      <w:bookmarkStart w:id="468" w:name="_Toc2142"/>
      <w:bookmarkStart w:id="469" w:name="_Toc8735"/>
      <w:r>
        <w:rPr>
          <w:rFonts w:hint="eastAsia" w:ascii="仿宋" w:hAnsi="仿宋" w:eastAsia="仿宋" w:cs="仿宋"/>
          <w:b/>
          <w:bCs/>
          <w:sz w:val="32"/>
          <w:szCs w:val="44"/>
        </w:rPr>
        <w:t>询问函范本</w:t>
      </w:r>
      <w:bookmarkEnd w:id="468"/>
      <w:bookmarkEnd w:id="469"/>
    </w:p>
    <w:p w14:paraId="452820A0">
      <w:pPr>
        <w:adjustRightInd w:val="0"/>
        <w:snapToGrid w:val="0"/>
        <w:spacing w:line="360" w:lineRule="auto"/>
        <w:ind w:firstLine="480" w:firstLineChars="200"/>
        <w:jc w:val="center"/>
        <w:rPr>
          <w:rFonts w:ascii="仿宋" w:hAnsi="仿宋" w:eastAsia="仿宋" w:cs="仿宋"/>
          <w:b/>
          <w:bCs/>
          <w:sz w:val="32"/>
          <w:szCs w:val="44"/>
        </w:rPr>
      </w:pPr>
      <w:r>
        <w:rPr>
          <w:rFonts w:hint="eastAsia" w:cs="仿宋" w:asciiTheme="minorEastAsia" w:hAnsiTheme="minorEastAsia" w:eastAsiaTheme="minorEastAsia"/>
          <w:i/>
          <w:iCs/>
          <w:sz w:val="24"/>
          <w:szCs w:val="24"/>
        </w:rPr>
        <w:t>（如为对采购文件或采购程序的询问或疑问，请按询问函范本或电子交易系统中网上询问格式附件进行提交）</w:t>
      </w:r>
    </w:p>
    <w:p w14:paraId="2F44D341">
      <w:pPr>
        <w:adjustRightInd w:val="0"/>
        <w:snapToGrid w:val="0"/>
        <w:spacing w:line="360" w:lineRule="auto"/>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致：采购人</w:t>
      </w:r>
    </w:p>
    <w:p w14:paraId="51AB49FF">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我单位拟参与</w:t>
      </w:r>
      <w:r>
        <w:rPr>
          <w:rFonts w:hint="eastAsia" w:cs="仿宋" w:asciiTheme="minorEastAsia" w:hAnsiTheme="minorEastAsia" w:eastAsiaTheme="minorEastAsia"/>
          <w:i/>
          <w:iCs/>
          <w:sz w:val="24"/>
          <w:szCs w:val="24"/>
        </w:rPr>
        <w:t>（项目名称、编号)</w:t>
      </w:r>
      <w:r>
        <w:rPr>
          <w:rFonts w:hint="eastAsia" w:cs="仿宋" w:asciiTheme="minorEastAsia" w:hAnsiTheme="minorEastAsia" w:eastAsiaTheme="minorEastAsia"/>
          <w:sz w:val="24"/>
          <w:szCs w:val="24"/>
        </w:rPr>
        <w:t>的采购活动，现有以下内容(或条款)存在疑问(或无法理解)，特提出询问。</w:t>
      </w:r>
    </w:p>
    <w:p w14:paraId="7803183E">
      <w:pPr>
        <w:adjustRightInd w:val="0"/>
        <w:snapToGrid w:val="0"/>
        <w:spacing w:line="360" w:lineRule="auto"/>
        <w:ind w:firstLine="480" w:firstLineChars="200"/>
        <w:outlineLvl w:val="1"/>
        <w:rPr>
          <w:rFonts w:cs="仿宋" w:asciiTheme="minorEastAsia" w:hAnsiTheme="minorEastAsia" w:eastAsiaTheme="minorEastAsia"/>
          <w:sz w:val="24"/>
          <w:szCs w:val="24"/>
        </w:rPr>
      </w:pPr>
      <w:bookmarkStart w:id="470" w:name="_Toc26386"/>
      <w:bookmarkStart w:id="471" w:name="_Toc9092"/>
      <w:r>
        <w:rPr>
          <w:rFonts w:hint="eastAsia" w:cs="仿宋" w:asciiTheme="minorEastAsia" w:hAnsiTheme="minorEastAsia" w:eastAsiaTheme="minorEastAsia"/>
          <w:sz w:val="24"/>
          <w:szCs w:val="24"/>
        </w:rPr>
        <w:t>一、(事项一)</w:t>
      </w:r>
      <w:bookmarkEnd w:id="470"/>
      <w:bookmarkEnd w:id="471"/>
    </w:p>
    <w:p w14:paraId="7A3146CC">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1、(内容或条款)</w:t>
      </w:r>
    </w:p>
    <w:p w14:paraId="42B61AA0">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2、(说明疑问或无法理解原因)</w:t>
      </w:r>
    </w:p>
    <w:p w14:paraId="47C27F18">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3、(建议)</w:t>
      </w:r>
    </w:p>
    <w:p w14:paraId="5A418892">
      <w:pPr>
        <w:adjustRightInd w:val="0"/>
        <w:snapToGrid w:val="0"/>
        <w:spacing w:line="360" w:lineRule="auto"/>
        <w:ind w:firstLine="480" w:firstLineChars="200"/>
        <w:outlineLvl w:val="1"/>
        <w:rPr>
          <w:rFonts w:cs="仿宋" w:asciiTheme="minorEastAsia" w:hAnsiTheme="minorEastAsia" w:eastAsiaTheme="minorEastAsia"/>
          <w:sz w:val="24"/>
          <w:szCs w:val="24"/>
        </w:rPr>
      </w:pPr>
      <w:bookmarkStart w:id="472" w:name="_Toc17582"/>
      <w:bookmarkStart w:id="473" w:name="_Toc9273"/>
      <w:r>
        <w:rPr>
          <w:rFonts w:hint="eastAsia" w:cs="仿宋" w:asciiTheme="minorEastAsia" w:hAnsiTheme="minorEastAsia" w:eastAsiaTheme="minorEastAsia"/>
          <w:sz w:val="24"/>
          <w:szCs w:val="24"/>
        </w:rPr>
        <w:t>二、(事项二)</w:t>
      </w:r>
      <w:bookmarkEnd w:id="472"/>
      <w:bookmarkEnd w:id="473"/>
    </w:p>
    <w:p w14:paraId="1F04FD41">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3C21F8CF">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随附相关证明材料如下： </w:t>
      </w:r>
    </w:p>
    <w:p w14:paraId="4EC8EB2A">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联 系 人：</w:t>
      </w:r>
    </w:p>
    <w:p w14:paraId="4C855638">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联系电话：</w:t>
      </w:r>
    </w:p>
    <w:p w14:paraId="628CE92A">
      <w:pPr>
        <w:tabs>
          <w:tab w:val="left" w:pos="630"/>
        </w:tabs>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日    期：</w:t>
      </w:r>
    </w:p>
    <w:p w14:paraId="2870A089">
      <w:pPr>
        <w:rPr>
          <w:rFonts w:asciiTheme="minorEastAsia" w:hAnsiTheme="minorEastAsia" w:eastAsiaTheme="minorEastAsia"/>
          <w:b/>
          <w:sz w:val="52"/>
        </w:rPr>
      </w:pPr>
      <w:r>
        <w:rPr>
          <w:rFonts w:hint="eastAsia" w:ascii="仿宋" w:hAnsi="仿宋" w:eastAsia="仿宋" w:cs="仿宋"/>
          <w:b/>
          <w:bCs/>
          <w:sz w:val="32"/>
          <w:szCs w:val="44"/>
        </w:rPr>
        <w:br w:type="page"/>
      </w:r>
    </w:p>
    <w:p w14:paraId="7B53AFA1">
      <w:pPr>
        <w:jc w:val="center"/>
        <w:outlineLvl w:val="1"/>
        <w:rPr>
          <w:rFonts w:ascii="仿宋" w:hAnsi="仿宋" w:eastAsia="仿宋" w:cs="仿宋"/>
          <w:b/>
          <w:bCs/>
          <w:sz w:val="32"/>
          <w:szCs w:val="44"/>
        </w:rPr>
      </w:pPr>
      <w:bookmarkStart w:id="474" w:name="_Toc26673"/>
      <w:bookmarkStart w:id="475" w:name="_Toc6990"/>
      <w:r>
        <w:rPr>
          <w:rFonts w:hint="eastAsia" w:ascii="仿宋" w:hAnsi="仿宋" w:eastAsia="仿宋" w:cs="仿宋"/>
          <w:b/>
          <w:bCs/>
          <w:sz w:val="32"/>
          <w:szCs w:val="44"/>
        </w:rPr>
        <w:t>质疑函范本</w:t>
      </w:r>
      <w:bookmarkEnd w:id="474"/>
      <w:bookmarkEnd w:id="475"/>
    </w:p>
    <w:p w14:paraId="5B5E5071">
      <w:pPr>
        <w:adjustRightInd w:val="0"/>
        <w:snapToGrid w:val="0"/>
        <w:spacing w:beforeLines="100" w:line="360" w:lineRule="auto"/>
        <w:outlineLvl w:val="1"/>
        <w:rPr>
          <w:rFonts w:cs="仿宋" w:asciiTheme="minorEastAsia" w:hAnsiTheme="minorEastAsia" w:eastAsiaTheme="minorEastAsia"/>
          <w:b/>
          <w:bCs/>
          <w:sz w:val="24"/>
          <w:szCs w:val="24"/>
        </w:rPr>
      </w:pPr>
      <w:bookmarkStart w:id="476" w:name="_Toc29510"/>
      <w:bookmarkStart w:id="477" w:name="_Toc2994"/>
      <w:r>
        <w:rPr>
          <w:rFonts w:hint="eastAsia" w:cs="仿宋" w:asciiTheme="minorEastAsia" w:hAnsiTheme="minorEastAsia" w:eastAsiaTheme="minorEastAsia"/>
          <w:b/>
          <w:bCs/>
          <w:sz w:val="24"/>
          <w:szCs w:val="24"/>
        </w:rPr>
        <w:t>一、质疑供应商基本信息</w:t>
      </w:r>
      <w:bookmarkEnd w:id="476"/>
      <w:bookmarkEnd w:id="477"/>
    </w:p>
    <w:p w14:paraId="406406B3">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质疑供应商：</w:t>
      </w:r>
    </w:p>
    <w:p w14:paraId="022A15AB">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地址：邮编：</w:t>
      </w:r>
    </w:p>
    <w:p w14:paraId="7B031B5B">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联系人：联系电话：</w:t>
      </w:r>
    </w:p>
    <w:p w14:paraId="79DC2817">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授权代表：</w:t>
      </w:r>
    </w:p>
    <w:p w14:paraId="5DF0CB6A">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联系电话：</w:t>
      </w:r>
    </w:p>
    <w:p w14:paraId="015AA861">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地址：邮编：</w:t>
      </w:r>
    </w:p>
    <w:p w14:paraId="54778B95">
      <w:pPr>
        <w:adjustRightInd w:val="0"/>
        <w:snapToGrid w:val="0"/>
        <w:spacing w:line="360" w:lineRule="auto"/>
        <w:outlineLvl w:val="1"/>
        <w:rPr>
          <w:rFonts w:cs="仿宋" w:asciiTheme="minorEastAsia" w:hAnsiTheme="minorEastAsia" w:eastAsiaTheme="minorEastAsia"/>
          <w:b/>
          <w:bCs/>
          <w:sz w:val="24"/>
          <w:szCs w:val="24"/>
        </w:rPr>
      </w:pPr>
      <w:bookmarkStart w:id="478" w:name="_Toc28130"/>
      <w:bookmarkStart w:id="479" w:name="_Toc31042"/>
      <w:r>
        <w:rPr>
          <w:rFonts w:hint="eastAsia" w:cs="仿宋" w:asciiTheme="minorEastAsia" w:hAnsiTheme="minorEastAsia" w:eastAsiaTheme="minorEastAsia"/>
          <w:b/>
          <w:bCs/>
          <w:sz w:val="24"/>
          <w:szCs w:val="24"/>
        </w:rPr>
        <w:t>二、质疑项目基本情况</w:t>
      </w:r>
      <w:bookmarkEnd w:id="478"/>
      <w:bookmarkEnd w:id="479"/>
    </w:p>
    <w:p w14:paraId="7068EFFD">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质疑项目的名称：</w:t>
      </w:r>
    </w:p>
    <w:p w14:paraId="6A8DDCBC">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质疑项目的编号：包号：</w:t>
      </w:r>
    </w:p>
    <w:p w14:paraId="1F0582DC">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采购人名称：</w:t>
      </w:r>
    </w:p>
    <w:p w14:paraId="106CE6ED">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采购文件获取日期：</w:t>
      </w:r>
    </w:p>
    <w:p w14:paraId="277EACB7">
      <w:pPr>
        <w:adjustRightInd w:val="0"/>
        <w:snapToGrid w:val="0"/>
        <w:spacing w:line="360" w:lineRule="auto"/>
        <w:outlineLvl w:val="1"/>
        <w:rPr>
          <w:rFonts w:cs="仿宋" w:asciiTheme="minorEastAsia" w:hAnsiTheme="minorEastAsia" w:eastAsiaTheme="minorEastAsia"/>
          <w:b/>
          <w:bCs/>
          <w:sz w:val="24"/>
          <w:szCs w:val="24"/>
        </w:rPr>
      </w:pPr>
      <w:bookmarkStart w:id="480" w:name="_Toc20587"/>
      <w:bookmarkStart w:id="481" w:name="_Toc6486"/>
      <w:r>
        <w:rPr>
          <w:rFonts w:hint="eastAsia" w:cs="仿宋" w:asciiTheme="minorEastAsia" w:hAnsiTheme="minorEastAsia" w:eastAsiaTheme="minorEastAsia"/>
          <w:b/>
          <w:bCs/>
          <w:sz w:val="24"/>
          <w:szCs w:val="24"/>
        </w:rPr>
        <w:t>三、质疑事项具体内容</w:t>
      </w:r>
      <w:bookmarkEnd w:id="480"/>
      <w:bookmarkEnd w:id="481"/>
    </w:p>
    <w:p w14:paraId="159706FE">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质疑事项1：</w:t>
      </w:r>
    </w:p>
    <w:p w14:paraId="3D890DE6">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事实依据：</w:t>
      </w:r>
    </w:p>
    <w:p w14:paraId="5B65BCCA">
      <w:pPr>
        <w:adjustRightInd w:val="0"/>
        <w:snapToGrid w:val="0"/>
        <w:spacing w:line="360" w:lineRule="auto"/>
        <w:rPr>
          <w:rFonts w:cs="仿宋" w:asciiTheme="minorEastAsia" w:hAnsiTheme="minorEastAsia" w:eastAsiaTheme="minorEastAsia"/>
          <w:sz w:val="24"/>
          <w:szCs w:val="24"/>
        </w:rPr>
      </w:pPr>
    </w:p>
    <w:p w14:paraId="7D30AD55">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法律依据：</w:t>
      </w:r>
    </w:p>
    <w:p w14:paraId="235D66D6">
      <w:pPr>
        <w:adjustRightInd w:val="0"/>
        <w:snapToGrid w:val="0"/>
        <w:spacing w:line="360" w:lineRule="auto"/>
        <w:rPr>
          <w:rFonts w:cs="仿宋" w:asciiTheme="minorEastAsia" w:hAnsiTheme="minorEastAsia" w:eastAsiaTheme="minorEastAsia"/>
          <w:sz w:val="24"/>
          <w:szCs w:val="24"/>
          <w:u w:val="dotted"/>
        </w:rPr>
      </w:pPr>
    </w:p>
    <w:p w14:paraId="332C93D8">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质疑事项2</w:t>
      </w:r>
    </w:p>
    <w:p w14:paraId="1C7DCEF0">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682DCA64">
      <w:pPr>
        <w:adjustRightInd w:val="0"/>
        <w:snapToGrid w:val="0"/>
        <w:spacing w:line="360" w:lineRule="auto"/>
        <w:outlineLvl w:val="1"/>
        <w:rPr>
          <w:rFonts w:cs="仿宋" w:asciiTheme="minorEastAsia" w:hAnsiTheme="minorEastAsia" w:eastAsiaTheme="minorEastAsia"/>
          <w:b/>
          <w:bCs/>
          <w:sz w:val="24"/>
          <w:szCs w:val="24"/>
        </w:rPr>
      </w:pPr>
      <w:bookmarkStart w:id="482" w:name="_Toc32755"/>
      <w:bookmarkStart w:id="483" w:name="_Toc20470"/>
      <w:r>
        <w:rPr>
          <w:rFonts w:hint="eastAsia" w:cs="仿宋" w:asciiTheme="minorEastAsia" w:hAnsiTheme="minorEastAsia" w:eastAsiaTheme="minorEastAsia"/>
          <w:b/>
          <w:bCs/>
          <w:sz w:val="24"/>
          <w:szCs w:val="24"/>
        </w:rPr>
        <w:t>四、与质疑事项相关的质疑请求</w:t>
      </w:r>
      <w:bookmarkEnd w:id="482"/>
      <w:bookmarkEnd w:id="483"/>
    </w:p>
    <w:p w14:paraId="71B7E64B">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请求：</w:t>
      </w:r>
    </w:p>
    <w:p w14:paraId="373A2FA4">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签字(签章)：                   公章：                      </w:t>
      </w:r>
    </w:p>
    <w:p w14:paraId="04517D88">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日期：    </w:t>
      </w:r>
    </w:p>
    <w:p w14:paraId="6928FDDA">
      <w:pPr>
        <w:widowControl/>
        <w:jc w:val="left"/>
        <w:rPr>
          <w:rFonts w:ascii="仿宋" w:hAnsi="仿宋" w:eastAsia="仿宋" w:cs="仿宋"/>
          <w:sz w:val="32"/>
          <w:szCs w:val="32"/>
        </w:rPr>
      </w:pPr>
      <w:r>
        <w:rPr>
          <w:rFonts w:ascii="仿宋" w:hAnsi="仿宋" w:eastAsia="仿宋" w:cs="仿宋"/>
          <w:sz w:val="32"/>
          <w:szCs w:val="32"/>
        </w:rPr>
        <w:br w:type="page"/>
      </w:r>
    </w:p>
    <w:p w14:paraId="44F4476B">
      <w:pPr>
        <w:outlineLvl w:val="0"/>
        <w:rPr>
          <w:rFonts w:asciiTheme="minorEastAsia" w:hAnsiTheme="minorEastAsia" w:eastAsiaTheme="minorEastAsia"/>
          <w:b/>
          <w:sz w:val="28"/>
          <w:szCs w:val="32"/>
        </w:rPr>
      </w:pPr>
      <w:bookmarkStart w:id="484" w:name="_Toc8368"/>
      <w:bookmarkStart w:id="485" w:name="_Toc21667"/>
      <w:r>
        <w:rPr>
          <w:rFonts w:hint="eastAsia" w:asciiTheme="minorEastAsia" w:hAnsiTheme="minorEastAsia" w:eastAsiaTheme="minorEastAsia"/>
          <w:b/>
          <w:sz w:val="28"/>
          <w:szCs w:val="32"/>
        </w:rPr>
        <w:t>质疑函制作说明：</w:t>
      </w:r>
      <w:bookmarkEnd w:id="484"/>
      <w:bookmarkEnd w:id="485"/>
    </w:p>
    <w:p w14:paraId="5FA9870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1.供应商提出质疑时，应提交质疑函和必要的证明材料。</w:t>
      </w:r>
    </w:p>
    <w:p w14:paraId="72883B7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4EF707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3.质疑供应商若对项目的某一分包进行质疑，质疑函中应列明具体分包号。</w:t>
      </w:r>
    </w:p>
    <w:p w14:paraId="44048D3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4.质疑函的质疑事项应具体、明确，并有必要的事实依据和法律依据。</w:t>
      </w:r>
    </w:p>
    <w:p w14:paraId="5D8A5E4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5.质疑函的质疑请求应与质疑事项相关。</w:t>
      </w:r>
    </w:p>
    <w:p w14:paraId="3FA5BC4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14:paraId="6F2187D7">
      <w:pPr>
        <w:rPr>
          <w:rFonts w:asciiTheme="minorEastAsia" w:hAnsiTheme="minorEastAsia" w:eastAsiaTheme="minorEastAsia"/>
          <w:sz w:val="24"/>
        </w:rPr>
      </w:pPr>
      <w:r>
        <w:rPr>
          <w:rFonts w:hint="eastAsia" w:asciiTheme="minorEastAsia" w:hAnsiTheme="minorEastAsia" w:eastAsiaTheme="minorEastAsia"/>
          <w:sz w:val="24"/>
        </w:rPr>
        <w:br w:type="page"/>
      </w:r>
    </w:p>
    <w:tbl>
      <w:tblPr>
        <w:tblStyle w:val="24"/>
        <w:tblW w:w="8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7"/>
      </w:tblGrid>
      <w:tr w14:paraId="52F4C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2" w:hRule="atLeast"/>
          <w:jc w:val="center"/>
        </w:trPr>
        <w:tc>
          <w:tcPr>
            <w:tcW w:w="8387" w:type="dxa"/>
            <w:tcBorders>
              <w:top w:val="single" w:color="auto" w:sz="4" w:space="0"/>
              <w:left w:val="single" w:color="auto" w:sz="4" w:space="0"/>
              <w:bottom w:val="single" w:color="auto" w:sz="4" w:space="0"/>
              <w:right w:val="single" w:color="auto" w:sz="4" w:space="0"/>
            </w:tcBorders>
          </w:tcPr>
          <w:p w14:paraId="6019A5EA">
            <w:pPr>
              <w:spacing w:after="120"/>
              <w:ind w:left="420" w:leftChars="200" w:firstLine="480" w:firstLineChars="200"/>
              <w:rPr>
                <w:rFonts w:asciiTheme="minorEastAsia" w:hAnsiTheme="minorEastAsia" w:eastAsiaTheme="minorEastAsia" w:cstheme="minorEastAsia"/>
                <w:sz w:val="24"/>
                <w:szCs w:val="24"/>
              </w:rPr>
            </w:pPr>
          </w:p>
          <w:p w14:paraId="5B4C25A1">
            <w:pPr>
              <w:spacing w:after="120"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我单位本次采购工作及本项目采购文件，我们确认。我单位地址、联系电话、联系人、项目授权委托人详见本采购文件。</w:t>
            </w:r>
          </w:p>
          <w:p w14:paraId="08BCE1AD">
            <w:pPr>
              <w:spacing w:after="120" w:line="360" w:lineRule="auto"/>
              <w:ind w:left="420" w:leftChars="200" w:firstLine="472"/>
              <w:rPr>
                <w:rFonts w:asciiTheme="minorEastAsia" w:hAnsiTheme="minorEastAsia" w:eastAsiaTheme="minorEastAsia" w:cstheme="minorEastAsia"/>
                <w:sz w:val="24"/>
                <w:szCs w:val="24"/>
              </w:rPr>
            </w:pPr>
          </w:p>
          <w:p w14:paraId="4ED18435">
            <w:pPr>
              <w:spacing w:after="120" w:line="360" w:lineRule="auto"/>
              <w:rPr>
                <w:rFonts w:asciiTheme="minorEastAsia" w:hAnsiTheme="minorEastAsia" w:eastAsiaTheme="minorEastAsia" w:cstheme="minorEastAsia"/>
                <w:sz w:val="24"/>
                <w:szCs w:val="24"/>
              </w:rPr>
            </w:pPr>
          </w:p>
          <w:p w14:paraId="488BDE79">
            <w:pPr>
              <w:spacing w:after="120" w:line="360" w:lineRule="auto"/>
              <w:ind w:left="420" w:leftChars="200" w:firstLine="504" w:firstLineChars="21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采购人：安徽省怀洪新河河道管理局（安徽省淮水北调工程管理中心）</w:t>
            </w:r>
          </w:p>
          <w:p w14:paraId="38B46A8C">
            <w:pPr>
              <w:spacing w:after="120" w:line="360" w:lineRule="auto"/>
              <w:ind w:left="420" w:leftChars="200" w:firstLine="504" w:firstLineChars="21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址：安徽省蚌埠市龙子湖区沿淮路780号</w:t>
            </w:r>
          </w:p>
          <w:p w14:paraId="13AB08C4">
            <w:pPr>
              <w:spacing w:after="120" w:line="360" w:lineRule="auto"/>
              <w:ind w:left="420" w:leftChars="200" w:firstLine="504" w:firstLineChars="21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r>
              <w:rPr>
                <w:rFonts w:hint="eastAsia" w:ascii="宋体" w:hAnsi="宋体" w:eastAsia="宋体"/>
                <w:sz w:val="24"/>
                <w:szCs w:val="18"/>
              </w:rPr>
              <w:t>段震宇</w:t>
            </w:r>
          </w:p>
          <w:p w14:paraId="1A200713">
            <w:pPr>
              <w:spacing w:after="120" w:line="360" w:lineRule="auto"/>
              <w:ind w:left="420" w:leftChars="200" w:firstLine="504" w:firstLineChars="21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联系方式：0552-3918715                                   </w:t>
            </w:r>
          </w:p>
          <w:p w14:paraId="050D29BB">
            <w:pPr>
              <w:spacing w:after="120" w:line="360" w:lineRule="auto"/>
              <w:ind w:left="183" w:leftChars="87"/>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（盖单位公章）</w:t>
            </w:r>
          </w:p>
          <w:p w14:paraId="60CD3B2D">
            <w:pPr>
              <w:spacing w:after="120" w:line="360" w:lineRule="auto"/>
              <w:ind w:left="420" w:leftChars="200" w:firstLine="5400" w:firstLineChars="22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2026年</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日</w:t>
            </w:r>
          </w:p>
        </w:tc>
      </w:tr>
      <w:tr w14:paraId="2503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0" w:hRule="atLeast"/>
          <w:jc w:val="center"/>
        </w:trPr>
        <w:tc>
          <w:tcPr>
            <w:tcW w:w="8387" w:type="dxa"/>
            <w:tcBorders>
              <w:top w:val="single" w:color="auto" w:sz="4" w:space="0"/>
              <w:left w:val="single" w:color="auto" w:sz="4" w:space="0"/>
              <w:bottom w:val="single" w:color="auto" w:sz="4" w:space="0"/>
              <w:right w:val="single" w:color="auto" w:sz="4" w:space="0"/>
            </w:tcBorders>
          </w:tcPr>
          <w:p w14:paraId="1DE4314D">
            <w:pPr>
              <w:spacing w:after="120"/>
              <w:ind w:left="420" w:leftChars="200"/>
              <w:rPr>
                <w:rFonts w:asciiTheme="minorEastAsia" w:hAnsiTheme="minorEastAsia" w:eastAsiaTheme="minorEastAsia" w:cstheme="minorEastAsia"/>
                <w:sz w:val="24"/>
                <w:szCs w:val="24"/>
              </w:rPr>
            </w:pPr>
          </w:p>
          <w:p w14:paraId="22159A22">
            <w:pPr>
              <w:spacing w:after="120"/>
              <w:ind w:left="420" w:leftChars="200" w:firstLine="360" w:firstLineChars="150"/>
              <w:rPr>
                <w:rFonts w:asciiTheme="minorEastAsia" w:hAnsiTheme="minorEastAsia" w:eastAsiaTheme="minorEastAsia" w:cstheme="minorEastAsia"/>
                <w:sz w:val="24"/>
                <w:szCs w:val="24"/>
              </w:rPr>
            </w:pPr>
          </w:p>
          <w:p w14:paraId="6D09A859">
            <w:pPr>
              <w:spacing w:after="120"/>
              <w:ind w:left="420" w:leftChars="200" w:firstLine="360" w:firstLineChars="150"/>
              <w:rPr>
                <w:rFonts w:asciiTheme="minorEastAsia" w:hAnsiTheme="minorEastAsia" w:eastAsiaTheme="minorEastAsia" w:cstheme="minorEastAsia"/>
                <w:sz w:val="24"/>
                <w:szCs w:val="24"/>
              </w:rPr>
            </w:pPr>
          </w:p>
          <w:p w14:paraId="7D791B9F">
            <w:pPr>
              <w:spacing w:after="120" w:line="360" w:lineRule="auto"/>
              <w:ind w:left="420" w:leftChars="200" w:firstLine="504" w:firstLineChars="21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采购代理机构：安徽英才建设工程管理有限公司</w:t>
            </w:r>
          </w:p>
          <w:p w14:paraId="57C2DBB6">
            <w:pPr>
              <w:spacing w:after="120" w:line="360" w:lineRule="auto"/>
              <w:ind w:left="420" w:leftChars="200" w:firstLine="504" w:firstLineChars="21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地址：安徽省蚌埠市蚌山区万达写字楼A座9层913室</w:t>
            </w:r>
          </w:p>
          <w:p w14:paraId="64CD8432">
            <w:pPr>
              <w:spacing w:after="120" w:line="360" w:lineRule="auto"/>
              <w:ind w:left="420" w:leftChars="200" w:firstLine="504" w:firstLineChars="21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联系人：冷棠鸿、张悦</w:t>
            </w:r>
          </w:p>
          <w:p w14:paraId="623A2C2E">
            <w:pPr>
              <w:spacing w:after="120" w:line="360" w:lineRule="auto"/>
              <w:ind w:left="420" w:leftChars="200" w:firstLine="504" w:firstLineChars="21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联系电话：0552-3080018 </w:t>
            </w:r>
          </w:p>
          <w:p w14:paraId="7A2DB529">
            <w:pPr>
              <w:spacing w:after="120" w:line="360" w:lineRule="auto"/>
              <w:ind w:left="420" w:leftChars="200" w:firstLine="7320" w:firstLineChars="3050"/>
              <w:rPr>
                <w:rFonts w:asciiTheme="minorEastAsia" w:hAnsiTheme="minorEastAsia" w:eastAsiaTheme="minorEastAsia" w:cstheme="minorEastAsia"/>
                <w:sz w:val="24"/>
                <w:szCs w:val="24"/>
              </w:rPr>
            </w:pPr>
          </w:p>
          <w:p w14:paraId="099EBDAA">
            <w:pPr>
              <w:spacing w:after="120" w:line="360" w:lineRule="auto"/>
              <w:ind w:left="420" w:leftChars="200" w:firstLine="7320" w:firstLineChars="3050"/>
              <w:rPr>
                <w:rFonts w:asciiTheme="minorEastAsia" w:hAnsiTheme="minorEastAsia" w:eastAsiaTheme="minorEastAsia" w:cstheme="minorEastAsia"/>
                <w:sz w:val="24"/>
                <w:szCs w:val="24"/>
              </w:rPr>
            </w:pPr>
          </w:p>
          <w:p w14:paraId="7BEB90C9">
            <w:pPr>
              <w:spacing w:after="120" w:line="360" w:lineRule="auto"/>
              <w:ind w:left="183" w:leftChars="87" w:firstLine="5280" w:firstLineChars="2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（盖单位公章）</w:t>
            </w:r>
          </w:p>
          <w:p w14:paraId="7C315592">
            <w:pPr>
              <w:spacing w:after="120" w:line="360" w:lineRule="auto"/>
              <w:ind w:left="183" w:leftChars="87" w:firstLine="5760" w:firstLineChars="24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2026年</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日</w:t>
            </w:r>
          </w:p>
        </w:tc>
      </w:tr>
    </w:tbl>
    <w:p w14:paraId="75531B76">
      <w:pPr>
        <w:spacing w:line="360" w:lineRule="auto"/>
        <w:ind w:firstLine="435"/>
        <w:rPr>
          <w:rFonts w:asciiTheme="minorEastAsia" w:hAnsiTheme="minorEastAsia" w:eastAsiaTheme="minorEastAsia"/>
          <w:sz w:val="24"/>
        </w:rPr>
      </w:pPr>
    </w:p>
    <w:p w14:paraId="69E830D7"/>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仿宋_GB2312">
    <w:altName w:val="仿宋"/>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169B2">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F6545">
    <w:pPr>
      <w:pStyle w:val="16"/>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posOffset>2157730</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DF9C4D">
                          <w:pPr>
                            <w:pStyle w:val="16"/>
                            <w:rPr>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105</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fldChar w:fldCharType="begin"/>
                          </w:r>
                          <w:r>
                            <w:instrText xml:space="preserve"> NUMPAGES  \* MERGEFORMAT </w:instrText>
                          </w:r>
                          <w:r>
                            <w:fldChar w:fldCharType="separate"/>
                          </w:r>
                          <w:r>
                            <w:rPr>
                              <w:rFonts w:ascii="宋体" w:hAnsi="宋体" w:eastAsia="宋体" w:cs="宋体"/>
                              <w:sz w:val="21"/>
                              <w:szCs w:val="21"/>
                            </w:rPr>
                            <w:t>105</w:t>
                          </w:r>
                          <w:r>
                            <w:rPr>
                              <w:rFonts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69.9pt;margin-top:0pt;height:144pt;width:144pt;mso-position-horizontal-relative:margin;mso-wrap-style:none;z-index:251659264;mso-width-relative:page;mso-height-relative:page;" filled="f" stroked="f" coordsize="21600,21600" o:gfxdata="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cAboDVAAAACAEAAA8AAAAAAAAAAQAgAAAAIgAAAGRycy9kb3ducmV2LnhtbFBL&#10;AQIUABQAAAAIAIdO4kBr5OO8MgIAAGMEAAAOAAAAAAAAAAEAIAAAACQBAABkcnMvZTJvRG9jLnht&#10;bFBLBQYAAAAABgAGAFkBAADIBQAAAAA=&#10;">
              <v:fill on="f" focussize="0,0"/>
              <v:stroke on="f" weight="0.5pt"/>
              <v:imagedata o:title=""/>
              <o:lock v:ext="edit" aspectratio="f"/>
              <v:textbox inset="0mm,0mm,0mm,0mm" style="mso-fit-shape-to-text:t;">
                <w:txbxContent>
                  <w:p w14:paraId="04DF9C4D">
                    <w:pPr>
                      <w:pStyle w:val="16"/>
                      <w:rPr>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105</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fldChar w:fldCharType="begin"/>
                    </w:r>
                    <w:r>
                      <w:instrText xml:space="preserve"> NUMPAGES  \* MERGEFORMAT </w:instrText>
                    </w:r>
                    <w:r>
                      <w:fldChar w:fldCharType="separate"/>
                    </w:r>
                    <w:r>
                      <w:rPr>
                        <w:rFonts w:ascii="宋体" w:hAnsi="宋体" w:eastAsia="宋体" w:cs="宋体"/>
                        <w:sz w:val="21"/>
                        <w:szCs w:val="21"/>
                      </w:rPr>
                      <w:t>105</w:t>
                    </w:r>
                    <w:r>
                      <w:rPr>
                        <w:rFonts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CCC52">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ECBC8">
    <w:pPr>
      <w:pStyle w:val="17"/>
      <w:jc w:val="left"/>
    </w:pPr>
    <w:r>
      <w:rPr>
        <w:rFonts w:hint="eastAsia" w:asciiTheme="minorEastAsia" w:hAnsiTheme="minorEastAsia" w:eastAsiaTheme="minorEastAsia"/>
      </w:rPr>
      <w:t>安徽省政府采购项目竞争性磋商文件示范文本（服务类）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C6171"/>
    <w:multiLevelType w:val="multilevel"/>
    <w:tmpl w:val="040C617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2DCE613F"/>
    <w:multiLevelType w:val="multilevel"/>
    <w:tmpl w:val="2DCE613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F5D4D2B"/>
    <w:multiLevelType w:val="multilevel"/>
    <w:tmpl w:val="2F5D4D2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3C1C4694"/>
    <w:multiLevelType w:val="multilevel"/>
    <w:tmpl w:val="3C1C469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49323EC8"/>
    <w:multiLevelType w:val="multilevel"/>
    <w:tmpl w:val="49323EC8"/>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6FC5A05E"/>
    <w:multiLevelType w:val="singleLevel"/>
    <w:tmpl w:val="6FC5A05E"/>
    <w:lvl w:ilvl="0" w:tentative="0">
      <w:start w:val="1"/>
      <w:numFmt w:val="decimal"/>
      <w:suff w:val="nothing"/>
      <w:lvlText w:val="（%1）"/>
      <w:lvlJc w:val="left"/>
    </w:lvl>
  </w:abstractNum>
  <w:abstractNum w:abstractNumId="6">
    <w:nsid w:val="7AA316D1"/>
    <w:multiLevelType w:val="multilevel"/>
    <w:tmpl w:val="7AA316D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4"/>
  </w:num>
  <w:num w:numId="2">
    <w:abstractNumId w:val="6"/>
  </w:num>
  <w:num w:numId="3">
    <w:abstractNumId w:val="0"/>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3NjRmNGE2YjExMTE4Zjc4NWU5MzU5NzEzNjczYzAifQ=="/>
  </w:docVars>
  <w:rsids>
    <w:rsidRoot w:val="00276BA1"/>
    <w:rsid w:val="0000043F"/>
    <w:rsid w:val="000037F9"/>
    <w:rsid w:val="000049DA"/>
    <w:rsid w:val="00005403"/>
    <w:rsid w:val="000056B7"/>
    <w:rsid w:val="00007D87"/>
    <w:rsid w:val="000131F7"/>
    <w:rsid w:val="00014039"/>
    <w:rsid w:val="00016B6C"/>
    <w:rsid w:val="00020B57"/>
    <w:rsid w:val="00020B6D"/>
    <w:rsid w:val="000323E2"/>
    <w:rsid w:val="00040C25"/>
    <w:rsid w:val="00042139"/>
    <w:rsid w:val="00042B14"/>
    <w:rsid w:val="00044F49"/>
    <w:rsid w:val="000450C3"/>
    <w:rsid w:val="00050A3F"/>
    <w:rsid w:val="00052F95"/>
    <w:rsid w:val="00054AA3"/>
    <w:rsid w:val="00056ECB"/>
    <w:rsid w:val="00057B40"/>
    <w:rsid w:val="000648D2"/>
    <w:rsid w:val="00070E0E"/>
    <w:rsid w:val="0007146E"/>
    <w:rsid w:val="00076DB7"/>
    <w:rsid w:val="00080FEB"/>
    <w:rsid w:val="00094D41"/>
    <w:rsid w:val="00097CB9"/>
    <w:rsid w:val="000A0161"/>
    <w:rsid w:val="000A10A9"/>
    <w:rsid w:val="000A6693"/>
    <w:rsid w:val="000A7970"/>
    <w:rsid w:val="000A7D94"/>
    <w:rsid w:val="000B1511"/>
    <w:rsid w:val="000B6249"/>
    <w:rsid w:val="000C1DB1"/>
    <w:rsid w:val="000D19EC"/>
    <w:rsid w:val="000D3F37"/>
    <w:rsid w:val="000E3C74"/>
    <w:rsid w:val="000E3F9B"/>
    <w:rsid w:val="000E478E"/>
    <w:rsid w:val="000E668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30601"/>
    <w:rsid w:val="00132F4D"/>
    <w:rsid w:val="00133EA0"/>
    <w:rsid w:val="00137249"/>
    <w:rsid w:val="00140687"/>
    <w:rsid w:val="00146421"/>
    <w:rsid w:val="00153B20"/>
    <w:rsid w:val="00155F64"/>
    <w:rsid w:val="00157856"/>
    <w:rsid w:val="00160729"/>
    <w:rsid w:val="00160EAA"/>
    <w:rsid w:val="0016455F"/>
    <w:rsid w:val="00165398"/>
    <w:rsid w:val="00166794"/>
    <w:rsid w:val="00166ED8"/>
    <w:rsid w:val="001714C9"/>
    <w:rsid w:val="00171515"/>
    <w:rsid w:val="00172B93"/>
    <w:rsid w:val="001768BC"/>
    <w:rsid w:val="0018119B"/>
    <w:rsid w:val="001844AB"/>
    <w:rsid w:val="001853C7"/>
    <w:rsid w:val="00192879"/>
    <w:rsid w:val="001944B8"/>
    <w:rsid w:val="001967D2"/>
    <w:rsid w:val="00196DA3"/>
    <w:rsid w:val="001970C3"/>
    <w:rsid w:val="001971E5"/>
    <w:rsid w:val="001A0C0F"/>
    <w:rsid w:val="001A68E5"/>
    <w:rsid w:val="001B2A54"/>
    <w:rsid w:val="001B2BA4"/>
    <w:rsid w:val="001B5014"/>
    <w:rsid w:val="001B7327"/>
    <w:rsid w:val="001C2A15"/>
    <w:rsid w:val="001D22EA"/>
    <w:rsid w:val="001D53B4"/>
    <w:rsid w:val="001E1835"/>
    <w:rsid w:val="001F28D2"/>
    <w:rsid w:val="001F2F45"/>
    <w:rsid w:val="001F3023"/>
    <w:rsid w:val="001F35F6"/>
    <w:rsid w:val="001F4AAF"/>
    <w:rsid w:val="001F74CA"/>
    <w:rsid w:val="001F7590"/>
    <w:rsid w:val="002003B6"/>
    <w:rsid w:val="0020244A"/>
    <w:rsid w:val="002049B4"/>
    <w:rsid w:val="0020520B"/>
    <w:rsid w:val="002076AD"/>
    <w:rsid w:val="00213C55"/>
    <w:rsid w:val="00223CF4"/>
    <w:rsid w:val="00224B69"/>
    <w:rsid w:val="00224C4A"/>
    <w:rsid w:val="00231187"/>
    <w:rsid w:val="0023407E"/>
    <w:rsid w:val="00240B40"/>
    <w:rsid w:val="00244182"/>
    <w:rsid w:val="002544A1"/>
    <w:rsid w:val="00257ECE"/>
    <w:rsid w:val="00260382"/>
    <w:rsid w:val="00260B94"/>
    <w:rsid w:val="00264F2E"/>
    <w:rsid w:val="00271245"/>
    <w:rsid w:val="00272BD6"/>
    <w:rsid w:val="00273F66"/>
    <w:rsid w:val="00274A9E"/>
    <w:rsid w:val="00276BA1"/>
    <w:rsid w:val="00280984"/>
    <w:rsid w:val="002832CF"/>
    <w:rsid w:val="00283599"/>
    <w:rsid w:val="002835E3"/>
    <w:rsid w:val="00284542"/>
    <w:rsid w:val="002A14D1"/>
    <w:rsid w:val="002A1A1D"/>
    <w:rsid w:val="002A28AD"/>
    <w:rsid w:val="002B04FD"/>
    <w:rsid w:val="002B5318"/>
    <w:rsid w:val="002B6D27"/>
    <w:rsid w:val="002B7A09"/>
    <w:rsid w:val="002C060C"/>
    <w:rsid w:val="002C078A"/>
    <w:rsid w:val="002D05DD"/>
    <w:rsid w:val="002D0E4D"/>
    <w:rsid w:val="002D2965"/>
    <w:rsid w:val="002D3D02"/>
    <w:rsid w:val="002D4CB5"/>
    <w:rsid w:val="002D5900"/>
    <w:rsid w:val="002D684B"/>
    <w:rsid w:val="002E2D3A"/>
    <w:rsid w:val="002E3B26"/>
    <w:rsid w:val="002E4AB8"/>
    <w:rsid w:val="002E7FC4"/>
    <w:rsid w:val="002F694F"/>
    <w:rsid w:val="00310070"/>
    <w:rsid w:val="0031081B"/>
    <w:rsid w:val="003110EC"/>
    <w:rsid w:val="00314289"/>
    <w:rsid w:val="003206A6"/>
    <w:rsid w:val="0032560D"/>
    <w:rsid w:val="00327C92"/>
    <w:rsid w:val="00333292"/>
    <w:rsid w:val="003344E7"/>
    <w:rsid w:val="0033580B"/>
    <w:rsid w:val="003365E7"/>
    <w:rsid w:val="003378D5"/>
    <w:rsid w:val="003473D7"/>
    <w:rsid w:val="00351995"/>
    <w:rsid w:val="00351AC8"/>
    <w:rsid w:val="00353075"/>
    <w:rsid w:val="00363E02"/>
    <w:rsid w:val="00373A96"/>
    <w:rsid w:val="00375654"/>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B25A5"/>
    <w:rsid w:val="003B4130"/>
    <w:rsid w:val="003B6FA1"/>
    <w:rsid w:val="003B715B"/>
    <w:rsid w:val="003C2C62"/>
    <w:rsid w:val="003C5566"/>
    <w:rsid w:val="003C577A"/>
    <w:rsid w:val="003C7C74"/>
    <w:rsid w:val="003D1D14"/>
    <w:rsid w:val="003D6C7C"/>
    <w:rsid w:val="003D6EFB"/>
    <w:rsid w:val="003D7E52"/>
    <w:rsid w:val="003E25C6"/>
    <w:rsid w:val="003F7528"/>
    <w:rsid w:val="004011AA"/>
    <w:rsid w:val="0040202C"/>
    <w:rsid w:val="00404A8F"/>
    <w:rsid w:val="00406508"/>
    <w:rsid w:val="004110F6"/>
    <w:rsid w:val="004134F8"/>
    <w:rsid w:val="0041456E"/>
    <w:rsid w:val="004148E3"/>
    <w:rsid w:val="00414F7E"/>
    <w:rsid w:val="004164F8"/>
    <w:rsid w:val="00422224"/>
    <w:rsid w:val="00426F05"/>
    <w:rsid w:val="004328E1"/>
    <w:rsid w:val="004427B7"/>
    <w:rsid w:val="00442C50"/>
    <w:rsid w:val="0044349F"/>
    <w:rsid w:val="00445F1F"/>
    <w:rsid w:val="00447862"/>
    <w:rsid w:val="00451F60"/>
    <w:rsid w:val="00452BB2"/>
    <w:rsid w:val="00456054"/>
    <w:rsid w:val="0045656D"/>
    <w:rsid w:val="00462D98"/>
    <w:rsid w:val="00463E7D"/>
    <w:rsid w:val="0046768B"/>
    <w:rsid w:val="00472A44"/>
    <w:rsid w:val="00473A89"/>
    <w:rsid w:val="00475899"/>
    <w:rsid w:val="004825E4"/>
    <w:rsid w:val="00482C78"/>
    <w:rsid w:val="00483ABC"/>
    <w:rsid w:val="0048634A"/>
    <w:rsid w:val="004874AE"/>
    <w:rsid w:val="0049056F"/>
    <w:rsid w:val="004913CF"/>
    <w:rsid w:val="00492217"/>
    <w:rsid w:val="00494D24"/>
    <w:rsid w:val="004951D1"/>
    <w:rsid w:val="004960BB"/>
    <w:rsid w:val="004A1BA3"/>
    <w:rsid w:val="004A27D0"/>
    <w:rsid w:val="004A4D67"/>
    <w:rsid w:val="004B7E79"/>
    <w:rsid w:val="004C13CB"/>
    <w:rsid w:val="004C1AAB"/>
    <w:rsid w:val="004C48D6"/>
    <w:rsid w:val="004C5B90"/>
    <w:rsid w:val="004D3D4B"/>
    <w:rsid w:val="004D5498"/>
    <w:rsid w:val="004D66A5"/>
    <w:rsid w:val="004D6B00"/>
    <w:rsid w:val="004E1D50"/>
    <w:rsid w:val="004E3266"/>
    <w:rsid w:val="004E38BA"/>
    <w:rsid w:val="004E50CA"/>
    <w:rsid w:val="004F27A0"/>
    <w:rsid w:val="0050027D"/>
    <w:rsid w:val="00501382"/>
    <w:rsid w:val="005048FB"/>
    <w:rsid w:val="00510563"/>
    <w:rsid w:val="00510798"/>
    <w:rsid w:val="005119B5"/>
    <w:rsid w:val="005125F1"/>
    <w:rsid w:val="00524A11"/>
    <w:rsid w:val="005260D0"/>
    <w:rsid w:val="00527768"/>
    <w:rsid w:val="00530EA4"/>
    <w:rsid w:val="005327FB"/>
    <w:rsid w:val="00533251"/>
    <w:rsid w:val="00533FCA"/>
    <w:rsid w:val="005346EF"/>
    <w:rsid w:val="00542F0C"/>
    <w:rsid w:val="005470D4"/>
    <w:rsid w:val="0055705E"/>
    <w:rsid w:val="005616B5"/>
    <w:rsid w:val="00566690"/>
    <w:rsid w:val="005679A4"/>
    <w:rsid w:val="005748EB"/>
    <w:rsid w:val="00574CE6"/>
    <w:rsid w:val="0059223D"/>
    <w:rsid w:val="0059365B"/>
    <w:rsid w:val="00593ABC"/>
    <w:rsid w:val="00597B15"/>
    <w:rsid w:val="005A044C"/>
    <w:rsid w:val="005A149F"/>
    <w:rsid w:val="005A3A32"/>
    <w:rsid w:val="005B2C9F"/>
    <w:rsid w:val="005B34C9"/>
    <w:rsid w:val="005B571E"/>
    <w:rsid w:val="005C1D52"/>
    <w:rsid w:val="005C46AC"/>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6517"/>
    <w:rsid w:val="00636EE7"/>
    <w:rsid w:val="00637690"/>
    <w:rsid w:val="00640E1E"/>
    <w:rsid w:val="0064389A"/>
    <w:rsid w:val="00645442"/>
    <w:rsid w:val="006525CD"/>
    <w:rsid w:val="00653F7F"/>
    <w:rsid w:val="00662DCD"/>
    <w:rsid w:val="00662EE8"/>
    <w:rsid w:val="00663813"/>
    <w:rsid w:val="00664AFD"/>
    <w:rsid w:val="00667567"/>
    <w:rsid w:val="00672FE4"/>
    <w:rsid w:val="0067391A"/>
    <w:rsid w:val="00674173"/>
    <w:rsid w:val="0067534F"/>
    <w:rsid w:val="00677D87"/>
    <w:rsid w:val="006834FA"/>
    <w:rsid w:val="00690DB1"/>
    <w:rsid w:val="00693404"/>
    <w:rsid w:val="006953D9"/>
    <w:rsid w:val="006A1269"/>
    <w:rsid w:val="006A5803"/>
    <w:rsid w:val="006A69C3"/>
    <w:rsid w:val="006A7C15"/>
    <w:rsid w:val="006B1242"/>
    <w:rsid w:val="006B1DBC"/>
    <w:rsid w:val="006B3712"/>
    <w:rsid w:val="006B7D9A"/>
    <w:rsid w:val="006C06D9"/>
    <w:rsid w:val="006C3E22"/>
    <w:rsid w:val="006C5716"/>
    <w:rsid w:val="006C64B2"/>
    <w:rsid w:val="006C74A9"/>
    <w:rsid w:val="006D07DE"/>
    <w:rsid w:val="006D361A"/>
    <w:rsid w:val="006D6A81"/>
    <w:rsid w:val="006E06D9"/>
    <w:rsid w:val="006E1D40"/>
    <w:rsid w:val="006E2E1F"/>
    <w:rsid w:val="006E5059"/>
    <w:rsid w:val="006F5F03"/>
    <w:rsid w:val="006F5FFF"/>
    <w:rsid w:val="00710804"/>
    <w:rsid w:val="00711FC6"/>
    <w:rsid w:val="00712952"/>
    <w:rsid w:val="007130B1"/>
    <w:rsid w:val="00713487"/>
    <w:rsid w:val="00715071"/>
    <w:rsid w:val="0071781C"/>
    <w:rsid w:val="007231E9"/>
    <w:rsid w:val="00724F0E"/>
    <w:rsid w:val="007270A6"/>
    <w:rsid w:val="00727C59"/>
    <w:rsid w:val="00732EB8"/>
    <w:rsid w:val="00733730"/>
    <w:rsid w:val="00734E5D"/>
    <w:rsid w:val="00736013"/>
    <w:rsid w:val="00737BF8"/>
    <w:rsid w:val="0074339B"/>
    <w:rsid w:val="0074478E"/>
    <w:rsid w:val="00750B60"/>
    <w:rsid w:val="00756245"/>
    <w:rsid w:val="00761662"/>
    <w:rsid w:val="00764043"/>
    <w:rsid w:val="00766A36"/>
    <w:rsid w:val="007757CF"/>
    <w:rsid w:val="007769F6"/>
    <w:rsid w:val="00780F9D"/>
    <w:rsid w:val="0078128F"/>
    <w:rsid w:val="007819D9"/>
    <w:rsid w:val="0078683C"/>
    <w:rsid w:val="00790EDB"/>
    <w:rsid w:val="00791538"/>
    <w:rsid w:val="0079326E"/>
    <w:rsid w:val="00796EDE"/>
    <w:rsid w:val="007A5A58"/>
    <w:rsid w:val="007B1C56"/>
    <w:rsid w:val="007B2EDC"/>
    <w:rsid w:val="007C1DD7"/>
    <w:rsid w:val="007C3CD5"/>
    <w:rsid w:val="007C4756"/>
    <w:rsid w:val="007C5E88"/>
    <w:rsid w:val="007C61EF"/>
    <w:rsid w:val="007C6783"/>
    <w:rsid w:val="007D03DE"/>
    <w:rsid w:val="007D1C0D"/>
    <w:rsid w:val="007D2D23"/>
    <w:rsid w:val="007E1AE9"/>
    <w:rsid w:val="007E27D6"/>
    <w:rsid w:val="007E3921"/>
    <w:rsid w:val="00801028"/>
    <w:rsid w:val="00803793"/>
    <w:rsid w:val="00804000"/>
    <w:rsid w:val="008101A2"/>
    <w:rsid w:val="00817A01"/>
    <w:rsid w:val="00820937"/>
    <w:rsid w:val="00825E35"/>
    <w:rsid w:val="00830A4E"/>
    <w:rsid w:val="008334F8"/>
    <w:rsid w:val="00835FFD"/>
    <w:rsid w:val="0084381F"/>
    <w:rsid w:val="00843E35"/>
    <w:rsid w:val="00845172"/>
    <w:rsid w:val="008524CE"/>
    <w:rsid w:val="00857633"/>
    <w:rsid w:val="0086440C"/>
    <w:rsid w:val="008674ED"/>
    <w:rsid w:val="00874EE6"/>
    <w:rsid w:val="00876659"/>
    <w:rsid w:val="0087734C"/>
    <w:rsid w:val="00882141"/>
    <w:rsid w:val="00886BD4"/>
    <w:rsid w:val="008876EC"/>
    <w:rsid w:val="008922A8"/>
    <w:rsid w:val="00895BD5"/>
    <w:rsid w:val="008A16C4"/>
    <w:rsid w:val="008A4A27"/>
    <w:rsid w:val="008A649F"/>
    <w:rsid w:val="008A6FED"/>
    <w:rsid w:val="008B070A"/>
    <w:rsid w:val="008B39C5"/>
    <w:rsid w:val="008B51AA"/>
    <w:rsid w:val="008C67F2"/>
    <w:rsid w:val="008D064A"/>
    <w:rsid w:val="008D2537"/>
    <w:rsid w:val="008D2B0F"/>
    <w:rsid w:val="008D633C"/>
    <w:rsid w:val="008E449E"/>
    <w:rsid w:val="008E4BDD"/>
    <w:rsid w:val="008E770C"/>
    <w:rsid w:val="008F187F"/>
    <w:rsid w:val="008F402F"/>
    <w:rsid w:val="008F76E8"/>
    <w:rsid w:val="00904508"/>
    <w:rsid w:val="009078A1"/>
    <w:rsid w:val="009115CF"/>
    <w:rsid w:val="00911E9C"/>
    <w:rsid w:val="00917405"/>
    <w:rsid w:val="00920C1F"/>
    <w:rsid w:val="00920F7C"/>
    <w:rsid w:val="00922718"/>
    <w:rsid w:val="00924743"/>
    <w:rsid w:val="00932A87"/>
    <w:rsid w:val="00934CAE"/>
    <w:rsid w:val="0093560E"/>
    <w:rsid w:val="0094257D"/>
    <w:rsid w:val="009443B6"/>
    <w:rsid w:val="00946F68"/>
    <w:rsid w:val="0095467C"/>
    <w:rsid w:val="00954A61"/>
    <w:rsid w:val="00955C6F"/>
    <w:rsid w:val="00966C7B"/>
    <w:rsid w:val="009701DC"/>
    <w:rsid w:val="009715D8"/>
    <w:rsid w:val="009811A8"/>
    <w:rsid w:val="00991460"/>
    <w:rsid w:val="00995BF9"/>
    <w:rsid w:val="009975CC"/>
    <w:rsid w:val="009A0CAF"/>
    <w:rsid w:val="009A2207"/>
    <w:rsid w:val="009A2D34"/>
    <w:rsid w:val="009A6565"/>
    <w:rsid w:val="009B0EDA"/>
    <w:rsid w:val="009B6C42"/>
    <w:rsid w:val="009D2998"/>
    <w:rsid w:val="009D31F7"/>
    <w:rsid w:val="009D32C2"/>
    <w:rsid w:val="009D50DB"/>
    <w:rsid w:val="009E2932"/>
    <w:rsid w:val="009E3A0A"/>
    <w:rsid w:val="009F1936"/>
    <w:rsid w:val="009F3E91"/>
    <w:rsid w:val="00A008DA"/>
    <w:rsid w:val="00A00C93"/>
    <w:rsid w:val="00A0571E"/>
    <w:rsid w:val="00A13A27"/>
    <w:rsid w:val="00A1499B"/>
    <w:rsid w:val="00A170D8"/>
    <w:rsid w:val="00A30A1B"/>
    <w:rsid w:val="00A311AD"/>
    <w:rsid w:val="00A314C0"/>
    <w:rsid w:val="00A314C2"/>
    <w:rsid w:val="00A42993"/>
    <w:rsid w:val="00A501BF"/>
    <w:rsid w:val="00A519A0"/>
    <w:rsid w:val="00A5274A"/>
    <w:rsid w:val="00A62A2E"/>
    <w:rsid w:val="00A63A4D"/>
    <w:rsid w:val="00A63E86"/>
    <w:rsid w:val="00A67AF7"/>
    <w:rsid w:val="00A75185"/>
    <w:rsid w:val="00A754A0"/>
    <w:rsid w:val="00A757C3"/>
    <w:rsid w:val="00A75E5B"/>
    <w:rsid w:val="00A75F4B"/>
    <w:rsid w:val="00A7684A"/>
    <w:rsid w:val="00A83B69"/>
    <w:rsid w:val="00A86533"/>
    <w:rsid w:val="00A91CA2"/>
    <w:rsid w:val="00A92FB8"/>
    <w:rsid w:val="00A948F1"/>
    <w:rsid w:val="00AA0BE3"/>
    <w:rsid w:val="00AA18F9"/>
    <w:rsid w:val="00AA1D7D"/>
    <w:rsid w:val="00AA2790"/>
    <w:rsid w:val="00AA3806"/>
    <w:rsid w:val="00AB139D"/>
    <w:rsid w:val="00AB2A35"/>
    <w:rsid w:val="00AB2D05"/>
    <w:rsid w:val="00AB3EFB"/>
    <w:rsid w:val="00AC0B05"/>
    <w:rsid w:val="00AC1962"/>
    <w:rsid w:val="00AC7F9D"/>
    <w:rsid w:val="00AD079A"/>
    <w:rsid w:val="00AD1890"/>
    <w:rsid w:val="00AE2149"/>
    <w:rsid w:val="00AE2BF3"/>
    <w:rsid w:val="00AE33AE"/>
    <w:rsid w:val="00AE3986"/>
    <w:rsid w:val="00AE3F91"/>
    <w:rsid w:val="00AF5B63"/>
    <w:rsid w:val="00B0053D"/>
    <w:rsid w:val="00B01176"/>
    <w:rsid w:val="00B039E3"/>
    <w:rsid w:val="00B06D36"/>
    <w:rsid w:val="00B12BC4"/>
    <w:rsid w:val="00B22838"/>
    <w:rsid w:val="00B33E8F"/>
    <w:rsid w:val="00B33E95"/>
    <w:rsid w:val="00B3720B"/>
    <w:rsid w:val="00B45D0B"/>
    <w:rsid w:val="00B52FA0"/>
    <w:rsid w:val="00B5558A"/>
    <w:rsid w:val="00B56513"/>
    <w:rsid w:val="00B61B64"/>
    <w:rsid w:val="00B631E4"/>
    <w:rsid w:val="00B64376"/>
    <w:rsid w:val="00B6570C"/>
    <w:rsid w:val="00B6790B"/>
    <w:rsid w:val="00B7233F"/>
    <w:rsid w:val="00B7401F"/>
    <w:rsid w:val="00B769CF"/>
    <w:rsid w:val="00B806C3"/>
    <w:rsid w:val="00B80D6F"/>
    <w:rsid w:val="00B84FCA"/>
    <w:rsid w:val="00B9089F"/>
    <w:rsid w:val="00B91826"/>
    <w:rsid w:val="00B91AEE"/>
    <w:rsid w:val="00B95F5A"/>
    <w:rsid w:val="00B96EAD"/>
    <w:rsid w:val="00BA4962"/>
    <w:rsid w:val="00BA4B7C"/>
    <w:rsid w:val="00BA79F5"/>
    <w:rsid w:val="00BA7EA7"/>
    <w:rsid w:val="00BB2E28"/>
    <w:rsid w:val="00BB3AB6"/>
    <w:rsid w:val="00BB766D"/>
    <w:rsid w:val="00BC007B"/>
    <w:rsid w:val="00BC1715"/>
    <w:rsid w:val="00BC26BA"/>
    <w:rsid w:val="00BC35F8"/>
    <w:rsid w:val="00BC481B"/>
    <w:rsid w:val="00BD01C5"/>
    <w:rsid w:val="00BD08DF"/>
    <w:rsid w:val="00BD2D29"/>
    <w:rsid w:val="00BD617C"/>
    <w:rsid w:val="00BE782C"/>
    <w:rsid w:val="00BF376F"/>
    <w:rsid w:val="00BF46A6"/>
    <w:rsid w:val="00BF6CAD"/>
    <w:rsid w:val="00BF71FB"/>
    <w:rsid w:val="00C04DBF"/>
    <w:rsid w:val="00C05E4C"/>
    <w:rsid w:val="00C06545"/>
    <w:rsid w:val="00C134AF"/>
    <w:rsid w:val="00C220FC"/>
    <w:rsid w:val="00C24DFA"/>
    <w:rsid w:val="00C24F9D"/>
    <w:rsid w:val="00C30182"/>
    <w:rsid w:val="00C31FC9"/>
    <w:rsid w:val="00C37A63"/>
    <w:rsid w:val="00C42248"/>
    <w:rsid w:val="00C46A36"/>
    <w:rsid w:val="00C47037"/>
    <w:rsid w:val="00C50235"/>
    <w:rsid w:val="00C509E3"/>
    <w:rsid w:val="00C53625"/>
    <w:rsid w:val="00C548BA"/>
    <w:rsid w:val="00C5679D"/>
    <w:rsid w:val="00C57784"/>
    <w:rsid w:val="00C602C1"/>
    <w:rsid w:val="00C63FC0"/>
    <w:rsid w:val="00C66392"/>
    <w:rsid w:val="00C7075D"/>
    <w:rsid w:val="00C73D09"/>
    <w:rsid w:val="00C74895"/>
    <w:rsid w:val="00C74C5E"/>
    <w:rsid w:val="00C82558"/>
    <w:rsid w:val="00C827A2"/>
    <w:rsid w:val="00C82B69"/>
    <w:rsid w:val="00C82C8E"/>
    <w:rsid w:val="00C82CB3"/>
    <w:rsid w:val="00C91B28"/>
    <w:rsid w:val="00C91F3A"/>
    <w:rsid w:val="00C93590"/>
    <w:rsid w:val="00CA31EA"/>
    <w:rsid w:val="00CA5446"/>
    <w:rsid w:val="00CB14E5"/>
    <w:rsid w:val="00CB218D"/>
    <w:rsid w:val="00CB5625"/>
    <w:rsid w:val="00CB5797"/>
    <w:rsid w:val="00CC1C17"/>
    <w:rsid w:val="00CC4F7F"/>
    <w:rsid w:val="00CC5D70"/>
    <w:rsid w:val="00CD09E1"/>
    <w:rsid w:val="00CE1780"/>
    <w:rsid w:val="00CE4913"/>
    <w:rsid w:val="00CE66BD"/>
    <w:rsid w:val="00CF0671"/>
    <w:rsid w:val="00CF247A"/>
    <w:rsid w:val="00CF44AD"/>
    <w:rsid w:val="00CF4D7C"/>
    <w:rsid w:val="00CF4FC0"/>
    <w:rsid w:val="00CF7486"/>
    <w:rsid w:val="00D00637"/>
    <w:rsid w:val="00D1072F"/>
    <w:rsid w:val="00D108A5"/>
    <w:rsid w:val="00D14585"/>
    <w:rsid w:val="00D153C8"/>
    <w:rsid w:val="00D17F98"/>
    <w:rsid w:val="00D20EFF"/>
    <w:rsid w:val="00D215B9"/>
    <w:rsid w:val="00D31324"/>
    <w:rsid w:val="00D4386E"/>
    <w:rsid w:val="00D44E1E"/>
    <w:rsid w:val="00D51432"/>
    <w:rsid w:val="00D53ED8"/>
    <w:rsid w:val="00D541A0"/>
    <w:rsid w:val="00D64857"/>
    <w:rsid w:val="00D6493A"/>
    <w:rsid w:val="00D649A5"/>
    <w:rsid w:val="00D66833"/>
    <w:rsid w:val="00D67875"/>
    <w:rsid w:val="00D71E86"/>
    <w:rsid w:val="00D731C6"/>
    <w:rsid w:val="00D745C5"/>
    <w:rsid w:val="00D75327"/>
    <w:rsid w:val="00D77D6B"/>
    <w:rsid w:val="00D80C36"/>
    <w:rsid w:val="00D81A32"/>
    <w:rsid w:val="00D86EE1"/>
    <w:rsid w:val="00D95E90"/>
    <w:rsid w:val="00D96126"/>
    <w:rsid w:val="00DA2FD5"/>
    <w:rsid w:val="00DB4B1C"/>
    <w:rsid w:val="00DB5085"/>
    <w:rsid w:val="00DB619F"/>
    <w:rsid w:val="00DB7211"/>
    <w:rsid w:val="00DC1062"/>
    <w:rsid w:val="00DC132C"/>
    <w:rsid w:val="00DC181A"/>
    <w:rsid w:val="00DC5727"/>
    <w:rsid w:val="00DD43F0"/>
    <w:rsid w:val="00DD44DE"/>
    <w:rsid w:val="00DE09AB"/>
    <w:rsid w:val="00DE1DCC"/>
    <w:rsid w:val="00DE352F"/>
    <w:rsid w:val="00DE4A3F"/>
    <w:rsid w:val="00DE5A99"/>
    <w:rsid w:val="00DF4367"/>
    <w:rsid w:val="00DF7291"/>
    <w:rsid w:val="00E0574A"/>
    <w:rsid w:val="00E1243D"/>
    <w:rsid w:val="00E12742"/>
    <w:rsid w:val="00E146D4"/>
    <w:rsid w:val="00E14815"/>
    <w:rsid w:val="00E21D37"/>
    <w:rsid w:val="00E220ED"/>
    <w:rsid w:val="00E22B44"/>
    <w:rsid w:val="00E30ACD"/>
    <w:rsid w:val="00E31067"/>
    <w:rsid w:val="00E32735"/>
    <w:rsid w:val="00E34236"/>
    <w:rsid w:val="00E44B88"/>
    <w:rsid w:val="00E60DDB"/>
    <w:rsid w:val="00E65AD9"/>
    <w:rsid w:val="00E66E36"/>
    <w:rsid w:val="00E67F21"/>
    <w:rsid w:val="00E702ED"/>
    <w:rsid w:val="00E709A4"/>
    <w:rsid w:val="00E75917"/>
    <w:rsid w:val="00E772DB"/>
    <w:rsid w:val="00E86012"/>
    <w:rsid w:val="00E860CA"/>
    <w:rsid w:val="00E86BAB"/>
    <w:rsid w:val="00E92962"/>
    <w:rsid w:val="00E94E10"/>
    <w:rsid w:val="00E96743"/>
    <w:rsid w:val="00E96A42"/>
    <w:rsid w:val="00E97497"/>
    <w:rsid w:val="00EA16D5"/>
    <w:rsid w:val="00EA49C5"/>
    <w:rsid w:val="00EA6279"/>
    <w:rsid w:val="00EB5027"/>
    <w:rsid w:val="00EB6C87"/>
    <w:rsid w:val="00EC079F"/>
    <w:rsid w:val="00EC1836"/>
    <w:rsid w:val="00EC2F6E"/>
    <w:rsid w:val="00EC3990"/>
    <w:rsid w:val="00EC484B"/>
    <w:rsid w:val="00EC7E58"/>
    <w:rsid w:val="00ED15FA"/>
    <w:rsid w:val="00ED5C9F"/>
    <w:rsid w:val="00EE050C"/>
    <w:rsid w:val="00EE2113"/>
    <w:rsid w:val="00EE5730"/>
    <w:rsid w:val="00EE6E9A"/>
    <w:rsid w:val="00EF2AC4"/>
    <w:rsid w:val="00EF397E"/>
    <w:rsid w:val="00F0340C"/>
    <w:rsid w:val="00F06F68"/>
    <w:rsid w:val="00F11241"/>
    <w:rsid w:val="00F15E9D"/>
    <w:rsid w:val="00F23FA7"/>
    <w:rsid w:val="00F24C2D"/>
    <w:rsid w:val="00F27BEC"/>
    <w:rsid w:val="00F27D59"/>
    <w:rsid w:val="00F316E1"/>
    <w:rsid w:val="00F32155"/>
    <w:rsid w:val="00F32A81"/>
    <w:rsid w:val="00F40C82"/>
    <w:rsid w:val="00F4197F"/>
    <w:rsid w:val="00F46998"/>
    <w:rsid w:val="00F5382D"/>
    <w:rsid w:val="00F53D9C"/>
    <w:rsid w:val="00F54195"/>
    <w:rsid w:val="00F5462B"/>
    <w:rsid w:val="00F54653"/>
    <w:rsid w:val="00F54FAC"/>
    <w:rsid w:val="00F569DE"/>
    <w:rsid w:val="00F57205"/>
    <w:rsid w:val="00F634AD"/>
    <w:rsid w:val="00F63677"/>
    <w:rsid w:val="00F70658"/>
    <w:rsid w:val="00F7417E"/>
    <w:rsid w:val="00F75B81"/>
    <w:rsid w:val="00F761CA"/>
    <w:rsid w:val="00F804C4"/>
    <w:rsid w:val="00F80C7E"/>
    <w:rsid w:val="00F82F83"/>
    <w:rsid w:val="00F86097"/>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05F"/>
    <w:rsid w:val="00FB298D"/>
    <w:rsid w:val="00FB3171"/>
    <w:rsid w:val="00FB444E"/>
    <w:rsid w:val="00FC1439"/>
    <w:rsid w:val="00FC3F65"/>
    <w:rsid w:val="00FC5007"/>
    <w:rsid w:val="00FC70AD"/>
    <w:rsid w:val="00FC724B"/>
    <w:rsid w:val="00FC7910"/>
    <w:rsid w:val="00FD01E0"/>
    <w:rsid w:val="00FD50FC"/>
    <w:rsid w:val="00FE1627"/>
    <w:rsid w:val="00FE2D4E"/>
    <w:rsid w:val="00FE3F22"/>
    <w:rsid w:val="00FE49B6"/>
    <w:rsid w:val="00FF092F"/>
    <w:rsid w:val="00FF0DA7"/>
    <w:rsid w:val="00FF2B09"/>
    <w:rsid w:val="00FF44E0"/>
    <w:rsid w:val="00FF6C72"/>
    <w:rsid w:val="01722E9F"/>
    <w:rsid w:val="01915CC2"/>
    <w:rsid w:val="02EB0203"/>
    <w:rsid w:val="0433224A"/>
    <w:rsid w:val="048B14D8"/>
    <w:rsid w:val="04D9176E"/>
    <w:rsid w:val="050A3100"/>
    <w:rsid w:val="06AE129F"/>
    <w:rsid w:val="072D20A4"/>
    <w:rsid w:val="073B420D"/>
    <w:rsid w:val="09A909AA"/>
    <w:rsid w:val="09D57B28"/>
    <w:rsid w:val="0A3D35AB"/>
    <w:rsid w:val="0A542106"/>
    <w:rsid w:val="0A6C4667"/>
    <w:rsid w:val="0AB53AB7"/>
    <w:rsid w:val="0BBE711B"/>
    <w:rsid w:val="0BD47173"/>
    <w:rsid w:val="0C1B47F2"/>
    <w:rsid w:val="0C4264AA"/>
    <w:rsid w:val="0C6157E5"/>
    <w:rsid w:val="0DB63633"/>
    <w:rsid w:val="0DC67DF3"/>
    <w:rsid w:val="0EA32BAC"/>
    <w:rsid w:val="10607C4F"/>
    <w:rsid w:val="106E6418"/>
    <w:rsid w:val="11323C4E"/>
    <w:rsid w:val="12D71D5F"/>
    <w:rsid w:val="13FF3E2E"/>
    <w:rsid w:val="14FF5E93"/>
    <w:rsid w:val="151B7FB7"/>
    <w:rsid w:val="167B6427"/>
    <w:rsid w:val="16B27D38"/>
    <w:rsid w:val="17332EE7"/>
    <w:rsid w:val="18390D96"/>
    <w:rsid w:val="1930691F"/>
    <w:rsid w:val="1A6528FE"/>
    <w:rsid w:val="1A835004"/>
    <w:rsid w:val="1BA61F6F"/>
    <w:rsid w:val="1C63029E"/>
    <w:rsid w:val="1C715A71"/>
    <w:rsid w:val="1CA45B8D"/>
    <w:rsid w:val="1CC921E7"/>
    <w:rsid w:val="1D185B91"/>
    <w:rsid w:val="1D1C4205"/>
    <w:rsid w:val="1D444EB6"/>
    <w:rsid w:val="1DA840EB"/>
    <w:rsid w:val="1EAA6A05"/>
    <w:rsid w:val="1FF72307"/>
    <w:rsid w:val="20C16461"/>
    <w:rsid w:val="20FF5536"/>
    <w:rsid w:val="226F2197"/>
    <w:rsid w:val="23146520"/>
    <w:rsid w:val="23585502"/>
    <w:rsid w:val="23596C26"/>
    <w:rsid w:val="24577437"/>
    <w:rsid w:val="25DC072E"/>
    <w:rsid w:val="262D78EB"/>
    <w:rsid w:val="27CA60F4"/>
    <w:rsid w:val="27E85AF1"/>
    <w:rsid w:val="27F460A8"/>
    <w:rsid w:val="28825AD1"/>
    <w:rsid w:val="28C929C1"/>
    <w:rsid w:val="295220BC"/>
    <w:rsid w:val="29DA6B0B"/>
    <w:rsid w:val="2A093B18"/>
    <w:rsid w:val="2A8D7B4E"/>
    <w:rsid w:val="2ABD245A"/>
    <w:rsid w:val="2AC83919"/>
    <w:rsid w:val="2B412386"/>
    <w:rsid w:val="2BB34FD2"/>
    <w:rsid w:val="2CEA687B"/>
    <w:rsid w:val="2D1633EB"/>
    <w:rsid w:val="2DE16C1F"/>
    <w:rsid w:val="2E1B2EA1"/>
    <w:rsid w:val="2E5E463E"/>
    <w:rsid w:val="2E63511A"/>
    <w:rsid w:val="2EB35320"/>
    <w:rsid w:val="2F111D48"/>
    <w:rsid w:val="2F317872"/>
    <w:rsid w:val="2F3F0C54"/>
    <w:rsid w:val="2F4615DA"/>
    <w:rsid w:val="2F472854"/>
    <w:rsid w:val="2F7F0AD6"/>
    <w:rsid w:val="2FE9461B"/>
    <w:rsid w:val="30CC2093"/>
    <w:rsid w:val="30ED2B9B"/>
    <w:rsid w:val="31197749"/>
    <w:rsid w:val="31370454"/>
    <w:rsid w:val="31DE2F46"/>
    <w:rsid w:val="32691053"/>
    <w:rsid w:val="327A5A60"/>
    <w:rsid w:val="32A538A5"/>
    <w:rsid w:val="32B618C0"/>
    <w:rsid w:val="330E360D"/>
    <w:rsid w:val="33B37D2E"/>
    <w:rsid w:val="352620DC"/>
    <w:rsid w:val="35E5310F"/>
    <w:rsid w:val="363E7FDF"/>
    <w:rsid w:val="3661430F"/>
    <w:rsid w:val="369D587E"/>
    <w:rsid w:val="36CF1D5D"/>
    <w:rsid w:val="370F3BF6"/>
    <w:rsid w:val="38367638"/>
    <w:rsid w:val="38AD0855"/>
    <w:rsid w:val="39293004"/>
    <w:rsid w:val="398628B5"/>
    <w:rsid w:val="39882115"/>
    <w:rsid w:val="39E10D60"/>
    <w:rsid w:val="3B377D8E"/>
    <w:rsid w:val="3BCE7CAB"/>
    <w:rsid w:val="3BFC5E74"/>
    <w:rsid w:val="3C0059BB"/>
    <w:rsid w:val="3C5F3E33"/>
    <w:rsid w:val="3CC6632B"/>
    <w:rsid w:val="3EE75874"/>
    <w:rsid w:val="3F17497B"/>
    <w:rsid w:val="3F5E4365"/>
    <w:rsid w:val="415470E2"/>
    <w:rsid w:val="416B2171"/>
    <w:rsid w:val="41AF5742"/>
    <w:rsid w:val="41BB759E"/>
    <w:rsid w:val="42B740A7"/>
    <w:rsid w:val="4353477A"/>
    <w:rsid w:val="43783307"/>
    <w:rsid w:val="43C05511"/>
    <w:rsid w:val="44122F67"/>
    <w:rsid w:val="446B6021"/>
    <w:rsid w:val="45FC7108"/>
    <w:rsid w:val="465C5BAA"/>
    <w:rsid w:val="473A7BED"/>
    <w:rsid w:val="47863A67"/>
    <w:rsid w:val="478F71C4"/>
    <w:rsid w:val="4821786A"/>
    <w:rsid w:val="4825146D"/>
    <w:rsid w:val="495C2C76"/>
    <w:rsid w:val="4A165592"/>
    <w:rsid w:val="4A6169D0"/>
    <w:rsid w:val="4A8C6272"/>
    <w:rsid w:val="4B014864"/>
    <w:rsid w:val="4B954E7C"/>
    <w:rsid w:val="4C753324"/>
    <w:rsid w:val="4D98465E"/>
    <w:rsid w:val="4E6B046C"/>
    <w:rsid w:val="4E707289"/>
    <w:rsid w:val="4E9E4717"/>
    <w:rsid w:val="4EEA3D40"/>
    <w:rsid w:val="4F00728A"/>
    <w:rsid w:val="4F3F6AB1"/>
    <w:rsid w:val="4F5D071B"/>
    <w:rsid w:val="4F9B688F"/>
    <w:rsid w:val="51CC0D75"/>
    <w:rsid w:val="54087D99"/>
    <w:rsid w:val="54547A6F"/>
    <w:rsid w:val="54A72003"/>
    <w:rsid w:val="56023921"/>
    <w:rsid w:val="573E1A81"/>
    <w:rsid w:val="57F45C1B"/>
    <w:rsid w:val="5809250B"/>
    <w:rsid w:val="587F3B23"/>
    <w:rsid w:val="5937368C"/>
    <w:rsid w:val="5A3617D9"/>
    <w:rsid w:val="5A7F6B6C"/>
    <w:rsid w:val="5AFB613D"/>
    <w:rsid w:val="5B884B20"/>
    <w:rsid w:val="5B9D1A5A"/>
    <w:rsid w:val="5BC0556E"/>
    <w:rsid w:val="5BC81C40"/>
    <w:rsid w:val="5DA327CA"/>
    <w:rsid w:val="5DB221B0"/>
    <w:rsid w:val="5DE00119"/>
    <w:rsid w:val="5E564F78"/>
    <w:rsid w:val="5FD74633"/>
    <w:rsid w:val="600E6318"/>
    <w:rsid w:val="60E412C0"/>
    <w:rsid w:val="61E323AE"/>
    <w:rsid w:val="623331AC"/>
    <w:rsid w:val="625772C4"/>
    <w:rsid w:val="63003B01"/>
    <w:rsid w:val="636F3034"/>
    <w:rsid w:val="650516A8"/>
    <w:rsid w:val="65330581"/>
    <w:rsid w:val="65830E72"/>
    <w:rsid w:val="66E81280"/>
    <w:rsid w:val="67141E2D"/>
    <w:rsid w:val="69110DD3"/>
    <w:rsid w:val="691D526F"/>
    <w:rsid w:val="69676D3F"/>
    <w:rsid w:val="69C356C8"/>
    <w:rsid w:val="6A2E3597"/>
    <w:rsid w:val="6C8D150C"/>
    <w:rsid w:val="6CE35249"/>
    <w:rsid w:val="6E39711A"/>
    <w:rsid w:val="6E6A1981"/>
    <w:rsid w:val="6E997D6C"/>
    <w:rsid w:val="6EF616F6"/>
    <w:rsid w:val="6F5D575B"/>
    <w:rsid w:val="71210010"/>
    <w:rsid w:val="71467526"/>
    <w:rsid w:val="71683519"/>
    <w:rsid w:val="73910128"/>
    <w:rsid w:val="74FC2405"/>
    <w:rsid w:val="754058DD"/>
    <w:rsid w:val="75E87752"/>
    <w:rsid w:val="76D611EE"/>
    <w:rsid w:val="770D269C"/>
    <w:rsid w:val="771A04F8"/>
    <w:rsid w:val="783712FE"/>
    <w:rsid w:val="784A4B73"/>
    <w:rsid w:val="786924FD"/>
    <w:rsid w:val="799B26EC"/>
    <w:rsid w:val="7A2052B5"/>
    <w:rsid w:val="7A376F96"/>
    <w:rsid w:val="7A5B3FA8"/>
    <w:rsid w:val="7A831A4E"/>
    <w:rsid w:val="7B0B6F2A"/>
    <w:rsid w:val="7BA174E1"/>
    <w:rsid w:val="7BC04FC3"/>
    <w:rsid w:val="7CA72746"/>
    <w:rsid w:val="7CA97381"/>
    <w:rsid w:val="7D2D161B"/>
    <w:rsid w:val="7DC33C3F"/>
    <w:rsid w:val="7E376F36"/>
    <w:rsid w:val="7EA81A90"/>
    <w:rsid w:val="7ED601D5"/>
    <w:rsid w:val="7F1D1753"/>
    <w:rsid w:val="7F243157"/>
    <w:rsid w:val="7F2B14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8"/>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60"/>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5"/>
    <w:autoRedefine/>
    <w:qFormat/>
    <w:uiPriority w:val="0"/>
    <w:pPr>
      <w:keepNext/>
      <w:keepLines/>
      <w:spacing w:before="280" w:after="290" w:line="376" w:lineRule="auto"/>
      <w:outlineLvl w:val="3"/>
    </w:pPr>
    <w:rPr>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unhideWhenUsed/>
    <w:qFormat/>
    <w:uiPriority w:val="99"/>
    <w:pPr>
      <w:ind w:left="1400" w:leftChars="1400"/>
    </w:p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7"/>
    <w:autoRedefine/>
    <w:qFormat/>
    <w:uiPriority w:val="0"/>
    <w:pPr>
      <w:jc w:val="left"/>
    </w:pPr>
    <w:rPr>
      <w:rFonts w:ascii="Arial" w:hAnsi="Arial" w:eastAsia="黑体" w:cs="Arial"/>
    </w:rPr>
  </w:style>
  <w:style w:type="paragraph" w:styleId="9">
    <w:name w:val="Body Text"/>
    <w:basedOn w:val="1"/>
    <w:link w:val="66"/>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unhideWhenUsed/>
    <w:qFormat/>
    <w:uiPriority w:val="0"/>
    <w:pPr>
      <w:spacing w:after="120"/>
      <w:ind w:left="420" w:leftChars="200"/>
    </w:pPr>
    <w:rPr>
      <w:rFonts w:asciiTheme="minorHAnsi" w:hAnsiTheme="minorHAnsi"/>
      <w:szCs w:val="22"/>
    </w:rPr>
  </w:style>
  <w:style w:type="paragraph" w:styleId="11">
    <w:name w:val="envelope return"/>
    <w:qFormat/>
    <w:uiPriority w:val="0"/>
    <w:pPr>
      <w:widowControl w:val="0"/>
      <w:snapToGrid w:val="0"/>
      <w:spacing w:line="560" w:lineRule="exact"/>
      <w:ind w:firstLine="560" w:firstLineChars="200"/>
      <w:jc w:val="both"/>
    </w:pPr>
    <w:rPr>
      <w:rFonts w:ascii="Arial" w:hAnsi="Arial" w:eastAsia="仿宋_GB2312" w:cs="仿宋_GB2312"/>
      <w:kern w:val="2"/>
      <w:sz w:val="32"/>
      <w:lang w:val="en-US" w:eastAsia="zh-CN" w:bidi="ar-SA"/>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next w:val="6"/>
    <w:link w:val="46"/>
    <w:autoRedefine/>
    <w:qFormat/>
    <w:uiPriority w:val="99"/>
    <w:rPr>
      <w:rFonts w:ascii="宋体" w:hAnsi="Courier New" w:eastAsiaTheme="minorEastAsia" w:cstheme="minorBidi"/>
      <w:szCs w:val="22"/>
    </w:rPr>
  </w:style>
  <w:style w:type="paragraph" w:styleId="14">
    <w:name w:val="Date"/>
    <w:basedOn w:val="1"/>
    <w:next w:val="1"/>
    <w:link w:val="53"/>
    <w:autoRedefine/>
    <w:qFormat/>
    <w:uiPriority w:val="0"/>
    <w:rPr>
      <w:rFonts w:ascii="Arial" w:hAnsi="Arial" w:eastAsia="宋体" w:cs="Arial"/>
      <w:b/>
      <w:sz w:val="28"/>
    </w:rPr>
  </w:style>
  <w:style w:type="paragraph" w:styleId="15">
    <w:name w:val="Balloon Text"/>
    <w:basedOn w:val="1"/>
    <w:link w:val="40"/>
    <w:autoRedefine/>
    <w:semiHidden/>
    <w:unhideWhenUsed/>
    <w:qFormat/>
    <w:uiPriority w:val="99"/>
    <w:rPr>
      <w:sz w:val="18"/>
      <w:szCs w:val="18"/>
    </w:rPr>
  </w:style>
  <w:style w:type="paragraph" w:styleId="16">
    <w:name w:val="footer"/>
    <w:basedOn w:val="1"/>
    <w:link w:val="45"/>
    <w:autoRedefine/>
    <w:unhideWhenUsed/>
    <w:qFormat/>
    <w:uiPriority w:val="99"/>
    <w:pPr>
      <w:tabs>
        <w:tab w:val="center" w:pos="4153"/>
        <w:tab w:val="right" w:pos="8306"/>
      </w:tabs>
      <w:snapToGrid w:val="0"/>
      <w:jc w:val="left"/>
    </w:pPr>
    <w:rPr>
      <w:sz w:val="18"/>
      <w:szCs w:val="18"/>
    </w:rPr>
  </w:style>
  <w:style w:type="paragraph" w:styleId="17">
    <w:name w:val="header"/>
    <w:basedOn w:val="1"/>
    <w:link w:val="4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Normal (Web)"/>
    <w:basedOn w:val="1"/>
    <w:autoRedefine/>
    <w:qFormat/>
    <w:uiPriority w:val="0"/>
    <w:pPr>
      <w:spacing w:before="100" w:beforeAutospacing="1" w:after="100" w:afterAutospacing="1"/>
      <w:jc w:val="left"/>
    </w:pPr>
    <w:rPr>
      <w:rFonts w:cs="Times New Roman"/>
      <w:kern w:val="0"/>
      <w:sz w:val="24"/>
    </w:rPr>
  </w:style>
  <w:style w:type="paragraph" w:styleId="21">
    <w:name w:val="index 1"/>
    <w:basedOn w:val="1"/>
    <w:next w:val="1"/>
    <w:autoRedefine/>
    <w:qFormat/>
    <w:uiPriority w:val="0"/>
    <w:pPr>
      <w:jc w:val="center"/>
    </w:pPr>
    <w:rPr>
      <w:rFonts w:ascii="Arial" w:hAnsi="Arial" w:eastAsia="Arial" w:cs="Arial"/>
      <w:b/>
      <w:bCs/>
      <w:sz w:val="28"/>
    </w:rPr>
  </w:style>
  <w:style w:type="paragraph" w:styleId="22">
    <w:name w:val="Body Text First Indent"/>
    <w:basedOn w:val="9"/>
    <w:autoRedefine/>
    <w:unhideWhenUsed/>
    <w:qFormat/>
    <w:uiPriority w:val="99"/>
    <w:pPr>
      <w:ind w:firstLine="420" w:firstLineChars="100"/>
    </w:pPr>
  </w:style>
  <w:style w:type="paragraph" w:styleId="23">
    <w:name w:val="Body Text First Indent 2"/>
    <w:basedOn w:val="10"/>
    <w:qFormat/>
    <w:uiPriority w:val="0"/>
    <w:pPr>
      <w:spacing w:line="560" w:lineRule="exact"/>
      <w:ind w:firstLine="420" w:firstLineChars="200"/>
    </w:pPr>
    <w:rPr>
      <w:rFonts w:ascii="Times New Roman" w:hAnsi="Times New Roman" w:eastAsia="仿宋_GB2312" w:cs="仿宋_GB2312"/>
      <w:sz w:val="32"/>
    </w:rPr>
  </w:style>
  <w:style w:type="table" w:styleId="25">
    <w:name w:val="Table Grid"/>
    <w:basedOn w:val="24"/>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autoRedefine/>
    <w:qFormat/>
    <w:uiPriority w:val="0"/>
    <w:rPr>
      <w:b/>
      <w:bCs/>
    </w:rPr>
  </w:style>
  <w:style w:type="character" w:styleId="28">
    <w:name w:val="FollowedHyperlink"/>
    <w:basedOn w:val="26"/>
    <w:autoRedefine/>
    <w:semiHidden/>
    <w:unhideWhenUsed/>
    <w:qFormat/>
    <w:uiPriority w:val="99"/>
    <w:rPr>
      <w:color w:val="800080"/>
      <w:u w:val="none"/>
    </w:rPr>
  </w:style>
  <w:style w:type="character" w:styleId="29">
    <w:name w:val="Emphasis"/>
    <w:basedOn w:val="26"/>
    <w:autoRedefine/>
    <w:qFormat/>
    <w:uiPriority w:val="20"/>
    <w:rPr>
      <w:b/>
      <w:bCs/>
    </w:rPr>
  </w:style>
  <w:style w:type="character" w:styleId="30">
    <w:name w:val="HTML Definition"/>
    <w:basedOn w:val="26"/>
    <w:autoRedefine/>
    <w:semiHidden/>
    <w:unhideWhenUsed/>
    <w:qFormat/>
    <w:uiPriority w:val="99"/>
  </w:style>
  <w:style w:type="character" w:styleId="31">
    <w:name w:val="HTML Typewriter"/>
    <w:basedOn w:val="26"/>
    <w:autoRedefine/>
    <w:semiHidden/>
    <w:unhideWhenUsed/>
    <w:qFormat/>
    <w:uiPriority w:val="99"/>
    <w:rPr>
      <w:rFonts w:hint="default" w:ascii="monospace" w:hAnsi="monospace" w:eastAsia="monospace" w:cs="monospace"/>
      <w:sz w:val="20"/>
    </w:rPr>
  </w:style>
  <w:style w:type="character" w:styleId="32">
    <w:name w:val="HTML Acronym"/>
    <w:basedOn w:val="26"/>
    <w:autoRedefine/>
    <w:semiHidden/>
    <w:unhideWhenUsed/>
    <w:qFormat/>
    <w:uiPriority w:val="99"/>
  </w:style>
  <w:style w:type="character" w:styleId="33">
    <w:name w:val="HTML Variable"/>
    <w:basedOn w:val="26"/>
    <w:autoRedefine/>
    <w:semiHidden/>
    <w:unhideWhenUsed/>
    <w:qFormat/>
    <w:uiPriority w:val="99"/>
  </w:style>
  <w:style w:type="character" w:styleId="34">
    <w:name w:val="Hyperlink"/>
    <w:basedOn w:val="26"/>
    <w:autoRedefine/>
    <w:unhideWhenUsed/>
    <w:qFormat/>
    <w:uiPriority w:val="99"/>
    <w:rPr>
      <w:color w:val="0000FF" w:themeColor="hyperlink"/>
      <w:u w:val="single"/>
      <w14:textFill>
        <w14:solidFill>
          <w14:schemeClr w14:val="hlink"/>
        </w14:solidFill>
      </w14:textFill>
    </w:rPr>
  </w:style>
  <w:style w:type="character" w:styleId="35">
    <w:name w:val="HTML Code"/>
    <w:basedOn w:val="26"/>
    <w:autoRedefine/>
    <w:semiHidden/>
    <w:unhideWhenUsed/>
    <w:qFormat/>
    <w:uiPriority w:val="99"/>
    <w:rPr>
      <w:rFonts w:ascii="monospace" w:hAnsi="monospace" w:eastAsia="monospace" w:cs="monospace"/>
      <w:sz w:val="20"/>
    </w:rPr>
  </w:style>
  <w:style w:type="character" w:styleId="36">
    <w:name w:val="HTML Cite"/>
    <w:basedOn w:val="26"/>
    <w:autoRedefine/>
    <w:semiHidden/>
    <w:unhideWhenUsed/>
    <w:qFormat/>
    <w:uiPriority w:val="99"/>
  </w:style>
  <w:style w:type="character" w:styleId="37">
    <w:name w:val="HTML Keyboard"/>
    <w:basedOn w:val="26"/>
    <w:autoRedefine/>
    <w:semiHidden/>
    <w:unhideWhenUsed/>
    <w:qFormat/>
    <w:uiPriority w:val="99"/>
    <w:rPr>
      <w:rFonts w:hint="default" w:ascii="monospace" w:hAnsi="monospace" w:eastAsia="monospace" w:cs="monospace"/>
      <w:sz w:val="20"/>
    </w:rPr>
  </w:style>
  <w:style w:type="character" w:styleId="38">
    <w:name w:val="HTML Sample"/>
    <w:basedOn w:val="26"/>
    <w:autoRedefine/>
    <w:semiHidden/>
    <w:unhideWhenUsed/>
    <w:qFormat/>
    <w:uiPriority w:val="99"/>
    <w:rPr>
      <w:rFonts w:hint="default" w:ascii="monospace" w:hAnsi="monospace" w:eastAsia="monospace" w:cs="monospace"/>
    </w:rPr>
  </w:style>
  <w:style w:type="paragraph" w:customStyle="1" w:styleId="39">
    <w:name w:val="_Style 1"/>
    <w:qFormat/>
    <w:uiPriority w:val="99"/>
    <w:pPr>
      <w:widowControl w:val="0"/>
      <w:jc w:val="both"/>
    </w:pPr>
    <w:rPr>
      <w:rFonts w:ascii="Times New Roman" w:hAnsi="Times New Roman" w:eastAsia="宋体" w:cs="Times New Roman"/>
      <w:kern w:val="2"/>
      <w:sz w:val="32"/>
      <w:szCs w:val="32"/>
      <w:lang w:val="en-US" w:eastAsia="zh-CN" w:bidi="ar-SA"/>
    </w:rPr>
  </w:style>
  <w:style w:type="character" w:customStyle="1" w:styleId="40">
    <w:name w:val="批注框文本 Char"/>
    <w:basedOn w:val="26"/>
    <w:link w:val="15"/>
    <w:autoRedefine/>
    <w:semiHidden/>
    <w:qFormat/>
    <w:uiPriority w:val="99"/>
    <w:rPr>
      <w:rFonts w:ascii="@仿宋_GB2312" w:hAnsi="@仿宋_GB2312" w:eastAsia="@仿宋_GB2312" w:cs="@仿宋_GB2312"/>
      <w:sz w:val="18"/>
      <w:szCs w:val="18"/>
    </w:rPr>
  </w:style>
  <w:style w:type="paragraph" w:customStyle="1" w:styleId="41">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2">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3">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4">
    <w:name w:val="页眉 Char"/>
    <w:basedOn w:val="26"/>
    <w:link w:val="17"/>
    <w:autoRedefine/>
    <w:qFormat/>
    <w:uiPriority w:val="0"/>
    <w:rPr>
      <w:rFonts w:ascii="@仿宋_GB2312" w:hAnsi="@仿宋_GB2312" w:eastAsia="@仿宋_GB2312" w:cs="@仿宋_GB2312"/>
      <w:sz w:val="18"/>
      <w:szCs w:val="18"/>
    </w:rPr>
  </w:style>
  <w:style w:type="character" w:customStyle="1" w:styleId="45">
    <w:name w:val="页脚 Char"/>
    <w:basedOn w:val="26"/>
    <w:link w:val="16"/>
    <w:autoRedefine/>
    <w:qFormat/>
    <w:uiPriority w:val="99"/>
    <w:rPr>
      <w:rFonts w:ascii="@仿宋_GB2312" w:hAnsi="@仿宋_GB2312" w:eastAsia="@仿宋_GB2312" w:cs="@仿宋_GB2312"/>
      <w:sz w:val="18"/>
      <w:szCs w:val="18"/>
    </w:rPr>
  </w:style>
  <w:style w:type="character" w:customStyle="1" w:styleId="46">
    <w:name w:val="纯文本 Char"/>
    <w:link w:val="13"/>
    <w:autoRedefine/>
    <w:qFormat/>
    <w:uiPriority w:val="0"/>
    <w:rPr>
      <w:rFonts w:ascii="宋体" w:hAnsi="Courier New"/>
    </w:rPr>
  </w:style>
  <w:style w:type="character" w:customStyle="1" w:styleId="47">
    <w:name w:val="纯文本 字符1"/>
    <w:basedOn w:val="26"/>
    <w:autoRedefine/>
    <w:semiHidden/>
    <w:qFormat/>
    <w:uiPriority w:val="99"/>
    <w:rPr>
      <w:rFonts w:hAnsi="Courier New" w:cs="Courier New" w:asciiTheme="minorEastAsia"/>
      <w:szCs w:val="20"/>
    </w:rPr>
  </w:style>
  <w:style w:type="character" w:customStyle="1" w:styleId="48">
    <w:name w:val="未处理的提及1"/>
    <w:basedOn w:val="26"/>
    <w:autoRedefine/>
    <w:semiHidden/>
    <w:unhideWhenUsed/>
    <w:qFormat/>
    <w:uiPriority w:val="99"/>
    <w:rPr>
      <w:color w:val="605E5C"/>
      <w:shd w:val="clear" w:color="auto" w:fill="E1DFDD"/>
    </w:rPr>
  </w:style>
  <w:style w:type="paragraph" w:styleId="49">
    <w:name w:val="List Paragraph"/>
    <w:basedOn w:val="1"/>
    <w:autoRedefine/>
    <w:qFormat/>
    <w:uiPriority w:val="34"/>
    <w:pPr>
      <w:ind w:firstLine="420" w:firstLineChars="200"/>
    </w:pPr>
  </w:style>
  <w:style w:type="paragraph" w:customStyle="1" w:styleId="50">
    <w:name w:val="Char Char Char Char Char Char Char1 Char"/>
    <w:basedOn w:val="1"/>
    <w:autoRedefine/>
    <w:qFormat/>
    <w:uiPriority w:val="0"/>
    <w:rPr>
      <w:rFonts w:ascii="Arial" w:hAnsi="Arial" w:eastAsia="宋体" w:cs="Arial"/>
      <w:sz w:val="24"/>
    </w:rPr>
  </w:style>
  <w:style w:type="table" w:customStyle="1" w:styleId="51">
    <w:name w:val="网格表 1 浅色1"/>
    <w:basedOn w:val="24"/>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2">
    <w:name w:val="日期 字符"/>
    <w:basedOn w:val="26"/>
    <w:autoRedefine/>
    <w:semiHidden/>
    <w:qFormat/>
    <w:uiPriority w:val="99"/>
    <w:rPr>
      <w:rFonts w:ascii="@仿宋_GB2312" w:hAnsi="@仿宋_GB2312" w:eastAsia="@仿宋_GB2312" w:cs="@仿宋_GB2312"/>
      <w:szCs w:val="20"/>
    </w:rPr>
  </w:style>
  <w:style w:type="character" w:customStyle="1" w:styleId="53">
    <w:name w:val="日期 Char"/>
    <w:link w:val="14"/>
    <w:autoRedefine/>
    <w:qFormat/>
    <w:uiPriority w:val="0"/>
    <w:rPr>
      <w:rFonts w:ascii="Arial" w:hAnsi="Arial" w:eastAsia="宋体" w:cs="Arial"/>
      <w:b/>
      <w:sz w:val="28"/>
      <w:szCs w:val="20"/>
    </w:rPr>
  </w:style>
  <w:style w:type="character" w:customStyle="1" w:styleId="54">
    <w:name w:val="纯文本 Char1"/>
    <w:link w:val="55"/>
    <w:autoRedefine/>
    <w:qFormat/>
    <w:locked/>
    <w:uiPriority w:val="0"/>
    <w:rPr>
      <w:rFonts w:ascii="Arial" w:hAnsi="Arial" w:eastAsia="Arial"/>
      <w:kern w:val="2"/>
      <w:sz w:val="21"/>
      <w:lang w:val="en-US" w:eastAsia="zh-CN" w:bidi="ar-SA"/>
    </w:rPr>
  </w:style>
  <w:style w:type="paragraph" w:customStyle="1" w:styleId="55">
    <w:name w:val="纯文本1"/>
    <w:basedOn w:val="1"/>
    <w:link w:val="54"/>
    <w:autoRedefine/>
    <w:qFormat/>
    <w:uiPriority w:val="0"/>
    <w:rPr>
      <w:rFonts w:ascii="Arial" w:hAnsi="Arial" w:eastAsia="Arial" w:cstheme="minorBidi"/>
    </w:rPr>
  </w:style>
  <w:style w:type="character" w:customStyle="1" w:styleId="56">
    <w:name w:val="批注文字 Char"/>
    <w:basedOn w:val="26"/>
    <w:autoRedefine/>
    <w:semiHidden/>
    <w:qFormat/>
    <w:uiPriority w:val="99"/>
    <w:rPr>
      <w:rFonts w:ascii="@仿宋_GB2312" w:hAnsi="@仿宋_GB2312" w:eastAsia="@仿宋_GB2312" w:cs="@仿宋_GB2312"/>
      <w:szCs w:val="20"/>
    </w:rPr>
  </w:style>
  <w:style w:type="character" w:customStyle="1" w:styleId="57">
    <w:name w:val="批注文字 Char1"/>
    <w:link w:val="8"/>
    <w:autoRedefine/>
    <w:qFormat/>
    <w:uiPriority w:val="0"/>
    <w:rPr>
      <w:rFonts w:ascii="Arial" w:hAnsi="Arial" w:eastAsia="黑体" w:cs="Arial"/>
      <w:szCs w:val="20"/>
    </w:rPr>
  </w:style>
  <w:style w:type="character" w:customStyle="1" w:styleId="58">
    <w:name w:val="标题 1 Char"/>
    <w:basedOn w:val="26"/>
    <w:link w:val="2"/>
    <w:autoRedefine/>
    <w:qFormat/>
    <w:uiPriority w:val="9"/>
    <w:rPr>
      <w:rFonts w:ascii="@仿宋_GB2312" w:hAnsi="@仿宋_GB2312" w:eastAsia="@仿宋_GB2312" w:cs="@仿宋_GB2312"/>
      <w:b/>
      <w:bCs/>
      <w:kern w:val="44"/>
      <w:sz w:val="44"/>
      <w:szCs w:val="44"/>
    </w:rPr>
  </w:style>
  <w:style w:type="paragraph" w:customStyle="1" w:styleId="59">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0">
    <w:name w:val="标题 3 Char"/>
    <w:basedOn w:val="26"/>
    <w:link w:val="4"/>
    <w:autoRedefine/>
    <w:semiHidden/>
    <w:qFormat/>
    <w:uiPriority w:val="9"/>
    <w:rPr>
      <w:rFonts w:ascii="@仿宋_GB2312" w:hAnsi="@仿宋_GB2312" w:eastAsia="@仿宋_GB2312" w:cs="@仿宋_GB2312"/>
      <w:b/>
      <w:bCs/>
      <w:sz w:val="32"/>
      <w:szCs w:val="32"/>
    </w:rPr>
  </w:style>
  <w:style w:type="character" w:customStyle="1" w:styleId="61">
    <w:name w:val="fontstyle01"/>
    <w:basedOn w:val="26"/>
    <w:autoRedefine/>
    <w:qFormat/>
    <w:uiPriority w:val="0"/>
    <w:rPr>
      <w:rFonts w:hint="eastAsia" w:ascii="宋体" w:hAnsi="宋体" w:eastAsia="宋体"/>
      <w:color w:val="000000"/>
      <w:sz w:val="22"/>
      <w:szCs w:val="22"/>
    </w:rPr>
  </w:style>
  <w:style w:type="character" w:customStyle="1" w:styleId="62">
    <w:name w:val="fontstyle21"/>
    <w:basedOn w:val="26"/>
    <w:autoRedefine/>
    <w:qFormat/>
    <w:uiPriority w:val="0"/>
    <w:rPr>
      <w:rFonts w:hint="default" w:ascii="TimesNewRomanPSMT" w:hAnsi="TimesNewRomanPSMT"/>
      <w:color w:val="000000"/>
      <w:sz w:val="22"/>
      <w:szCs w:val="22"/>
    </w:rPr>
  </w:style>
  <w:style w:type="character" w:customStyle="1" w:styleId="6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4">
    <w:name w:val="标题 4 字符"/>
    <w:basedOn w:val="26"/>
    <w:autoRedefine/>
    <w:semiHidden/>
    <w:qFormat/>
    <w:uiPriority w:val="9"/>
    <w:rPr>
      <w:rFonts w:asciiTheme="majorHAnsi" w:hAnsiTheme="majorHAnsi" w:eastAsiaTheme="majorEastAsia" w:cstheme="majorBidi"/>
      <w:b/>
      <w:bCs/>
      <w:sz w:val="28"/>
      <w:szCs w:val="28"/>
    </w:rPr>
  </w:style>
  <w:style w:type="character" w:customStyle="1" w:styleId="65">
    <w:name w:val="标题 4 Char"/>
    <w:link w:val="5"/>
    <w:autoRedefine/>
    <w:qFormat/>
    <w:uiPriority w:val="0"/>
    <w:rPr>
      <w:rFonts w:ascii="@仿宋_GB2312" w:hAnsi="@仿宋_GB2312" w:eastAsia="@仿宋_GB2312" w:cs="@仿宋_GB2312"/>
      <w:b/>
      <w:bCs/>
      <w:sz w:val="28"/>
      <w:szCs w:val="28"/>
    </w:rPr>
  </w:style>
  <w:style w:type="character" w:customStyle="1" w:styleId="66">
    <w:name w:val="正文文本 Char"/>
    <w:basedOn w:val="26"/>
    <w:link w:val="9"/>
    <w:autoRedefine/>
    <w:qFormat/>
    <w:uiPriority w:val="0"/>
    <w:rPr>
      <w:rFonts w:ascii="@微软简标宋" w:hAnsi="@微软简标宋" w:eastAsia="@微软简标宋" w:cs="@微软简标宋"/>
      <w:szCs w:val="24"/>
      <w:lang w:val="zh-CN" w:eastAsia="zh-CN"/>
    </w:rPr>
  </w:style>
  <w:style w:type="table" w:customStyle="1" w:styleId="67">
    <w:name w:val="网格型1"/>
    <w:basedOn w:val="24"/>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8">
    <w:name w:val="Table Normal"/>
    <w:autoRedefine/>
    <w:semiHidden/>
    <w:unhideWhenUsed/>
    <w:qFormat/>
    <w:uiPriority w:val="0"/>
    <w:tblPr>
      <w:tblCellMar>
        <w:top w:w="0" w:type="dxa"/>
        <w:left w:w="0" w:type="dxa"/>
        <w:bottom w:w="0" w:type="dxa"/>
        <w:right w:w="0" w:type="dxa"/>
      </w:tblCellMar>
    </w:tblPr>
  </w:style>
  <w:style w:type="paragraph" w:customStyle="1" w:styleId="69">
    <w:name w:val="Table Text"/>
    <w:basedOn w:val="1"/>
    <w:autoRedefine/>
    <w:semiHidden/>
    <w:qFormat/>
    <w:uiPriority w:val="0"/>
    <w:rPr>
      <w:rFonts w:ascii="Arial" w:hAnsi="Arial" w:eastAsia="Arial" w:cs="Arial"/>
      <w:szCs w:val="21"/>
      <w:lang w:eastAsia="en-US"/>
    </w:rPr>
  </w:style>
  <w:style w:type="paragraph" w:customStyle="1" w:styleId="7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71">
    <w:name w:val="font11"/>
    <w:basedOn w:val="26"/>
    <w:qFormat/>
    <w:uiPriority w:val="0"/>
    <w:rPr>
      <w:rFonts w:hint="eastAsia" w:ascii="宋体" w:hAnsi="宋体" w:eastAsia="宋体" w:cs="宋体"/>
      <w:color w:val="000000"/>
      <w:sz w:val="18"/>
      <w:szCs w:val="18"/>
      <w:u w:val="none"/>
    </w:rPr>
  </w:style>
  <w:style w:type="character" w:customStyle="1" w:styleId="72">
    <w:name w:val="font21"/>
    <w:basedOn w:val="2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105</Pages>
  <Words>3149</Words>
  <Characters>3673</Characters>
  <Lines>530</Lines>
  <Paragraphs>149</Paragraphs>
  <TotalTime>1</TotalTime>
  <ScaleCrop>false</ScaleCrop>
  <LinksUpToDate>false</LinksUpToDate>
  <CharactersWithSpaces>3773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2026-01-22T10:11:00Z</dcterms:created>
  <dc:creator>Anakin</dc:creator>
  <cp:lastModifiedBy>Smile@dacheng</cp:lastModifiedBy>
  <cp:lastPrinted>2019-12-07T15:20:00Z</cp:lastPrinted>
  <dcterms:modified xsi:type="dcterms:W3CDTF">2026-02-02T01:03:39Z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0893F73334A64C43A148792D5BA08A68_13</vt:lpwstr>
  </property>
  <property fmtid="{D5CDD505-2E9C-101B-9397-08002B2CF9AE}" pid="4" name="KSOTemplateDocerSaveRecord">
    <vt:lpwstr>eyJoZGlkIjoiNGIzYzU2MzhlYWViNDc5YjAxMzg2NGJkYTUwZWI0NzQiLCJ1c2VySWQiOiIyMTc4NzkwNjIifQ==</vt:lpwstr>
  </property>
</Properties>
</file>