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166E41">
      <w:pPr>
        <w:rPr>
          <w:rFonts w:hint="default" w:ascii="方正小标宋简体" w:hAnsi="方正小标宋简体" w:eastAsia="方正小标宋简体" w:cs="方正小标宋简体"/>
          <w:b w:val="0"/>
          <w:bCs w:val="0"/>
          <w:color w:val="auto"/>
          <w:kern w:val="0"/>
          <w:sz w:val="52"/>
          <w:szCs w:val="52"/>
          <w:highlight w:val="none"/>
          <w:lang w:val="en-US" w:eastAsia="zh-CN" w:bidi="ar"/>
        </w:rPr>
      </w:pPr>
      <w:r>
        <w:rPr>
          <w:rFonts w:hint="eastAsia" w:ascii="方正小标宋简体" w:hAnsi="方正小标宋简体" w:eastAsia="方正小标宋简体" w:cs="方正小标宋简体"/>
          <w:b w:val="0"/>
          <w:bCs w:val="0"/>
          <w:color w:val="auto"/>
          <w:kern w:val="0"/>
          <w:sz w:val="52"/>
          <w:szCs w:val="52"/>
          <w:highlight w:val="none"/>
          <w:lang w:val="en-US" w:eastAsia="zh-CN" w:bidi="ar"/>
        </w:rPr>
        <w:t xml:space="preserve">  </w:t>
      </w:r>
    </w:p>
    <w:p w14:paraId="4B8DF5FA">
      <w:pPr>
        <w:rPr>
          <w:rFonts w:hint="eastAsia"/>
          <w:color w:val="auto"/>
          <w:highlight w:val="none"/>
          <w:lang w:val="en-US" w:eastAsia="zh-CN"/>
        </w:rPr>
      </w:pPr>
    </w:p>
    <w:p w14:paraId="1CD9F43A">
      <w:pPr>
        <w:pStyle w:val="2"/>
        <w:rPr>
          <w:rFonts w:hint="eastAsia"/>
          <w:color w:val="auto"/>
          <w:highlight w:val="none"/>
          <w:lang w:val="en-US" w:eastAsia="zh-CN"/>
        </w:rPr>
      </w:pPr>
    </w:p>
    <w:p w14:paraId="081CEE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kern w:val="0"/>
          <w:sz w:val="72"/>
          <w:szCs w:val="72"/>
          <w:highlight w:val="none"/>
          <w:lang w:val="en-US" w:eastAsia="zh-CN" w:bidi="ar"/>
        </w:rPr>
      </w:pPr>
      <w:r>
        <w:rPr>
          <w:rFonts w:hint="eastAsia" w:ascii="方正小标宋简体" w:hAnsi="方正小标宋简体" w:eastAsia="方正小标宋简体" w:cs="方正小标宋简体"/>
          <w:b w:val="0"/>
          <w:bCs w:val="0"/>
          <w:color w:val="auto"/>
          <w:kern w:val="0"/>
          <w:sz w:val="72"/>
          <w:szCs w:val="72"/>
          <w:highlight w:val="none"/>
          <w:lang w:val="en-US" w:eastAsia="zh-CN" w:bidi="ar"/>
        </w:rPr>
        <w:t>征 集 文 件</w:t>
      </w:r>
    </w:p>
    <w:p w14:paraId="75A69E37">
      <w:pPr>
        <w:pStyle w:val="2"/>
        <w:rPr>
          <w:rFonts w:hint="eastAsia"/>
          <w:color w:val="auto"/>
          <w:highlight w:val="none"/>
          <w:lang w:val="en-US" w:eastAsia="zh-CN"/>
        </w:rPr>
      </w:pPr>
    </w:p>
    <w:p w14:paraId="3D2422F5">
      <w:pPr>
        <w:pStyle w:val="2"/>
        <w:ind w:left="0" w:leftChars="0" w:firstLine="0" w:firstLineChars="0"/>
        <w:rPr>
          <w:rFonts w:hint="eastAsia"/>
          <w:color w:val="auto"/>
          <w:highlight w:val="none"/>
          <w:lang w:val="en-US" w:eastAsia="zh-CN"/>
        </w:rPr>
      </w:pPr>
    </w:p>
    <w:p w14:paraId="6A74FD27">
      <w:pPr>
        <w:keepNext w:val="0"/>
        <w:keepLines w:val="0"/>
        <w:widowControl/>
        <w:suppressLineNumbers w:val="0"/>
        <w:jc w:val="center"/>
        <w:rPr>
          <w:rFonts w:hint="eastAsia" w:ascii="黑体" w:hAnsi="黑体" w:eastAsia="黑体" w:cs="黑体"/>
          <w:b w:val="0"/>
          <w:bCs w:val="0"/>
          <w:color w:val="auto"/>
          <w:kern w:val="0"/>
          <w:sz w:val="30"/>
          <w:szCs w:val="30"/>
          <w:highlight w:val="none"/>
          <w:lang w:val="en-US" w:eastAsia="zh-CN" w:bidi="ar"/>
        </w:rPr>
      </w:pPr>
      <w:r>
        <w:rPr>
          <w:rFonts w:hint="eastAsia" w:ascii="黑体" w:hAnsi="黑体" w:eastAsia="黑体" w:cs="黑体"/>
          <w:b w:val="0"/>
          <w:bCs w:val="0"/>
          <w:color w:val="auto"/>
          <w:kern w:val="0"/>
          <w:sz w:val="30"/>
          <w:szCs w:val="30"/>
          <w:highlight w:val="none"/>
          <w:lang w:val="en-US" w:eastAsia="zh-CN" w:bidi="ar"/>
        </w:rPr>
        <w:t>（封闭式框架协议）</w:t>
      </w:r>
    </w:p>
    <w:p w14:paraId="55FBB2E6">
      <w:pPr>
        <w:keepNext w:val="0"/>
        <w:keepLines w:val="0"/>
        <w:widowControl/>
        <w:suppressLineNumbers w:val="0"/>
        <w:jc w:val="left"/>
        <w:rPr>
          <w:rFonts w:hint="eastAsia" w:ascii="宋体" w:hAnsi="宋体" w:eastAsia="宋体" w:cs="宋体"/>
          <w:b/>
          <w:bCs/>
          <w:color w:val="auto"/>
          <w:kern w:val="0"/>
          <w:sz w:val="31"/>
          <w:szCs w:val="31"/>
          <w:highlight w:val="none"/>
          <w:lang w:val="en-US" w:eastAsia="zh-CN" w:bidi="ar"/>
        </w:rPr>
      </w:pPr>
    </w:p>
    <w:p w14:paraId="45C543B7">
      <w:pPr>
        <w:pStyle w:val="2"/>
        <w:rPr>
          <w:rFonts w:hint="eastAsia"/>
          <w:color w:val="auto"/>
          <w:highlight w:val="none"/>
          <w:lang w:val="en-US" w:eastAsia="zh-CN"/>
        </w:rPr>
      </w:pPr>
    </w:p>
    <w:p w14:paraId="35C41CA7">
      <w:pPr>
        <w:pStyle w:val="2"/>
        <w:rPr>
          <w:rFonts w:hint="eastAsia"/>
          <w:color w:val="auto"/>
          <w:highlight w:val="none"/>
          <w:lang w:val="en-US" w:eastAsia="zh-CN"/>
        </w:rPr>
      </w:pPr>
    </w:p>
    <w:p w14:paraId="7334962C">
      <w:pPr>
        <w:keepNext w:val="0"/>
        <w:keepLines w:val="0"/>
        <w:pageBreakBefore w:val="0"/>
        <w:widowControl/>
        <w:suppressLineNumbers w:val="0"/>
        <w:kinsoku/>
        <w:wordWrap/>
        <w:overflowPunct/>
        <w:topLinePunct w:val="0"/>
        <w:autoSpaceDE/>
        <w:autoSpaceDN/>
        <w:bidi w:val="0"/>
        <w:adjustRightInd/>
        <w:snapToGrid/>
        <w:spacing w:line="800" w:lineRule="exact"/>
        <w:ind w:left="2020" w:leftChars="200" w:hanging="1600" w:hangingChars="500"/>
        <w:jc w:val="left"/>
        <w:textAlignment w:val="auto"/>
        <w:rPr>
          <w:rFonts w:hint="default" w:ascii="黑体" w:hAnsi="黑体" w:eastAsia="黑体" w:cs="黑体"/>
          <w:b/>
          <w:bCs/>
          <w:color w:val="auto"/>
          <w:kern w:val="0"/>
          <w:sz w:val="32"/>
          <w:szCs w:val="32"/>
          <w:highlight w:val="none"/>
          <w:lang w:val="en-US" w:eastAsia="zh-CN" w:bidi="ar"/>
        </w:rPr>
      </w:pPr>
      <w:r>
        <w:rPr>
          <w:rFonts w:hint="eastAsia" w:ascii="黑体" w:hAnsi="黑体" w:eastAsia="黑体" w:cs="黑体"/>
          <w:b w:val="0"/>
          <w:bCs w:val="0"/>
          <w:color w:val="auto"/>
          <w:kern w:val="0"/>
          <w:sz w:val="32"/>
          <w:szCs w:val="32"/>
          <w:highlight w:val="none"/>
          <w:lang w:val="en-US" w:eastAsia="zh-CN" w:bidi="ar"/>
        </w:rPr>
        <w:t>项目名称：霍山县机关事务管理服务中心2026年-2028年公务用车定点维修服务单位框架协议采购项目（二次）</w:t>
      </w:r>
    </w:p>
    <w:p w14:paraId="617DAEC9">
      <w:pPr>
        <w:keepNext w:val="0"/>
        <w:keepLines w:val="0"/>
        <w:pageBreakBefore w:val="0"/>
        <w:widowControl/>
        <w:suppressLineNumbers w:val="0"/>
        <w:kinsoku/>
        <w:wordWrap/>
        <w:overflowPunct/>
        <w:topLinePunct w:val="0"/>
        <w:autoSpaceDE/>
        <w:autoSpaceDN/>
        <w:bidi w:val="0"/>
        <w:adjustRightInd/>
        <w:snapToGrid/>
        <w:spacing w:line="800" w:lineRule="exact"/>
        <w:ind w:left="420" w:leftChars="200" w:firstLine="0" w:firstLineChars="0"/>
        <w:jc w:val="left"/>
        <w:textAlignment w:val="auto"/>
        <w:rPr>
          <w:rFonts w:hint="default" w:ascii="黑体" w:hAnsi="黑体" w:eastAsia="黑体" w:cs="黑体"/>
          <w:b/>
          <w:bCs/>
          <w:color w:val="auto"/>
          <w:kern w:val="0"/>
          <w:sz w:val="32"/>
          <w:szCs w:val="32"/>
          <w:highlight w:val="none"/>
          <w:lang w:val="en-US" w:eastAsia="zh-CN" w:bidi="ar"/>
        </w:rPr>
      </w:pPr>
      <w:r>
        <w:rPr>
          <w:rFonts w:hint="eastAsia" w:ascii="黑体" w:hAnsi="黑体" w:eastAsia="黑体" w:cs="黑体"/>
          <w:b w:val="0"/>
          <w:bCs w:val="0"/>
          <w:color w:val="auto"/>
          <w:kern w:val="0"/>
          <w:sz w:val="32"/>
          <w:szCs w:val="32"/>
          <w:highlight w:val="none"/>
          <w:lang w:val="en-US" w:eastAsia="zh-CN" w:bidi="ar"/>
        </w:rPr>
        <w:t>项目编号：KJXY202607310735</w:t>
      </w:r>
    </w:p>
    <w:p w14:paraId="05D0DA8D">
      <w:pPr>
        <w:keepNext w:val="0"/>
        <w:keepLines w:val="0"/>
        <w:pageBreakBefore w:val="0"/>
        <w:widowControl/>
        <w:suppressLineNumbers w:val="0"/>
        <w:kinsoku/>
        <w:wordWrap/>
        <w:overflowPunct/>
        <w:topLinePunct w:val="0"/>
        <w:autoSpaceDE/>
        <w:autoSpaceDN/>
        <w:bidi w:val="0"/>
        <w:adjustRightInd/>
        <w:snapToGrid/>
        <w:spacing w:line="800" w:lineRule="exact"/>
        <w:ind w:left="420" w:leftChars="200" w:firstLine="0" w:firstLineChars="0"/>
        <w:jc w:val="left"/>
        <w:textAlignment w:val="auto"/>
        <w:rPr>
          <w:rFonts w:hint="eastAsia" w:ascii="黑体" w:hAnsi="黑体" w:eastAsia="黑体" w:cs="黑体"/>
          <w:b/>
          <w:bCs/>
          <w:color w:val="auto"/>
          <w:kern w:val="0"/>
          <w:sz w:val="32"/>
          <w:szCs w:val="32"/>
          <w:highlight w:val="none"/>
          <w:lang w:val="en-US" w:eastAsia="zh-CN" w:bidi="ar"/>
        </w:rPr>
      </w:pPr>
      <w:r>
        <w:rPr>
          <w:rFonts w:hint="eastAsia" w:ascii="黑体" w:hAnsi="黑体" w:eastAsia="黑体" w:cs="黑体"/>
          <w:b w:val="0"/>
          <w:bCs w:val="0"/>
          <w:color w:val="auto"/>
          <w:kern w:val="0"/>
          <w:sz w:val="32"/>
          <w:szCs w:val="32"/>
          <w:highlight w:val="none"/>
          <w:lang w:val="en-US" w:eastAsia="zh-CN" w:bidi="ar"/>
        </w:rPr>
        <w:t>征 集 人：霍山县机关事务管理服务中心</w:t>
      </w:r>
    </w:p>
    <w:p w14:paraId="12187BB7">
      <w:pPr>
        <w:keepNext w:val="0"/>
        <w:keepLines w:val="0"/>
        <w:pageBreakBefore w:val="0"/>
        <w:widowControl/>
        <w:suppressLineNumbers w:val="0"/>
        <w:kinsoku/>
        <w:wordWrap/>
        <w:overflowPunct/>
        <w:topLinePunct w:val="0"/>
        <w:autoSpaceDE/>
        <w:autoSpaceDN/>
        <w:bidi w:val="0"/>
        <w:adjustRightInd/>
        <w:snapToGrid/>
        <w:spacing w:line="800" w:lineRule="exact"/>
        <w:ind w:left="420" w:leftChars="200" w:firstLine="0" w:firstLineChars="0"/>
        <w:jc w:val="left"/>
        <w:textAlignment w:val="auto"/>
        <w:rPr>
          <w:rFonts w:hint="eastAsia" w:ascii="黑体" w:hAnsi="黑体" w:eastAsia="黑体" w:cs="黑体"/>
          <w:color w:val="auto"/>
          <w:sz w:val="32"/>
          <w:szCs w:val="32"/>
          <w:highlight w:val="none"/>
        </w:rPr>
      </w:pPr>
      <w:r>
        <w:rPr>
          <w:rFonts w:hint="eastAsia" w:ascii="黑体" w:hAnsi="黑体" w:eastAsia="黑体" w:cs="黑体"/>
          <w:b w:val="0"/>
          <w:bCs w:val="0"/>
          <w:color w:val="auto"/>
          <w:kern w:val="0"/>
          <w:sz w:val="32"/>
          <w:szCs w:val="32"/>
          <w:highlight w:val="none"/>
          <w:lang w:val="en-US" w:eastAsia="zh-CN" w:bidi="ar"/>
        </w:rPr>
        <w:t>采购代理机构：安徽大别山工程咨询有限公司</w:t>
      </w:r>
    </w:p>
    <w:p w14:paraId="1A1BAF2F">
      <w:pPr>
        <w:keepNext w:val="0"/>
        <w:keepLines w:val="0"/>
        <w:widowControl/>
        <w:suppressLineNumbers w:val="0"/>
        <w:jc w:val="left"/>
        <w:rPr>
          <w:rFonts w:hint="eastAsia" w:ascii="宋体" w:hAnsi="宋体" w:eastAsia="宋体" w:cs="宋体"/>
          <w:b/>
          <w:bCs/>
          <w:color w:val="auto"/>
          <w:kern w:val="0"/>
          <w:sz w:val="36"/>
          <w:szCs w:val="36"/>
          <w:highlight w:val="none"/>
          <w:lang w:val="en-US" w:eastAsia="zh-CN" w:bidi="ar"/>
        </w:rPr>
      </w:pPr>
    </w:p>
    <w:p w14:paraId="21044B99">
      <w:pPr>
        <w:keepNext w:val="0"/>
        <w:keepLines w:val="0"/>
        <w:widowControl/>
        <w:suppressLineNumbers w:val="0"/>
        <w:jc w:val="left"/>
        <w:rPr>
          <w:rFonts w:hint="eastAsia" w:ascii="宋体" w:hAnsi="宋体" w:eastAsia="宋体" w:cs="宋体"/>
          <w:b/>
          <w:bCs/>
          <w:color w:val="auto"/>
          <w:kern w:val="0"/>
          <w:sz w:val="36"/>
          <w:szCs w:val="36"/>
          <w:highlight w:val="none"/>
          <w:lang w:val="en-US" w:eastAsia="zh-CN" w:bidi="ar"/>
        </w:rPr>
      </w:pPr>
    </w:p>
    <w:p w14:paraId="0119D594">
      <w:pPr>
        <w:pStyle w:val="2"/>
        <w:ind w:left="0" w:leftChars="0" w:firstLine="0" w:firstLineChars="0"/>
        <w:rPr>
          <w:rFonts w:hint="eastAsia"/>
          <w:color w:val="auto"/>
          <w:highlight w:val="none"/>
          <w:lang w:val="en-US" w:eastAsia="zh-CN"/>
        </w:rPr>
      </w:pPr>
    </w:p>
    <w:p w14:paraId="7AAE3DEC">
      <w:pPr>
        <w:keepNext w:val="0"/>
        <w:keepLines w:val="0"/>
        <w:widowControl/>
        <w:suppressLineNumbers w:val="0"/>
        <w:ind w:firstLine="3975" w:firstLineChars="1100"/>
        <w:jc w:val="left"/>
        <w:rPr>
          <w:rFonts w:hint="eastAsia" w:ascii="宋体" w:hAnsi="宋体" w:eastAsia="宋体" w:cs="宋体"/>
          <w:b/>
          <w:bCs/>
          <w:color w:val="auto"/>
          <w:kern w:val="0"/>
          <w:sz w:val="36"/>
          <w:szCs w:val="36"/>
          <w:highlight w:val="none"/>
          <w:lang w:val="en-US" w:eastAsia="zh-CN" w:bidi="ar"/>
        </w:rPr>
      </w:pPr>
    </w:p>
    <w:p w14:paraId="7A16F412">
      <w:pPr>
        <w:keepNext w:val="0"/>
        <w:keepLines w:val="0"/>
        <w:widowControl/>
        <w:suppressLineNumbers w:val="0"/>
        <w:jc w:val="center"/>
        <w:rPr>
          <w:rFonts w:hint="eastAsia" w:ascii="宋体" w:hAnsi="宋体" w:eastAsia="宋体" w:cs="宋体"/>
          <w:b/>
          <w:bCs/>
          <w:color w:val="auto"/>
          <w:kern w:val="0"/>
          <w:sz w:val="40"/>
          <w:szCs w:val="40"/>
          <w:highlight w:val="none"/>
          <w:lang w:val="en-US" w:eastAsia="zh-CN" w:bidi="ar"/>
        </w:rPr>
      </w:pPr>
      <w:r>
        <w:rPr>
          <w:rFonts w:hint="eastAsia" w:ascii="宋体" w:hAnsi="宋体" w:eastAsia="宋体" w:cs="宋体"/>
          <w:b/>
          <w:bCs/>
          <w:color w:val="auto"/>
          <w:kern w:val="0"/>
          <w:sz w:val="28"/>
          <w:szCs w:val="28"/>
          <w:highlight w:val="none"/>
          <w:lang w:val="en-US" w:eastAsia="zh-CN" w:bidi="ar"/>
        </w:rPr>
        <w:t>二〇二六年七月</w:t>
      </w:r>
    </w:p>
    <w:p w14:paraId="52E00D79">
      <w:pPr>
        <w:rPr>
          <w:rFonts w:hint="eastAsia" w:ascii="宋体" w:hAnsi="宋体" w:eastAsia="宋体" w:cs="宋体"/>
          <w:b/>
          <w:bCs/>
          <w:color w:val="auto"/>
          <w:kern w:val="0"/>
          <w:sz w:val="40"/>
          <w:szCs w:val="40"/>
          <w:highlight w:val="none"/>
          <w:lang w:val="en-US" w:eastAsia="zh-CN" w:bidi="ar"/>
        </w:rPr>
      </w:pPr>
      <w:r>
        <w:rPr>
          <w:rFonts w:hint="eastAsia" w:ascii="宋体" w:hAnsi="宋体" w:eastAsia="宋体" w:cs="宋体"/>
          <w:b/>
          <w:bCs/>
          <w:color w:val="auto"/>
          <w:kern w:val="0"/>
          <w:sz w:val="40"/>
          <w:szCs w:val="40"/>
          <w:highlight w:val="none"/>
          <w:lang w:val="en-US" w:eastAsia="zh-CN" w:bidi="ar"/>
        </w:rPr>
        <w:br w:type="page"/>
      </w:r>
    </w:p>
    <w:p w14:paraId="1415D6E2">
      <w:pPr>
        <w:keepNext w:val="0"/>
        <w:keepLines w:val="0"/>
        <w:widowControl/>
        <w:suppressLineNumbers w:val="0"/>
        <w:jc w:val="center"/>
        <w:rPr>
          <w:rFonts w:hint="eastAsia" w:ascii="宋体" w:hAnsi="宋体" w:eastAsia="宋体" w:cs="宋体"/>
          <w:b/>
          <w:bCs/>
          <w:color w:val="auto"/>
          <w:kern w:val="0"/>
          <w:sz w:val="40"/>
          <w:szCs w:val="40"/>
          <w:highlight w:val="none"/>
          <w:lang w:val="en-US" w:eastAsia="zh-CN" w:bidi="ar"/>
        </w:rPr>
      </w:pPr>
    </w:p>
    <w:p w14:paraId="49207E77">
      <w:pPr>
        <w:keepNext w:val="0"/>
        <w:keepLines w:val="0"/>
        <w:widowControl/>
        <w:suppressLineNumbers w:val="0"/>
        <w:jc w:val="center"/>
        <w:rPr>
          <w:rFonts w:hint="eastAsia" w:ascii="宋体" w:hAnsi="宋体" w:eastAsia="宋体" w:cs="宋体"/>
          <w:b/>
          <w:bCs/>
          <w:color w:val="auto"/>
          <w:kern w:val="0"/>
          <w:sz w:val="44"/>
          <w:szCs w:val="44"/>
          <w:highlight w:val="none"/>
          <w:lang w:val="en-US" w:eastAsia="zh-CN" w:bidi="ar"/>
        </w:rPr>
      </w:pPr>
      <w:r>
        <w:rPr>
          <w:rFonts w:hint="eastAsia" w:ascii="宋体" w:hAnsi="宋体" w:eastAsia="宋体" w:cs="宋体"/>
          <w:b/>
          <w:bCs/>
          <w:color w:val="auto"/>
          <w:kern w:val="0"/>
          <w:sz w:val="44"/>
          <w:szCs w:val="44"/>
          <w:highlight w:val="none"/>
          <w:lang w:val="en-US" w:eastAsia="zh-CN" w:bidi="ar"/>
        </w:rPr>
        <w:t>目  录</w:t>
      </w:r>
    </w:p>
    <w:p w14:paraId="35DCBD96">
      <w:pPr>
        <w:pStyle w:val="15"/>
        <w:keepNext w:val="0"/>
        <w:keepLines w:val="0"/>
        <w:pageBreakBefore w:val="0"/>
        <w:widowControl w:val="0"/>
        <w:tabs>
          <w:tab w:val="right" w:leader="dot" w:pos="8980"/>
        </w:tabs>
        <w:kinsoku/>
        <w:wordWrap/>
        <w:overflowPunct/>
        <w:topLinePunct w:val="0"/>
        <w:autoSpaceDE/>
        <w:autoSpaceDN/>
        <w:bidi w:val="0"/>
        <w:adjustRightInd/>
        <w:snapToGrid/>
        <w:spacing w:line="560" w:lineRule="exact"/>
        <w:ind w:left="0" w:leftChars="0"/>
        <w:textAlignment w:val="auto"/>
        <w:rPr>
          <w:rFonts w:hint="eastAsia" w:ascii="宋体" w:hAnsi="宋体" w:eastAsia="宋体" w:cs="宋体"/>
          <w:b/>
          <w:bCs/>
          <w:color w:val="auto"/>
          <w:sz w:val="24"/>
          <w:szCs w:val="24"/>
          <w:highlight w:val="none"/>
        </w:rPr>
      </w:pP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TOC \o "1-1" \h \u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HYPERLINK \l _Toc15049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lang w:val="en-US" w:eastAsia="zh-CN"/>
        </w:rPr>
        <w:t>第一章 征集邀请</w:t>
      </w:r>
      <w:r>
        <w:rPr>
          <w:rFonts w:hint="eastAsia" w:ascii="宋体" w:hAnsi="宋体" w:eastAsia="宋体" w:cs="宋体"/>
          <w:b/>
          <w:bCs/>
          <w:color w:val="auto"/>
          <w:sz w:val="24"/>
          <w:szCs w:val="24"/>
          <w:highlight w:val="none"/>
        </w:rPr>
        <w:tab/>
      </w: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PAGEREF _Toc15049 \h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rPr>
        <w:t>3</w:t>
      </w:r>
      <w:r>
        <w:rPr>
          <w:rFonts w:hint="eastAsia" w:ascii="宋体" w:hAnsi="宋体" w:eastAsia="宋体" w:cs="宋体"/>
          <w:b/>
          <w:bCs/>
          <w:color w:val="auto"/>
          <w:sz w:val="24"/>
          <w:szCs w:val="24"/>
          <w:highlight w:val="none"/>
        </w:rPr>
        <w:fldChar w:fldCharType="end"/>
      </w:r>
      <w:r>
        <w:rPr>
          <w:rFonts w:hint="eastAsia" w:ascii="宋体" w:hAnsi="宋体" w:eastAsia="宋体" w:cs="宋体"/>
          <w:b/>
          <w:bCs/>
          <w:color w:val="auto"/>
          <w:sz w:val="24"/>
          <w:szCs w:val="24"/>
          <w:highlight w:val="none"/>
        </w:rPr>
        <w:fldChar w:fldCharType="end"/>
      </w:r>
    </w:p>
    <w:p w14:paraId="156AD72A">
      <w:pPr>
        <w:pStyle w:val="15"/>
        <w:keepNext w:val="0"/>
        <w:keepLines w:val="0"/>
        <w:pageBreakBefore w:val="0"/>
        <w:widowControl w:val="0"/>
        <w:tabs>
          <w:tab w:val="right" w:leader="dot" w:pos="8980"/>
        </w:tabs>
        <w:kinsoku/>
        <w:wordWrap/>
        <w:overflowPunct/>
        <w:topLinePunct w:val="0"/>
        <w:autoSpaceDE/>
        <w:autoSpaceDN/>
        <w:bidi w:val="0"/>
        <w:adjustRightInd/>
        <w:snapToGrid/>
        <w:spacing w:line="560" w:lineRule="exact"/>
        <w:ind w:left="0" w:leftChars="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HYPERLINK \l _Toc1489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lang w:val="en-US" w:eastAsia="zh-CN"/>
        </w:rPr>
        <w:t>第二章 投标人须知前附表</w:t>
      </w:r>
      <w:r>
        <w:rPr>
          <w:rFonts w:hint="eastAsia" w:ascii="宋体" w:hAnsi="宋体" w:eastAsia="宋体" w:cs="宋体"/>
          <w:b/>
          <w:bCs/>
          <w:color w:val="auto"/>
          <w:sz w:val="24"/>
          <w:szCs w:val="24"/>
          <w:highlight w:val="none"/>
        </w:rPr>
        <w:tab/>
      </w:r>
      <w:r>
        <w:rPr>
          <w:rFonts w:hint="eastAsia" w:ascii="宋体" w:hAnsi="宋体" w:eastAsia="宋体" w:cs="宋体"/>
          <w:b/>
          <w:bCs/>
          <w:color w:val="auto"/>
          <w:sz w:val="24"/>
          <w:szCs w:val="24"/>
          <w:highlight w:val="none"/>
          <w:lang w:val="en-US" w:eastAsia="zh-CN"/>
        </w:rPr>
        <w:t>4</w:t>
      </w:r>
    </w:p>
    <w:p w14:paraId="50B47C9F">
      <w:pPr>
        <w:pStyle w:val="15"/>
        <w:keepNext w:val="0"/>
        <w:keepLines w:val="0"/>
        <w:pageBreakBefore w:val="0"/>
        <w:widowControl w:val="0"/>
        <w:tabs>
          <w:tab w:val="right" w:leader="dot" w:pos="8980"/>
        </w:tabs>
        <w:kinsoku/>
        <w:wordWrap/>
        <w:overflowPunct/>
        <w:topLinePunct w:val="0"/>
        <w:autoSpaceDE/>
        <w:autoSpaceDN/>
        <w:bidi w:val="0"/>
        <w:adjustRightInd/>
        <w:snapToGrid/>
        <w:spacing w:line="560" w:lineRule="exact"/>
        <w:ind w:left="0" w:leftChars="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第三章 资格审查材料</w:t>
      </w:r>
      <w:r>
        <w:rPr>
          <w:rFonts w:hint="eastAsia" w:ascii="宋体" w:hAnsi="宋体" w:eastAsia="宋体" w:cs="宋体"/>
          <w:b/>
          <w:bCs/>
          <w:color w:val="auto"/>
          <w:sz w:val="24"/>
          <w:szCs w:val="24"/>
          <w:highlight w:val="none"/>
        </w:rPr>
        <w:tab/>
      </w:r>
      <w:r>
        <w:rPr>
          <w:rFonts w:hint="eastAsia" w:ascii="宋体" w:hAnsi="宋体" w:eastAsia="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fldChar w:fldCharType="end"/>
      </w:r>
      <w:r>
        <w:rPr>
          <w:rFonts w:hint="eastAsia" w:ascii="宋体" w:hAnsi="宋体" w:eastAsia="宋体" w:cs="宋体"/>
          <w:b/>
          <w:bCs/>
          <w:color w:val="auto"/>
          <w:sz w:val="24"/>
          <w:szCs w:val="24"/>
          <w:highlight w:val="none"/>
          <w:lang w:val="en-US" w:eastAsia="zh-CN"/>
        </w:rPr>
        <w:t>0</w:t>
      </w:r>
    </w:p>
    <w:p w14:paraId="36F786CC">
      <w:pPr>
        <w:pStyle w:val="15"/>
        <w:keepNext w:val="0"/>
        <w:keepLines w:val="0"/>
        <w:pageBreakBefore w:val="0"/>
        <w:widowControl w:val="0"/>
        <w:tabs>
          <w:tab w:val="right" w:leader="dot" w:pos="8980"/>
        </w:tabs>
        <w:kinsoku/>
        <w:wordWrap/>
        <w:overflowPunct/>
        <w:topLinePunct w:val="0"/>
        <w:autoSpaceDE/>
        <w:autoSpaceDN/>
        <w:bidi w:val="0"/>
        <w:adjustRightInd/>
        <w:snapToGrid/>
        <w:spacing w:line="560" w:lineRule="exact"/>
        <w:ind w:left="0" w:leftChars="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HYPERLINK \l _Toc26869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lang w:val="en-US" w:eastAsia="zh-CN"/>
        </w:rPr>
        <w:t>第四章 资格审查方法和标准</w:t>
      </w:r>
      <w:r>
        <w:rPr>
          <w:rFonts w:hint="eastAsia" w:ascii="宋体" w:hAnsi="宋体" w:eastAsia="宋体" w:cs="宋体"/>
          <w:b/>
          <w:bCs/>
          <w:color w:val="auto"/>
          <w:sz w:val="24"/>
          <w:szCs w:val="24"/>
          <w:highlight w:val="none"/>
        </w:rPr>
        <w:tab/>
      </w:r>
      <w:r>
        <w:rPr>
          <w:rFonts w:hint="eastAsia" w:ascii="宋体" w:hAnsi="宋体" w:eastAsia="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fldChar w:fldCharType="end"/>
      </w:r>
      <w:r>
        <w:rPr>
          <w:rFonts w:hint="eastAsia" w:ascii="宋体" w:hAnsi="宋体" w:eastAsia="宋体" w:cs="宋体"/>
          <w:b/>
          <w:bCs/>
          <w:color w:val="auto"/>
          <w:sz w:val="24"/>
          <w:szCs w:val="24"/>
          <w:highlight w:val="none"/>
          <w:lang w:val="en-US" w:eastAsia="zh-CN"/>
        </w:rPr>
        <w:t>1</w:t>
      </w:r>
    </w:p>
    <w:p w14:paraId="38A98125">
      <w:pPr>
        <w:pStyle w:val="15"/>
        <w:keepNext w:val="0"/>
        <w:keepLines w:val="0"/>
        <w:pageBreakBefore w:val="0"/>
        <w:widowControl w:val="0"/>
        <w:tabs>
          <w:tab w:val="right" w:leader="dot" w:pos="8980"/>
        </w:tabs>
        <w:kinsoku/>
        <w:wordWrap/>
        <w:overflowPunct/>
        <w:topLinePunct w:val="0"/>
        <w:autoSpaceDE/>
        <w:autoSpaceDN/>
        <w:bidi w:val="0"/>
        <w:adjustRightInd/>
        <w:snapToGrid/>
        <w:spacing w:line="560" w:lineRule="exact"/>
        <w:ind w:left="0" w:leftChars="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HYPERLINK \l _Toc25985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lang w:val="en-US" w:eastAsia="zh-CN"/>
        </w:rPr>
        <w:t>第五章 第一阶段入围评审办法</w:t>
      </w:r>
      <w:r>
        <w:rPr>
          <w:rFonts w:hint="eastAsia" w:ascii="宋体" w:hAnsi="宋体" w:eastAsia="宋体" w:cs="宋体"/>
          <w:b/>
          <w:bCs/>
          <w:color w:val="auto"/>
          <w:sz w:val="24"/>
          <w:szCs w:val="24"/>
          <w:highlight w:val="none"/>
        </w:rPr>
        <w:tab/>
      </w:r>
      <w:r>
        <w:rPr>
          <w:rFonts w:hint="eastAsia" w:ascii="宋体" w:hAnsi="宋体" w:eastAsia="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fldChar w:fldCharType="end"/>
      </w:r>
      <w:r>
        <w:rPr>
          <w:rFonts w:hint="eastAsia" w:ascii="宋体" w:hAnsi="宋体" w:eastAsia="宋体" w:cs="宋体"/>
          <w:b/>
          <w:bCs/>
          <w:color w:val="auto"/>
          <w:sz w:val="24"/>
          <w:szCs w:val="24"/>
          <w:highlight w:val="none"/>
          <w:lang w:val="en-US" w:eastAsia="zh-CN"/>
        </w:rPr>
        <w:t>2</w:t>
      </w:r>
    </w:p>
    <w:p w14:paraId="14BA2272">
      <w:pPr>
        <w:pStyle w:val="15"/>
        <w:keepNext w:val="0"/>
        <w:keepLines w:val="0"/>
        <w:pageBreakBefore w:val="0"/>
        <w:widowControl w:val="0"/>
        <w:tabs>
          <w:tab w:val="right" w:leader="dot" w:pos="8980"/>
        </w:tabs>
        <w:kinsoku/>
        <w:wordWrap/>
        <w:overflowPunct/>
        <w:topLinePunct w:val="0"/>
        <w:autoSpaceDE/>
        <w:autoSpaceDN/>
        <w:bidi w:val="0"/>
        <w:adjustRightInd/>
        <w:snapToGrid/>
        <w:spacing w:line="560" w:lineRule="exact"/>
        <w:ind w:left="0" w:leftChars="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HYPERLINK \l _Toc26081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lang w:val="en-US" w:eastAsia="zh-CN"/>
        </w:rPr>
        <w:t>第六章 确定第二阶段成交供应商的方式</w:t>
      </w:r>
      <w:r>
        <w:rPr>
          <w:rFonts w:hint="eastAsia" w:ascii="宋体" w:hAnsi="宋体" w:eastAsia="宋体" w:cs="宋体"/>
          <w:b/>
          <w:bCs/>
          <w:color w:val="auto"/>
          <w:sz w:val="24"/>
          <w:szCs w:val="24"/>
          <w:highlight w:val="none"/>
        </w:rPr>
        <w:tab/>
      </w:r>
      <w:r>
        <w:rPr>
          <w:rFonts w:hint="eastAsia" w:ascii="宋体" w:hAnsi="宋体" w:eastAsia="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fldChar w:fldCharType="end"/>
      </w:r>
      <w:r>
        <w:rPr>
          <w:rFonts w:hint="eastAsia" w:ascii="宋体" w:hAnsi="宋体" w:eastAsia="宋体" w:cs="宋体"/>
          <w:b/>
          <w:bCs/>
          <w:color w:val="auto"/>
          <w:sz w:val="24"/>
          <w:szCs w:val="24"/>
          <w:highlight w:val="none"/>
          <w:lang w:val="en-US" w:eastAsia="zh-CN"/>
        </w:rPr>
        <w:t>5</w:t>
      </w:r>
    </w:p>
    <w:p w14:paraId="3BA0CC1D">
      <w:pPr>
        <w:pStyle w:val="15"/>
        <w:keepNext w:val="0"/>
        <w:keepLines w:val="0"/>
        <w:pageBreakBefore w:val="0"/>
        <w:widowControl w:val="0"/>
        <w:tabs>
          <w:tab w:val="right" w:leader="dot" w:pos="8980"/>
        </w:tabs>
        <w:kinsoku/>
        <w:wordWrap/>
        <w:overflowPunct/>
        <w:topLinePunct w:val="0"/>
        <w:autoSpaceDE/>
        <w:autoSpaceDN/>
        <w:bidi w:val="0"/>
        <w:adjustRightInd/>
        <w:snapToGrid/>
        <w:spacing w:line="560" w:lineRule="exact"/>
        <w:ind w:left="0" w:lef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HYPERLINK \l _Toc2789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lang w:val="en-US" w:eastAsia="zh-CN"/>
        </w:rPr>
        <w:t>第七章 采购需求</w:t>
      </w:r>
      <w:r>
        <w:rPr>
          <w:rFonts w:hint="eastAsia" w:ascii="宋体" w:hAnsi="宋体" w:eastAsia="宋体" w:cs="宋体"/>
          <w:b/>
          <w:bCs/>
          <w:color w:val="auto"/>
          <w:sz w:val="24"/>
          <w:szCs w:val="24"/>
          <w:highlight w:val="none"/>
        </w:rPr>
        <w:tab/>
      </w: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PAGEREF _Toc2789 \h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rPr>
        <w:t>16</w:t>
      </w:r>
      <w:r>
        <w:rPr>
          <w:rFonts w:hint="eastAsia" w:ascii="宋体" w:hAnsi="宋体" w:eastAsia="宋体" w:cs="宋体"/>
          <w:b/>
          <w:bCs/>
          <w:color w:val="auto"/>
          <w:sz w:val="24"/>
          <w:szCs w:val="24"/>
          <w:highlight w:val="none"/>
        </w:rPr>
        <w:fldChar w:fldCharType="end"/>
      </w:r>
      <w:r>
        <w:rPr>
          <w:rFonts w:hint="eastAsia" w:ascii="宋体" w:hAnsi="宋体" w:eastAsia="宋体" w:cs="宋体"/>
          <w:b/>
          <w:bCs/>
          <w:color w:val="auto"/>
          <w:sz w:val="24"/>
          <w:szCs w:val="24"/>
          <w:highlight w:val="none"/>
        </w:rPr>
        <w:fldChar w:fldCharType="end"/>
      </w:r>
    </w:p>
    <w:p w14:paraId="66C4E517">
      <w:pPr>
        <w:pStyle w:val="15"/>
        <w:keepNext w:val="0"/>
        <w:keepLines w:val="0"/>
        <w:pageBreakBefore w:val="0"/>
        <w:widowControl w:val="0"/>
        <w:tabs>
          <w:tab w:val="right" w:leader="dot" w:pos="8980"/>
        </w:tabs>
        <w:kinsoku/>
        <w:wordWrap/>
        <w:overflowPunct/>
        <w:topLinePunct w:val="0"/>
        <w:autoSpaceDE/>
        <w:autoSpaceDN/>
        <w:bidi w:val="0"/>
        <w:adjustRightInd/>
        <w:snapToGrid/>
        <w:spacing w:line="560" w:lineRule="exact"/>
        <w:ind w:left="0" w:lef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HYPERLINK \l _Toc20703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lang w:val="en-US" w:eastAsia="zh-CN"/>
        </w:rPr>
        <w:t>第八章 用户反馈和评价机制</w:t>
      </w:r>
      <w:r>
        <w:rPr>
          <w:rFonts w:hint="eastAsia" w:ascii="宋体" w:hAnsi="宋体" w:eastAsia="宋体" w:cs="宋体"/>
          <w:b/>
          <w:bCs/>
          <w:color w:val="auto"/>
          <w:sz w:val="24"/>
          <w:szCs w:val="24"/>
          <w:highlight w:val="none"/>
        </w:rPr>
        <w:tab/>
      </w: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PAGEREF _Toc20703 \h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rPr>
        <w:t>19</w:t>
      </w:r>
      <w:r>
        <w:rPr>
          <w:rFonts w:hint="eastAsia" w:ascii="宋体" w:hAnsi="宋体" w:eastAsia="宋体" w:cs="宋体"/>
          <w:b/>
          <w:bCs/>
          <w:color w:val="auto"/>
          <w:sz w:val="24"/>
          <w:szCs w:val="24"/>
          <w:highlight w:val="none"/>
        </w:rPr>
        <w:fldChar w:fldCharType="end"/>
      </w:r>
      <w:r>
        <w:rPr>
          <w:rFonts w:hint="eastAsia" w:ascii="宋体" w:hAnsi="宋体" w:eastAsia="宋体" w:cs="宋体"/>
          <w:b/>
          <w:bCs/>
          <w:color w:val="auto"/>
          <w:sz w:val="24"/>
          <w:szCs w:val="24"/>
          <w:highlight w:val="none"/>
        </w:rPr>
        <w:fldChar w:fldCharType="end"/>
      </w:r>
    </w:p>
    <w:p w14:paraId="7426973B">
      <w:pPr>
        <w:pStyle w:val="15"/>
        <w:keepNext w:val="0"/>
        <w:keepLines w:val="0"/>
        <w:pageBreakBefore w:val="0"/>
        <w:widowControl w:val="0"/>
        <w:tabs>
          <w:tab w:val="right" w:leader="dot" w:pos="8980"/>
        </w:tabs>
        <w:kinsoku/>
        <w:wordWrap/>
        <w:overflowPunct/>
        <w:topLinePunct w:val="0"/>
        <w:autoSpaceDE/>
        <w:autoSpaceDN/>
        <w:bidi w:val="0"/>
        <w:adjustRightInd/>
        <w:snapToGrid/>
        <w:spacing w:line="560" w:lineRule="exact"/>
        <w:ind w:left="0" w:lef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HYPERLINK \l _Toc10638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lang w:val="en-US" w:eastAsia="zh-CN"/>
        </w:rPr>
        <w:t>第九章 框架协议和采购合同</w:t>
      </w:r>
      <w:r>
        <w:rPr>
          <w:rFonts w:hint="eastAsia" w:ascii="宋体" w:hAnsi="宋体" w:eastAsia="宋体" w:cs="宋体"/>
          <w:b/>
          <w:bCs/>
          <w:color w:val="auto"/>
          <w:sz w:val="24"/>
          <w:szCs w:val="24"/>
          <w:highlight w:val="none"/>
        </w:rPr>
        <w:tab/>
      </w: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PAGEREF _Toc10638 \h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rPr>
        <w:t>19</w:t>
      </w:r>
      <w:r>
        <w:rPr>
          <w:rFonts w:hint="eastAsia" w:ascii="宋体" w:hAnsi="宋体" w:eastAsia="宋体" w:cs="宋体"/>
          <w:b/>
          <w:bCs/>
          <w:color w:val="auto"/>
          <w:sz w:val="24"/>
          <w:szCs w:val="24"/>
          <w:highlight w:val="none"/>
        </w:rPr>
        <w:fldChar w:fldCharType="end"/>
      </w:r>
      <w:r>
        <w:rPr>
          <w:rFonts w:hint="eastAsia" w:ascii="宋体" w:hAnsi="宋体" w:eastAsia="宋体" w:cs="宋体"/>
          <w:b/>
          <w:bCs/>
          <w:color w:val="auto"/>
          <w:sz w:val="24"/>
          <w:szCs w:val="24"/>
          <w:highlight w:val="none"/>
        </w:rPr>
        <w:fldChar w:fldCharType="end"/>
      </w:r>
    </w:p>
    <w:p w14:paraId="50B15AF7">
      <w:pPr>
        <w:pStyle w:val="15"/>
        <w:keepNext w:val="0"/>
        <w:keepLines w:val="0"/>
        <w:pageBreakBefore w:val="0"/>
        <w:widowControl w:val="0"/>
        <w:tabs>
          <w:tab w:val="right" w:leader="dot" w:pos="8980"/>
        </w:tabs>
        <w:kinsoku/>
        <w:wordWrap/>
        <w:overflowPunct/>
        <w:topLinePunct w:val="0"/>
        <w:autoSpaceDE/>
        <w:autoSpaceDN/>
        <w:bidi w:val="0"/>
        <w:adjustRightInd/>
        <w:snapToGrid/>
        <w:spacing w:line="560" w:lineRule="exact"/>
        <w:ind w:left="0" w:lef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HYPERLINK \l _Toc669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lang w:val="en-US" w:eastAsia="zh-CN"/>
        </w:rPr>
        <w:t>第十章 供应商信用信息</w:t>
      </w:r>
      <w:r>
        <w:rPr>
          <w:rFonts w:hint="eastAsia" w:ascii="宋体" w:hAnsi="宋体" w:eastAsia="宋体" w:cs="宋体"/>
          <w:b/>
          <w:bCs/>
          <w:color w:val="auto"/>
          <w:sz w:val="24"/>
          <w:szCs w:val="24"/>
          <w:highlight w:val="none"/>
        </w:rPr>
        <w:tab/>
      </w: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PAGEREF _Toc669 \h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rPr>
        <w:t>19</w:t>
      </w:r>
      <w:r>
        <w:rPr>
          <w:rFonts w:hint="eastAsia" w:ascii="宋体" w:hAnsi="宋体" w:eastAsia="宋体" w:cs="宋体"/>
          <w:b/>
          <w:bCs/>
          <w:color w:val="auto"/>
          <w:sz w:val="24"/>
          <w:szCs w:val="24"/>
          <w:highlight w:val="none"/>
        </w:rPr>
        <w:fldChar w:fldCharType="end"/>
      </w:r>
      <w:r>
        <w:rPr>
          <w:rFonts w:hint="eastAsia" w:ascii="宋体" w:hAnsi="宋体" w:eastAsia="宋体" w:cs="宋体"/>
          <w:b/>
          <w:bCs/>
          <w:color w:val="auto"/>
          <w:sz w:val="24"/>
          <w:szCs w:val="24"/>
          <w:highlight w:val="none"/>
        </w:rPr>
        <w:fldChar w:fldCharType="end"/>
      </w:r>
    </w:p>
    <w:p w14:paraId="674B5CC3">
      <w:pPr>
        <w:pStyle w:val="15"/>
        <w:keepNext w:val="0"/>
        <w:keepLines w:val="0"/>
        <w:pageBreakBefore w:val="0"/>
        <w:widowControl w:val="0"/>
        <w:tabs>
          <w:tab w:val="right" w:leader="dot" w:pos="8980"/>
        </w:tabs>
        <w:kinsoku/>
        <w:wordWrap/>
        <w:overflowPunct/>
        <w:topLinePunct w:val="0"/>
        <w:autoSpaceDE/>
        <w:autoSpaceDN/>
        <w:bidi w:val="0"/>
        <w:adjustRightInd/>
        <w:snapToGrid/>
        <w:spacing w:line="560" w:lineRule="exact"/>
        <w:ind w:left="0" w:lef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HYPERLINK \l _Toc25933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lang w:val="en-US" w:eastAsia="zh-CN"/>
        </w:rPr>
        <w:t>第十一章 响应文件的编制和提交</w:t>
      </w:r>
      <w:r>
        <w:rPr>
          <w:rFonts w:hint="eastAsia" w:ascii="宋体" w:hAnsi="宋体" w:eastAsia="宋体" w:cs="宋体"/>
          <w:b/>
          <w:bCs/>
          <w:color w:val="auto"/>
          <w:sz w:val="24"/>
          <w:szCs w:val="24"/>
          <w:highlight w:val="none"/>
        </w:rPr>
        <w:tab/>
      </w: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PAGEREF _Toc25933 \h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rPr>
        <w:t>19</w:t>
      </w:r>
      <w:r>
        <w:rPr>
          <w:rFonts w:hint="eastAsia" w:ascii="宋体" w:hAnsi="宋体" w:eastAsia="宋体" w:cs="宋体"/>
          <w:b/>
          <w:bCs/>
          <w:color w:val="auto"/>
          <w:sz w:val="24"/>
          <w:szCs w:val="24"/>
          <w:highlight w:val="none"/>
        </w:rPr>
        <w:fldChar w:fldCharType="end"/>
      </w:r>
      <w:r>
        <w:rPr>
          <w:rFonts w:hint="eastAsia" w:ascii="宋体" w:hAnsi="宋体" w:eastAsia="宋体" w:cs="宋体"/>
          <w:b/>
          <w:bCs/>
          <w:color w:val="auto"/>
          <w:sz w:val="24"/>
          <w:szCs w:val="24"/>
          <w:highlight w:val="none"/>
        </w:rPr>
        <w:fldChar w:fldCharType="end"/>
      </w:r>
    </w:p>
    <w:p w14:paraId="2524D3A7">
      <w:pPr>
        <w:pStyle w:val="15"/>
        <w:keepNext w:val="0"/>
        <w:keepLines w:val="0"/>
        <w:pageBreakBefore w:val="0"/>
        <w:widowControl w:val="0"/>
        <w:tabs>
          <w:tab w:val="right" w:leader="dot" w:pos="8980"/>
        </w:tabs>
        <w:kinsoku/>
        <w:wordWrap/>
        <w:overflowPunct/>
        <w:topLinePunct w:val="0"/>
        <w:autoSpaceDE/>
        <w:autoSpaceDN/>
        <w:bidi w:val="0"/>
        <w:adjustRightInd/>
        <w:snapToGrid/>
        <w:spacing w:line="560" w:lineRule="exact"/>
        <w:ind w:left="0" w:lef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HYPERLINK \l _Toc28185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lang w:val="en-US" w:eastAsia="zh-CN"/>
        </w:rPr>
        <w:t>第十二章 响应文件（格式）</w:t>
      </w:r>
      <w:r>
        <w:rPr>
          <w:rFonts w:hint="eastAsia" w:ascii="宋体" w:hAnsi="宋体" w:eastAsia="宋体" w:cs="宋体"/>
          <w:b/>
          <w:bCs/>
          <w:color w:val="auto"/>
          <w:sz w:val="24"/>
          <w:szCs w:val="24"/>
          <w:highlight w:val="none"/>
        </w:rPr>
        <w:tab/>
      </w: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PAGEREF _Toc28185 \h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rPr>
        <w:t>22</w:t>
      </w:r>
      <w:r>
        <w:rPr>
          <w:rFonts w:hint="eastAsia" w:ascii="宋体" w:hAnsi="宋体" w:eastAsia="宋体" w:cs="宋体"/>
          <w:b/>
          <w:bCs/>
          <w:color w:val="auto"/>
          <w:sz w:val="24"/>
          <w:szCs w:val="24"/>
          <w:highlight w:val="none"/>
        </w:rPr>
        <w:fldChar w:fldCharType="end"/>
      </w:r>
      <w:r>
        <w:rPr>
          <w:rFonts w:hint="eastAsia" w:ascii="宋体" w:hAnsi="宋体" w:eastAsia="宋体" w:cs="宋体"/>
          <w:b/>
          <w:bCs/>
          <w:color w:val="auto"/>
          <w:sz w:val="24"/>
          <w:szCs w:val="24"/>
          <w:highlight w:val="none"/>
        </w:rPr>
        <w:fldChar w:fldCharType="end"/>
      </w:r>
    </w:p>
    <w:p w14:paraId="6A47CC79">
      <w:pPr>
        <w:pStyle w:val="15"/>
        <w:keepNext w:val="0"/>
        <w:keepLines w:val="0"/>
        <w:pageBreakBefore w:val="0"/>
        <w:widowControl w:val="0"/>
        <w:tabs>
          <w:tab w:val="right" w:leader="dot" w:pos="8980"/>
        </w:tabs>
        <w:kinsoku/>
        <w:wordWrap/>
        <w:overflowPunct/>
        <w:topLinePunct w:val="0"/>
        <w:autoSpaceDE/>
        <w:autoSpaceDN/>
        <w:bidi w:val="0"/>
        <w:adjustRightInd/>
        <w:snapToGrid/>
        <w:spacing w:line="560" w:lineRule="exact"/>
        <w:ind w:left="420" w:leftChars="200"/>
        <w:textAlignment w:val="auto"/>
        <w:rPr>
          <w:rFonts w:hint="eastAsia" w:ascii="宋体" w:hAnsi="宋体" w:eastAsia="宋体" w:cs="宋体"/>
          <w:color w:val="auto"/>
          <w:sz w:val="24"/>
          <w:szCs w:val="24"/>
          <w:highlight w:val="none"/>
        </w:rPr>
      </w:pPr>
      <w:r>
        <w:rPr>
          <w:rFonts w:hint="eastAsia" w:ascii="宋体" w:hAnsi="宋体" w:eastAsia="宋体" w:cs="宋体"/>
          <w:bCs w:val="0"/>
          <w:color w:val="auto"/>
          <w:sz w:val="24"/>
          <w:szCs w:val="24"/>
          <w:highlight w:val="none"/>
        </w:rPr>
        <w:fldChar w:fldCharType="begin"/>
      </w:r>
      <w:r>
        <w:rPr>
          <w:rFonts w:hint="eastAsia" w:ascii="宋体" w:hAnsi="宋体" w:eastAsia="宋体" w:cs="宋体"/>
          <w:bCs w:val="0"/>
          <w:color w:val="auto"/>
          <w:sz w:val="24"/>
          <w:szCs w:val="24"/>
          <w:highlight w:val="none"/>
        </w:rPr>
        <w:instrText xml:space="preserve"> HYPERLINK \l _Toc4557 </w:instrText>
      </w:r>
      <w:r>
        <w:rPr>
          <w:rFonts w:hint="eastAsia" w:ascii="宋体" w:hAnsi="宋体" w:eastAsia="宋体" w:cs="宋体"/>
          <w:bCs w:val="0"/>
          <w:color w:val="auto"/>
          <w:sz w:val="24"/>
          <w:szCs w:val="24"/>
          <w:highlight w:val="none"/>
        </w:rPr>
        <w:fldChar w:fldCharType="separate"/>
      </w:r>
      <w:r>
        <w:rPr>
          <w:rFonts w:hint="eastAsia" w:ascii="宋体" w:hAnsi="宋体" w:eastAsia="宋体" w:cs="宋体"/>
          <w:color w:val="auto"/>
          <w:sz w:val="24"/>
          <w:szCs w:val="24"/>
          <w:highlight w:val="none"/>
        </w:rPr>
        <w:t>一、</w:t>
      </w:r>
      <w:r>
        <w:rPr>
          <w:rFonts w:hint="eastAsia" w:ascii="宋体" w:hAnsi="宋体" w:eastAsia="宋体" w:cs="宋体"/>
          <w:color w:val="auto"/>
          <w:sz w:val="24"/>
          <w:szCs w:val="24"/>
          <w:highlight w:val="none"/>
          <w:lang w:val="en-US" w:eastAsia="zh-CN"/>
        </w:rPr>
        <w:t>营业执照</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_Toc4557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23</w:t>
      </w:r>
      <w:r>
        <w:rPr>
          <w:rFonts w:hint="eastAsia" w:ascii="宋体" w:hAnsi="宋体" w:eastAsia="宋体" w:cs="宋体"/>
          <w:color w:val="auto"/>
          <w:sz w:val="24"/>
          <w:szCs w:val="24"/>
          <w:highlight w:val="none"/>
        </w:rPr>
        <w:fldChar w:fldCharType="end"/>
      </w:r>
      <w:r>
        <w:rPr>
          <w:rFonts w:hint="eastAsia" w:ascii="宋体" w:hAnsi="宋体" w:eastAsia="宋体" w:cs="宋体"/>
          <w:bCs w:val="0"/>
          <w:color w:val="auto"/>
          <w:sz w:val="24"/>
          <w:szCs w:val="24"/>
          <w:highlight w:val="none"/>
        </w:rPr>
        <w:fldChar w:fldCharType="end"/>
      </w:r>
    </w:p>
    <w:p w14:paraId="73DFC095">
      <w:pPr>
        <w:pStyle w:val="15"/>
        <w:keepNext w:val="0"/>
        <w:keepLines w:val="0"/>
        <w:pageBreakBefore w:val="0"/>
        <w:widowControl w:val="0"/>
        <w:tabs>
          <w:tab w:val="right" w:leader="dot" w:pos="8980"/>
        </w:tabs>
        <w:kinsoku/>
        <w:wordWrap/>
        <w:overflowPunct/>
        <w:topLinePunct w:val="0"/>
        <w:autoSpaceDE/>
        <w:autoSpaceDN/>
        <w:bidi w:val="0"/>
        <w:adjustRightInd/>
        <w:snapToGrid/>
        <w:spacing w:line="560" w:lineRule="exact"/>
        <w:ind w:left="420" w:leftChars="200"/>
        <w:textAlignment w:val="auto"/>
        <w:rPr>
          <w:rFonts w:hint="eastAsia" w:ascii="宋体" w:hAnsi="宋体" w:eastAsia="宋体" w:cs="宋体"/>
          <w:color w:val="auto"/>
          <w:sz w:val="24"/>
          <w:szCs w:val="24"/>
          <w:highlight w:val="none"/>
        </w:rPr>
      </w:pPr>
      <w:r>
        <w:rPr>
          <w:rFonts w:hint="eastAsia" w:ascii="宋体" w:hAnsi="宋体" w:eastAsia="宋体" w:cs="宋体"/>
          <w:bCs w:val="0"/>
          <w:color w:val="auto"/>
          <w:sz w:val="24"/>
          <w:szCs w:val="24"/>
          <w:highlight w:val="none"/>
        </w:rPr>
        <w:fldChar w:fldCharType="begin"/>
      </w:r>
      <w:r>
        <w:rPr>
          <w:rFonts w:hint="eastAsia" w:ascii="宋体" w:hAnsi="宋体" w:eastAsia="宋体" w:cs="宋体"/>
          <w:bCs w:val="0"/>
          <w:color w:val="auto"/>
          <w:sz w:val="24"/>
          <w:szCs w:val="24"/>
          <w:highlight w:val="none"/>
        </w:rPr>
        <w:instrText xml:space="preserve"> HYPERLINK \l _Toc14929 </w:instrText>
      </w:r>
      <w:r>
        <w:rPr>
          <w:rFonts w:hint="eastAsia" w:ascii="宋体" w:hAnsi="宋体" w:eastAsia="宋体" w:cs="宋体"/>
          <w:bCs w:val="0"/>
          <w:color w:val="auto"/>
          <w:sz w:val="24"/>
          <w:szCs w:val="24"/>
          <w:highlight w:val="none"/>
        </w:rPr>
        <w:fldChar w:fldCharType="separate"/>
      </w:r>
      <w:r>
        <w:rPr>
          <w:rFonts w:hint="eastAsia" w:ascii="宋体" w:hAnsi="宋体" w:eastAsia="宋体" w:cs="宋体"/>
          <w:bCs/>
          <w:color w:val="auto"/>
          <w:sz w:val="24"/>
          <w:szCs w:val="24"/>
          <w:highlight w:val="none"/>
          <w:lang w:val="en-US" w:eastAsia="zh-CN"/>
        </w:rPr>
        <w:t>二、响应授权书</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_Toc14929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24</w:t>
      </w:r>
      <w:r>
        <w:rPr>
          <w:rFonts w:hint="eastAsia" w:ascii="宋体" w:hAnsi="宋体" w:eastAsia="宋体" w:cs="宋体"/>
          <w:color w:val="auto"/>
          <w:sz w:val="24"/>
          <w:szCs w:val="24"/>
          <w:highlight w:val="none"/>
        </w:rPr>
        <w:fldChar w:fldCharType="end"/>
      </w:r>
      <w:r>
        <w:rPr>
          <w:rFonts w:hint="eastAsia" w:ascii="宋体" w:hAnsi="宋体" w:eastAsia="宋体" w:cs="宋体"/>
          <w:bCs w:val="0"/>
          <w:color w:val="auto"/>
          <w:sz w:val="24"/>
          <w:szCs w:val="24"/>
          <w:highlight w:val="none"/>
        </w:rPr>
        <w:fldChar w:fldCharType="end"/>
      </w:r>
    </w:p>
    <w:p w14:paraId="72F1B1DD">
      <w:pPr>
        <w:pStyle w:val="15"/>
        <w:keepNext w:val="0"/>
        <w:keepLines w:val="0"/>
        <w:pageBreakBefore w:val="0"/>
        <w:widowControl w:val="0"/>
        <w:tabs>
          <w:tab w:val="right" w:leader="dot" w:pos="8980"/>
        </w:tabs>
        <w:kinsoku/>
        <w:wordWrap/>
        <w:overflowPunct/>
        <w:topLinePunct w:val="0"/>
        <w:autoSpaceDE/>
        <w:autoSpaceDN/>
        <w:bidi w:val="0"/>
        <w:adjustRightInd/>
        <w:snapToGrid/>
        <w:spacing w:line="560" w:lineRule="exact"/>
        <w:ind w:left="420" w:left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Cs w:val="0"/>
          <w:color w:val="auto"/>
          <w:sz w:val="24"/>
          <w:szCs w:val="24"/>
          <w:highlight w:val="none"/>
        </w:rPr>
        <w:fldChar w:fldCharType="begin"/>
      </w:r>
      <w:r>
        <w:rPr>
          <w:rFonts w:hint="eastAsia" w:ascii="宋体" w:hAnsi="宋体" w:eastAsia="宋体" w:cs="宋体"/>
          <w:bCs w:val="0"/>
          <w:color w:val="auto"/>
          <w:sz w:val="24"/>
          <w:szCs w:val="24"/>
          <w:highlight w:val="none"/>
        </w:rPr>
        <w:instrText xml:space="preserve"> HYPERLINK \l _Toc23574 </w:instrText>
      </w:r>
      <w:r>
        <w:rPr>
          <w:rFonts w:hint="eastAsia" w:ascii="宋体" w:hAnsi="宋体" w:eastAsia="宋体" w:cs="宋体"/>
          <w:bCs w:val="0"/>
          <w:color w:val="auto"/>
          <w:sz w:val="24"/>
          <w:szCs w:val="24"/>
          <w:highlight w:val="none"/>
        </w:rPr>
        <w:fldChar w:fldCharType="separate"/>
      </w:r>
      <w:r>
        <w:rPr>
          <w:rFonts w:hint="eastAsia" w:ascii="宋体" w:hAnsi="宋体" w:eastAsia="宋体" w:cs="宋体"/>
          <w:color w:val="auto"/>
          <w:sz w:val="24"/>
          <w:szCs w:val="24"/>
          <w:highlight w:val="none"/>
          <w:lang w:val="en-US" w:eastAsia="zh-CN"/>
        </w:rPr>
        <w:t>三、无重大违法记录声明函、无不良信用记录声明函</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lang w:val="en-US" w:eastAsia="zh-CN"/>
        </w:rPr>
        <w:t>2</w:t>
      </w:r>
      <w:r>
        <w:rPr>
          <w:rFonts w:hint="eastAsia" w:ascii="宋体" w:hAnsi="宋体" w:eastAsia="宋体" w:cs="宋体"/>
          <w:bCs w:val="0"/>
          <w:color w:val="auto"/>
          <w:sz w:val="24"/>
          <w:szCs w:val="24"/>
          <w:highlight w:val="none"/>
        </w:rPr>
        <w:fldChar w:fldCharType="end"/>
      </w:r>
      <w:r>
        <w:rPr>
          <w:rFonts w:hint="eastAsia" w:ascii="宋体" w:hAnsi="宋体" w:eastAsia="宋体" w:cs="宋体"/>
          <w:bCs w:val="0"/>
          <w:color w:val="auto"/>
          <w:sz w:val="24"/>
          <w:szCs w:val="24"/>
          <w:highlight w:val="none"/>
          <w:lang w:val="en-US" w:eastAsia="zh-CN"/>
        </w:rPr>
        <w:t>5</w:t>
      </w:r>
    </w:p>
    <w:p w14:paraId="534DBB0F">
      <w:pPr>
        <w:pStyle w:val="15"/>
        <w:keepNext w:val="0"/>
        <w:keepLines w:val="0"/>
        <w:pageBreakBefore w:val="0"/>
        <w:widowControl w:val="0"/>
        <w:tabs>
          <w:tab w:val="right" w:leader="dot" w:pos="8980"/>
        </w:tabs>
        <w:kinsoku/>
        <w:wordWrap/>
        <w:overflowPunct/>
        <w:topLinePunct w:val="0"/>
        <w:autoSpaceDE/>
        <w:autoSpaceDN/>
        <w:bidi w:val="0"/>
        <w:adjustRightInd/>
        <w:snapToGrid/>
        <w:spacing w:line="560" w:lineRule="exact"/>
        <w:ind w:left="420" w:leftChars="200"/>
        <w:textAlignment w:val="auto"/>
        <w:rPr>
          <w:rFonts w:hint="default" w:ascii="宋体" w:hAnsi="宋体" w:eastAsia="宋体" w:cs="宋体"/>
          <w:bCs w:val="0"/>
          <w:color w:val="auto"/>
          <w:sz w:val="24"/>
          <w:szCs w:val="24"/>
          <w:highlight w:val="none"/>
          <w:lang w:val="en-US" w:eastAsia="zh-CN"/>
        </w:rPr>
      </w:pPr>
      <w:r>
        <w:rPr>
          <w:rFonts w:hint="eastAsia" w:ascii="宋体" w:hAnsi="宋体" w:eastAsia="宋体" w:cs="宋体"/>
          <w:bCs w:val="0"/>
          <w:color w:val="auto"/>
          <w:sz w:val="24"/>
          <w:szCs w:val="24"/>
          <w:highlight w:val="none"/>
          <w:lang w:val="en-US" w:eastAsia="zh-CN"/>
        </w:rPr>
        <w:t>四、中小企业声明函...................................................26</w:t>
      </w:r>
    </w:p>
    <w:p w14:paraId="76FD8149">
      <w:pPr>
        <w:pStyle w:val="15"/>
        <w:keepNext w:val="0"/>
        <w:keepLines w:val="0"/>
        <w:pageBreakBefore w:val="0"/>
        <w:widowControl w:val="0"/>
        <w:tabs>
          <w:tab w:val="right" w:leader="dot" w:pos="8980"/>
        </w:tabs>
        <w:kinsoku/>
        <w:wordWrap/>
        <w:overflowPunct/>
        <w:topLinePunct w:val="0"/>
        <w:autoSpaceDE/>
        <w:autoSpaceDN/>
        <w:bidi w:val="0"/>
        <w:adjustRightInd/>
        <w:snapToGrid/>
        <w:spacing w:line="560" w:lineRule="exact"/>
        <w:ind w:left="420" w:left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Cs w:val="0"/>
          <w:color w:val="auto"/>
          <w:sz w:val="24"/>
          <w:szCs w:val="24"/>
          <w:highlight w:val="none"/>
        </w:rPr>
        <w:fldChar w:fldCharType="begin"/>
      </w:r>
      <w:r>
        <w:rPr>
          <w:rFonts w:hint="eastAsia" w:ascii="宋体" w:hAnsi="宋体" w:eastAsia="宋体" w:cs="宋体"/>
          <w:bCs w:val="0"/>
          <w:color w:val="auto"/>
          <w:sz w:val="24"/>
          <w:szCs w:val="24"/>
          <w:highlight w:val="none"/>
        </w:rPr>
        <w:instrText xml:space="preserve"> HYPERLINK \l _Toc25158 </w:instrText>
      </w:r>
      <w:r>
        <w:rPr>
          <w:rFonts w:hint="eastAsia" w:ascii="宋体" w:hAnsi="宋体" w:eastAsia="宋体" w:cs="宋体"/>
          <w:bCs w:val="0"/>
          <w:color w:val="auto"/>
          <w:sz w:val="24"/>
          <w:szCs w:val="24"/>
          <w:highlight w:val="none"/>
        </w:rPr>
        <w:fldChar w:fldCharType="separate"/>
      </w:r>
      <w:r>
        <w:rPr>
          <w:rFonts w:hint="eastAsia" w:ascii="宋体" w:hAnsi="宋体" w:eastAsia="宋体" w:cs="宋体"/>
          <w:color w:val="auto"/>
          <w:sz w:val="24"/>
          <w:szCs w:val="24"/>
          <w:highlight w:val="none"/>
          <w:lang w:val="en-US" w:eastAsia="zh-CN"/>
        </w:rPr>
        <w:t>五</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响应函</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lang w:val="en-US" w:eastAsia="zh-CN"/>
        </w:rPr>
        <w:t>2</w:t>
      </w:r>
      <w:r>
        <w:rPr>
          <w:rFonts w:hint="eastAsia" w:ascii="宋体" w:hAnsi="宋体" w:eastAsia="宋体" w:cs="宋体"/>
          <w:bCs w:val="0"/>
          <w:color w:val="auto"/>
          <w:sz w:val="24"/>
          <w:szCs w:val="24"/>
          <w:highlight w:val="none"/>
        </w:rPr>
        <w:fldChar w:fldCharType="end"/>
      </w:r>
      <w:r>
        <w:rPr>
          <w:rFonts w:hint="eastAsia" w:ascii="宋体" w:hAnsi="宋体" w:eastAsia="宋体" w:cs="宋体"/>
          <w:bCs w:val="0"/>
          <w:color w:val="auto"/>
          <w:sz w:val="24"/>
          <w:szCs w:val="24"/>
          <w:highlight w:val="none"/>
          <w:lang w:val="en-US" w:eastAsia="zh-CN"/>
        </w:rPr>
        <w:t>8</w:t>
      </w:r>
    </w:p>
    <w:p w14:paraId="3AA48A94">
      <w:pPr>
        <w:pStyle w:val="15"/>
        <w:keepNext w:val="0"/>
        <w:keepLines w:val="0"/>
        <w:pageBreakBefore w:val="0"/>
        <w:widowControl w:val="0"/>
        <w:tabs>
          <w:tab w:val="right" w:leader="dot" w:pos="8980"/>
        </w:tabs>
        <w:kinsoku/>
        <w:wordWrap/>
        <w:overflowPunct/>
        <w:topLinePunct w:val="0"/>
        <w:autoSpaceDE/>
        <w:autoSpaceDN/>
        <w:bidi w:val="0"/>
        <w:adjustRightInd/>
        <w:snapToGrid/>
        <w:spacing w:line="560" w:lineRule="exact"/>
        <w:ind w:left="420" w:leftChars="200"/>
        <w:textAlignment w:val="auto"/>
        <w:rPr>
          <w:rFonts w:hint="eastAsia" w:ascii="宋体" w:hAnsi="宋体" w:eastAsia="宋体" w:cs="宋体"/>
          <w:color w:val="auto"/>
          <w:sz w:val="24"/>
          <w:szCs w:val="24"/>
          <w:highlight w:val="none"/>
        </w:rPr>
      </w:pPr>
      <w:r>
        <w:rPr>
          <w:rFonts w:hint="eastAsia" w:ascii="宋体" w:hAnsi="宋体" w:eastAsia="宋体" w:cs="宋体"/>
          <w:bCs w:val="0"/>
          <w:color w:val="auto"/>
          <w:sz w:val="24"/>
          <w:szCs w:val="24"/>
          <w:highlight w:val="none"/>
        </w:rPr>
        <w:fldChar w:fldCharType="begin"/>
      </w:r>
      <w:r>
        <w:rPr>
          <w:rFonts w:hint="eastAsia" w:ascii="宋体" w:hAnsi="宋体" w:eastAsia="宋体" w:cs="宋体"/>
          <w:bCs w:val="0"/>
          <w:color w:val="auto"/>
          <w:sz w:val="24"/>
          <w:szCs w:val="24"/>
          <w:highlight w:val="none"/>
        </w:rPr>
        <w:instrText xml:space="preserve"> HYPERLINK \l _Toc5355 </w:instrText>
      </w:r>
      <w:r>
        <w:rPr>
          <w:rFonts w:hint="eastAsia" w:ascii="宋体" w:hAnsi="宋体" w:eastAsia="宋体" w:cs="宋体"/>
          <w:bCs w:val="0"/>
          <w:color w:val="auto"/>
          <w:sz w:val="24"/>
          <w:szCs w:val="24"/>
          <w:highlight w:val="none"/>
        </w:rPr>
        <w:fldChar w:fldCharType="separate"/>
      </w:r>
      <w:r>
        <w:rPr>
          <w:rFonts w:hint="eastAsia" w:ascii="宋体" w:hAnsi="宋体" w:eastAsia="宋体" w:cs="宋体"/>
          <w:color w:val="auto"/>
          <w:sz w:val="24"/>
          <w:szCs w:val="24"/>
          <w:highlight w:val="none"/>
          <w:lang w:val="en-US" w:eastAsia="zh-CN"/>
        </w:rPr>
        <w:t>六</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供应商资格证明材料</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_Toc5355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30</w:t>
      </w:r>
      <w:r>
        <w:rPr>
          <w:rFonts w:hint="eastAsia" w:ascii="宋体" w:hAnsi="宋体" w:eastAsia="宋体" w:cs="宋体"/>
          <w:color w:val="auto"/>
          <w:sz w:val="24"/>
          <w:szCs w:val="24"/>
          <w:highlight w:val="none"/>
        </w:rPr>
        <w:fldChar w:fldCharType="end"/>
      </w:r>
      <w:r>
        <w:rPr>
          <w:rFonts w:hint="eastAsia" w:ascii="宋体" w:hAnsi="宋体" w:eastAsia="宋体" w:cs="宋体"/>
          <w:bCs w:val="0"/>
          <w:color w:val="auto"/>
          <w:sz w:val="24"/>
          <w:szCs w:val="24"/>
          <w:highlight w:val="none"/>
        </w:rPr>
        <w:fldChar w:fldCharType="end"/>
      </w:r>
    </w:p>
    <w:p w14:paraId="764FBF0B">
      <w:pPr>
        <w:pStyle w:val="15"/>
        <w:keepNext w:val="0"/>
        <w:keepLines w:val="0"/>
        <w:pageBreakBefore w:val="0"/>
        <w:widowControl w:val="0"/>
        <w:tabs>
          <w:tab w:val="right" w:leader="dot" w:pos="8980"/>
        </w:tabs>
        <w:kinsoku/>
        <w:wordWrap/>
        <w:overflowPunct/>
        <w:topLinePunct w:val="0"/>
        <w:autoSpaceDE/>
        <w:autoSpaceDN/>
        <w:bidi w:val="0"/>
        <w:adjustRightInd/>
        <w:snapToGrid/>
        <w:spacing w:line="560" w:lineRule="exact"/>
        <w:ind w:left="420" w:leftChars="200"/>
        <w:textAlignment w:val="auto"/>
        <w:rPr>
          <w:rFonts w:hint="eastAsia" w:ascii="宋体" w:hAnsi="宋体" w:eastAsia="宋体" w:cs="宋体"/>
          <w:color w:val="auto"/>
          <w:sz w:val="24"/>
          <w:szCs w:val="24"/>
          <w:highlight w:val="none"/>
        </w:rPr>
      </w:pPr>
      <w:r>
        <w:rPr>
          <w:rFonts w:hint="eastAsia" w:ascii="宋体" w:hAnsi="宋体" w:eastAsia="宋体" w:cs="宋体"/>
          <w:bCs w:val="0"/>
          <w:color w:val="auto"/>
          <w:sz w:val="24"/>
          <w:szCs w:val="24"/>
          <w:highlight w:val="none"/>
        </w:rPr>
        <w:fldChar w:fldCharType="begin"/>
      </w:r>
      <w:r>
        <w:rPr>
          <w:rFonts w:hint="eastAsia" w:ascii="宋体" w:hAnsi="宋体" w:eastAsia="宋体" w:cs="宋体"/>
          <w:bCs w:val="0"/>
          <w:color w:val="auto"/>
          <w:sz w:val="24"/>
          <w:szCs w:val="24"/>
          <w:highlight w:val="none"/>
        </w:rPr>
        <w:instrText xml:space="preserve"> HYPERLINK \l _Toc22094 </w:instrText>
      </w:r>
      <w:r>
        <w:rPr>
          <w:rFonts w:hint="eastAsia" w:ascii="宋体" w:hAnsi="宋体" w:eastAsia="宋体" w:cs="宋体"/>
          <w:bCs w:val="0"/>
          <w:color w:val="auto"/>
          <w:sz w:val="24"/>
          <w:szCs w:val="24"/>
          <w:highlight w:val="none"/>
        </w:rPr>
        <w:fldChar w:fldCharType="separate"/>
      </w:r>
      <w:r>
        <w:rPr>
          <w:rFonts w:hint="eastAsia" w:ascii="宋体" w:hAnsi="宋体" w:eastAsia="宋体" w:cs="宋体"/>
          <w:bCs w:val="0"/>
          <w:color w:val="auto"/>
          <w:sz w:val="24"/>
          <w:szCs w:val="24"/>
          <w:highlight w:val="none"/>
          <w:lang w:val="en-US" w:eastAsia="zh-CN"/>
        </w:rPr>
        <w:t>七</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入围评审证明材料</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_Toc22094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31</w:t>
      </w:r>
      <w:r>
        <w:rPr>
          <w:rFonts w:hint="eastAsia" w:ascii="宋体" w:hAnsi="宋体" w:eastAsia="宋体" w:cs="宋体"/>
          <w:color w:val="auto"/>
          <w:sz w:val="24"/>
          <w:szCs w:val="24"/>
          <w:highlight w:val="none"/>
        </w:rPr>
        <w:fldChar w:fldCharType="end"/>
      </w:r>
      <w:r>
        <w:rPr>
          <w:rFonts w:hint="eastAsia" w:ascii="宋体" w:hAnsi="宋体" w:eastAsia="宋体" w:cs="宋体"/>
          <w:bCs w:val="0"/>
          <w:color w:val="auto"/>
          <w:sz w:val="24"/>
          <w:szCs w:val="24"/>
          <w:highlight w:val="none"/>
        </w:rPr>
        <w:fldChar w:fldCharType="end"/>
      </w:r>
    </w:p>
    <w:p w14:paraId="5A48CF83">
      <w:pPr>
        <w:pStyle w:val="15"/>
        <w:keepNext w:val="0"/>
        <w:keepLines w:val="0"/>
        <w:pageBreakBefore w:val="0"/>
        <w:widowControl w:val="0"/>
        <w:tabs>
          <w:tab w:val="right" w:leader="dot" w:pos="8980"/>
        </w:tabs>
        <w:kinsoku/>
        <w:wordWrap/>
        <w:overflowPunct/>
        <w:topLinePunct w:val="0"/>
        <w:autoSpaceDE/>
        <w:autoSpaceDN/>
        <w:bidi w:val="0"/>
        <w:adjustRightInd/>
        <w:snapToGrid/>
        <w:spacing w:line="560" w:lineRule="exact"/>
        <w:ind w:left="420" w:leftChars="200"/>
        <w:textAlignment w:val="auto"/>
        <w:rPr>
          <w:rFonts w:hint="eastAsia" w:ascii="宋体" w:hAnsi="宋体" w:eastAsia="宋体" w:cs="宋体"/>
          <w:color w:val="auto"/>
          <w:sz w:val="24"/>
          <w:szCs w:val="24"/>
          <w:highlight w:val="none"/>
        </w:rPr>
      </w:pPr>
      <w:r>
        <w:rPr>
          <w:rFonts w:hint="eastAsia" w:ascii="宋体" w:hAnsi="宋体" w:eastAsia="宋体" w:cs="宋体"/>
          <w:bCs w:val="0"/>
          <w:color w:val="auto"/>
          <w:sz w:val="24"/>
          <w:szCs w:val="24"/>
          <w:highlight w:val="none"/>
        </w:rPr>
        <w:fldChar w:fldCharType="begin"/>
      </w:r>
      <w:r>
        <w:rPr>
          <w:rFonts w:hint="eastAsia" w:ascii="宋体" w:hAnsi="宋体" w:eastAsia="宋体" w:cs="宋体"/>
          <w:bCs w:val="0"/>
          <w:color w:val="auto"/>
          <w:sz w:val="24"/>
          <w:szCs w:val="24"/>
          <w:highlight w:val="none"/>
        </w:rPr>
        <w:instrText xml:space="preserve"> HYPERLINK \l _Toc19301 </w:instrText>
      </w:r>
      <w:r>
        <w:rPr>
          <w:rFonts w:hint="eastAsia" w:ascii="宋体" w:hAnsi="宋体" w:eastAsia="宋体" w:cs="宋体"/>
          <w:bCs w:val="0"/>
          <w:color w:val="auto"/>
          <w:sz w:val="24"/>
          <w:szCs w:val="24"/>
          <w:highlight w:val="none"/>
        </w:rPr>
        <w:fldChar w:fldCharType="separate"/>
      </w:r>
      <w:r>
        <w:rPr>
          <w:rFonts w:hint="eastAsia" w:ascii="宋体" w:hAnsi="宋体" w:eastAsia="宋体" w:cs="宋体"/>
          <w:bCs w:val="0"/>
          <w:color w:val="auto"/>
          <w:sz w:val="24"/>
          <w:szCs w:val="24"/>
          <w:highlight w:val="none"/>
          <w:lang w:val="en-US" w:eastAsia="zh-CN"/>
        </w:rPr>
        <w:t>八</w:t>
      </w:r>
      <w:r>
        <w:rPr>
          <w:rFonts w:hint="eastAsia" w:ascii="宋体" w:hAnsi="宋体" w:eastAsia="宋体" w:cs="宋体"/>
          <w:color w:val="auto"/>
          <w:sz w:val="24"/>
          <w:szCs w:val="24"/>
          <w:highlight w:val="none"/>
        </w:rPr>
        <w:t>、其他相关材料</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_Toc19301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32</w:t>
      </w:r>
      <w:r>
        <w:rPr>
          <w:rFonts w:hint="eastAsia" w:ascii="宋体" w:hAnsi="宋体" w:eastAsia="宋体" w:cs="宋体"/>
          <w:color w:val="auto"/>
          <w:sz w:val="24"/>
          <w:szCs w:val="24"/>
          <w:highlight w:val="none"/>
        </w:rPr>
        <w:fldChar w:fldCharType="end"/>
      </w:r>
      <w:r>
        <w:rPr>
          <w:rFonts w:hint="eastAsia" w:ascii="宋体" w:hAnsi="宋体" w:eastAsia="宋体" w:cs="宋体"/>
          <w:bCs w:val="0"/>
          <w:color w:val="auto"/>
          <w:sz w:val="24"/>
          <w:szCs w:val="24"/>
          <w:highlight w:val="none"/>
        </w:rPr>
        <w:fldChar w:fldCharType="end"/>
      </w:r>
    </w:p>
    <w:p w14:paraId="6DB223B2">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b/>
          <w:bCs/>
          <w:color w:val="auto"/>
          <w:kern w:val="0"/>
          <w:sz w:val="28"/>
          <w:szCs w:val="28"/>
          <w:highlight w:val="none"/>
          <w:lang w:val="en-US" w:eastAsia="zh-CN" w:bidi="ar"/>
        </w:rPr>
      </w:pPr>
      <w:r>
        <w:rPr>
          <w:rFonts w:hint="eastAsia" w:ascii="宋体" w:hAnsi="宋体" w:eastAsia="宋体" w:cs="宋体"/>
          <w:bCs w:val="0"/>
          <w:color w:val="auto"/>
          <w:sz w:val="24"/>
          <w:szCs w:val="24"/>
          <w:highlight w:val="none"/>
        </w:rPr>
        <w:fldChar w:fldCharType="end"/>
      </w:r>
      <w:r>
        <w:rPr>
          <w:rFonts w:hint="eastAsia" w:ascii="宋体" w:hAnsi="宋体" w:eastAsia="宋体" w:cs="宋体"/>
          <w:b/>
          <w:bCs/>
          <w:color w:val="auto"/>
          <w:kern w:val="0"/>
          <w:sz w:val="28"/>
          <w:szCs w:val="28"/>
          <w:highlight w:val="none"/>
          <w:lang w:val="en-US" w:eastAsia="zh-CN" w:bidi="ar"/>
        </w:rPr>
        <w:br w:type="page"/>
      </w:r>
    </w:p>
    <w:p w14:paraId="6B4D17CA">
      <w:pPr>
        <w:pStyle w:val="6"/>
        <w:bidi w:val="0"/>
        <w:jc w:val="center"/>
        <w:rPr>
          <w:rFonts w:hint="default"/>
          <w:color w:val="auto"/>
          <w:highlight w:val="none"/>
          <w:lang w:val="en-US"/>
        </w:rPr>
      </w:pPr>
      <w:bookmarkStart w:id="0" w:name="_Toc15049"/>
      <w:r>
        <w:rPr>
          <w:rFonts w:hint="eastAsia"/>
          <w:color w:val="auto"/>
          <w:highlight w:val="none"/>
          <w:lang w:val="en-US" w:eastAsia="zh-CN"/>
        </w:rPr>
        <w:t>第一章 征集邀请</w:t>
      </w:r>
      <w:bookmarkEnd w:id="0"/>
    </w:p>
    <w:p w14:paraId="60CF180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Autospacing="0" w:afterAutospacing="0" w:line="600" w:lineRule="exact"/>
        <w:ind w:right="0" w:rightChars="0"/>
        <w:jc w:val="center"/>
        <w:textAlignment w:val="auto"/>
        <w:rPr>
          <w:rFonts w:hint="eastAsia" w:ascii="黑体" w:hAnsi="黑体" w:eastAsia="黑体" w:cs="黑体"/>
          <w:i w:val="0"/>
          <w:iCs w:val="0"/>
          <w:caps w:val="0"/>
          <w:color w:val="auto"/>
          <w:spacing w:val="0"/>
          <w:kern w:val="0"/>
          <w:sz w:val="24"/>
          <w:szCs w:val="24"/>
          <w:highlight w:val="none"/>
          <w:shd w:val="clear" w:fill="FFFFFF"/>
          <w:lang w:val="en-US" w:eastAsia="zh-CN" w:bidi="ar"/>
        </w:rPr>
      </w:pPr>
    </w:p>
    <w:p w14:paraId="54A48C0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Autospacing="0" w:afterAutospacing="0" w:line="600" w:lineRule="exact"/>
        <w:ind w:right="0" w:rightChars="0"/>
        <w:jc w:val="both"/>
        <w:textAlignment w:val="auto"/>
        <w:rPr>
          <w:rFonts w:hint="default" w:ascii="黑体" w:hAnsi="黑体" w:eastAsia="黑体" w:cs="黑体"/>
          <w:i w:val="0"/>
          <w:iCs w:val="0"/>
          <w:caps w:val="0"/>
          <w:color w:val="auto"/>
          <w:spacing w:val="0"/>
          <w:kern w:val="0"/>
          <w:sz w:val="24"/>
          <w:szCs w:val="24"/>
          <w:highlight w:val="none"/>
          <w:shd w:val="clear" w:fill="FFFFFF"/>
          <w:lang w:val="en-US" w:eastAsia="zh-CN" w:bidi="ar"/>
        </w:rPr>
      </w:pPr>
      <w:r>
        <w:rPr>
          <w:rFonts w:hint="eastAsia" w:ascii="黑体" w:hAnsi="黑体" w:eastAsia="黑体" w:cs="黑体"/>
          <w:i w:val="0"/>
          <w:iCs w:val="0"/>
          <w:caps w:val="0"/>
          <w:color w:val="auto"/>
          <w:spacing w:val="0"/>
          <w:kern w:val="0"/>
          <w:sz w:val="24"/>
          <w:szCs w:val="24"/>
          <w:highlight w:val="none"/>
          <w:shd w:val="clear" w:fill="FFFFFF"/>
          <w:lang w:val="en-US" w:eastAsia="zh-CN" w:bidi="ar"/>
        </w:rPr>
        <w:t xml:space="preserve">各潜在供应商： </w:t>
      </w:r>
    </w:p>
    <w:p w14:paraId="2CC2DEA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700" w:lineRule="exact"/>
        <w:ind w:left="0" w:leftChars="0" w:right="0" w:rightChars="0" w:firstLine="480" w:firstLineChars="200"/>
        <w:jc w:val="both"/>
        <w:textAlignment w:val="auto"/>
        <w:rPr>
          <w:rFonts w:hint="eastAsia" w:ascii="宋体" w:hAnsi="宋体" w:eastAsia="宋体" w:cs="宋体"/>
          <w:i w:val="0"/>
          <w:iCs w:val="0"/>
          <w:caps w:val="0"/>
          <w:color w:val="auto"/>
          <w:spacing w:val="0"/>
          <w:kern w:val="0"/>
          <w:sz w:val="24"/>
          <w:szCs w:val="24"/>
          <w:highlight w:val="none"/>
          <w:shd w:val="clear" w:fill="FFFFFF"/>
          <w:lang w:val="en-US" w:eastAsia="zh-CN" w:bidi="ar"/>
        </w:rPr>
      </w:pPr>
      <w:r>
        <w:rPr>
          <w:rFonts w:hint="eastAsia" w:ascii="宋体" w:hAnsi="宋体" w:eastAsia="宋体" w:cs="宋体"/>
          <w:i w:val="0"/>
          <w:iCs w:val="0"/>
          <w:caps w:val="0"/>
          <w:color w:val="auto"/>
          <w:spacing w:val="0"/>
          <w:kern w:val="0"/>
          <w:sz w:val="24"/>
          <w:szCs w:val="24"/>
          <w:highlight w:val="none"/>
          <w:u w:val="single"/>
          <w:shd w:val="clear" w:fill="FFFFFF"/>
          <w:lang w:val="en-US" w:eastAsia="zh-CN" w:bidi="ar"/>
        </w:rPr>
        <w:t>霍山县机关事务管理服务中心2026年-2028年公务用车定点维修服务单位框架协议采购项目（二次）（订立封闭式框架协议）</w:t>
      </w:r>
      <w:r>
        <w:rPr>
          <w:rFonts w:hint="eastAsia" w:ascii="宋体" w:hAnsi="宋体" w:eastAsia="宋体" w:cs="宋体"/>
          <w:i w:val="0"/>
          <w:iCs w:val="0"/>
          <w:caps w:val="0"/>
          <w:color w:val="auto"/>
          <w:spacing w:val="0"/>
          <w:kern w:val="0"/>
          <w:sz w:val="24"/>
          <w:szCs w:val="24"/>
          <w:highlight w:val="none"/>
          <w:shd w:val="clear" w:fill="FFFFFF"/>
          <w:lang w:val="en-US" w:eastAsia="zh-CN" w:bidi="ar"/>
        </w:rPr>
        <w:t>征集公告已发布，现邀请符合条件的潜在供应商，于本项目征集公告发布之日起至响应文件提交截止时间前，按照征集公告要求，提交加入框架协议的申请。</w:t>
      </w:r>
    </w:p>
    <w:p w14:paraId="63893FCE">
      <w:pPr>
        <w:pStyle w:val="2"/>
        <w:rPr>
          <w:rFonts w:hint="eastAsia" w:ascii="宋体" w:hAnsi="宋体" w:eastAsia="宋体" w:cs="宋体"/>
          <w:i w:val="0"/>
          <w:iCs w:val="0"/>
          <w:caps w:val="0"/>
          <w:color w:val="auto"/>
          <w:spacing w:val="0"/>
          <w:kern w:val="0"/>
          <w:sz w:val="24"/>
          <w:szCs w:val="24"/>
          <w:highlight w:val="none"/>
          <w:shd w:val="clear" w:fill="FFFFFF"/>
          <w:lang w:val="en-US" w:eastAsia="zh-CN" w:bidi="ar"/>
        </w:rPr>
      </w:pPr>
    </w:p>
    <w:p w14:paraId="2EA92655">
      <w:pPr>
        <w:rPr>
          <w:rFonts w:hint="eastAsia"/>
          <w:color w:val="auto"/>
          <w:highlight w:val="none"/>
          <w:lang w:val="en-US" w:eastAsia="zh-CN"/>
        </w:rPr>
      </w:pPr>
    </w:p>
    <w:p w14:paraId="4F55489E">
      <w:pPr>
        <w:pStyle w:val="2"/>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default" w:ascii="宋体" w:hAnsi="宋体" w:eastAsia="宋体" w:cs="宋体"/>
          <w:i w:val="0"/>
          <w:iCs w:val="0"/>
          <w:caps w:val="0"/>
          <w:color w:val="auto"/>
          <w:spacing w:val="0"/>
          <w:kern w:val="0"/>
          <w:sz w:val="24"/>
          <w:szCs w:val="24"/>
          <w:highlight w:val="none"/>
          <w:shd w:val="clear" w:fill="FFFFFF"/>
          <w:lang w:val="en" w:eastAsia="zh-CN" w:bidi="ar"/>
        </w:rPr>
      </w:pPr>
      <w:r>
        <w:rPr>
          <w:rFonts w:hint="eastAsia" w:ascii="宋体" w:hAnsi="宋体" w:eastAsia="宋体" w:cs="宋体"/>
          <w:i w:val="0"/>
          <w:iCs w:val="0"/>
          <w:caps w:val="0"/>
          <w:color w:val="auto"/>
          <w:spacing w:val="0"/>
          <w:kern w:val="0"/>
          <w:sz w:val="24"/>
          <w:szCs w:val="24"/>
          <w:highlight w:val="none"/>
          <w:shd w:val="clear" w:fill="FFFFFF"/>
          <w:lang w:val="en" w:eastAsia="zh-CN" w:bidi="ar"/>
        </w:rPr>
        <w:t>霍山县机关事务管理服务中心</w:t>
      </w:r>
    </w:p>
    <w:p w14:paraId="03B3F3B4">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right"/>
        <w:textAlignment w:val="auto"/>
        <w:rPr>
          <w:rFonts w:hint="default"/>
          <w:color w:val="auto"/>
          <w:highlight w:val="none"/>
          <w:lang w:val="en-US"/>
        </w:rPr>
      </w:pPr>
      <w:r>
        <w:rPr>
          <w:rFonts w:hint="eastAsia" w:ascii="宋体" w:hAnsi="宋体" w:eastAsia="宋体" w:cs="宋体"/>
          <w:i w:val="0"/>
          <w:iCs w:val="0"/>
          <w:caps w:val="0"/>
          <w:color w:val="auto"/>
          <w:spacing w:val="0"/>
          <w:kern w:val="0"/>
          <w:sz w:val="24"/>
          <w:szCs w:val="24"/>
          <w:highlight w:val="none"/>
          <w:shd w:val="clear" w:fill="FFFFFF"/>
          <w:lang w:val="en-US" w:eastAsia="zh-CN" w:bidi="ar"/>
        </w:rPr>
        <w:t>2026年7月31日</w:t>
      </w:r>
    </w:p>
    <w:p w14:paraId="13F5C48B">
      <w:pPr>
        <w:keepNext w:val="0"/>
        <w:keepLines w:val="0"/>
        <w:pageBreakBefore w:val="0"/>
        <w:widowControl/>
        <w:suppressLineNumbers w:val="0"/>
        <w:kinsoku/>
        <w:wordWrap/>
        <w:overflowPunct/>
        <w:topLinePunct w:val="0"/>
        <w:autoSpaceDE/>
        <w:autoSpaceDN/>
        <w:bidi w:val="0"/>
        <w:adjustRightInd/>
        <w:snapToGrid/>
        <w:spacing w:line="560" w:lineRule="exact"/>
        <w:ind w:firstLine="482" w:firstLineChars="200"/>
        <w:jc w:val="both"/>
        <w:textAlignment w:val="auto"/>
        <w:rPr>
          <w:rFonts w:hint="eastAsia" w:ascii="宋体" w:hAnsi="宋体" w:eastAsia="宋体" w:cs="宋体"/>
          <w:b/>
          <w:bCs/>
          <w:color w:val="auto"/>
          <w:kern w:val="0"/>
          <w:sz w:val="24"/>
          <w:szCs w:val="24"/>
          <w:highlight w:val="none"/>
          <w:lang w:val="en-US" w:eastAsia="zh-CN" w:bidi="ar"/>
        </w:rPr>
      </w:pPr>
    </w:p>
    <w:p w14:paraId="0B5CE011">
      <w:pPr>
        <w:keepNext w:val="0"/>
        <w:keepLines w:val="0"/>
        <w:pageBreakBefore w:val="0"/>
        <w:widowControl/>
        <w:suppressLineNumbers w:val="0"/>
        <w:kinsoku/>
        <w:wordWrap/>
        <w:overflowPunct/>
        <w:topLinePunct w:val="0"/>
        <w:autoSpaceDE/>
        <w:autoSpaceDN/>
        <w:bidi w:val="0"/>
        <w:adjustRightInd/>
        <w:snapToGrid/>
        <w:spacing w:line="560" w:lineRule="exact"/>
        <w:ind w:firstLine="482" w:firstLineChars="200"/>
        <w:jc w:val="center"/>
        <w:textAlignment w:val="auto"/>
        <w:rPr>
          <w:rFonts w:hint="eastAsia" w:ascii="宋体" w:hAnsi="宋体" w:eastAsia="宋体" w:cs="宋体"/>
          <w:b/>
          <w:bCs/>
          <w:color w:val="auto"/>
          <w:kern w:val="0"/>
          <w:sz w:val="24"/>
          <w:szCs w:val="24"/>
          <w:highlight w:val="none"/>
          <w:lang w:val="en-US" w:eastAsia="zh-CN" w:bidi="ar"/>
        </w:rPr>
      </w:pPr>
    </w:p>
    <w:p w14:paraId="79933F7E">
      <w:pPr>
        <w:keepNext w:val="0"/>
        <w:keepLines w:val="0"/>
        <w:pageBreakBefore w:val="0"/>
        <w:widowControl/>
        <w:suppressLineNumbers w:val="0"/>
        <w:kinsoku/>
        <w:wordWrap/>
        <w:overflowPunct/>
        <w:topLinePunct w:val="0"/>
        <w:autoSpaceDE/>
        <w:autoSpaceDN/>
        <w:bidi w:val="0"/>
        <w:adjustRightInd/>
        <w:snapToGrid/>
        <w:spacing w:line="560" w:lineRule="exact"/>
        <w:ind w:firstLine="482" w:firstLineChars="200"/>
        <w:jc w:val="center"/>
        <w:textAlignment w:val="auto"/>
        <w:rPr>
          <w:rFonts w:hint="eastAsia" w:ascii="宋体" w:hAnsi="宋体" w:eastAsia="宋体" w:cs="宋体"/>
          <w:b/>
          <w:bCs/>
          <w:color w:val="auto"/>
          <w:kern w:val="0"/>
          <w:sz w:val="24"/>
          <w:szCs w:val="24"/>
          <w:highlight w:val="none"/>
          <w:lang w:val="en-US" w:eastAsia="zh-CN" w:bidi="ar"/>
        </w:rPr>
      </w:pPr>
    </w:p>
    <w:p w14:paraId="23E3AE3E">
      <w:pPr>
        <w:keepNext w:val="0"/>
        <w:keepLines w:val="0"/>
        <w:pageBreakBefore w:val="0"/>
        <w:widowControl/>
        <w:suppressLineNumbers w:val="0"/>
        <w:kinsoku/>
        <w:wordWrap/>
        <w:overflowPunct/>
        <w:topLinePunct w:val="0"/>
        <w:autoSpaceDE/>
        <w:autoSpaceDN/>
        <w:bidi w:val="0"/>
        <w:adjustRightInd/>
        <w:snapToGrid/>
        <w:spacing w:line="560" w:lineRule="exact"/>
        <w:ind w:firstLine="482" w:firstLineChars="200"/>
        <w:jc w:val="center"/>
        <w:textAlignment w:val="auto"/>
        <w:rPr>
          <w:rFonts w:hint="eastAsia" w:ascii="宋体" w:hAnsi="宋体" w:eastAsia="宋体" w:cs="宋体"/>
          <w:b/>
          <w:bCs/>
          <w:color w:val="auto"/>
          <w:kern w:val="0"/>
          <w:sz w:val="24"/>
          <w:szCs w:val="24"/>
          <w:highlight w:val="none"/>
          <w:lang w:val="en-US" w:eastAsia="zh-CN" w:bidi="ar"/>
        </w:rPr>
      </w:pPr>
    </w:p>
    <w:p w14:paraId="202879B1">
      <w:pPr>
        <w:rPr>
          <w:rFonts w:hint="eastAsia" w:ascii="宋体" w:hAnsi="宋体" w:eastAsia="宋体" w:cs="宋体"/>
          <w:b/>
          <w:bCs/>
          <w:color w:val="auto"/>
          <w:kern w:val="0"/>
          <w:sz w:val="24"/>
          <w:szCs w:val="24"/>
          <w:highlight w:val="none"/>
          <w:lang w:val="en-US" w:eastAsia="zh-CN" w:bidi="ar"/>
        </w:rPr>
      </w:pPr>
      <w:r>
        <w:rPr>
          <w:rFonts w:hint="eastAsia" w:ascii="宋体" w:hAnsi="宋体" w:eastAsia="宋体" w:cs="宋体"/>
          <w:b/>
          <w:bCs/>
          <w:color w:val="auto"/>
          <w:kern w:val="0"/>
          <w:sz w:val="24"/>
          <w:szCs w:val="24"/>
          <w:highlight w:val="none"/>
          <w:lang w:val="en-US" w:eastAsia="zh-CN" w:bidi="ar"/>
        </w:rPr>
        <w:br w:type="page"/>
      </w:r>
    </w:p>
    <w:p w14:paraId="3F970A47">
      <w:pPr>
        <w:spacing w:line="360" w:lineRule="auto"/>
        <w:jc w:val="center"/>
        <w:outlineLvl w:val="1"/>
        <w:rPr>
          <w:rFonts w:hint="eastAsia" w:ascii="宋体" w:hAnsi="宋体" w:eastAsia="宋体" w:cs="宋体"/>
          <w:b/>
          <w:color w:val="auto"/>
          <w:sz w:val="24"/>
          <w:highlight w:val="none"/>
        </w:rPr>
      </w:pPr>
      <w:bookmarkStart w:id="1" w:name="_Toc1489"/>
      <w:r>
        <w:rPr>
          <w:rFonts w:hint="eastAsia" w:ascii="宋体" w:hAnsi="宋体" w:eastAsia="宋体" w:cs="宋体"/>
          <w:b/>
          <w:color w:val="auto"/>
          <w:sz w:val="24"/>
          <w:highlight w:val="none"/>
          <w:lang w:val="en-US" w:eastAsia="zh-CN"/>
        </w:rPr>
        <w:t xml:space="preserve">第二章 </w:t>
      </w:r>
      <w:bookmarkStart w:id="2" w:name="_Toc13589"/>
      <w:bookmarkStart w:id="3" w:name="_Toc7178"/>
      <w:r>
        <w:rPr>
          <w:rFonts w:hint="eastAsia" w:ascii="宋体" w:hAnsi="宋体" w:eastAsia="宋体" w:cs="宋体"/>
          <w:b/>
          <w:color w:val="auto"/>
          <w:sz w:val="24"/>
          <w:highlight w:val="none"/>
        </w:rPr>
        <w:t>投标人须知前附表</w:t>
      </w:r>
      <w:bookmarkEnd w:id="2"/>
      <w:bookmarkEnd w:id="3"/>
    </w:p>
    <w:p w14:paraId="1480CDFC">
      <w:pPr>
        <w:spacing w:line="360" w:lineRule="auto"/>
        <w:ind w:firstLine="435"/>
        <w:rPr>
          <w:rFonts w:hint="eastAsia" w:ascii="宋体" w:hAnsi="宋体" w:eastAsia="宋体" w:cs="宋体"/>
          <w:color w:val="auto"/>
          <w:sz w:val="24"/>
          <w:szCs w:val="18"/>
          <w:highlight w:val="none"/>
        </w:rPr>
      </w:pPr>
      <w:r>
        <w:rPr>
          <w:rFonts w:hint="eastAsia" w:ascii="宋体" w:hAnsi="宋体" w:eastAsia="宋体" w:cs="宋体"/>
          <w:b/>
          <w:bCs/>
          <w:color w:val="auto"/>
          <w:sz w:val="24"/>
          <w:szCs w:val="18"/>
          <w:highlight w:val="none"/>
        </w:rPr>
        <w:t>注：</w:t>
      </w:r>
      <w:r>
        <w:rPr>
          <w:rFonts w:hint="eastAsia" w:ascii="宋体" w:hAnsi="宋体" w:eastAsia="宋体" w:cs="宋体"/>
          <w:color w:val="auto"/>
          <w:sz w:val="24"/>
          <w:szCs w:val="18"/>
          <w:highlight w:val="none"/>
        </w:rPr>
        <w:t>本表是本项目的具体要求，是对投标人须知的具体补充和修改，如有不一致，以本表为准。</w:t>
      </w:r>
    </w:p>
    <w:tbl>
      <w:tblPr>
        <w:tblStyle w:val="19"/>
        <w:tblW w:w="507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9" w:type="dxa"/>
          <w:bottom w:w="0" w:type="dxa"/>
          <w:right w:w="79" w:type="dxa"/>
        </w:tblCellMar>
      </w:tblPr>
      <w:tblGrid>
        <w:gridCol w:w="849"/>
        <w:gridCol w:w="1442"/>
        <w:gridCol w:w="7055"/>
      </w:tblGrid>
      <w:tr w14:paraId="108C3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02" w:hRule="atLeast"/>
          <w:jc w:val="center"/>
        </w:trPr>
        <w:tc>
          <w:tcPr>
            <w:tcW w:w="454" w:type="pct"/>
            <w:vAlign w:val="center"/>
          </w:tcPr>
          <w:p w14:paraId="011D84AD">
            <w:pPr>
              <w:pStyle w:val="29"/>
              <w:keepNext w:val="0"/>
              <w:keepLines w:val="0"/>
              <w:pageBreakBefore w:val="0"/>
              <w:widowControl w:val="0"/>
              <w:kinsoku/>
              <w:wordWrap/>
              <w:overflowPunct/>
              <w:topLinePunct w:val="0"/>
              <w:autoSpaceDE/>
              <w:autoSpaceDN/>
              <w:bidi w:val="0"/>
              <w:spacing w:before="0" w:beforeAutospacing="0" w:after="0" w:afterAutospacing="0" w:line="400" w:lineRule="exact"/>
              <w:jc w:val="center"/>
              <w:rPr>
                <w:rFonts w:hint="eastAsia" w:ascii="宋体" w:hAnsi="宋体" w:eastAsia="宋体" w:cs="宋体"/>
                <w:bCs w:val="0"/>
                <w:color w:val="auto"/>
                <w:kern w:val="2"/>
                <w:sz w:val="24"/>
                <w:szCs w:val="20"/>
                <w:highlight w:val="none"/>
              </w:rPr>
            </w:pPr>
            <w:r>
              <w:rPr>
                <w:rFonts w:hint="eastAsia" w:ascii="宋体" w:hAnsi="宋体" w:eastAsia="宋体" w:cs="宋体"/>
                <w:bCs w:val="0"/>
                <w:color w:val="auto"/>
                <w:kern w:val="2"/>
                <w:sz w:val="24"/>
                <w:szCs w:val="20"/>
                <w:highlight w:val="none"/>
              </w:rPr>
              <w:t>条款号</w:t>
            </w:r>
          </w:p>
        </w:tc>
        <w:tc>
          <w:tcPr>
            <w:tcW w:w="771" w:type="pct"/>
            <w:vAlign w:val="center"/>
          </w:tcPr>
          <w:p w14:paraId="5D9E866A">
            <w:pPr>
              <w:pStyle w:val="29"/>
              <w:keepNext w:val="0"/>
              <w:keepLines w:val="0"/>
              <w:pageBreakBefore w:val="0"/>
              <w:widowControl w:val="0"/>
              <w:kinsoku/>
              <w:wordWrap/>
              <w:overflowPunct/>
              <w:topLinePunct w:val="0"/>
              <w:autoSpaceDE/>
              <w:autoSpaceDN/>
              <w:bidi w:val="0"/>
              <w:spacing w:before="0" w:beforeAutospacing="0" w:after="0" w:afterAutospacing="0" w:line="400" w:lineRule="exact"/>
              <w:jc w:val="center"/>
              <w:rPr>
                <w:rFonts w:hint="eastAsia" w:ascii="宋体" w:hAnsi="宋体" w:eastAsia="宋体" w:cs="宋体"/>
                <w:bCs w:val="0"/>
                <w:color w:val="auto"/>
                <w:kern w:val="2"/>
                <w:sz w:val="24"/>
                <w:szCs w:val="20"/>
                <w:highlight w:val="none"/>
              </w:rPr>
            </w:pPr>
            <w:r>
              <w:rPr>
                <w:rFonts w:hint="eastAsia" w:ascii="宋体" w:hAnsi="宋体" w:eastAsia="宋体" w:cs="宋体"/>
                <w:bCs w:val="0"/>
                <w:color w:val="auto"/>
                <w:kern w:val="2"/>
                <w:sz w:val="24"/>
                <w:szCs w:val="20"/>
                <w:highlight w:val="none"/>
              </w:rPr>
              <w:t>条款名称</w:t>
            </w:r>
          </w:p>
        </w:tc>
        <w:tc>
          <w:tcPr>
            <w:tcW w:w="3774" w:type="pct"/>
            <w:vAlign w:val="center"/>
          </w:tcPr>
          <w:p w14:paraId="3526F4E5">
            <w:pPr>
              <w:pStyle w:val="29"/>
              <w:keepNext w:val="0"/>
              <w:keepLines w:val="0"/>
              <w:pageBreakBefore w:val="0"/>
              <w:widowControl w:val="0"/>
              <w:kinsoku/>
              <w:wordWrap/>
              <w:overflowPunct/>
              <w:topLinePunct w:val="0"/>
              <w:autoSpaceDE/>
              <w:autoSpaceDN/>
              <w:bidi w:val="0"/>
              <w:spacing w:before="0" w:beforeAutospacing="0" w:after="0" w:afterAutospacing="0" w:line="400" w:lineRule="exact"/>
              <w:rPr>
                <w:rFonts w:hint="eastAsia" w:ascii="宋体" w:hAnsi="宋体" w:eastAsia="宋体" w:cs="宋体"/>
                <w:bCs w:val="0"/>
                <w:color w:val="auto"/>
                <w:kern w:val="2"/>
                <w:sz w:val="24"/>
                <w:szCs w:val="20"/>
                <w:highlight w:val="none"/>
              </w:rPr>
            </w:pPr>
            <w:r>
              <w:rPr>
                <w:rFonts w:hint="eastAsia" w:ascii="宋体" w:hAnsi="宋体" w:eastAsia="宋体" w:cs="宋体"/>
                <w:bCs w:val="0"/>
                <w:color w:val="auto"/>
                <w:kern w:val="2"/>
                <w:sz w:val="24"/>
                <w:szCs w:val="20"/>
                <w:highlight w:val="none"/>
              </w:rPr>
              <w:t>内容、说明与要求</w:t>
            </w:r>
          </w:p>
        </w:tc>
      </w:tr>
      <w:tr w14:paraId="03A98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02" w:hRule="atLeast"/>
          <w:jc w:val="center"/>
        </w:trPr>
        <w:tc>
          <w:tcPr>
            <w:tcW w:w="454" w:type="pct"/>
            <w:vAlign w:val="center"/>
          </w:tcPr>
          <w:p w14:paraId="6237AAE5">
            <w:pPr>
              <w:pStyle w:val="30"/>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pacing w:beforeAutospacing="0" w:afterAutospacing="0" w:line="400" w:lineRule="exact"/>
              <w:jc w:val="center"/>
              <w:textAlignment w:val="auto"/>
              <w:rPr>
                <w:rFonts w:hint="eastAsia" w:ascii="宋体" w:hAnsi="宋体" w:eastAsia="宋体" w:cs="宋体"/>
                <w:bCs/>
                <w:color w:val="auto"/>
                <w:kern w:val="2"/>
                <w:highlight w:val="none"/>
                <w:lang w:eastAsia="zh-CN"/>
              </w:rPr>
            </w:pPr>
            <w:r>
              <w:rPr>
                <w:rFonts w:hint="eastAsia" w:ascii="宋体" w:hAnsi="宋体" w:eastAsia="宋体" w:cs="宋体"/>
                <w:bCs/>
                <w:color w:val="auto"/>
                <w:kern w:val="2"/>
                <w:highlight w:val="none"/>
                <w:lang w:val="en-US" w:eastAsia="zh-CN"/>
              </w:rPr>
              <w:t>1</w:t>
            </w:r>
          </w:p>
        </w:tc>
        <w:tc>
          <w:tcPr>
            <w:tcW w:w="771" w:type="pct"/>
            <w:vAlign w:val="center"/>
          </w:tcPr>
          <w:p w14:paraId="002B59CC">
            <w:pPr>
              <w:pStyle w:val="2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textAlignment w:val="auto"/>
              <w:rPr>
                <w:rFonts w:hint="eastAsia" w:ascii="宋体" w:hAnsi="宋体" w:eastAsia="宋体" w:cs="宋体"/>
                <w:b w:val="0"/>
                <w:color w:val="auto"/>
                <w:sz w:val="24"/>
                <w:highlight w:val="none"/>
                <w:lang w:eastAsia="zh-CN"/>
              </w:rPr>
            </w:pPr>
            <w:r>
              <w:rPr>
                <w:rFonts w:hint="eastAsia" w:ascii="宋体" w:hAnsi="宋体" w:eastAsia="宋体" w:cs="宋体"/>
                <w:b w:val="0"/>
                <w:bCs/>
                <w:color w:val="auto"/>
                <w:kern w:val="2"/>
                <w:sz w:val="24"/>
                <w:szCs w:val="22"/>
                <w:highlight w:val="none"/>
                <w:lang w:val="en-US" w:eastAsia="zh-CN" w:bidi="ar-SA"/>
              </w:rPr>
              <w:t>现场考察或标前答疑会</w:t>
            </w:r>
          </w:p>
        </w:tc>
        <w:tc>
          <w:tcPr>
            <w:tcW w:w="3774" w:type="pct"/>
            <w:vAlign w:val="center"/>
          </w:tcPr>
          <w:p w14:paraId="145EB8F1">
            <w:pPr>
              <w:keepNext w:val="0"/>
              <w:keepLines w:val="0"/>
              <w:pageBreakBefore w:val="0"/>
              <w:widowControl w:val="0"/>
              <w:kinsoku/>
              <w:wordWrap/>
              <w:overflowPunct/>
              <w:topLinePunct w:val="0"/>
              <w:autoSpaceDE/>
              <w:autoSpaceDN/>
              <w:bidi w:val="0"/>
              <w:adjustRightInd/>
              <w:snapToGrid/>
              <w:spacing w:beforeAutospacing="0" w:afterAutospacing="0" w:line="400" w:lineRule="exact"/>
              <w:textAlignment w:val="auto"/>
              <w:rPr>
                <w:rFonts w:hint="eastAsia" w:ascii="宋体" w:hAnsi="宋体" w:eastAsia="宋体" w:cs="宋体"/>
                <w:bCs/>
                <w:color w:val="auto"/>
                <w:sz w:val="24"/>
                <w:highlight w:val="none"/>
              </w:rPr>
            </w:pPr>
            <w:r>
              <w:rPr>
                <w:rFonts w:hint="eastAsia" w:ascii="宋体" w:hAnsi="宋体" w:eastAsia="宋体" w:cs="宋体"/>
                <w:bCs/>
                <w:color w:val="auto"/>
                <w:sz w:val="24"/>
                <w:szCs w:val="24"/>
                <w:highlight w:val="none"/>
                <w:lang w:eastAsia="zh-CN"/>
              </w:rPr>
              <w:t>☑</w:t>
            </w:r>
            <w:r>
              <w:rPr>
                <w:rFonts w:hint="eastAsia" w:ascii="宋体" w:hAnsi="宋体" w:eastAsia="宋体" w:cs="宋体"/>
                <w:color w:val="auto"/>
                <w:sz w:val="24"/>
                <w:highlight w:val="none"/>
              </w:rPr>
              <w:t>不组织</w:t>
            </w:r>
            <w:r>
              <w:rPr>
                <w:rFonts w:hint="eastAsia" w:ascii="宋体" w:hAnsi="宋体" w:eastAsia="宋体" w:cs="宋体"/>
                <w:color w:val="auto"/>
                <w:sz w:val="24"/>
                <w:highlight w:val="none"/>
                <w:lang w:val="en-US" w:eastAsia="zh-CN"/>
              </w:rPr>
              <w:t>或不召开</w:t>
            </w:r>
          </w:p>
          <w:p w14:paraId="43065518">
            <w:pPr>
              <w:keepNext w:val="0"/>
              <w:keepLines w:val="0"/>
              <w:pageBreakBefore w:val="0"/>
              <w:widowControl w:val="0"/>
              <w:kinsoku/>
              <w:wordWrap/>
              <w:overflowPunct/>
              <w:topLinePunct w:val="0"/>
              <w:autoSpaceDE/>
              <w:autoSpaceDN/>
              <w:bidi w:val="0"/>
              <w:adjustRightInd/>
              <w:snapToGrid/>
              <w:spacing w:beforeAutospacing="0" w:afterAutospacing="0" w:line="400" w:lineRule="exact"/>
              <w:textAlignment w:val="auto"/>
              <w:rPr>
                <w:rFonts w:hint="eastAsia" w:ascii="宋体" w:hAnsi="宋体" w:eastAsia="宋体" w:cs="宋体"/>
                <w:bCs/>
                <w:color w:val="auto"/>
                <w:sz w:val="24"/>
                <w:highlight w:val="none"/>
                <w:lang w:eastAsia="zh-CN"/>
              </w:rPr>
            </w:pPr>
            <w:r>
              <w:rPr>
                <w:rFonts w:hint="eastAsia" w:ascii="宋体" w:hAnsi="宋体" w:eastAsia="宋体" w:cs="宋体"/>
                <w:color w:val="auto"/>
                <w:sz w:val="24"/>
                <w:highlight w:val="none"/>
              </w:rPr>
              <w:t>□</w:t>
            </w:r>
            <w:r>
              <w:rPr>
                <w:rFonts w:hint="eastAsia" w:ascii="宋体" w:hAnsi="宋体" w:eastAsia="宋体" w:cs="宋体"/>
                <w:bCs/>
                <w:color w:val="auto"/>
                <w:sz w:val="24"/>
                <w:highlight w:val="none"/>
              </w:rPr>
              <w:t>统一组织</w:t>
            </w:r>
            <w:r>
              <w:rPr>
                <w:rFonts w:hint="eastAsia" w:ascii="宋体" w:hAnsi="宋体" w:eastAsia="宋体" w:cs="宋体"/>
                <w:bCs/>
                <w:color w:val="auto"/>
                <w:sz w:val="24"/>
                <w:highlight w:val="none"/>
                <w:lang w:val="en-US" w:eastAsia="zh-CN"/>
              </w:rPr>
              <w:t>或统一召开</w:t>
            </w:r>
          </w:p>
          <w:p w14:paraId="16D455D7">
            <w:pPr>
              <w:keepNext w:val="0"/>
              <w:keepLines w:val="0"/>
              <w:pageBreakBefore w:val="0"/>
              <w:kinsoku/>
              <w:wordWrap/>
              <w:overflowPunct/>
              <w:topLinePunct w:val="0"/>
              <w:autoSpaceDE/>
              <w:autoSpaceDN/>
              <w:bidi w:val="0"/>
              <w:spacing w:beforeAutospacing="0" w:afterAutospacing="0" w:line="400" w:lineRule="exact"/>
              <w:rPr>
                <w:rFonts w:hint="eastAsia" w:ascii="宋体" w:hAnsi="宋体" w:eastAsia="宋体" w:cs="宋体"/>
                <w:bCs/>
                <w:color w:val="auto"/>
                <w:sz w:val="24"/>
                <w:highlight w:val="none"/>
                <w:u w:val="single"/>
              </w:rPr>
            </w:pPr>
            <w:r>
              <w:rPr>
                <w:rFonts w:hint="eastAsia" w:ascii="宋体" w:hAnsi="宋体" w:eastAsia="宋体" w:cs="宋体"/>
                <w:bCs/>
                <w:color w:val="auto"/>
                <w:sz w:val="24"/>
                <w:highlight w:val="none"/>
              </w:rPr>
              <w:t>时间：</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u w:val="single"/>
                <w:lang w:val="en-US" w:eastAsia="zh-CN"/>
              </w:rPr>
              <w:t>/</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年</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u w:val="single"/>
                <w:lang w:val="en-US" w:eastAsia="zh-CN"/>
              </w:rPr>
              <w:t>/</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月</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u w:val="single"/>
                <w:lang w:val="en-US" w:eastAsia="zh-CN"/>
              </w:rPr>
              <w:t>/</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日</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u w:val="single"/>
                <w:lang w:val="en-US" w:eastAsia="zh-CN"/>
              </w:rPr>
              <w:t>/</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时</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u w:val="single"/>
                <w:lang w:val="en-US" w:eastAsia="zh-CN"/>
              </w:rPr>
              <w:t>/</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分</w:t>
            </w:r>
          </w:p>
          <w:p w14:paraId="63D68F96">
            <w:pPr>
              <w:keepNext w:val="0"/>
              <w:keepLines w:val="0"/>
              <w:pageBreakBefore w:val="0"/>
              <w:kinsoku/>
              <w:wordWrap/>
              <w:overflowPunct/>
              <w:topLinePunct w:val="0"/>
              <w:autoSpaceDE/>
              <w:autoSpaceDN/>
              <w:bidi w:val="0"/>
              <w:spacing w:beforeAutospacing="0" w:afterAutospacing="0" w:line="400" w:lineRule="exact"/>
              <w:rPr>
                <w:rFonts w:hint="eastAsia" w:ascii="宋体" w:hAnsi="宋体" w:eastAsia="宋体" w:cs="宋体"/>
                <w:bCs/>
                <w:color w:val="auto"/>
                <w:sz w:val="24"/>
                <w:highlight w:val="none"/>
                <w:u w:val="single"/>
              </w:rPr>
            </w:pPr>
            <w:r>
              <w:rPr>
                <w:rFonts w:hint="eastAsia" w:ascii="宋体" w:hAnsi="宋体" w:eastAsia="宋体" w:cs="宋体"/>
                <w:bCs/>
                <w:color w:val="auto"/>
                <w:sz w:val="24"/>
                <w:highlight w:val="none"/>
              </w:rPr>
              <w:t>地点：</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u w:val="single"/>
                <w:lang w:val="en-US" w:eastAsia="zh-CN"/>
              </w:rPr>
              <w:t>/</w:t>
            </w:r>
            <w:r>
              <w:rPr>
                <w:rFonts w:hint="eastAsia" w:ascii="宋体" w:hAnsi="宋体" w:eastAsia="宋体" w:cs="宋体"/>
                <w:bCs/>
                <w:color w:val="auto"/>
                <w:sz w:val="24"/>
                <w:highlight w:val="none"/>
                <w:u w:val="single"/>
              </w:rPr>
              <w:t xml:space="preserve">              </w:t>
            </w:r>
          </w:p>
          <w:p w14:paraId="22915361">
            <w:pPr>
              <w:keepNext w:val="0"/>
              <w:keepLines w:val="0"/>
              <w:pageBreakBefore w:val="0"/>
              <w:widowControl w:val="0"/>
              <w:kinsoku/>
              <w:wordWrap/>
              <w:overflowPunct/>
              <w:topLinePunct w:val="0"/>
              <w:autoSpaceDE/>
              <w:autoSpaceDN/>
              <w:bidi w:val="0"/>
              <w:adjustRightInd/>
              <w:snapToGrid/>
              <w:spacing w:beforeAutospacing="0" w:afterAutospacing="0" w:line="400" w:lineRule="exact"/>
              <w:textAlignment w:val="auto"/>
              <w:rPr>
                <w:rFonts w:hint="eastAsia" w:ascii="宋体" w:hAnsi="宋体" w:eastAsia="宋体" w:cs="宋体"/>
                <w:bCs/>
                <w:color w:val="auto"/>
                <w:sz w:val="24"/>
                <w:highlight w:val="none"/>
                <w:u w:val="single"/>
              </w:rPr>
            </w:pPr>
            <w:r>
              <w:rPr>
                <w:rFonts w:hint="eastAsia" w:ascii="宋体" w:hAnsi="宋体" w:eastAsia="宋体" w:cs="宋体"/>
                <w:bCs/>
                <w:color w:val="auto"/>
                <w:sz w:val="24"/>
                <w:highlight w:val="none"/>
              </w:rPr>
              <w:t>联系人及联系电话：</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u w:val="single"/>
                <w:lang w:val="en-US" w:eastAsia="zh-CN"/>
              </w:rPr>
              <w:t>/</w:t>
            </w:r>
            <w:r>
              <w:rPr>
                <w:rFonts w:hint="eastAsia" w:ascii="宋体" w:hAnsi="宋体" w:eastAsia="宋体" w:cs="宋体"/>
                <w:bCs/>
                <w:color w:val="auto"/>
                <w:sz w:val="24"/>
                <w:highlight w:val="none"/>
                <w:u w:val="single"/>
              </w:rPr>
              <w:t xml:space="preserve">       </w:t>
            </w:r>
          </w:p>
          <w:p w14:paraId="65D037AA">
            <w:pPr>
              <w:pStyle w:val="2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textAlignment w:val="auto"/>
              <w:rPr>
                <w:rFonts w:hint="eastAsia" w:ascii="宋体" w:hAnsi="宋体" w:eastAsia="宋体" w:cs="宋体"/>
                <w:b w:val="0"/>
                <w:color w:val="auto"/>
                <w:sz w:val="24"/>
                <w:highlight w:val="none"/>
              </w:rPr>
            </w:pPr>
            <w:r>
              <w:rPr>
                <w:rFonts w:hint="eastAsia" w:ascii="宋体" w:hAnsi="宋体" w:eastAsia="宋体" w:cs="宋体"/>
                <w:bCs w:val="0"/>
                <w:color w:val="auto"/>
                <w:sz w:val="24"/>
                <w:highlight w:val="none"/>
                <w:lang w:eastAsia="zh-CN"/>
              </w:rPr>
              <w:t>注：</w:t>
            </w:r>
            <w:r>
              <w:rPr>
                <w:rFonts w:hint="eastAsia" w:ascii="宋体" w:hAnsi="宋体" w:eastAsia="宋体" w:cs="宋体"/>
                <w:b w:val="0"/>
                <w:bCs/>
                <w:color w:val="auto"/>
                <w:sz w:val="24"/>
                <w:highlight w:val="none"/>
              </w:rPr>
              <w:t>如投标人未参加采购人统一组织的现场考察</w:t>
            </w:r>
            <w:r>
              <w:rPr>
                <w:rFonts w:hint="eastAsia" w:ascii="宋体" w:hAnsi="宋体" w:eastAsia="宋体" w:cs="宋体"/>
                <w:b w:val="0"/>
                <w:bCs/>
                <w:color w:val="auto"/>
                <w:sz w:val="24"/>
                <w:highlight w:val="none"/>
                <w:lang w:val="en-US" w:eastAsia="zh-CN"/>
              </w:rPr>
              <w:t>或采购人统一召开的标前答疑会</w:t>
            </w:r>
            <w:r>
              <w:rPr>
                <w:rFonts w:hint="eastAsia" w:ascii="宋体" w:hAnsi="宋体" w:eastAsia="宋体" w:cs="宋体"/>
                <w:b w:val="0"/>
                <w:bCs/>
                <w:color w:val="auto"/>
                <w:sz w:val="24"/>
                <w:highlight w:val="none"/>
              </w:rPr>
              <w:t>，视同放弃现场考察</w:t>
            </w:r>
            <w:r>
              <w:rPr>
                <w:rFonts w:hint="eastAsia" w:ascii="宋体" w:hAnsi="宋体" w:eastAsia="宋体" w:cs="宋体"/>
                <w:b w:val="0"/>
                <w:bCs/>
                <w:color w:val="auto"/>
                <w:sz w:val="24"/>
                <w:highlight w:val="none"/>
                <w:lang w:val="en-US" w:eastAsia="zh-CN"/>
              </w:rPr>
              <w:t>或标前答疑会</w:t>
            </w:r>
            <w:r>
              <w:rPr>
                <w:rFonts w:hint="eastAsia" w:ascii="宋体" w:hAnsi="宋体" w:eastAsia="宋体" w:cs="宋体"/>
                <w:b w:val="0"/>
                <w:bCs/>
                <w:color w:val="auto"/>
                <w:sz w:val="24"/>
                <w:highlight w:val="none"/>
              </w:rPr>
              <w:t>，由此引起的一切责任由投标人自行承担。</w:t>
            </w:r>
          </w:p>
        </w:tc>
      </w:tr>
      <w:tr w14:paraId="0EDEC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653" w:hRule="atLeast"/>
          <w:jc w:val="center"/>
        </w:trPr>
        <w:tc>
          <w:tcPr>
            <w:tcW w:w="454" w:type="pct"/>
            <w:vAlign w:val="center"/>
          </w:tcPr>
          <w:p w14:paraId="62D2611F">
            <w:pPr>
              <w:pStyle w:val="30"/>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pacing w:beforeAutospacing="0" w:afterAutospacing="0" w:line="400" w:lineRule="exact"/>
              <w:jc w:val="center"/>
              <w:textAlignment w:val="auto"/>
              <w:rPr>
                <w:rFonts w:hint="eastAsia" w:ascii="宋体" w:hAnsi="宋体" w:eastAsia="宋体" w:cs="宋体"/>
                <w:bCs/>
                <w:color w:val="auto"/>
                <w:kern w:val="2"/>
                <w:highlight w:val="none"/>
                <w:lang w:val="en-US" w:eastAsia="zh-CN"/>
              </w:rPr>
            </w:pPr>
            <w:r>
              <w:rPr>
                <w:rFonts w:hint="eastAsia" w:ascii="宋体" w:hAnsi="宋体" w:eastAsia="宋体" w:cs="宋体"/>
                <w:bCs/>
                <w:color w:val="auto"/>
                <w:kern w:val="2"/>
                <w:highlight w:val="none"/>
                <w:lang w:val="en-US" w:eastAsia="zh-CN"/>
              </w:rPr>
              <w:t>2</w:t>
            </w:r>
          </w:p>
        </w:tc>
        <w:tc>
          <w:tcPr>
            <w:tcW w:w="771" w:type="pct"/>
            <w:shd w:val="clear" w:color="auto" w:fill="auto"/>
            <w:vAlign w:val="center"/>
          </w:tcPr>
          <w:p w14:paraId="704012E8">
            <w:pPr>
              <w:pStyle w:val="30"/>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pacing w:line="400" w:lineRule="exact"/>
              <w:textAlignment w:val="auto"/>
              <w:rPr>
                <w:rFonts w:hint="eastAsia" w:ascii="宋体" w:hAnsi="宋体" w:eastAsia="宋体" w:cs="宋体"/>
                <w:color w:val="auto"/>
                <w:kern w:val="0"/>
                <w:sz w:val="24"/>
                <w:szCs w:val="20"/>
                <w:highlight w:val="none"/>
                <w:lang w:val="en-US" w:eastAsia="zh-CN" w:bidi="ar-SA"/>
              </w:rPr>
            </w:pPr>
            <w:r>
              <w:rPr>
                <w:rFonts w:hint="eastAsia" w:ascii="宋体" w:hAnsi="宋体" w:eastAsia="宋体" w:cs="宋体"/>
                <w:color w:val="auto"/>
                <w:highlight w:val="none"/>
                <w:lang w:val="en-US" w:eastAsia="zh-CN"/>
              </w:rPr>
              <w:t>异常低价投标审查</w:t>
            </w:r>
          </w:p>
        </w:tc>
        <w:tc>
          <w:tcPr>
            <w:tcW w:w="3774" w:type="pct"/>
            <w:shd w:val="clear" w:color="auto" w:fill="auto"/>
            <w:vAlign w:val="center"/>
          </w:tcPr>
          <w:p w14:paraId="56D2521B">
            <w:pPr>
              <w:pStyle w:val="30"/>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400" w:lineRule="exact"/>
              <w:ind w:firstLine="0" w:firstLineChars="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根据财政部《关于推动解决政府采购异常低价问题的通知》（财库〔2026〕2号），评审中出现下列情形之一的，评审小组应当启动异常低价投标审查程序：</w:t>
            </w:r>
          </w:p>
          <w:p w14:paraId="39B785A1">
            <w:pPr>
              <w:pStyle w:val="30"/>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400" w:lineRule="exact"/>
              <w:ind w:firstLine="0" w:firstLineChars="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1、投标报价低于全部通过符合性审查供应商投标报价平均值</w:t>
            </w:r>
            <w:r>
              <w:rPr>
                <w:rFonts w:hint="eastAsia" w:ascii="宋体" w:hAnsi="宋体" w:eastAsia="宋体" w:cs="宋体"/>
                <w:color w:val="auto"/>
                <w:highlight w:val="none"/>
                <w:u w:val="single"/>
                <w:lang w:val="en-US" w:eastAsia="zh-CN"/>
              </w:rPr>
              <w:t>55</w:t>
            </w:r>
            <w:r>
              <w:rPr>
                <w:rFonts w:hint="eastAsia" w:ascii="宋体" w:hAnsi="宋体" w:eastAsia="宋体" w:cs="宋体"/>
                <w:color w:val="auto"/>
                <w:highlight w:val="none"/>
                <w:lang w:val="en-US" w:eastAsia="zh-CN"/>
              </w:rPr>
              <w:t>%的，即投标报价&lt;全部通过符合性审查供应商投标报价平均值×</w:t>
            </w:r>
            <w:r>
              <w:rPr>
                <w:rFonts w:hint="eastAsia" w:ascii="宋体" w:hAnsi="宋体" w:eastAsia="宋体" w:cs="宋体"/>
                <w:color w:val="auto"/>
                <w:highlight w:val="none"/>
                <w:u w:val="single"/>
                <w:lang w:val="en-US" w:eastAsia="zh-CN"/>
              </w:rPr>
              <w:t>55</w:t>
            </w:r>
            <w:r>
              <w:rPr>
                <w:rFonts w:hint="eastAsia" w:ascii="宋体" w:hAnsi="宋体" w:eastAsia="宋体" w:cs="宋体"/>
                <w:color w:val="auto"/>
                <w:highlight w:val="none"/>
                <w:lang w:val="en-US" w:eastAsia="zh-CN"/>
              </w:rPr>
              <w:t>%；（比例范围：50%-65%）</w:t>
            </w:r>
          </w:p>
          <w:p w14:paraId="3E0B4B51">
            <w:pPr>
              <w:pStyle w:val="30"/>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400" w:lineRule="exact"/>
              <w:ind w:firstLine="0" w:firstLineChars="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2.投标报价低于通过符合性审查的次低报价供应商投标报价</w:t>
            </w:r>
            <w:r>
              <w:rPr>
                <w:rFonts w:hint="eastAsia" w:ascii="宋体" w:hAnsi="宋体" w:eastAsia="宋体" w:cs="宋体"/>
                <w:color w:val="auto"/>
                <w:highlight w:val="none"/>
                <w:u w:val="single"/>
                <w:lang w:val="en-US" w:eastAsia="zh-CN"/>
              </w:rPr>
              <w:t>55</w:t>
            </w:r>
            <w:r>
              <w:rPr>
                <w:rFonts w:hint="eastAsia" w:ascii="宋体" w:hAnsi="宋体" w:eastAsia="宋体" w:cs="宋体"/>
                <w:color w:val="auto"/>
                <w:highlight w:val="none"/>
                <w:lang w:val="en-US" w:eastAsia="zh-CN"/>
              </w:rPr>
              <w:t>%的，即投标报价&lt;通过符合性审查的次低报价供应商投标报价×</w:t>
            </w:r>
            <w:r>
              <w:rPr>
                <w:rFonts w:hint="eastAsia" w:ascii="宋体" w:hAnsi="宋体" w:eastAsia="宋体" w:cs="宋体"/>
                <w:color w:val="auto"/>
                <w:highlight w:val="none"/>
                <w:u w:val="single"/>
                <w:lang w:val="en-US" w:eastAsia="zh-CN"/>
              </w:rPr>
              <w:t>55</w:t>
            </w:r>
            <w:r>
              <w:rPr>
                <w:rFonts w:hint="eastAsia" w:ascii="宋体" w:hAnsi="宋体" w:eastAsia="宋体" w:cs="宋体"/>
                <w:color w:val="auto"/>
                <w:highlight w:val="none"/>
                <w:lang w:val="en-US" w:eastAsia="zh-CN"/>
              </w:rPr>
              <w:t>%；（比例范围：50%-65%）</w:t>
            </w:r>
          </w:p>
          <w:p w14:paraId="750AAED4">
            <w:pPr>
              <w:pStyle w:val="30"/>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400" w:lineRule="exact"/>
              <w:ind w:firstLine="0" w:firstLineChars="0"/>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3.投标报价低于采购项目最高限价</w:t>
            </w:r>
            <w:r>
              <w:rPr>
                <w:rFonts w:hint="eastAsia" w:ascii="宋体" w:hAnsi="宋体" w:eastAsia="宋体" w:cs="宋体"/>
                <w:color w:val="auto"/>
                <w:highlight w:val="none"/>
                <w:u w:val="single"/>
                <w:lang w:val="en-US" w:eastAsia="zh-CN"/>
              </w:rPr>
              <w:t>55</w:t>
            </w:r>
            <w:r>
              <w:rPr>
                <w:rFonts w:hint="eastAsia" w:ascii="宋体" w:hAnsi="宋体" w:eastAsia="宋体" w:cs="宋体"/>
                <w:color w:val="auto"/>
                <w:highlight w:val="none"/>
                <w:lang w:val="en-US" w:eastAsia="zh-CN"/>
              </w:rPr>
              <w:t>%的，即投标报价&lt;采购项目最高限价×</w:t>
            </w:r>
            <w:r>
              <w:rPr>
                <w:rFonts w:hint="eastAsia" w:ascii="宋体" w:hAnsi="宋体" w:eastAsia="宋体" w:cs="宋体"/>
                <w:color w:val="auto"/>
                <w:highlight w:val="none"/>
                <w:u w:val="single"/>
                <w:lang w:val="en-US" w:eastAsia="zh-CN"/>
              </w:rPr>
              <w:t>55</w:t>
            </w:r>
            <w:r>
              <w:rPr>
                <w:rFonts w:hint="eastAsia" w:ascii="宋体" w:hAnsi="宋体" w:eastAsia="宋体" w:cs="宋体"/>
                <w:color w:val="auto"/>
                <w:highlight w:val="none"/>
                <w:lang w:val="en-US" w:eastAsia="zh-CN"/>
              </w:rPr>
              <w:t>%；（比例范围：45%-65%）</w:t>
            </w:r>
          </w:p>
          <w:p w14:paraId="1CD7B697">
            <w:pPr>
              <w:pStyle w:val="30"/>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400" w:lineRule="exact"/>
              <w:ind w:firstLine="0" w:firstLineChars="0"/>
              <w:jc w:val="both"/>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4.评审小组基于专业判断，认为供应商报价过低，有可能影响产品质量或者不能诚信履约的其他情形。</w:t>
            </w:r>
          </w:p>
          <w:p w14:paraId="06A365BB">
            <w:pPr>
              <w:pStyle w:val="30"/>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400" w:lineRule="exact"/>
              <w:ind w:firstLine="0" w:firstLineChars="0"/>
              <w:jc w:val="both"/>
              <w:textAlignment w:val="auto"/>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注：1、以上比例由采购人根据项目特点及要求自行填写。</w:t>
            </w:r>
          </w:p>
          <w:p w14:paraId="4B419265">
            <w:pPr>
              <w:pStyle w:val="30"/>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400" w:lineRule="exact"/>
              <w:ind w:firstLine="0" w:firstLineChars="0"/>
              <w:jc w:val="both"/>
              <w:textAlignment w:val="auto"/>
              <w:rPr>
                <w:rFonts w:hint="eastAsia" w:ascii="宋体" w:hAnsi="宋体" w:eastAsia="宋体" w:cs="宋体"/>
                <w:color w:val="auto"/>
                <w:kern w:val="0"/>
                <w:sz w:val="24"/>
                <w:szCs w:val="20"/>
                <w:highlight w:val="none"/>
                <w:lang w:val="en-US" w:eastAsia="zh-CN" w:bidi="ar-SA"/>
              </w:rPr>
            </w:pPr>
            <w:r>
              <w:rPr>
                <w:rFonts w:hint="eastAsia" w:ascii="宋体" w:hAnsi="宋体" w:eastAsia="宋体" w:cs="宋体"/>
                <w:b/>
                <w:bCs/>
                <w:color w:val="auto"/>
                <w:highlight w:val="none"/>
                <w:lang w:val="en-US" w:eastAsia="zh-CN"/>
              </w:rPr>
              <w:t>2、上述第（1）项数值计算：涉及总价、单价的精确到“分”并四舍五入，涉及费率的精确到小数点后两位，第三位四舍五入（例：如平均值为123.456元，即为123.46元；如平均值为80.126%，即为80.13%）。（2）上述报价均为供应商最后报价。</w:t>
            </w:r>
          </w:p>
        </w:tc>
      </w:tr>
      <w:tr w14:paraId="205C1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653" w:hRule="atLeast"/>
          <w:jc w:val="center"/>
        </w:trPr>
        <w:tc>
          <w:tcPr>
            <w:tcW w:w="454" w:type="pct"/>
            <w:vAlign w:val="center"/>
          </w:tcPr>
          <w:p w14:paraId="066C85E5">
            <w:pPr>
              <w:pStyle w:val="30"/>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pacing w:beforeAutospacing="0" w:afterAutospacing="0" w:line="400" w:lineRule="exact"/>
              <w:jc w:val="center"/>
              <w:textAlignment w:val="auto"/>
              <w:rPr>
                <w:rFonts w:hint="eastAsia" w:ascii="宋体" w:hAnsi="宋体" w:eastAsia="宋体" w:cs="宋体"/>
                <w:bCs/>
                <w:color w:val="auto"/>
                <w:kern w:val="2"/>
                <w:highlight w:val="none"/>
                <w:lang w:eastAsia="zh-CN"/>
              </w:rPr>
            </w:pPr>
            <w:r>
              <w:rPr>
                <w:rFonts w:hint="eastAsia" w:ascii="宋体" w:hAnsi="宋体" w:eastAsia="宋体" w:cs="宋体"/>
                <w:bCs/>
                <w:color w:val="auto"/>
                <w:kern w:val="2"/>
                <w:highlight w:val="none"/>
                <w:lang w:val="en-US" w:eastAsia="zh-CN"/>
              </w:rPr>
              <w:t>3</w:t>
            </w:r>
          </w:p>
        </w:tc>
        <w:tc>
          <w:tcPr>
            <w:tcW w:w="771" w:type="pct"/>
            <w:vAlign w:val="center"/>
          </w:tcPr>
          <w:p w14:paraId="00F0B7E5">
            <w:pPr>
              <w:pStyle w:val="29"/>
              <w:keepNext w:val="0"/>
              <w:keepLines w:val="0"/>
              <w:pageBreakBefore w:val="0"/>
              <w:widowControl w:val="0"/>
              <w:kinsoku/>
              <w:wordWrap/>
              <w:overflowPunct/>
              <w:topLinePunct w:val="0"/>
              <w:autoSpaceDE/>
              <w:autoSpaceDN/>
              <w:bidi w:val="0"/>
              <w:spacing w:before="0" w:beforeAutospacing="0" w:after="0" w:afterAutospacing="0" w:line="400" w:lineRule="exact"/>
              <w:jc w:val="center"/>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投标保证金</w:t>
            </w:r>
          </w:p>
        </w:tc>
        <w:tc>
          <w:tcPr>
            <w:tcW w:w="3774" w:type="pct"/>
            <w:vAlign w:val="center"/>
          </w:tcPr>
          <w:p w14:paraId="21C0E4BD">
            <w:pPr>
              <w:keepNext w:val="0"/>
              <w:keepLines w:val="0"/>
              <w:pageBreakBefore w:val="0"/>
              <w:kinsoku/>
              <w:wordWrap/>
              <w:overflowPunct/>
              <w:topLinePunct w:val="0"/>
              <w:autoSpaceDE/>
              <w:autoSpaceDN/>
              <w:bidi w:val="0"/>
              <w:spacing w:beforeAutospacing="0" w:afterAutospacing="0" w:line="400" w:lineRule="exact"/>
              <w:rPr>
                <w:rFonts w:hint="eastAsia" w:ascii="宋体" w:hAnsi="宋体" w:eastAsia="宋体" w:cs="宋体"/>
                <w:color w:val="auto"/>
                <w:highlight w:val="none"/>
              </w:rPr>
            </w:pPr>
            <w:r>
              <w:rPr>
                <w:rFonts w:hint="eastAsia" w:ascii="宋体" w:hAnsi="宋体" w:eastAsia="宋体" w:cs="宋体"/>
                <w:bCs/>
                <w:color w:val="auto"/>
                <w:kern w:val="0"/>
                <w:sz w:val="24"/>
                <w:szCs w:val="28"/>
                <w:highlight w:val="none"/>
              </w:rPr>
              <w:t>不收取</w:t>
            </w:r>
          </w:p>
        </w:tc>
      </w:tr>
      <w:tr w14:paraId="534B4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02" w:hRule="atLeast"/>
          <w:jc w:val="center"/>
        </w:trPr>
        <w:tc>
          <w:tcPr>
            <w:tcW w:w="454" w:type="pct"/>
            <w:vAlign w:val="center"/>
          </w:tcPr>
          <w:p w14:paraId="33ED3B22">
            <w:pPr>
              <w:pStyle w:val="30"/>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pacing w:beforeAutospacing="0" w:afterAutospacing="0" w:line="400" w:lineRule="exact"/>
              <w:jc w:val="center"/>
              <w:textAlignment w:val="auto"/>
              <w:rPr>
                <w:rFonts w:hint="eastAsia" w:ascii="宋体" w:hAnsi="宋体" w:eastAsia="宋体" w:cs="宋体"/>
                <w:bCs/>
                <w:color w:val="auto"/>
                <w:kern w:val="2"/>
                <w:highlight w:val="none"/>
                <w:lang w:val="en-US" w:eastAsia="zh-CN"/>
              </w:rPr>
            </w:pPr>
            <w:r>
              <w:rPr>
                <w:rFonts w:hint="eastAsia" w:ascii="宋体" w:hAnsi="宋体" w:eastAsia="宋体" w:cs="宋体"/>
                <w:bCs/>
                <w:color w:val="auto"/>
                <w:kern w:val="2"/>
                <w:highlight w:val="none"/>
                <w:lang w:val="en-US" w:eastAsia="zh-CN"/>
              </w:rPr>
              <w:t>4</w:t>
            </w:r>
          </w:p>
        </w:tc>
        <w:tc>
          <w:tcPr>
            <w:tcW w:w="771" w:type="pct"/>
            <w:vAlign w:val="center"/>
          </w:tcPr>
          <w:p w14:paraId="42F51D27">
            <w:pPr>
              <w:pStyle w:val="29"/>
              <w:keepNext w:val="0"/>
              <w:keepLines w:val="0"/>
              <w:pageBreakBefore w:val="0"/>
              <w:widowControl w:val="0"/>
              <w:kinsoku/>
              <w:wordWrap/>
              <w:overflowPunct/>
              <w:topLinePunct w:val="0"/>
              <w:autoSpaceDE/>
              <w:autoSpaceDN/>
              <w:bidi w:val="0"/>
              <w:spacing w:before="0" w:beforeAutospacing="0" w:after="0" w:afterAutospacing="0" w:line="400" w:lineRule="exact"/>
              <w:jc w:val="center"/>
              <w:rPr>
                <w:rFonts w:hint="default" w:ascii="宋体" w:hAnsi="宋体" w:eastAsia="宋体" w:cs="宋体"/>
                <w:b w:val="0"/>
                <w:color w:val="auto"/>
                <w:sz w:val="24"/>
                <w:highlight w:val="none"/>
                <w:lang w:val="en-US" w:eastAsia="zh-CN"/>
              </w:rPr>
            </w:pPr>
            <w:r>
              <w:rPr>
                <w:rFonts w:hint="eastAsia" w:ascii="宋体" w:hAnsi="宋体" w:eastAsia="宋体" w:cs="宋体"/>
                <w:b w:val="0"/>
                <w:color w:val="auto"/>
                <w:sz w:val="24"/>
                <w:highlight w:val="none"/>
                <w:lang w:val="en-US" w:eastAsia="zh-CN"/>
              </w:rPr>
              <w:t>评审小组</w:t>
            </w:r>
          </w:p>
        </w:tc>
        <w:tc>
          <w:tcPr>
            <w:tcW w:w="3774" w:type="pct"/>
            <w:vAlign w:val="center"/>
          </w:tcPr>
          <w:p w14:paraId="307E18A8">
            <w:pPr>
              <w:pStyle w:val="29"/>
              <w:keepNext w:val="0"/>
              <w:keepLines w:val="0"/>
              <w:pageBreakBefore w:val="0"/>
              <w:widowControl w:val="0"/>
              <w:numPr>
                <w:ilvl w:val="0"/>
                <w:numId w:val="0"/>
              </w:numPr>
              <w:kinsoku/>
              <w:wordWrap/>
              <w:overflowPunct/>
              <w:topLinePunct w:val="0"/>
              <w:autoSpaceDE/>
              <w:autoSpaceDN/>
              <w:bidi w:val="0"/>
              <w:spacing w:before="0" w:beforeAutospacing="0" w:after="0" w:afterAutospacing="0" w:line="400" w:lineRule="exact"/>
              <w:jc w:val="both"/>
              <w:rPr>
                <w:rFonts w:hint="eastAsia" w:ascii="宋体" w:hAnsi="宋体" w:eastAsia="宋体" w:cs="宋体"/>
                <w:b w:val="0"/>
                <w:bCs w:val="0"/>
                <w:color w:val="auto"/>
                <w:sz w:val="24"/>
                <w:szCs w:val="24"/>
                <w:highlight w:val="none"/>
              </w:rPr>
            </w:pPr>
            <w:r>
              <w:rPr>
                <w:rFonts w:hint="eastAsia" w:ascii="宋体" w:hAnsi="宋体" w:eastAsia="宋体" w:cs="宋体"/>
                <w:b w:val="0"/>
                <w:bCs/>
                <w:color w:val="auto"/>
                <w:sz w:val="24"/>
                <w:szCs w:val="24"/>
                <w:highlight w:val="none"/>
                <w:u w:val="none"/>
                <w:lang w:val="en-US" w:eastAsia="zh-CN"/>
              </w:rPr>
              <w:t>本项目评审小组</w:t>
            </w:r>
            <w:r>
              <w:rPr>
                <w:rFonts w:hint="eastAsia" w:ascii="宋体" w:hAnsi="宋体" w:eastAsia="宋体" w:cs="宋体"/>
                <w:b w:val="0"/>
                <w:bCs/>
                <w:color w:val="auto"/>
                <w:sz w:val="24"/>
                <w:szCs w:val="24"/>
                <w:highlight w:val="none"/>
                <w:u w:val="single"/>
                <w:lang w:val="en-US" w:eastAsia="zh-CN"/>
              </w:rPr>
              <w:t>5</w:t>
            </w:r>
            <w:r>
              <w:rPr>
                <w:rFonts w:hint="eastAsia" w:ascii="宋体" w:hAnsi="宋体" w:eastAsia="宋体" w:cs="宋体"/>
                <w:b w:val="0"/>
                <w:bCs/>
                <w:color w:val="auto"/>
                <w:sz w:val="24"/>
                <w:szCs w:val="24"/>
                <w:highlight w:val="none"/>
                <w:u w:val="none"/>
                <w:lang w:val="en-US" w:eastAsia="zh-CN"/>
              </w:rPr>
              <w:t>人。</w:t>
            </w:r>
          </w:p>
        </w:tc>
      </w:tr>
      <w:tr w14:paraId="76848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02" w:hRule="atLeast"/>
          <w:jc w:val="center"/>
        </w:trPr>
        <w:tc>
          <w:tcPr>
            <w:tcW w:w="454" w:type="pct"/>
            <w:vAlign w:val="center"/>
          </w:tcPr>
          <w:p w14:paraId="35D25828">
            <w:pPr>
              <w:pStyle w:val="30"/>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pacing w:beforeAutospacing="0" w:afterAutospacing="0" w:line="400" w:lineRule="exact"/>
              <w:jc w:val="center"/>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lang w:val="en-US" w:eastAsia="zh-CN"/>
              </w:rPr>
              <w:t>5</w:t>
            </w:r>
          </w:p>
        </w:tc>
        <w:tc>
          <w:tcPr>
            <w:tcW w:w="771" w:type="pct"/>
            <w:vAlign w:val="center"/>
          </w:tcPr>
          <w:p w14:paraId="153E10C0">
            <w:pPr>
              <w:pStyle w:val="29"/>
              <w:keepNext w:val="0"/>
              <w:keepLines w:val="0"/>
              <w:pageBreakBefore w:val="0"/>
              <w:widowControl w:val="0"/>
              <w:kinsoku/>
              <w:wordWrap/>
              <w:overflowPunct/>
              <w:topLinePunct w:val="0"/>
              <w:autoSpaceDE/>
              <w:autoSpaceDN/>
              <w:bidi w:val="0"/>
              <w:spacing w:before="0" w:beforeAutospacing="0" w:after="0" w:afterAutospacing="0" w:line="400" w:lineRule="exact"/>
              <w:jc w:val="center"/>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评标方法</w:t>
            </w:r>
          </w:p>
        </w:tc>
        <w:tc>
          <w:tcPr>
            <w:tcW w:w="3774" w:type="pct"/>
            <w:vAlign w:val="center"/>
          </w:tcPr>
          <w:p w14:paraId="6C8A47B0">
            <w:pPr>
              <w:pStyle w:val="29"/>
              <w:keepNext w:val="0"/>
              <w:keepLines w:val="0"/>
              <w:pageBreakBefore w:val="0"/>
              <w:widowControl w:val="0"/>
              <w:kinsoku/>
              <w:wordWrap/>
              <w:overflowPunct/>
              <w:topLinePunct w:val="0"/>
              <w:autoSpaceDE/>
              <w:autoSpaceDN/>
              <w:bidi w:val="0"/>
              <w:spacing w:before="0" w:beforeAutospacing="0" w:after="0" w:afterAutospacing="0" w:line="400" w:lineRule="exact"/>
              <w:jc w:val="both"/>
              <w:rPr>
                <w:rFonts w:hint="eastAsia" w:ascii="宋体" w:hAnsi="宋体" w:eastAsia="宋体" w:cs="宋体"/>
                <w:b w:val="0"/>
                <w:color w:val="auto"/>
                <w:sz w:val="24"/>
                <w:highlight w:val="none"/>
                <w:u w:val="single"/>
              </w:rPr>
            </w:pPr>
            <w:r>
              <w:rPr>
                <w:rFonts w:hint="eastAsia" w:ascii="宋体" w:hAnsi="宋体" w:eastAsia="宋体" w:cs="宋体"/>
                <w:b w:val="0"/>
                <w:bCs w:val="0"/>
                <w:color w:val="auto"/>
                <w:sz w:val="24"/>
                <w:szCs w:val="24"/>
                <w:highlight w:val="none"/>
              </w:rPr>
              <w:t>□</w:t>
            </w:r>
            <w:r>
              <w:rPr>
                <w:rFonts w:hint="eastAsia" w:ascii="宋体" w:hAnsi="宋体" w:eastAsia="宋体" w:cs="宋体"/>
                <w:b w:val="0"/>
                <w:color w:val="auto"/>
                <w:sz w:val="24"/>
                <w:highlight w:val="none"/>
                <w:u w:val="none"/>
              </w:rPr>
              <w:t>最低评标价法</w:t>
            </w:r>
          </w:p>
          <w:p w14:paraId="5A1E5E5F">
            <w:pPr>
              <w:pStyle w:val="29"/>
              <w:keepNext w:val="0"/>
              <w:keepLines w:val="0"/>
              <w:pageBreakBefore w:val="0"/>
              <w:widowControl w:val="0"/>
              <w:kinsoku/>
              <w:wordWrap/>
              <w:overflowPunct/>
              <w:topLinePunct w:val="0"/>
              <w:autoSpaceDE/>
              <w:autoSpaceDN/>
              <w:bidi w:val="0"/>
              <w:spacing w:before="0" w:beforeAutospacing="0" w:after="0" w:afterAutospacing="0" w:line="400" w:lineRule="exact"/>
              <w:jc w:val="both"/>
              <w:rPr>
                <w:rFonts w:hint="eastAsia" w:ascii="宋体" w:hAnsi="宋体" w:eastAsia="宋体" w:cs="宋体"/>
                <w:b w:val="0"/>
                <w:color w:val="auto"/>
                <w:sz w:val="24"/>
                <w:highlight w:val="none"/>
              </w:rPr>
            </w:pP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color w:val="auto"/>
                <w:sz w:val="24"/>
                <w:highlight w:val="none"/>
                <w:u w:val="none"/>
              </w:rPr>
              <w:t>综合评分法</w:t>
            </w:r>
          </w:p>
        </w:tc>
      </w:tr>
      <w:tr w14:paraId="418FA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02" w:hRule="atLeast"/>
          <w:jc w:val="center"/>
        </w:trPr>
        <w:tc>
          <w:tcPr>
            <w:tcW w:w="454" w:type="pct"/>
            <w:shd w:val="clear" w:color="auto" w:fill="auto"/>
            <w:vAlign w:val="center"/>
          </w:tcPr>
          <w:p w14:paraId="778A4118">
            <w:pPr>
              <w:pStyle w:val="30"/>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bCs/>
                <w:color w:val="auto"/>
                <w:kern w:val="2"/>
                <w:sz w:val="24"/>
                <w:szCs w:val="20"/>
                <w:highlight w:val="none"/>
                <w:lang w:val="en-US" w:eastAsia="zh-CN" w:bidi="ar-SA"/>
              </w:rPr>
            </w:pPr>
            <w:r>
              <w:rPr>
                <w:rFonts w:hint="eastAsia" w:ascii="宋体" w:hAnsi="宋体" w:eastAsia="宋体" w:cs="宋体"/>
                <w:bCs/>
                <w:color w:val="auto"/>
                <w:kern w:val="2"/>
                <w:highlight w:val="none"/>
                <w:lang w:val="en-US" w:eastAsia="zh-CN"/>
              </w:rPr>
              <w:t>6</w:t>
            </w:r>
          </w:p>
        </w:tc>
        <w:tc>
          <w:tcPr>
            <w:tcW w:w="771" w:type="pct"/>
            <w:shd w:val="clear" w:color="auto" w:fill="auto"/>
            <w:vAlign w:val="center"/>
          </w:tcPr>
          <w:p w14:paraId="043CEAF6">
            <w:pPr>
              <w:pStyle w:val="2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b w:val="0"/>
                <w:bCs/>
                <w:i/>
                <w:color w:val="auto"/>
                <w:kern w:val="0"/>
                <w:sz w:val="24"/>
                <w:szCs w:val="28"/>
                <w:highlight w:val="none"/>
                <w:lang w:val="en-US" w:eastAsia="zh-CN" w:bidi="ar-SA"/>
              </w:rPr>
            </w:pPr>
            <w:r>
              <w:rPr>
                <w:rFonts w:hint="eastAsia" w:ascii="宋体" w:hAnsi="宋体" w:eastAsia="宋体" w:cs="宋体"/>
                <w:b w:val="0"/>
                <w:color w:val="auto"/>
                <w:sz w:val="24"/>
                <w:highlight w:val="none"/>
                <w:lang w:val="en-US" w:eastAsia="zh-CN"/>
              </w:rPr>
              <w:t>中小企业价格</w:t>
            </w:r>
            <w:r>
              <w:rPr>
                <w:rFonts w:hint="eastAsia" w:ascii="宋体" w:hAnsi="宋体" w:eastAsia="宋体" w:cs="宋体"/>
                <w:b w:val="0"/>
                <w:color w:val="auto"/>
                <w:sz w:val="24"/>
                <w:highlight w:val="none"/>
              </w:rPr>
              <w:t>扣除</w:t>
            </w:r>
          </w:p>
        </w:tc>
        <w:tc>
          <w:tcPr>
            <w:tcW w:w="3774" w:type="pct"/>
            <w:shd w:val="clear" w:color="auto" w:fill="auto"/>
            <w:vAlign w:val="center"/>
          </w:tcPr>
          <w:p w14:paraId="3D475AFA">
            <w:pPr>
              <w:pStyle w:val="2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0" w:firstLineChars="0"/>
              <w:jc w:val="both"/>
              <w:textAlignment w:val="auto"/>
              <w:rPr>
                <w:rFonts w:hint="eastAsia" w:ascii="宋体" w:hAnsi="宋体" w:eastAsia="宋体" w:cs="宋体"/>
                <w:b w:val="0"/>
                <w:color w:val="auto"/>
                <w:sz w:val="24"/>
                <w:highlight w:val="none"/>
                <w:lang w:val="en-US" w:eastAsia="zh-CN"/>
              </w:rPr>
            </w:pPr>
            <w:r>
              <w:rPr>
                <w:rFonts w:hint="eastAsia" w:ascii="宋体" w:hAnsi="宋体" w:eastAsia="宋体" w:cs="宋体"/>
                <w:b w:val="0"/>
                <w:color w:val="auto"/>
                <w:sz w:val="24"/>
                <w:highlight w:val="none"/>
                <w:lang w:val="en-US" w:eastAsia="zh-CN"/>
              </w:rPr>
              <w:t>本项目是否适用：是☑  否□</w:t>
            </w:r>
          </w:p>
          <w:p w14:paraId="639DFFD9">
            <w:pPr>
              <w:pStyle w:val="2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0" w:firstLineChars="0"/>
              <w:jc w:val="both"/>
              <w:textAlignment w:val="auto"/>
              <w:rPr>
                <w:rFonts w:hint="eastAsia" w:ascii="宋体" w:hAnsi="宋体" w:eastAsia="宋体" w:cs="宋体"/>
                <w:b w:val="0"/>
                <w:color w:val="auto"/>
                <w:sz w:val="24"/>
                <w:highlight w:val="none"/>
                <w:lang w:val="en-US" w:eastAsia="zh-CN"/>
              </w:rPr>
            </w:pPr>
            <w:r>
              <w:rPr>
                <w:rFonts w:hint="eastAsia" w:ascii="宋体" w:hAnsi="宋体" w:eastAsia="宋体" w:cs="宋体"/>
                <w:b w:val="0"/>
                <w:color w:val="auto"/>
                <w:sz w:val="24"/>
                <w:highlight w:val="none"/>
                <w:lang w:val="en-US" w:eastAsia="zh-CN"/>
              </w:rPr>
              <w:t>（注：适用于非专门面向中小企业采购项目）</w:t>
            </w:r>
          </w:p>
          <w:p w14:paraId="18A2CF2A">
            <w:pPr>
              <w:pStyle w:val="2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0" w:firstLineChars="0"/>
              <w:jc w:val="both"/>
              <w:textAlignment w:val="auto"/>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（1）小型和微型企业价格扣除：</w:t>
            </w:r>
            <w:r>
              <w:rPr>
                <w:rFonts w:hint="eastAsia" w:ascii="宋体" w:hAnsi="宋体" w:eastAsia="宋体" w:cs="宋体"/>
                <w:b w:val="0"/>
                <w:color w:val="auto"/>
                <w:sz w:val="24"/>
                <w:highlight w:val="none"/>
                <w:u w:val="single"/>
                <w:lang w:val="en-US" w:eastAsia="zh-CN"/>
              </w:rPr>
              <w:t>10</w:t>
            </w:r>
            <w:r>
              <w:rPr>
                <w:rFonts w:hint="eastAsia" w:ascii="宋体" w:hAnsi="宋体" w:eastAsia="宋体" w:cs="宋体"/>
                <w:b w:val="0"/>
                <w:color w:val="auto"/>
                <w:sz w:val="24"/>
                <w:highlight w:val="none"/>
                <w:u w:val="none"/>
                <w:lang w:val="en-US" w:eastAsia="zh-CN"/>
              </w:rPr>
              <w:t>%</w:t>
            </w:r>
            <w:r>
              <w:rPr>
                <w:rFonts w:hint="eastAsia" w:ascii="宋体" w:hAnsi="宋体" w:eastAsia="宋体" w:cs="宋体"/>
                <w:b w:val="0"/>
                <w:color w:val="auto"/>
                <w:sz w:val="24"/>
                <w:highlight w:val="none"/>
                <w:u w:val="none"/>
                <w:lang w:eastAsia="zh-CN"/>
              </w:rPr>
              <w:t>（10%-20%）</w:t>
            </w:r>
            <w:r>
              <w:rPr>
                <w:rFonts w:hint="eastAsia" w:ascii="宋体" w:hAnsi="宋体" w:eastAsia="宋体" w:cs="宋体"/>
                <w:b w:val="0"/>
                <w:color w:val="auto"/>
                <w:sz w:val="24"/>
                <w:highlight w:val="none"/>
              </w:rPr>
              <w:t>。</w:t>
            </w:r>
          </w:p>
          <w:p w14:paraId="05C35311">
            <w:pPr>
              <w:pStyle w:val="2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0" w:firstLineChars="0"/>
              <w:jc w:val="both"/>
              <w:textAlignment w:val="auto"/>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（2）监狱企业价格扣除：</w:t>
            </w:r>
            <w:r>
              <w:rPr>
                <w:rFonts w:hint="eastAsia" w:ascii="宋体" w:hAnsi="宋体" w:eastAsia="宋体" w:cs="宋体"/>
                <w:b w:val="0"/>
                <w:color w:val="auto"/>
                <w:sz w:val="24"/>
                <w:highlight w:val="none"/>
                <w:u w:val="none"/>
              </w:rPr>
              <w:t>同小型和微型企业</w:t>
            </w:r>
            <w:r>
              <w:rPr>
                <w:rFonts w:hint="eastAsia" w:ascii="宋体" w:hAnsi="宋体" w:eastAsia="宋体" w:cs="宋体"/>
                <w:b w:val="0"/>
                <w:color w:val="auto"/>
                <w:sz w:val="24"/>
                <w:highlight w:val="none"/>
              </w:rPr>
              <w:t>。</w:t>
            </w:r>
          </w:p>
          <w:p w14:paraId="6422B77C">
            <w:pPr>
              <w:pStyle w:val="2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0" w:firstLineChars="0"/>
              <w:jc w:val="both"/>
              <w:textAlignment w:val="auto"/>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（3）残疾人福利性单位价格扣除：</w:t>
            </w:r>
            <w:r>
              <w:rPr>
                <w:rFonts w:hint="eastAsia" w:ascii="宋体" w:hAnsi="宋体" w:eastAsia="宋体" w:cs="宋体"/>
                <w:b w:val="0"/>
                <w:color w:val="auto"/>
                <w:sz w:val="24"/>
                <w:highlight w:val="none"/>
                <w:u w:val="none"/>
              </w:rPr>
              <w:t>同小型和微型企业</w:t>
            </w:r>
            <w:r>
              <w:rPr>
                <w:rFonts w:hint="eastAsia" w:ascii="宋体" w:hAnsi="宋体" w:eastAsia="宋体" w:cs="宋体"/>
                <w:b w:val="0"/>
                <w:color w:val="auto"/>
                <w:sz w:val="24"/>
                <w:highlight w:val="none"/>
              </w:rPr>
              <w:t>。</w:t>
            </w:r>
          </w:p>
          <w:p w14:paraId="0F0A9501">
            <w:pPr>
              <w:pStyle w:val="2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0" w:firstLineChars="0"/>
              <w:jc w:val="both"/>
              <w:textAlignment w:val="auto"/>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（4）符合条件的联合体价格扣除：</w:t>
            </w:r>
            <w:r>
              <w:rPr>
                <w:rFonts w:hint="eastAsia" w:ascii="宋体" w:hAnsi="宋体" w:eastAsia="宋体" w:cs="宋体"/>
                <w:b w:val="0"/>
                <w:color w:val="auto"/>
                <w:sz w:val="24"/>
                <w:highlight w:val="none"/>
                <w:u w:val="single"/>
                <w:lang w:val="en-US" w:eastAsia="zh-CN"/>
              </w:rPr>
              <w:t>/</w:t>
            </w:r>
            <w:r>
              <w:rPr>
                <w:rFonts w:hint="eastAsia" w:ascii="宋体" w:hAnsi="宋体" w:eastAsia="宋体" w:cs="宋体"/>
                <w:b w:val="0"/>
                <w:color w:val="auto"/>
                <w:sz w:val="24"/>
                <w:highlight w:val="none"/>
                <w:u w:val="none"/>
                <w:lang w:val="en-US" w:eastAsia="zh-CN"/>
              </w:rPr>
              <w:t>%</w:t>
            </w:r>
            <w:r>
              <w:rPr>
                <w:rFonts w:hint="eastAsia" w:ascii="宋体" w:hAnsi="宋体" w:eastAsia="宋体" w:cs="宋体"/>
                <w:b w:val="0"/>
                <w:color w:val="auto"/>
                <w:sz w:val="24"/>
                <w:highlight w:val="none"/>
                <w:u w:val="none"/>
                <w:lang w:eastAsia="zh-CN"/>
              </w:rPr>
              <w:t>（</w:t>
            </w:r>
            <w:r>
              <w:rPr>
                <w:rFonts w:hint="eastAsia" w:ascii="宋体" w:hAnsi="宋体" w:eastAsia="宋体" w:cs="宋体"/>
                <w:b w:val="0"/>
                <w:color w:val="auto"/>
                <w:sz w:val="24"/>
                <w:highlight w:val="none"/>
                <w:u w:val="none"/>
              </w:rPr>
              <w:t>4%-6%</w:t>
            </w:r>
            <w:r>
              <w:rPr>
                <w:rFonts w:hint="eastAsia" w:ascii="宋体" w:hAnsi="宋体" w:eastAsia="宋体" w:cs="宋体"/>
                <w:b w:val="0"/>
                <w:color w:val="auto"/>
                <w:sz w:val="24"/>
                <w:highlight w:val="none"/>
                <w:u w:val="none"/>
                <w:lang w:eastAsia="zh-CN"/>
              </w:rPr>
              <w:t>）</w:t>
            </w:r>
            <w:r>
              <w:rPr>
                <w:rFonts w:hint="eastAsia" w:ascii="宋体" w:hAnsi="宋体" w:eastAsia="宋体" w:cs="宋体"/>
                <w:b w:val="0"/>
                <w:color w:val="auto"/>
                <w:sz w:val="24"/>
                <w:highlight w:val="none"/>
                <w:u w:val="none"/>
              </w:rPr>
              <w:t>。</w:t>
            </w:r>
            <w:r>
              <w:rPr>
                <w:rFonts w:hint="eastAsia" w:ascii="宋体" w:hAnsi="宋体" w:eastAsia="宋体" w:cs="宋体"/>
                <w:b w:val="0"/>
                <w:i/>
                <w:color w:val="auto"/>
                <w:sz w:val="24"/>
                <w:highlight w:val="none"/>
              </w:rPr>
              <w:t>（接受大中型企业与小微企业组成联合体的项目适用）</w:t>
            </w:r>
            <w:r>
              <w:rPr>
                <w:rFonts w:hint="eastAsia" w:ascii="宋体" w:hAnsi="宋体" w:eastAsia="宋体" w:cs="宋体"/>
                <w:b w:val="0"/>
                <w:color w:val="auto"/>
                <w:sz w:val="24"/>
                <w:highlight w:val="none"/>
              </w:rPr>
              <w:t>。</w:t>
            </w:r>
          </w:p>
          <w:p w14:paraId="661401F1">
            <w:pPr>
              <w:pStyle w:val="2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0" w:firstLineChars="0"/>
              <w:jc w:val="both"/>
              <w:textAlignment w:val="auto"/>
              <w:rPr>
                <w:rFonts w:hint="eastAsia" w:ascii="宋体" w:hAnsi="宋体" w:eastAsia="宋体" w:cs="宋体"/>
                <w:b w:val="0"/>
                <w:i/>
                <w:color w:val="auto"/>
                <w:sz w:val="24"/>
                <w:highlight w:val="none"/>
              </w:rPr>
            </w:pPr>
            <w:r>
              <w:rPr>
                <w:rFonts w:hint="eastAsia" w:ascii="宋体" w:hAnsi="宋体" w:eastAsia="宋体" w:cs="宋体"/>
                <w:b w:val="0"/>
                <w:color w:val="auto"/>
                <w:sz w:val="24"/>
                <w:highlight w:val="none"/>
              </w:rPr>
              <w:t>（5）符合条件的向小微企业分包的大中型企业价格扣除：</w:t>
            </w:r>
            <w:r>
              <w:rPr>
                <w:rFonts w:hint="eastAsia" w:ascii="宋体" w:hAnsi="宋体" w:eastAsia="宋体" w:cs="宋体"/>
                <w:b w:val="0"/>
                <w:color w:val="auto"/>
                <w:sz w:val="24"/>
                <w:highlight w:val="none"/>
                <w:u w:val="single"/>
                <w:lang w:val="en-US" w:eastAsia="zh-CN"/>
              </w:rPr>
              <w:t>/</w:t>
            </w:r>
            <w:r>
              <w:rPr>
                <w:rFonts w:hint="eastAsia" w:ascii="宋体" w:hAnsi="宋体" w:eastAsia="宋体" w:cs="宋体"/>
                <w:b w:val="0"/>
                <w:color w:val="auto"/>
                <w:sz w:val="24"/>
                <w:highlight w:val="none"/>
              </w:rPr>
              <w:t>%</w:t>
            </w:r>
            <w:r>
              <w:rPr>
                <w:rFonts w:hint="eastAsia" w:ascii="宋体" w:hAnsi="宋体" w:eastAsia="宋体" w:cs="宋体"/>
                <w:b w:val="0"/>
                <w:color w:val="auto"/>
                <w:sz w:val="24"/>
                <w:highlight w:val="none"/>
                <w:u w:val="none"/>
                <w:lang w:eastAsia="zh-CN"/>
              </w:rPr>
              <w:t>（</w:t>
            </w:r>
            <w:r>
              <w:rPr>
                <w:rFonts w:hint="eastAsia" w:ascii="宋体" w:hAnsi="宋体" w:eastAsia="宋体" w:cs="宋体"/>
                <w:b w:val="0"/>
                <w:color w:val="auto"/>
                <w:sz w:val="24"/>
                <w:highlight w:val="none"/>
                <w:u w:val="none"/>
              </w:rPr>
              <w:t>4%-6%</w:t>
            </w:r>
            <w:r>
              <w:rPr>
                <w:rFonts w:hint="eastAsia" w:ascii="宋体" w:hAnsi="宋体" w:eastAsia="宋体" w:cs="宋体"/>
                <w:b w:val="0"/>
                <w:color w:val="auto"/>
                <w:sz w:val="24"/>
                <w:highlight w:val="none"/>
                <w:u w:val="none"/>
                <w:lang w:eastAsia="zh-CN"/>
              </w:rPr>
              <w:t>）</w:t>
            </w:r>
            <w:r>
              <w:rPr>
                <w:rFonts w:hint="eastAsia" w:ascii="宋体" w:hAnsi="宋体" w:eastAsia="宋体" w:cs="宋体"/>
                <w:b w:val="0"/>
                <w:color w:val="auto"/>
                <w:sz w:val="24"/>
                <w:highlight w:val="none"/>
              </w:rPr>
              <w:t>。</w:t>
            </w:r>
            <w:r>
              <w:rPr>
                <w:rFonts w:hint="eastAsia" w:ascii="宋体" w:hAnsi="宋体" w:eastAsia="宋体" w:cs="宋体"/>
                <w:b w:val="0"/>
                <w:i/>
                <w:color w:val="auto"/>
                <w:sz w:val="24"/>
                <w:highlight w:val="none"/>
              </w:rPr>
              <w:t>（允许大中型企业向小微企业分包的项目适用）</w:t>
            </w:r>
          </w:p>
          <w:p w14:paraId="77904315">
            <w:pPr>
              <w:pStyle w:val="2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0" w:firstLineChars="0"/>
              <w:jc w:val="both"/>
              <w:textAlignment w:val="auto"/>
              <w:rPr>
                <w:rFonts w:hint="eastAsia" w:ascii="宋体" w:hAnsi="宋体" w:eastAsia="宋体" w:cs="宋体"/>
                <w:b w:val="0"/>
                <w:i/>
                <w:color w:val="auto"/>
                <w:sz w:val="24"/>
                <w:highlight w:val="none"/>
                <w:lang w:val="en-US" w:eastAsia="zh-CN"/>
              </w:rPr>
            </w:pPr>
          </w:p>
          <w:p w14:paraId="6386AF6E">
            <w:pPr>
              <w:spacing w:line="360" w:lineRule="auto"/>
              <w:ind w:firstLine="435"/>
              <w:rPr>
                <w:rFonts w:hint="eastAsia" w:ascii="宋体" w:hAnsi="宋体" w:eastAsia="宋体"/>
                <w:color w:val="auto"/>
                <w:sz w:val="24"/>
                <w:highlight w:val="none"/>
              </w:rPr>
            </w:pPr>
            <w:r>
              <w:rPr>
                <w:rFonts w:ascii="宋体" w:hAnsi="宋体" w:eastAsia="宋体"/>
                <w:color w:val="auto"/>
                <w:sz w:val="24"/>
                <w:highlight w:val="none"/>
              </w:rPr>
              <w:t>根据《政府采购促进中小企业发展管理办法》（财库〔2020〕46号）、《三部门联合发布关于促进残疾人就业政府采购政策的通知》（财库〔2017〕141号）和《财政部司法部关于政府采购支持监狱企业发展有关问题的通知》（财库〔2014〕68号）的规定，对满足价格扣除条件且在投标文件中提交了《中小企业声明函》、《残疾人福利性单位声明函》或省级以上监狱管理局、戒毒管理局（含新疆生产建设兵团）出具的属于监狱企业的证明文件的投标人，其投标报价按照</w:t>
            </w:r>
            <w:r>
              <w:rPr>
                <w:rFonts w:hint="eastAsia" w:ascii="宋体" w:hAnsi="宋体" w:eastAsia="宋体"/>
                <w:color w:val="auto"/>
                <w:sz w:val="24"/>
                <w:highlight w:val="none"/>
                <w:u w:val="none"/>
                <w:lang w:val="en-US" w:eastAsia="zh-CN"/>
              </w:rPr>
              <w:t>上述</w:t>
            </w:r>
            <w:r>
              <w:rPr>
                <w:rFonts w:ascii="宋体" w:hAnsi="宋体" w:eastAsia="宋体"/>
                <w:color w:val="auto"/>
                <w:sz w:val="24"/>
                <w:highlight w:val="none"/>
              </w:rPr>
              <w:t>规定的标准扣除后的价格参与评审。对于同时属于小微企</w:t>
            </w:r>
            <w:r>
              <w:rPr>
                <w:rFonts w:hint="eastAsia" w:ascii="宋体" w:hAnsi="宋体" w:eastAsia="宋体"/>
                <w:color w:val="auto"/>
                <w:sz w:val="24"/>
                <w:highlight w:val="none"/>
              </w:rPr>
              <w:t>业、监狱企业或残疾人福利性单位的，不重复进行投标报价扣除。</w:t>
            </w:r>
          </w:p>
          <w:p w14:paraId="052EE3E6">
            <w:pPr>
              <w:spacing w:line="360" w:lineRule="auto"/>
              <w:ind w:firstLine="435"/>
              <w:rPr>
                <w:rFonts w:hint="default" w:ascii="宋体" w:hAnsi="宋体" w:eastAsia="宋体" w:cs="宋体"/>
                <w:b w:val="0"/>
                <w:i/>
                <w:color w:val="auto"/>
                <w:sz w:val="24"/>
                <w:highlight w:val="none"/>
                <w:lang w:val="en-US" w:eastAsia="zh-CN"/>
              </w:rPr>
            </w:pPr>
            <w:r>
              <w:rPr>
                <w:rFonts w:hint="eastAsia" w:ascii="宋体" w:hAnsi="宋体" w:eastAsia="宋体"/>
                <w:color w:val="auto"/>
                <w:sz w:val="24"/>
                <w:highlight w:val="none"/>
                <w:lang w:val="en-US" w:eastAsia="zh-CN"/>
              </w:rPr>
              <w:t>备注：符合规定的</w:t>
            </w:r>
            <w:r>
              <w:rPr>
                <w:rFonts w:hint="eastAsia" w:ascii="宋体" w:hAnsi="宋体" w:eastAsia="宋体" w:cs="宋体"/>
                <w:b w:val="0"/>
                <w:color w:val="auto"/>
                <w:sz w:val="24"/>
                <w:highlight w:val="none"/>
              </w:rPr>
              <w:t>小型和微型企业</w:t>
            </w:r>
            <w:r>
              <w:rPr>
                <w:rFonts w:hint="eastAsia" w:ascii="宋体" w:hAnsi="宋体" w:eastAsia="宋体" w:cs="宋体"/>
                <w:b w:val="0"/>
                <w:color w:val="auto"/>
                <w:sz w:val="24"/>
                <w:highlight w:val="none"/>
                <w:lang w:val="en-US" w:eastAsia="zh-CN"/>
              </w:rPr>
              <w:t>须提供附表四</w:t>
            </w:r>
            <w:r>
              <w:rPr>
                <w:rFonts w:ascii="宋体" w:hAnsi="宋体" w:eastAsia="宋体"/>
                <w:color w:val="auto"/>
                <w:sz w:val="24"/>
                <w:highlight w:val="none"/>
              </w:rPr>
              <w:t>《中小企业声明函》</w:t>
            </w:r>
            <w:r>
              <w:rPr>
                <w:rFonts w:hint="eastAsia" w:ascii="宋体" w:hAnsi="宋体" w:eastAsia="宋体"/>
                <w:color w:val="auto"/>
                <w:sz w:val="24"/>
                <w:highlight w:val="none"/>
                <w:lang w:val="en-US" w:eastAsia="zh-CN"/>
              </w:rPr>
              <w:t>才能享受价格扣除，不属于或不提供则不享受价格扣除。</w:t>
            </w:r>
          </w:p>
        </w:tc>
      </w:tr>
      <w:tr w14:paraId="3AE20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02" w:hRule="atLeast"/>
          <w:jc w:val="center"/>
        </w:trPr>
        <w:tc>
          <w:tcPr>
            <w:tcW w:w="454" w:type="pct"/>
            <w:shd w:val="clear" w:color="auto" w:fill="auto"/>
            <w:vAlign w:val="center"/>
          </w:tcPr>
          <w:p w14:paraId="62B2E4ED">
            <w:pPr>
              <w:pStyle w:val="30"/>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beforeAutospacing="0" w:afterAutospacing="0" w:line="400" w:lineRule="exact"/>
              <w:jc w:val="center"/>
              <w:textAlignment w:val="auto"/>
              <w:rPr>
                <w:rFonts w:hint="eastAsia" w:ascii="宋体" w:hAnsi="宋体" w:eastAsia="宋体" w:cs="宋体"/>
                <w:bCs/>
                <w:color w:val="auto"/>
                <w:kern w:val="2"/>
                <w:sz w:val="24"/>
                <w:szCs w:val="20"/>
                <w:highlight w:val="none"/>
                <w:lang w:val="en-US" w:eastAsia="zh-CN" w:bidi="ar-SA"/>
              </w:rPr>
            </w:pPr>
            <w:r>
              <w:rPr>
                <w:rFonts w:hint="eastAsia" w:ascii="宋体" w:hAnsi="宋体" w:eastAsia="宋体" w:cs="宋体"/>
                <w:bCs/>
                <w:color w:val="auto"/>
                <w:kern w:val="2"/>
                <w:highlight w:val="none"/>
                <w:lang w:val="en-US" w:eastAsia="zh-CN"/>
              </w:rPr>
              <w:t>7</w:t>
            </w:r>
          </w:p>
        </w:tc>
        <w:tc>
          <w:tcPr>
            <w:tcW w:w="771" w:type="pct"/>
            <w:shd w:val="clear" w:color="auto" w:fill="auto"/>
            <w:vAlign w:val="center"/>
          </w:tcPr>
          <w:p w14:paraId="7933B9C5">
            <w:pPr>
              <w:pStyle w:val="2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b w:val="0"/>
                <w:bCs/>
                <w:color w:val="auto"/>
                <w:kern w:val="0"/>
                <w:sz w:val="24"/>
                <w:szCs w:val="28"/>
                <w:highlight w:val="none"/>
                <w:lang w:val="en-US" w:eastAsia="zh-CN" w:bidi="ar-SA"/>
              </w:rPr>
            </w:pPr>
            <w:r>
              <w:rPr>
                <w:rFonts w:hint="eastAsia" w:ascii="宋体" w:hAnsi="宋体" w:eastAsia="宋体" w:cs="宋体"/>
                <w:b w:val="0"/>
                <w:color w:val="auto"/>
                <w:sz w:val="24"/>
                <w:highlight w:val="none"/>
                <w:lang w:val="en-US" w:eastAsia="zh-CN"/>
              </w:rPr>
              <w:t>本国产品价格扣除</w:t>
            </w:r>
          </w:p>
        </w:tc>
        <w:tc>
          <w:tcPr>
            <w:tcW w:w="3774" w:type="pct"/>
            <w:shd w:val="clear" w:color="auto" w:fill="auto"/>
            <w:vAlign w:val="center"/>
          </w:tcPr>
          <w:p w14:paraId="4B8EC199">
            <w:pPr>
              <w:pStyle w:val="2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rPr>
                <w:rFonts w:hint="default" w:ascii="宋体" w:hAnsi="宋体" w:eastAsia="宋体" w:cs="宋体"/>
                <w:b w:val="0"/>
                <w:bCs/>
                <w:i w:val="0"/>
                <w:iCs/>
                <w:color w:val="auto"/>
                <w:kern w:val="0"/>
                <w:sz w:val="24"/>
                <w:szCs w:val="28"/>
                <w:highlight w:val="none"/>
                <w:lang w:val="en-US" w:eastAsia="zh-CN" w:bidi="ar-SA"/>
              </w:rPr>
            </w:pPr>
            <w:r>
              <w:rPr>
                <w:rFonts w:hint="eastAsia" w:ascii="宋体" w:hAnsi="宋体" w:eastAsia="宋体" w:cs="宋体"/>
                <w:b w:val="0"/>
                <w:bCs/>
                <w:i w:val="0"/>
                <w:iCs/>
                <w:color w:val="auto"/>
                <w:kern w:val="0"/>
                <w:sz w:val="24"/>
                <w:szCs w:val="28"/>
                <w:highlight w:val="none"/>
                <w:lang w:val="en-US" w:eastAsia="zh-CN" w:bidi="ar-SA"/>
              </w:rPr>
              <w:t>本项目不适用</w:t>
            </w:r>
          </w:p>
        </w:tc>
      </w:tr>
      <w:tr w14:paraId="4004F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02" w:hRule="atLeast"/>
          <w:jc w:val="center"/>
        </w:trPr>
        <w:tc>
          <w:tcPr>
            <w:tcW w:w="454" w:type="pct"/>
            <w:vAlign w:val="center"/>
          </w:tcPr>
          <w:p w14:paraId="4A9F81B3">
            <w:pPr>
              <w:pStyle w:val="30"/>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pacing w:beforeAutospacing="0" w:afterAutospacing="0" w:line="400" w:lineRule="exact"/>
              <w:jc w:val="center"/>
              <w:textAlignment w:val="auto"/>
              <w:rPr>
                <w:rFonts w:hint="eastAsia" w:ascii="宋体" w:hAnsi="宋体" w:eastAsia="宋体" w:cs="宋体"/>
                <w:bCs/>
                <w:color w:val="auto"/>
                <w:kern w:val="2"/>
                <w:highlight w:val="none"/>
                <w:lang w:eastAsia="zh-CN"/>
              </w:rPr>
            </w:pPr>
            <w:r>
              <w:rPr>
                <w:rFonts w:hint="eastAsia" w:ascii="宋体" w:hAnsi="宋体" w:eastAsia="宋体" w:cs="宋体"/>
                <w:bCs/>
                <w:color w:val="auto"/>
                <w:kern w:val="2"/>
                <w:highlight w:val="none"/>
                <w:lang w:val="en-US" w:eastAsia="zh-CN"/>
              </w:rPr>
              <w:t>8</w:t>
            </w:r>
          </w:p>
        </w:tc>
        <w:tc>
          <w:tcPr>
            <w:tcW w:w="771" w:type="pct"/>
            <w:vAlign w:val="center"/>
          </w:tcPr>
          <w:p w14:paraId="6BA46411">
            <w:pPr>
              <w:pStyle w:val="29"/>
              <w:keepNext w:val="0"/>
              <w:keepLines w:val="0"/>
              <w:pageBreakBefore w:val="0"/>
              <w:widowControl w:val="0"/>
              <w:kinsoku/>
              <w:wordWrap/>
              <w:overflowPunct/>
              <w:topLinePunct w:val="0"/>
              <w:autoSpaceDE/>
              <w:autoSpaceDN/>
              <w:bidi w:val="0"/>
              <w:spacing w:before="0" w:beforeAutospacing="0" w:after="0" w:afterAutospacing="0" w:line="400" w:lineRule="exact"/>
              <w:jc w:val="center"/>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确定中标人</w:t>
            </w:r>
          </w:p>
        </w:tc>
        <w:tc>
          <w:tcPr>
            <w:tcW w:w="3774" w:type="pct"/>
            <w:vAlign w:val="center"/>
          </w:tcPr>
          <w:p w14:paraId="73401434">
            <w:pPr>
              <w:keepNext w:val="0"/>
              <w:keepLines w:val="0"/>
              <w:pageBreakBefore w:val="0"/>
              <w:kinsoku/>
              <w:wordWrap/>
              <w:overflowPunct/>
              <w:topLinePunct w:val="0"/>
              <w:autoSpaceDE/>
              <w:autoSpaceDN/>
              <w:bidi w:val="0"/>
              <w:spacing w:beforeAutospacing="0" w:afterAutospacing="0" w:line="40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sym w:font="Wingdings" w:char="00FE"/>
            </w:r>
            <w:r>
              <w:rPr>
                <w:rFonts w:hint="eastAsia" w:ascii="宋体" w:hAnsi="宋体" w:eastAsia="宋体" w:cs="宋体"/>
                <w:color w:val="auto"/>
                <w:kern w:val="0"/>
                <w:sz w:val="24"/>
                <w:szCs w:val="24"/>
                <w:highlight w:val="none"/>
              </w:rPr>
              <w:t>采购人委托</w:t>
            </w:r>
            <w:r>
              <w:rPr>
                <w:rFonts w:hint="eastAsia" w:ascii="宋体" w:hAnsi="宋体" w:eastAsia="宋体" w:cs="宋体"/>
                <w:color w:val="auto"/>
                <w:kern w:val="0"/>
                <w:sz w:val="24"/>
                <w:szCs w:val="24"/>
                <w:highlight w:val="none"/>
                <w:lang w:val="en-US" w:eastAsia="zh-CN"/>
              </w:rPr>
              <w:t>评审小组</w:t>
            </w:r>
            <w:r>
              <w:rPr>
                <w:rFonts w:hint="eastAsia" w:ascii="宋体" w:hAnsi="宋体" w:eastAsia="宋体" w:cs="宋体"/>
                <w:color w:val="auto"/>
                <w:kern w:val="0"/>
                <w:sz w:val="24"/>
                <w:szCs w:val="24"/>
                <w:highlight w:val="none"/>
              </w:rPr>
              <w:t>确定</w:t>
            </w:r>
          </w:p>
          <w:p w14:paraId="571F13BD">
            <w:pPr>
              <w:pStyle w:val="29"/>
              <w:keepNext w:val="0"/>
              <w:keepLines w:val="0"/>
              <w:pageBreakBefore w:val="0"/>
              <w:widowControl w:val="0"/>
              <w:kinsoku/>
              <w:wordWrap/>
              <w:overflowPunct/>
              <w:topLinePunct w:val="0"/>
              <w:autoSpaceDE/>
              <w:autoSpaceDN/>
              <w:bidi w:val="0"/>
              <w:spacing w:before="0" w:beforeAutospacing="0" w:after="0" w:afterAutospacing="0" w:line="400" w:lineRule="exact"/>
              <w:jc w:val="both"/>
              <w:rPr>
                <w:rFonts w:hint="eastAsia" w:ascii="宋体" w:hAnsi="宋体" w:eastAsia="宋体" w:cs="宋体"/>
                <w:b w:val="0"/>
                <w:color w:val="auto"/>
                <w:sz w:val="24"/>
                <w:highlight w:val="none"/>
              </w:rPr>
            </w:pPr>
            <w:r>
              <w:rPr>
                <w:rFonts w:hint="eastAsia" w:ascii="宋体" w:hAnsi="宋体" w:eastAsia="宋体" w:cs="宋体"/>
                <w:b w:val="0"/>
                <w:bCs w:val="0"/>
                <w:color w:val="auto"/>
                <w:kern w:val="2"/>
                <w:sz w:val="24"/>
                <w:szCs w:val="24"/>
                <w:highlight w:val="none"/>
              </w:rPr>
              <w:t>□采购人确定</w:t>
            </w:r>
          </w:p>
        </w:tc>
      </w:tr>
      <w:tr w14:paraId="6290D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823" w:hRule="atLeast"/>
          <w:jc w:val="center"/>
        </w:trPr>
        <w:tc>
          <w:tcPr>
            <w:tcW w:w="454" w:type="pct"/>
            <w:vAlign w:val="center"/>
          </w:tcPr>
          <w:p w14:paraId="74147A0F">
            <w:pPr>
              <w:pStyle w:val="30"/>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pacing w:beforeAutospacing="0" w:afterAutospacing="0" w:line="400" w:lineRule="exact"/>
              <w:jc w:val="center"/>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lang w:val="en-US" w:eastAsia="zh-CN"/>
              </w:rPr>
              <w:t>9</w:t>
            </w:r>
          </w:p>
        </w:tc>
        <w:tc>
          <w:tcPr>
            <w:tcW w:w="771" w:type="pct"/>
            <w:vAlign w:val="center"/>
          </w:tcPr>
          <w:p w14:paraId="14C6B1A7">
            <w:pPr>
              <w:pStyle w:val="29"/>
              <w:keepNext w:val="0"/>
              <w:keepLines w:val="0"/>
              <w:pageBreakBefore w:val="0"/>
              <w:widowControl w:val="0"/>
              <w:kinsoku/>
              <w:wordWrap/>
              <w:overflowPunct/>
              <w:topLinePunct w:val="0"/>
              <w:autoSpaceDE/>
              <w:autoSpaceDN/>
              <w:bidi w:val="0"/>
              <w:spacing w:before="0" w:beforeAutospacing="0" w:after="0" w:afterAutospacing="0" w:line="400" w:lineRule="exact"/>
              <w:jc w:val="center"/>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履约保证金</w:t>
            </w:r>
          </w:p>
        </w:tc>
        <w:tc>
          <w:tcPr>
            <w:tcW w:w="3774" w:type="pct"/>
            <w:vAlign w:val="center"/>
          </w:tcPr>
          <w:p w14:paraId="11DD123A">
            <w:pPr>
              <w:keepNext w:val="0"/>
              <w:keepLines w:val="0"/>
              <w:pageBreakBefore w:val="0"/>
              <w:kinsoku/>
              <w:wordWrap/>
              <w:overflowPunct/>
              <w:topLinePunct w:val="0"/>
              <w:autoSpaceDE/>
              <w:autoSpaceDN/>
              <w:bidi w:val="0"/>
              <w:spacing w:beforeAutospacing="0" w:afterAutospacing="0" w:line="400" w:lineRule="exact"/>
              <w:rPr>
                <w:rFonts w:hint="default"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本项目不收取。</w:t>
            </w:r>
          </w:p>
        </w:tc>
      </w:tr>
      <w:tr w14:paraId="49164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840" w:hRule="atLeast"/>
          <w:jc w:val="center"/>
        </w:trPr>
        <w:tc>
          <w:tcPr>
            <w:tcW w:w="454" w:type="pct"/>
            <w:vAlign w:val="center"/>
          </w:tcPr>
          <w:p w14:paraId="40F17107">
            <w:pPr>
              <w:pStyle w:val="30"/>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pacing w:beforeAutospacing="0" w:afterAutospacing="0" w:line="400" w:lineRule="exact"/>
              <w:jc w:val="center"/>
              <w:textAlignment w:val="auto"/>
              <w:rPr>
                <w:rFonts w:hint="default" w:ascii="宋体" w:hAnsi="宋体" w:eastAsia="宋体" w:cs="宋体"/>
                <w:bCs/>
                <w:color w:val="auto"/>
                <w:kern w:val="2"/>
                <w:highlight w:val="none"/>
                <w:lang w:val="en-US"/>
              </w:rPr>
            </w:pPr>
            <w:r>
              <w:rPr>
                <w:rFonts w:hint="eastAsia" w:ascii="宋体" w:hAnsi="宋体" w:eastAsia="宋体" w:cs="宋体"/>
                <w:bCs/>
                <w:color w:val="auto"/>
                <w:kern w:val="2"/>
                <w:highlight w:val="none"/>
                <w:lang w:val="en-US" w:eastAsia="zh-CN"/>
              </w:rPr>
              <w:t>10</w:t>
            </w:r>
          </w:p>
        </w:tc>
        <w:tc>
          <w:tcPr>
            <w:tcW w:w="771" w:type="pct"/>
            <w:vAlign w:val="center"/>
          </w:tcPr>
          <w:p w14:paraId="3820EA4F">
            <w:pPr>
              <w:pStyle w:val="29"/>
              <w:keepNext w:val="0"/>
              <w:keepLines w:val="0"/>
              <w:pageBreakBefore w:val="0"/>
              <w:widowControl w:val="0"/>
              <w:kinsoku/>
              <w:wordWrap/>
              <w:overflowPunct/>
              <w:topLinePunct w:val="0"/>
              <w:autoSpaceDE/>
              <w:autoSpaceDN/>
              <w:bidi w:val="0"/>
              <w:spacing w:before="0" w:beforeAutospacing="0" w:after="0" w:afterAutospacing="0" w:line="400" w:lineRule="exact"/>
              <w:jc w:val="center"/>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lang w:val="en-US" w:eastAsia="zh-CN"/>
              </w:rPr>
              <w:t>签订合同、合同公告、</w:t>
            </w:r>
            <w:r>
              <w:rPr>
                <w:rFonts w:hint="eastAsia" w:ascii="宋体" w:hAnsi="宋体" w:eastAsia="宋体" w:cs="宋体"/>
                <w:b w:val="0"/>
                <w:color w:val="auto"/>
                <w:sz w:val="24"/>
                <w:highlight w:val="none"/>
              </w:rPr>
              <w:t>验收与支付时间</w:t>
            </w:r>
          </w:p>
        </w:tc>
        <w:tc>
          <w:tcPr>
            <w:tcW w:w="3774" w:type="pct"/>
            <w:vAlign w:val="center"/>
          </w:tcPr>
          <w:p w14:paraId="0A0092BA">
            <w:pPr>
              <w:keepNext w:val="0"/>
              <w:keepLines w:val="0"/>
              <w:pageBreakBefore w:val="0"/>
              <w:widowControl w:val="0"/>
              <w:kinsoku/>
              <w:wordWrap/>
              <w:overflowPunct/>
              <w:topLinePunct w:val="0"/>
              <w:autoSpaceDE/>
              <w:autoSpaceDN/>
              <w:bidi w:val="0"/>
              <w:adjustRightInd w:val="0"/>
              <w:snapToGrid w:val="0"/>
              <w:spacing w:beforeAutospacing="0" w:afterAutospacing="0" w:line="400" w:lineRule="exact"/>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（1）采购人与中标人应当自发出中标通知书之日起7个工作日内签订合同，采购合同签订之日起2个工作日内完成政府采购合同公开。</w:t>
            </w:r>
          </w:p>
          <w:p w14:paraId="4A83A805">
            <w:pPr>
              <w:pStyle w:val="29"/>
              <w:keepNext w:val="0"/>
              <w:keepLines w:val="0"/>
              <w:pageBreakBefore w:val="0"/>
              <w:widowControl w:val="0"/>
              <w:kinsoku/>
              <w:wordWrap/>
              <w:overflowPunct/>
              <w:topLinePunct w:val="0"/>
              <w:autoSpaceDE/>
              <w:autoSpaceDN/>
              <w:bidi w:val="0"/>
              <w:spacing w:before="0" w:beforeAutospacing="0" w:after="0" w:afterAutospacing="0" w:line="400" w:lineRule="exact"/>
              <w:jc w:val="both"/>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采购人与中标人不得擅自变更合同，依照政府采购法确需变更政府采购合同内容的，采购人应当自合同变更之日起2个工作日内在安徽省政府采购网发布政府采购合同变更公告，但涉及国家秘密、商业秘密的信息和其他依法不得公开的信息除外。</w:t>
            </w:r>
          </w:p>
          <w:p w14:paraId="32767336">
            <w:pPr>
              <w:pStyle w:val="29"/>
              <w:keepNext w:val="0"/>
              <w:keepLines w:val="0"/>
              <w:pageBreakBefore w:val="0"/>
              <w:widowControl w:val="0"/>
              <w:kinsoku/>
              <w:wordWrap/>
              <w:overflowPunct/>
              <w:topLinePunct w:val="0"/>
              <w:autoSpaceDE/>
              <w:autoSpaceDN/>
              <w:bidi w:val="0"/>
              <w:spacing w:before="0" w:beforeAutospacing="0" w:after="0" w:afterAutospacing="0" w:line="400" w:lineRule="exact"/>
              <w:jc w:val="both"/>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w:t>
            </w:r>
            <w:r>
              <w:rPr>
                <w:rFonts w:hint="eastAsia" w:ascii="宋体" w:hAnsi="宋体" w:eastAsia="宋体" w:cs="宋体"/>
                <w:b w:val="0"/>
                <w:bCs/>
                <w:color w:val="auto"/>
                <w:sz w:val="24"/>
                <w:szCs w:val="24"/>
                <w:highlight w:val="none"/>
                <w:lang w:val="en-US" w:eastAsia="zh-CN"/>
              </w:rPr>
              <w:t>3</w:t>
            </w:r>
            <w:r>
              <w:rPr>
                <w:rFonts w:hint="eastAsia" w:ascii="宋体" w:hAnsi="宋体" w:eastAsia="宋体" w:cs="宋体"/>
                <w:b w:val="0"/>
                <w:bCs/>
                <w:color w:val="auto"/>
                <w:sz w:val="24"/>
                <w:szCs w:val="24"/>
                <w:highlight w:val="none"/>
              </w:rPr>
              <w:t>）采购人应当在项目完成且收到供应商验收申请后 5 个工作日内组织开展履约验收。</w:t>
            </w:r>
          </w:p>
          <w:p w14:paraId="685234B1">
            <w:pPr>
              <w:pStyle w:val="29"/>
              <w:keepNext w:val="0"/>
              <w:keepLines w:val="0"/>
              <w:pageBreakBefore w:val="0"/>
              <w:widowControl w:val="0"/>
              <w:kinsoku/>
              <w:wordWrap/>
              <w:overflowPunct/>
              <w:topLinePunct w:val="0"/>
              <w:autoSpaceDE/>
              <w:autoSpaceDN/>
              <w:bidi w:val="0"/>
              <w:spacing w:before="0" w:beforeAutospacing="0" w:after="0" w:afterAutospacing="0" w:line="400" w:lineRule="exact"/>
              <w:jc w:val="both"/>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w:t>
            </w:r>
            <w:r>
              <w:rPr>
                <w:rFonts w:hint="eastAsia" w:ascii="宋体" w:hAnsi="宋体" w:eastAsia="宋体" w:cs="宋体"/>
                <w:b w:val="0"/>
                <w:bCs/>
                <w:color w:val="auto"/>
                <w:sz w:val="24"/>
                <w:szCs w:val="24"/>
                <w:highlight w:val="none"/>
                <w:lang w:val="en-US" w:eastAsia="zh-CN"/>
              </w:rPr>
              <w:t>4</w:t>
            </w:r>
            <w:r>
              <w:rPr>
                <w:rFonts w:hint="eastAsia" w:ascii="宋体" w:hAnsi="宋体" w:eastAsia="宋体" w:cs="宋体"/>
                <w:b w:val="0"/>
                <w:bCs/>
                <w:color w:val="auto"/>
                <w:sz w:val="24"/>
                <w:szCs w:val="24"/>
                <w:highlight w:val="none"/>
              </w:rPr>
              <w:t>）采购人验收时，应成立三人以上验收小组，明确责任，严格依照采购文件、</w:t>
            </w:r>
            <w:r>
              <w:rPr>
                <w:rFonts w:hint="eastAsia" w:ascii="宋体" w:hAnsi="宋体" w:eastAsia="宋体" w:cs="宋体"/>
                <w:b w:val="0"/>
                <w:bCs/>
                <w:color w:val="auto"/>
                <w:sz w:val="24"/>
                <w:szCs w:val="24"/>
                <w:highlight w:val="none"/>
                <w:lang w:val="en-US" w:eastAsia="zh-CN"/>
              </w:rPr>
              <w:t>中标</w:t>
            </w:r>
            <w:r>
              <w:rPr>
                <w:rFonts w:hint="eastAsia" w:ascii="宋体" w:hAnsi="宋体" w:eastAsia="宋体" w:cs="宋体"/>
                <w:b w:val="0"/>
                <w:bCs/>
                <w:color w:val="auto"/>
                <w:sz w:val="24"/>
                <w:szCs w:val="24"/>
                <w:highlight w:val="none"/>
              </w:rPr>
              <w:t>通知书、政府采购合同及相关验收规范进行核对、验收，形成验收结论，并出具书面验收报告。</w:t>
            </w:r>
          </w:p>
          <w:p w14:paraId="7CBE5058">
            <w:pPr>
              <w:pStyle w:val="29"/>
              <w:keepNext w:val="0"/>
              <w:keepLines w:val="0"/>
              <w:pageBreakBefore w:val="0"/>
              <w:widowControl w:val="0"/>
              <w:kinsoku/>
              <w:wordWrap/>
              <w:overflowPunct/>
              <w:topLinePunct w:val="0"/>
              <w:autoSpaceDE/>
              <w:autoSpaceDN/>
              <w:bidi w:val="0"/>
              <w:spacing w:before="0" w:beforeAutospacing="0" w:after="0" w:afterAutospacing="0" w:line="400" w:lineRule="exact"/>
              <w:jc w:val="both"/>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w:t>
            </w:r>
            <w:r>
              <w:rPr>
                <w:rFonts w:hint="eastAsia" w:ascii="宋体" w:hAnsi="宋体" w:eastAsia="宋体" w:cs="宋体"/>
                <w:b w:val="0"/>
                <w:bCs/>
                <w:color w:val="auto"/>
                <w:sz w:val="24"/>
                <w:szCs w:val="24"/>
                <w:highlight w:val="none"/>
                <w:lang w:val="en-US" w:eastAsia="zh-CN"/>
              </w:rPr>
              <w:t>5</w:t>
            </w:r>
            <w:r>
              <w:rPr>
                <w:rFonts w:hint="eastAsia" w:ascii="宋体" w:hAnsi="宋体" w:eastAsia="宋体" w:cs="宋体"/>
                <w:b w:val="0"/>
                <w:bCs/>
                <w:color w:val="auto"/>
                <w:sz w:val="24"/>
                <w:szCs w:val="24"/>
                <w:highlight w:val="none"/>
              </w:rPr>
              <w:t>）涉及安全、消防、环保等其他需要由质检或行业主管部门进行验收的项目，必须邀请相关部门或相关专家参与验收。</w:t>
            </w:r>
          </w:p>
          <w:p w14:paraId="1D285041">
            <w:pPr>
              <w:pStyle w:val="2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w:t>
            </w:r>
            <w:r>
              <w:rPr>
                <w:rFonts w:hint="eastAsia" w:ascii="宋体" w:hAnsi="宋体" w:eastAsia="宋体" w:cs="宋体"/>
                <w:b w:val="0"/>
                <w:bCs/>
                <w:color w:val="auto"/>
                <w:sz w:val="24"/>
                <w:szCs w:val="24"/>
                <w:highlight w:val="none"/>
                <w:lang w:val="en-US" w:eastAsia="zh-CN"/>
              </w:rPr>
              <w:t>6</w:t>
            </w:r>
            <w:r>
              <w:rPr>
                <w:rFonts w:hint="eastAsia" w:ascii="宋体" w:hAnsi="宋体" w:eastAsia="宋体" w:cs="宋体"/>
                <w:b w:val="0"/>
                <w:bCs/>
                <w:color w:val="auto"/>
                <w:sz w:val="24"/>
                <w:szCs w:val="24"/>
                <w:highlight w:val="none"/>
              </w:rPr>
              <w:t>）对于符合支付条件的项目，应在收到发票后7个工作日内将资金支付到合同约定的供应商账户，不得以进行审计作为支付供应商款项的条件。采购人不得以机构变动、人员更替、政策调整、履行内部付款流程等为由延迟付款。鼓励采购人完善内部流程，自收到发票后1个工作日内完成资金支付。</w:t>
            </w:r>
          </w:p>
          <w:p w14:paraId="31407381">
            <w:pPr>
              <w:keepNext w:val="0"/>
              <w:keepLines w:val="0"/>
              <w:pageBreakBefore w:val="0"/>
              <w:widowControl w:val="0"/>
              <w:kinsoku/>
              <w:wordWrap/>
              <w:overflowPunct/>
              <w:topLinePunct w:val="0"/>
              <w:autoSpaceDE/>
              <w:autoSpaceDN/>
              <w:bidi w:val="0"/>
              <w:adjustRightInd w:val="0"/>
              <w:snapToGrid w:val="0"/>
              <w:spacing w:beforeAutospacing="0" w:afterAutospacing="0" w:line="400" w:lineRule="exact"/>
              <w:jc w:val="both"/>
              <w:textAlignment w:val="auto"/>
              <w:rPr>
                <w:rFonts w:hint="eastAsia" w:ascii="宋体" w:hAnsi="宋体" w:eastAsia="宋体" w:cs="宋体"/>
                <w:b/>
                <w:bCs/>
                <w:color w:val="auto"/>
                <w:kern w:val="0"/>
                <w:sz w:val="24"/>
                <w:szCs w:val="24"/>
                <w:highlight w:val="none"/>
                <w:lang w:val="en-US"/>
              </w:rPr>
            </w:pPr>
            <w:r>
              <w:rPr>
                <w:rFonts w:hint="eastAsia" w:ascii="宋体" w:hAnsi="宋体" w:eastAsia="宋体" w:cs="宋体"/>
                <w:b w:val="0"/>
                <w:bCs/>
                <w:color w:val="auto"/>
                <w:kern w:val="0"/>
                <w:sz w:val="24"/>
                <w:szCs w:val="24"/>
                <w:highlight w:val="none"/>
                <w:lang w:val="en-US" w:eastAsia="zh-CN" w:bidi="ar-SA"/>
              </w:rPr>
              <w:t>（7）因政策变化等原因不能签订合同，造成企业合法利益受损的情形，采购人可以与供应商充分协商，给予合理补偿。延迟支付中小企业款项的，供应商可要求采购人按照合同约定支付逾期利息，合同没有约定的，按照同期人民银行LPR支付逾期利息。</w:t>
            </w:r>
          </w:p>
        </w:tc>
      </w:tr>
      <w:tr w14:paraId="3300A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02" w:hRule="atLeast"/>
          <w:jc w:val="center"/>
        </w:trPr>
        <w:tc>
          <w:tcPr>
            <w:tcW w:w="454" w:type="pct"/>
            <w:vAlign w:val="center"/>
          </w:tcPr>
          <w:p w14:paraId="53ECEDCB">
            <w:pPr>
              <w:pStyle w:val="30"/>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pacing w:beforeAutospacing="0" w:afterAutospacing="0" w:line="400" w:lineRule="exact"/>
              <w:jc w:val="center"/>
              <w:textAlignment w:val="auto"/>
              <w:rPr>
                <w:rFonts w:hint="default" w:ascii="宋体" w:hAnsi="宋体" w:eastAsia="宋体" w:cs="宋体"/>
                <w:bCs/>
                <w:color w:val="auto"/>
                <w:kern w:val="2"/>
                <w:highlight w:val="none"/>
                <w:lang w:val="en-US"/>
              </w:rPr>
            </w:pPr>
            <w:r>
              <w:rPr>
                <w:rFonts w:hint="eastAsia" w:ascii="宋体" w:hAnsi="宋体" w:eastAsia="宋体" w:cs="宋体"/>
                <w:bCs/>
                <w:color w:val="auto"/>
                <w:kern w:val="2"/>
                <w:highlight w:val="none"/>
                <w:lang w:val="en-US" w:eastAsia="zh-CN"/>
              </w:rPr>
              <w:t>11</w:t>
            </w:r>
          </w:p>
        </w:tc>
        <w:tc>
          <w:tcPr>
            <w:tcW w:w="771" w:type="pct"/>
            <w:vAlign w:val="center"/>
          </w:tcPr>
          <w:p w14:paraId="61A2DBCF">
            <w:pPr>
              <w:pStyle w:val="29"/>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rPr>
                <w:rFonts w:hint="eastAsia" w:ascii="宋体" w:hAnsi="宋体" w:eastAsia="宋体" w:cs="宋体"/>
                <w:b w:val="0"/>
                <w:color w:val="auto"/>
                <w:sz w:val="24"/>
                <w:highlight w:val="none"/>
                <w:lang w:eastAsia="zh-CN"/>
              </w:rPr>
            </w:pPr>
            <w:r>
              <w:rPr>
                <w:rFonts w:hint="eastAsia" w:ascii="宋体" w:hAnsi="宋体" w:eastAsia="宋体" w:cs="宋体"/>
                <w:b w:val="0"/>
                <w:color w:val="auto"/>
                <w:sz w:val="24"/>
                <w:highlight w:val="none"/>
                <w:lang w:val="en-US" w:eastAsia="zh-CN"/>
              </w:rPr>
              <w:t>代理服务费</w:t>
            </w:r>
          </w:p>
        </w:tc>
        <w:tc>
          <w:tcPr>
            <w:tcW w:w="3774" w:type="pct"/>
            <w:vAlign w:val="center"/>
          </w:tcPr>
          <w:p w14:paraId="49CFB309">
            <w:pPr>
              <w:pageBreakBefore w:val="0"/>
              <w:kinsoku/>
              <w:wordWrap/>
              <w:overflowPunct/>
              <w:topLinePunct w:val="0"/>
              <w:autoSpaceDE/>
              <w:autoSpaceDN/>
              <w:bidi w:val="0"/>
              <w:spacing w:line="500" w:lineRule="exact"/>
              <w:jc w:val="left"/>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1、支付方：□采购人  ☑成交供应商</w:t>
            </w:r>
          </w:p>
          <w:p w14:paraId="3F7C6B32">
            <w:pPr>
              <w:pageBreakBefore w:val="0"/>
              <w:kinsoku/>
              <w:wordWrap/>
              <w:overflowPunct/>
              <w:topLinePunct w:val="0"/>
              <w:autoSpaceDE/>
              <w:autoSpaceDN/>
              <w:bidi w:val="0"/>
              <w:spacing w:line="500" w:lineRule="exact"/>
              <w:jc w:val="left"/>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2、收费标准：按下列标准收取：代理服务费的收取采用差额定率累进计费方式，具体收费标准为下表：</w:t>
            </w:r>
          </w:p>
          <w:tbl>
            <w:tblPr>
              <w:tblStyle w:val="19"/>
              <w:tblW w:w="65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2652"/>
              <w:gridCol w:w="1335"/>
              <w:gridCol w:w="1275"/>
              <w:gridCol w:w="1320"/>
            </w:tblGrid>
            <w:tr w14:paraId="1A6BB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02" w:hRule="atLeast"/>
              </w:trPr>
              <w:tc>
                <w:tcPr>
                  <w:tcW w:w="2652" w:type="dxa"/>
                  <w:noWrap/>
                  <w:vAlign w:val="center"/>
                </w:tcPr>
                <w:p w14:paraId="05B78AD9">
                  <w:pPr>
                    <w:pageBreakBefore w:val="0"/>
                    <w:widowControl/>
                    <w:kinsoku/>
                    <w:wordWrap/>
                    <w:overflowPunct/>
                    <w:topLinePunct w:val="0"/>
                    <w:autoSpaceDE/>
                    <w:autoSpaceDN/>
                    <w:bidi w:val="0"/>
                    <w:spacing w:line="500" w:lineRule="exact"/>
                    <w:jc w:val="left"/>
                    <w:textAlignment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成交金额（万元）</w:t>
                  </w:r>
                </w:p>
              </w:tc>
              <w:tc>
                <w:tcPr>
                  <w:tcW w:w="1335" w:type="dxa"/>
                  <w:noWrap/>
                  <w:vAlign w:val="center"/>
                </w:tcPr>
                <w:p w14:paraId="298A35FE">
                  <w:pPr>
                    <w:pageBreakBefore w:val="0"/>
                    <w:widowControl/>
                    <w:kinsoku/>
                    <w:wordWrap/>
                    <w:overflowPunct/>
                    <w:topLinePunct w:val="0"/>
                    <w:autoSpaceDE/>
                    <w:autoSpaceDN/>
                    <w:bidi w:val="0"/>
                    <w:spacing w:line="500" w:lineRule="exact"/>
                    <w:jc w:val="left"/>
                    <w:textAlignment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货物类项目</w:t>
                  </w:r>
                </w:p>
              </w:tc>
              <w:tc>
                <w:tcPr>
                  <w:tcW w:w="1275" w:type="dxa"/>
                  <w:noWrap/>
                  <w:vAlign w:val="center"/>
                </w:tcPr>
                <w:p w14:paraId="41F05D1D">
                  <w:pPr>
                    <w:pageBreakBefore w:val="0"/>
                    <w:widowControl/>
                    <w:kinsoku/>
                    <w:wordWrap/>
                    <w:overflowPunct/>
                    <w:topLinePunct w:val="0"/>
                    <w:autoSpaceDE/>
                    <w:autoSpaceDN/>
                    <w:bidi w:val="0"/>
                    <w:spacing w:line="500" w:lineRule="exact"/>
                    <w:jc w:val="left"/>
                    <w:textAlignment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服务类项目</w:t>
                  </w:r>
                </w:p>
              </w:tc>
              <w:tc>
                <w:tcPr>
                  <w:tcW w:w="1320" w:type="dxa"/>
                  <w:noWrap/>
                  <w:vAlign w:val="center"/>
                </w:tcPr>
                <w:p w14:paraId="4578BFAD">
                  <w:pPr>
                    <w:pageBreakBefore w:val="0"/>
                    <w:widowControl/>
                    <w:kinsoku/>
                    <w:wordWrap/>
                    <w:overflowPunct/>
                    <w:topLinePunct w:val="0"/>
                    <w:autoSpaceDE/>
                    <w:autoSpaceDN/>
                    <w:bidi w:val="0"/>
                    <w:spacing w:line="500" w:lineRule="exact"/>
                    <w:jc w:val="left"/>
                    <w:textAlignment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工程类项目</w:t>
                  </w:r>
                </w:p>
              </w:tc>
            </w:tr>
            <w:tr w14:paraId="56698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8" w:hRule="atLeast"/>
              </w:trPr>
              <w:tc>
                <w:tcPr>
                  <w:tcW w:w="2652" w:type="dxa"/>
                  <w:noWrap/>
                  <w:vAlign w:val="center"/>
                </w:tcPr>
                <w:p w14:paraId="0DC022D4">
                  <w:pPr>
                    <w:pageBreakBefore w:val="0"/>
                    <w:widowControl/>
                    <w:kinsoku/>
                    <w:wordWrap/>
                    <w:overflowPunct/>
                    <w:topLinePunct w:val="0"/>
                    <w:autoSpaceDE/>
                    <w:autoSpaceDN/>
                    <w:bidi w:val="0"/>
                    <w:spacing w:line="500" w:lineRule="exact"/>
                    <w:jc w:val="left"/>
                    <w:textAlignment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100 以下</w:t>
                  </w:r>
                </w:p>
              </w:tc>
              <w:tc>
                <w:tcPr>
                  <w:tcW w:w="1335" w:type="dxa"/>
                  <w:noWrap/>
                  <w:vAlign w:val="center"/>
                </w:tcPr>
                <w:p w14:paraId="1166E883">
                  <w:pPr>
                    <w:pageBreakBefore w:val="0"/>
                    <w:widowControl/>
                    <w:kinsoku/>
                    <w:wordWrap/>
                    <w:overflowPunct/>
                    <w:topLinePunct w:val="0"/>
                    <w:autoSpaceDE/>
                    <w:autoSpaceDN/>
                    <w:bidi w:val="0"/>
                    <w:spacing w:line="500" w:lineRule="exact"/>
                    <w:jc w:val="left"/>
                    <w:textAlignment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1.5%</w:t>
                  </w:r>
                </w:p>
              </w:tc>
              <w:tc>
                <w:tcPr>
                  <w:tcW w:w="1275" w:type="dxa"/>
                  <w:noWrap/>
                  <w:vAlign w:val="center"/>
                </w:tcPr>
                <w:p w14:paraId="5640F9C4">
                  <w:pPr>
                    <w:pageBreakBefore w:val="0"/>
                    <w:widowControl/>
                    <w:kinsoku/>
                    <w:wordWrap/>
                    <w:overflowPunct/>
                    <w:topLinePunct w:val="0"/>
                    <w:autoSpaceDE/>
                    <w:autoSpaceDN/>
                    <w:bidi w:val="0"/>
                    <w:spacing w:line="500" w:lineRule="exact"/>
                    <w:jc w:val="left"/>
                    <w:textAlignment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1.5%</w:t>
                  </w:r>
                </w:p>
              </w:tc>
              <w:tc>
                <w:tcPr>
                  <w:tcW w:w="1320" w:type="dxa"/>
                  <w:noWrap/>
                  <w:vAlign w:val="center"/>
                </w:tcPr>
                <w:p w14:paraId="187BD11D">
                  <w:pPr>
                    <w:pageBreakBefore w:val="0"/>
                    <w:widowControl/>
                    <w:kinsoku/>
                    <w:wordWrap/>
                    <w:overflowPunct/>
                    <w:topLinePunct w:val="0"/>
                    <w:autoSpaceDE/>
                    <w:autoSpaceDN/>
                    <w:bidi w:val="0"/>
                    <w:spacing w:line="500" w:lineRule="exact"/>
                    <w:jc w:val="left"/>
                    <w:textAlignment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1.0%</w:t>
                  </w:r>
                </w:p>
              </w:tc>
            </w:tr>
            <w:tr w14:paraId="22C66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8" w:hRule="atLeast"/>
              </w:trPr>
              <w:tc>
                <w:tcPr>
                  <w:tcW w:w="2652" w:type="dxa"/>
                  <w:noWrap/>
                  <w:vAlign w:val="center"/>
                </w:tcPr>
                <w:p w14:paraId="0200ADC0">
                  <w:pPr>
                    <w:pageBreakBefore w:val="0"/>
                    <w:widowControl/>
                    <w:kinsoku/>
                    <w:wordWrap/>
                    <w:overflowPunct/>
                    <w:topLinePunct w:val="0"/>
                    <w:autoSpaceDE/>
                    <w:autoSpaceDN/>
                    <w:bidi w:val="0"/>
                    <w:spacing w:line="500" w:lineRule="exact"/>
                    <w:jc w:val="left"/>
                    <w:textAlignment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100-500</w:t>
                  </w:r>
                </w:p>
              </w:tc>
              <w:tc>
                <w:tcPr>
                  <w:tcW w:w="1335" w:type="dxa"/>
                  <w:noWrap/>
                  <w:vAlign w:val="center"/>
                </w:tcPr>
                <w:p w14:paraId="29D3079D">
                  <w:pPr>
                    <w:pageBreakBefore w:val="0"/>
                    <w:widowControl/>
                    <w:kinsoku/>
                    <w:wordWrap/>
                    <w:overflowPunct/>
                    <w:topLinePunct w:val="0"/>
                    <w:autoSpaceDE/>
                    <w:autoSpaceDN/>
                    <w:bidi w:val="0"/>
                    <w:spacing w:line="500" w:lineRule="exact"/>
                    <w:jc w:val="left"/>
                    <w:textAlignment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1.1%</w:t>
                  </w:r>
                </w:p>
              </w:tc>
              <w:tc>
                <w:tcPr>
                  <w:tcW w:w="1275" w:type="dxa"/>
                  <w:noWrap/>
                  <w:vAlign w:val="center"/>
                </w:tcPr>
                <w:p w14:paraId="54016213">
                  <w:pPr>
                    <w:pageBreakBefore w:val="0"/>
                    <w:widowControl/>
                    <w:kinsoku/>
                    <w:wordWrap/>
                    <w:overflowPunct/>
                    <w:topLinePunct w:val="0"/>
                    <w:autoSpaceDE/>
                    <w:autoSpaceDN/>
                    <w:bidi w:val="0"/>
                    <w:spacing w:line="500" w:lineRule="exact"/>
                    <w:jc w:val="left"/>
                    <w:textAlignment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0.8%</w:t>
                  </w:r>
                </w:p>
              </w:tc>
              <w:tc>
                <w:tcPr>
                  <w:tcW w:w="1320" w:type="dxa"/>
                  <w:noWrap/>
                  <w:vAlign w:val="center"/>
                </w:tcPr>
                <w:p w14:paraId="2DE973CD">
                  <w:pPr>
                    <w:pageBreakBefore w:val="0"/>
                    <w:widowControl/>
                    <w:kinsoku/>
                    <w:wordWrap/>
                    <w:overflowPunct/>
                    <w:topLinePunct w:val="0"/>
                    <w:autoSpaceDE/>
                    <w:autoSpaceDN/>
                    <w:bidi w:val="0"/>
                    <w:spacing w:line="500" w:lineRule="exact"/>
                    <w:jc w:val="left"/>
                    <w:textAlignment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0.7%</w:t>
                  </w:r>
                </w:p>
              </w:tc>
            </w:tr>
            <w:tr w14:paraId="08CA0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8" w:hRule="atLeast"/>
              </w:trPr>
              <w:tc>
                <w:tcPr>
                  <w:tcW w:w="2652" w:type="dxa"/>
                  <w:noWrap/>
                  <w:vAlign w:val="center"/>
                </w:tcPr>
                <w:p w14:paraId="19552B45">
                  <w:pPr>
                    <w:pageBreakBefore w:val="0"/>
                    <w:widowControl/>
                    <w:kinsoku/>
                    <w:wordWrap/>
                    <w:overflowPunct/>
                    <w:topLinePunct w:val="0"/>
                    <w:autoSpaceDE/>
                    <w:autoSpaceDN/>
                    <w:bidi w:val="0"/>
                    <w:spacing w:line="500" w:lineRule="exact"/>
                    <w:jc w:val="left"/>
                    <w:textAlignment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500-1000</w:t>
                  </w:r>
                </w:p>
              </w:tc>
              <w:tc>
                <w:tcPr>
                  <w:tcW w:w="1335" w:type="dxa"/>
                  <w:noWrap/>
                  <w:vAlign w:val="center"/>
                </w:tcPr>
                <w:p w14:paraId="69351B03">
                  <w:pPr>
                    <w:pageBreakBefore w:val="0"/>
                    <w:widowControl/>
                    <w:kinsoku/>
                    <w:wordWrap/>
                    <w:overflowPunct/>
                    <w:topLinePunct w:val="0"/>
                    <w:autoSpaceDE/>
                    <w:autoSpaceDN/>
                    <w:bidi w:val="0"/>
                    <w:spacing w:line="500" w:lineRule="exact"/>
                    <w:jc w:val="left"/>
                    <w:textAlignment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0.8%</w:t>
                  </w:r>
                </w:p>
              </w:tc>
              <w:tc>
                <w:tcPr>
                  <w:tcW w:w="1275" w:type="dxa"/>
                  <w:noWrap/>
                  <w:vAlign w:val="center"/>
                </w:tcPr>
                <w:p w14:paraId="33AC08A9">
                  <w:pPr>
                    <w:pageBreakBefore w:val="0"/>
                    <w:widowControl/>
                    <w:kinsoku/>
                    <w:wordWrap/>
                    <w:overflowPunct/>
                    <w:topLinePunct w:val="0"/>
                    <w:autoSpaceDE/>
                    <w:autoSpaceDN/>
                    <w:bidi w:val="0"/>
                    <w:spacing w:line="500" w:lineRule="exact"/>
                    <w:jc w:val="left"/>
                    <w:textAlignment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0.45%</w:t>
                  </w:r>
                </w:p>
              </w:tc>
              <w:tc>
                <w:tcPr>
                  <w:tcW w:w="1320" w:type="dxa"/>
                  <w:noWrap/>
                  <w:vAlign w:val="center"/>
                </w:tcPr>
                <w:p w14:paraId="0BB8D120">
                  <w:pPr>
                    <w:pageBreakBefore w:val="0"/>
                    <w:widowControl/>
                    <w:kinsoku/>
                    <w:wordWrap/>
                    <w:overflowPunct/>
                    <w:topLinePunct w:val="0"/>
                    <w:autoSpaceDE/>
                    <w:autoSpaceDN/>
                    <w:bidi w:val="0"/>
                    <w:spacing w:line="500" w:lineRule="exact"/>
                    <w:jc w:val="left"/>
                    <w:textAlignment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0.55%</w:t>
                  </w:r>
                </w:p>
              </w:tc>
            </w:tr>
            <w:tr w14:paraId="2E9D3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8" w:hRule="atLeast"/>
              </w:trPr>
              <w:tc>
                <w:tcPr>
                  <w:tcW w:w="2652" w:type="dxa"/>
                  <w:noWrap/>
                  <w:vAlign w:val="center"/>
                </w:tcPr>
                <w:p w14:paraId="430C0CE0">
                  <w:pPr>
                    <w:pageBreakBefore w:val="0"/>
                    <w:widowControl/>
                    <w:kinsoku/>
                    <w:wordWrap/>
                    <w:overflowPunct/>
                    <w:topLinePunct w:val="0"/>
                    <w:autoSpaceDE/>
                    <w:autoSpaceDN/>
                    <w:bidi w:val="0"/>
                    <w:spacing w:line="500" w:lineRule="exact"/>
                    <w:jc w:val="left"/>
                    <w:textAlignment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1000-5000</w:t>
                  </w:r>
                </w:p>
              </w:tc>
              <w:tc>
                <w:tcPr>
                  <w:tcW w:w="1335" w:type="dxa"/>
                  <w:noWrap/>
                  <w:vAlign w:val="center"/>
                </w:tcPr>
                <w:p w14:paraId="130E9A53">
                  <w:pPr>
                    <w:pageBreakBefore w:val="0"/>
                    <w:widowControl/>
                    <w:kinsoku/>
                    <w:wordWrap/>
                    <w:overflowPunct/>
                    <w:topLinePunct w:val="0"/>
                    <w:autoSpaceDE/>
                    <w:autoSpaceDN/>
                    <w:bidi w:val="0"/>
                    <w:spacing w:line="500" w:lineRule="exact"/>
                    <w:jc w:val="left"/>
                    <w:textAlignment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0.5%</w:t>
                  </w:r>
                </w:p>
              </w:tc>
              <w:tc>
                <w:tcPr>
                  <w:tcW w:w="1275" w:type="dxa"/>
                  <w:noWrap/>
                  <w:vAlign w:val="center"/>
                </w:tcPr>
                <w:p w14:paraId="4E82C4C0">
                  <w:pPr>
                    <w:pageBreakBefore w:val="0"/>
                    <w:widowControl/>
                    <w:kinsoku/>
                    <w:wordWrap/>
                    <w:overflowPunct/>
                    <w:topLinePunct w:val="0"/>
                    <w:autoSpaceDE/>
                    <w:autoSpaceDN/>
                    <w:bidi w:val="0"/>
                    <w:spacing w:line="500" w:lineRule="exact"/>
                    <w:jc w:val="left"/>
                    <w:textAlignment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0.25%</w:t>
                  </w:r>
                </w:p>
              </w:tc>
              <w:tc>
                <w:tcPr>
                  <w:tcW w:w="1320" w:type="dxa"/>
                  <w:noWrap/>
                  <w:vAlign w:val="center"/>
                </w:tcPr>
                <w:p w14:paraId="0DEE8C70">
                  <w:pPr>
                    <w:pageBreakBefore w:val="0"/>
                    <w:widowControl/>
                    <w:kinsoku/>
                    <w:wordWrap/>
                    <w:overflowPunct/>
                    <w:topLinePunct w:val="0"/>
                    <w:autoSpaceDE/>
                    <w:autoSpaceDN/>
                    <w:bidi w:val="0"/>
                    <w:spacing w:line="500" w:lineRule="exact"/>
                    <w:jc w:val="left"/>
                    <w:textAlignment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0.35%</w:t>
                  </w:r>
                </w:p>
              </w:tc>
            </w:tr>
            <w:tr w14:paraId="37230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8" w:hRule="atLeast"/>
              </w:trPr>
              <w:tc>
                <w:tcPr>
                  <w:tcW w:w="2652" w:type="dxa"/>
                  <w:noWrap/>
                  <w:vAlign w:val="center"/>
                </w:tcPr>
                <w:p w14:paraId="22E62581">
                  <w:pPr>
                    <w:pageBreakBefore w:val="0"/>
                    <w:widowControl/>
                    <w:kinsoku/>
                    <w:wordWrap/>
                    <w:overflowPunct/>
                    <w:topLinePunct w:val="0"/>
                    <w:autoSpaceDE/>
                    <w:autoSpaceDN/>
                    <w:bidi w:val="0"/>
                    <w:spacing w:line="500" w:lineRule="exact"/>
                    <w:jc w:val="left"/>
                    <w:textAlignment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5000-10000</w:t>
                  </w:r>
                </w:p>
              </w:tc>
              <w:tc>
                <w:tcPr>
                  <w:tcW w:w="1335" w:type="dxa"/>
                  <w:noWrap/>
                  <w:vAlign w:val="center"/>
                </w:tcPr>
                <w:p w14:paraId="231E50DD">
                  <w:pPr>
                    <w:pageBreakBefore w:val="0"/>
                    <w:widowControl/>
                    <w:kinsoku/>
                    <w:wordWrap/>
                    <w:overflowPunct/>
                    <w:topLinePunct w:val="0"/>
                    <w:autoSpaceDE/>
                    <w:autoSpaceDN/>
                    <w:bidi w:val="0"/>
                    <w:spacing w:line="500" w:lineRule="exact"/>
                    <w:jc w:val="left"/>
                    <w:textAlignment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0.25%</w:t>
                  </w:r>
                </w:p>
              </w:tc>
              <w:tc>
                <w:tcPr>
                  <w:tcW w:w="1275" w:type="dxa"/>
                  <w:noWrap/>
                  <w:vAlign w:val="center"/>
                </w:tcPr>
                <w:p w14:paraId="2EE97C5E">
                  <w:pPr>
                    <w:pageBreakBefore w:val="0"/>
                    <w:widowControl/>
                    <w:kinsoku/>
                    <w:wordWrap/>
                    <w:overflowPunct/>
                    <w:topLinePunct w:val="0"/>
                    <w:autoSpaceDE/>
                    <w:autoSpaceDN/>
                    <w:bidi w:val="0"/>
                    <w:spacing w:line="500" w:lineRule="exact"/>
                    <w:jc w:val="left"/>
                    <w:textAlignment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0.1%</w:t>
                  </w:r>
                </w:p>
              </w:tc>
              <w:tc>
                <w:tcPr>
                  <w:tcW w:w="1320" w:type="dxa"/>
                  <w:noWrap/>
                  <w:vAlign w:val="center"/>
                </w:tcPr>
                <w:p w14:paraId="43FC4C9D">
                  <w:pPr>
                    <w:pageBreakBefore w:val="0"/>
                    <w:widowControl/>
                    <w:kinsoku/>
                    <w:wordWrap/>
                    <w:overflowPunct/>
                    <w:topLinePunct w:val="0"/>
                    <w:autoSpaceDE/>
                    <w:autoSpaceDN/>
                    <w:bidi w:val="0"/>
                    <w:spacing w:line="500" w:lineRule="exact"/>
                    <w:jc w:val="left"/>
                    <w:textAlignment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0.2%</w:t>
                  </w:r>
                </w:p>
              </w:tc>
            </w:tr>
            <w:tr w14:paraId="3BF17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8" w:hRule="atLeast"/>
              </w:trPr>
              <w:tc>
                <w:tcPr>
                  <w:tcW w:w="2652" w:type="dxa"/>
                  <w:noWrap/>
                  <w:vAlign w:val="center"/>
                </w:tcPr>
                <w:p w14:paraId="46C14A2B">
                  <w:pPr>
                    <w:pageBreakBefore w:val="0"/>
                    <w:widowControl/>
                    <w:kinsoku/>
                    <w:wordWrap/>
                    <w:overflowPunct/>
                    <w:topLinePunct w:val="0"/>
                    <w:autoSpaceDE/>
                    <w:autoSpaceDN/>
                    <w:bidi w:val="0"/>
                    <w:spacing w:line="500" w:lineRule="exact"/>
                    <w:jc w:val="left"/>
                    <w:textAlignment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10000-100000</w:t>
                  </w:r>
                </w:p>
              </w:tc>
              <w:tc>
                <w:tcPr>
                  <w:tcW w:w="1335" w:type="dxa"/>
                  <w:noWrap/>
                  <w:vAlign w:val="center"/>
                </w:tcPr>
                <w:p w14:paraId="4AE98624">
                  <w:pPr>
                    <w:pageBreakBefore w:val="0"/>
                    <w:widowControl/>
                    <w:kinsoku/>
                    <w:wordWrap/>
                    <w:overflowPunct/>
                    <w:topLinePunct w:val="0"/>
                    <w:autoSpaceDE/>
                    <w:autoSpaceDN/>
                    <w:bidi w:val="0"/>
                    <w:spacing w:line="500" w:lineRule="exact"/>
                    <w:jc w:val="left"/>
                    <w:textAlignment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0.05%</w:t>
                  </w:r>
                </w:p>
              </w:tc>
              <w:tc>
                <w:tcPr>
                  <w:tcW w:w="1275" w:type="dxa"/>
                  <w:noWrap/>
                  <w:vAlign w:val="center"/>
                </w:tcPr>
                <w:p w14:paraId="4D2D3B16">
                  <w:pPr>
                    <w:pageBreakBefore w:val="0"/>
                    <w:widowControl/>
                    <w:kinsoku/>
                    <w:wordWrap/>
                    <w:overflowPunct/>
                    <w:topLinePunct w:val="0"/>
                    <w:autoSpaceDE/>
                    <w:autoSpaceDN/>
                    <w:bidi w:val="0"/>
                    <w:spacing w:line="500" w:lineRule="exact"/>
                    <w:jc w:val="left"/>
                    <w:textAlignment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0.05%</w:t>
                  </w:r>
                </w:p>
              </w:tc>
              <w:tc>
                <w:tcPr>
                  <w:tcW w:w="1320" w:type="dxa"/>
                  <w:noWrap/>
                  <w:vAlign w:val="center"/>
                </w:tcPr>
                <w:p w14:paraId="72411309">
                  <w:pPr>
                    <w:pageBreakBefore w:val="0"/>
                    <w:widowControl/>
                    <w:kinsoku/>
                    <w:wordWrap/>
                    <w:overflowPunct/>
                    <w:topLinePunct w:val="0"/>
                    <w:autoSpaceDE/>
                    <w:autoSpaceDN/>
                    <w:bidi w:val="0"/>
                    <w:spacing w:line="500" w:lineRule="exact"/>
                    <w:jc w:val="left"/>
                    <w:textAlignment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0.05%</w:t>
                  </w:r>
                </w:p>
              </w:tc>
            </w:tr>
            <w:tr w14:paraId="5E3B0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8" w:hRule="atLeast"/>
              </w:trPr>
              <w:tc>
                <w:tcPr>
                  <w:tcW w:w="2652" w:type="dxa"/>
                  <w:noWrap/>
                  <w:vAlign w:val="center"/>
                </w:tcPr>
                <w:p w14:paraId="242C2E34">
                  <w:pPr>
                    <w:pageBreakBefore w:val="0"/>
                    <w:widowControl/>
                    <w:kinsoku/>
                    <w:wordWrap/>
                    <w:overflowPunct/>
                    <w:topLinePunct w:val="0"/>
                    <w:autoSpaceDE/>
                    <w:autoSpaceDN/>
                    <w:bidi w:val="0"/>
                    <w:spacing w:line="500" w:lineRule="exact"/>
                    <w:jc w:val="left"/>
                    <w:textAlignment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100000 以上</w:t>
                  </w:r>
                </w:p>
              </w:tc>
              <w:tc>
                <w:tcPr>
                  <w:tcW w:w="1335" w:type="dxa"/>
                  <w:noWrap/>
                  <w:vAlign w:val="center"/>
                </w:tcPr>
                <w:p w14:paraId="0DB52B56">
                  <w:pPr>
                    <w:pageBreakBefore w:val="0"/>
                    <w:widowControl/>
                    <w:kinsoku/>
                    <w:wordWrap/>
                    <w:overflowPunct/>
                    <w:topLinePunct w:val="0"/>
                    <w:autoSpaceDE/>
                    <w:autoSpaceDN/>
                    <w:bidi w:val="0"/>
                    <w:spacing w:line="500" w:lineRule="exact"/>
                    <w:jc w:val="left"/>
                    <w:textAlignment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0.01%</w:t>
                  </w:r>
                </w:p>
              </w:tc>
              <w:tc>
                <w:tcPr>
                  <w:tcW w:w="1275" w:type="dxa"/>
                  <w:noWrap/>
                  <w:vAlign w:val="center"/>
                </w:tcPr>
                <w:p w14:paraId="3A075EAD">
                  <w:pPr>
                    <w:pageBreakBefore w:val="0"/>
                    <w:widowControl/>
                    <w:kinsoku/>
                    <w:wordWrap/>
                    <w:overflowPunct/>
                    <w:topLinePunct w:val="0"/>
                    <w:autoSpaceDE/>
                    <w:autoSpaceDN/>
                    <w:bidi w:val="0"/>
                    <w:spacing w:line="500" w:lineRule="exact"/>
                    <w:jc w:val="left"/>
                    <w:textAlignment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0.01%</w:t>
                  </w:r>
                </w:p>
              </w:tc>
              <w:tc>
                <w:tcPr>
                  <w:tcW w:w="1320" w:type="dxa"/>
                  <w:noWrap/>
                  <w:vAlign w:val="center"/>
                </w:tcPr>
                <w:p w14:paraId="40328E82">
                  <w:pPr>
                    <w:pageBreakBefore w:val="0"/>
                    <w:widowControl/>
                    <w:kinsoku/>
                    <w:wordWrap/>
                    <w:overflowPunct/>
                    <w:topLinePunct w:val="0"/>
                    <w:autoSpaceDE/>
                    <w:autoSpaceDN/>
                    <w:bidi w:val="0"/>
                    <w:spacing w:line="500" w:lineRule="exact"/>
                    <w:jc w:val="left"/>
                    <w:textAlignment w:val="center"/>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0.01%</w:t>
                  </w:r>
                </w:p>
              </w:tc>
            </w:tr>
          </w:tbl>
          <w:p w14:paraId="7D3F565A">
            <w:pPr>
              <w:pageBreakBefore w:val="0"/>
              <w:kinsoku/>
              <w:wordWrap/>
              <w:overflowPunct/>
              <w:topLinePunct w:val="0"/>
              <w:autoSpaceDE/>
              <w:autoSpaceDN/>
              <w:bidi w:val="0"/>
              <w:spacing w:line="500" w:lineRule="exact"/>
              <w:jc w:val="left"/>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注：代理服务费按差额定率累进法计算。</w:t>
            </w:r>
          </w:p>
          <w:p w14:paraId="0E56DE0C">
            <w:pPr>
              <w:pageBreakBefore w:val="0"/>
              <w:kinsoku/>
              <w:wordWrap/>
              <w:overflowPunct/>
              <w:topLinePunct w:val="0"/>
              <w:autoSpaceDE/>
              <w:autoSpaceDN/>
              <w:bidi w:val="0"/>
              <w:spacing w:line="500" w:lineRule="exact"/>
              <w:jc w:val="left"/>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例如：某服务类项目代理业务中标金额为 6000 万元，计算代理服务费如下：100 万元×1.5％＝1.5万元</w:t>
            </w:r>
          </w:p>
          <w:p w14:paraId="1D99ED06">
            <w:pPr>
              <w:pageBreakBefore w:val="0"/>
              <w:kinsoku/>
              <w:wordWrap/>
              <w:overflowPunct/>
              <w:topLinePunct w:val="0"/>
              <w:autoSpaceDE/>
              <w:autoSpaceDN/>
              <w:bidi w:val="0"/>
              <w:spacing w:line="500" w:lineRule="exact"/>
              <w:jc w:val="left"/>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（500－100）万元×0.8％＝3.2万元</w:t>
            </w:r>
          </w:p>
          <w:p w14:paraId="008B0B5F">
            <w:pPr>
              <w:pageBreakBefore w:val="0"/>
              <w:kinsoku/>
              <w:wordWrap/>
              <w:overflowPunct/>
              <w:topLinePunct w:val="0"/>
              <w:autoSpaceDE/>
              <w:autoSpaceDN/>
              <w:bidi w:val="0"/>
              <w:spacing w:line="500" w:lineRule="exact"/>
              <w:jc w:val="left"/>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（1000－500）万元×0.45％＝2.25 万元</w:t>
            </w:r>
          </w:p>
          <w:p w14:paraId="22E0F13C">
            <w:pPr>
              <w:pageBreakBefore w:val="0"/>
              <w:kinsoku/>
              <w:wordWrap/>
              <w:overflowPunct/>
              <w:topLinePunct w:val="0"/>
              <w:autoSpaceDE/>
              <w:autoSpaceDN/>
              <w:bidi w:val="0"/>
              <w:spacing w:line="500" w:lineRule="exact"/>
              <w:jc w:val="left"/>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（5000－1000）万元×0.25％＝10万元</w:t>
            </w:r>
          </w:p>
          <w:p w14:paraId="43FE12A0">
            <w:pPr>
              <w:pageBreakBefore w:val="0"/>
              <w:kinsoku/>
              <w:wordWrap/>
              <w:overflowPunct/>
              <w:topLinePunct w:val="0"/>
              <w:autoSpaceDE/>
              <w:autoSpaceDN/>
              <w:bidi w:val="0"/>
              <w:spacing w:line="500" w:lineRule="exact"/>
              <w:jc w:val="left"/>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（6000－5000）万元×0.1％＝1万元</w:t>
            </w:r>
          </w:p>
          <w:p w14:paraId="2C0F546C">
            <w:pPr>
              <w:pageBreakBefore w:val="0"/>
              <w:kinsoku/>
              <w:wordWrap/>
              <w:overflowPunct/>
              <w:topLinePunct w:val="0"/>
              <w:autoSpaceDE/>
              <w:autoSpaceDN/>
              <w:bidi w:val="0"/>
              <w:spacing w:line="500" w:lineRule="exact"/>
              <w:jc w:val="left"/>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合计收费＝1.5＋3.2＋2.25＋10＋1＝17.95(万元)</w:t>
            </w:r>
          </w:p>
          <w:p w14:paraId="0825AD45">
            <w:pPr>
              <w:pageBreakBefore w:val="0"/>
              <w:kinsoku/>
              <w:wordWrap/>
              <w:overflowPunct/>
              <w:topLinePunct w:val="0"/>
              <w:autoSpaceDE/>
              <w:autoSpaceDN/>
              <w:bidi w:val="0"/>
              <w:spacing w:line="500" w:lineRule="exact"/>
              <w:jc w:val="left"/>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3、收取方式：银行转账。</w:t>
            </w:r>
          </w:p>
          <w:p w14:paraId="1B9BD9E8">
            <w:pPr>
              <w:pageBreakBefore w:val="0"/>
              <w:kinsoku/>
              <w:wordWrap/>
              <w:overflowPunct/>
              <w:topLinePunct w:val="0"/>
              <w:autoSpaceDE/>
              <w:autoSpaceDN/>
              <w:bidi w:val="0"/>
              <w:spacing w:line="500" w:lineRule="exact"/>
              <w:jc w:val="left"/>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4、代理服务费缴纳账户：</w:t>
            </w:r>
          </w:p>
          <w:p w14:paraId="010A3326">
            <w:pPr>
              <w:pStyle w:val="30"/>
              <w:pageBreakBefore w:val="0"/>
              <w:pBdr>
                <w:bottom w:val="none" w:color="auto" w:sz="0" w:space="0"/>
              </w:pBdr>
              <w:tabs>
                <w:tab w:val="clear" w:pos="4153"/>
                <w:tab w:val="clear" w:pos="8306"/>
              </w:tabs>
              <w:kinsoku/>
              <w:wordWrap/>
              <w:overflowPunct/>
              <w:topLinePunct w:val="0"/>
              <w:autoSpaceDE/>
              <w:autoSpaceDN/>
              <w:bidi w:val="0"/>
              <w:adjustRightInd/>
              <w:spacing w:line="500" w:lineRule="exact"/>
              <w:jc w:val="left"/>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户名：安徽大别山工程咨询有限公司</w:t>
            </w:r>
          </w:p>
          <w:p w14:paraId="0DD75853">
            <w:pPr>
              <w:pStyle w:val="30"/>
              <w:pageBreakBefore w:val="0"/>
              <w:pBdr>
                <w:bottom w:val="none" w:color="auto" w:sz="0" w:space="0"/>
              </w:pBdr>
              <w:tabs>
                <w:tab w:val="clear" w:pos="4153"/>
                <w:tab w:val="clear" w:pos="8306"/>
              </w:tabs>
              <w:kinsoku/>
              <w:wordWrap/>
              <w:overflowPunct/>
              <w:topLinePunct w:val="0"/>
              <w:autoSpaceDE/>
              <w:autoSpaceDN/>
              <w:bidi w:val="0"/>
              <w:adjustRightInd/>
              <w:spacing w:line="500" w:lineRule="exact"/>
              <w:jc w:val="left"/>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 xml:space="preserve">开户行：安徽霍山农村商业银行股份有限公司营业部 </w:t>
            </w:r>
          </w:p>
          <w:p w14:paraId="06409785">
            <w:pPr>
              <w:pStyle w:val="30"/>
              <w:pageBreakBefore w:val="0"/>
              <w:pBdr>
                <w:bottom w:val="none" w:color="auto" w:sz="0" w:space="0"/>
              </w:pBdr>
              <w:tabs>
                <w:tab w:val="clear" w:pos="4153"/>
                <w:tab w:val="clear" w:pos="8306"/>
              </w:tabs>
              <w:kinsoku/>
              <w:wordWrap/>
              <w:overflowPunct/>
              <w:topLinePunct w:val="0"/>
              <w:autoSpaceDE/>
              <w:autoSpaceDN/>
              <w:bidi w:val="0"/>
              <w:adjustRightInd/>
              <w:spacing w:line="500" w:lineRule="exact"/>
              <w:jc w:val="left"/>
              <w:textAlignment w:val="auto"/>
              <w:rPr>
                <w:rFonts w:hint="eastAsia" w:ascii="宋体" w:hAnsi="宋体" w:eastAsia="宋体" w:cs="宋体"/>
                <w:b w:val="0"/>
                <w:color w:val="auto"/>
                <w:sz w:val="24"/>
                <w:highlight w:val="none"/>
              </w:rPr>
            </w:pPr>
            <w:r>
              <w:rPr>
                <w:rFonts w:hint="eastAsia" w:ascii="宋体" w:hAnsi="宋体" w:eastAsia="宋体" w:cs="宋体"/>
                <w:b w:val="0"/>
                <w:bCs w:val="0"/>
                <w:color w:val="auto"/>
                <w:kern w:val="0"/>
                <w:sz w:val="24"/>
                <w:szCs w:val="24"/>
                <w:highlight w:val="none"/>
                <w:lang w:val="en-US" w:eastAsia="zh-CN" w:bidi="ar-SA"/>
              </w:rPr>
              <w:t xml:space="preserve">账号：20010048352066600000012 </w:t>
            </w:r>
          </w:p>
        </w:tc>
      </w:tr>
      <w:tr w14:paraId="56B65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02" w:hRule="atLeast"/>
          <w:jc w:val="center"/>
        </w:trPr>
        <w:tc>
          <w:tcPr>
            <w:tcW w:w="454" w:type="pct"/>
            <w:vAlign w:val="center"/>
          </w:tcPr>
          <w:p w14:paraId="1AC59A65">
            <w:pPr>
              <w:pStyle w:val="30"/>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pacing w:beforeAutospacing="0" w:afterAutospacing="0" w:line="400" w:lineRule="exact"/>
              <w:jc w:val="center"/>
              <w:textAlignment w:val="auto"/>
              <w:rPr>
                <w:rFonts w:hint="default" w:ascii="宋体" w:hAnsi="宋体" w:eastAsia="宋体" w:cs="宋体"/>
                <w:bCs/>
                <w:color w:val="auto"/>
                <w:kern w:val="2"/>
                <w:highlight w:val="none"/>
                <w:lang w:val="en-US" w:eastAsia="zh-CN"/>
              </w:rPr>
            </w:pPr>
            <w:r>
              <w:rPr>
                <w:rFonts w:hint="eastAsia" w:ascii="宋体" w:hAnsi="宋体" w:eastAsia="宋体" w:cs="宋体"/>
                <w:bCs/>
                <w:color w:val="auto"/>
                <w:kern w:val="2"/>
                <w:highlight w:val="none"/>
                <w:lang w:val="en-US" w:eastAsia="zh-CN"/>
              </w:rPr>
              <w:t>12</w:t>
            </w:r>
          </w:p>
        </w:tc>
        <w:tc>
          <w:tcPr>
            <w:tcW w:w="771" w:type="pct"/>
            <w:vAlign w:val="center"/>
          </w:tcPr>
          <w:p w14:paraId="61F7FDB0">
            <w:pPr>
              <w:pStyle w:val="29"/>
              <w:keepNext w:val="0"/>
              <w:keepLines w:val="0"/>
              <w:pageBreakBefore w:val="0"/>
              <w:widowControl w:val="0"/>
              <w:kinsoku/>
              <w:wordWrap/>
              <w:overflowPunct/>
              <w:topLinePunct w:val="0"/>
              <w:autoSpaceDE/>
              <w:autoSpaceDN/>
              <w:bidi w:val="0"/>
              <w:spacing w:before="0" w:beforeAutospacing="0" w:after="0" w:afterAutospacing="0" w:line="400" w:lineRule="exact"/>
              <w:jc w:val="center"/>
              <w:rPr>
                <w:rFonts w:hint="eastAsia" w:ascii="宋体" w:hAnsi="宋体" w:eastAsia="宋体" w:cs="宋体"/>
                <w:b w:val="0"/>
                <w:color w:val="auto"/>
                <w:sz w:val="24"/>
                <w:highlight w:val="none"/>
                <w:lang w:val="en-US" w:eastAsia="zh-CN"/>
              </w:rPr>
            </w:pPr>
            <w:r>
              <w:rPr>
                <w:rFonts w:hint="eastAsia" w:ascii="宋体" w:hAnsi="宋体" w:eastAsia="宋体" w:cs="宋体"/>
                <w:b w:val="0"/>
                <w:color w:val="auto"/>
                <w:sz w:val="24"/>
                <w:highlight w:val="none"/>
                <w:lang w:val="en-US" w:eastAsia="zh-CN"/>
              </w:rPr>
              <w:t>其他内容</w:t>
            </w:r>
          </w:p>
        </w:tc>
        <w:tc>
          <w:tcPr>
            <w:tcW w:w="3774" w:type="pct"/>
            <w:vAlign w:val="center"/>
          </w:tcPr>
          <w:p w14:paraId="701DFCF5">
            <w:pPr>
              <w:pStyle w:val="29"/>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00" w:lineRule="exact"/>
              <w:jc w:val="both"/>
              <w:rPr>
                <w:rFonts w:hint="eastAsia" w:ascii="宋体" w:hAnsi="宋体" w:eastAsia="宋体" w:cs="宋体"/>
                <w:b w:val="0"/>
                <w:color w:val="auto"/>
                <w:sz w:val="24"/>
                <w:highlight w:val="none"/>
                <w:lang w:val="en-US" w:eastAsia="zh-CN"/>
              </w:rPr>
            </w:pPr>
            <w:r>
              <w:rPr>
                <w:rFonts w:hint="eastAsia" w:ascii="宋体" w:hAnsi="宋体" w:eastAsia="宋体" w:cs="宋体"/>
                <w:b w:val="0"/>
                <w:color w:val="auto"/>
                <w:sz w:val="24"/>
                <w:highlight w:val="none"/>
                <w:lang w:val="en-US" w:eastAsia="zh-CN"/>
              </w:rPr>
              <w:t>1、解释权：</w:t>
            </w:r>
          </w:p>
          <w:p w14:paraId="490082D7">
            <w:pPr>
              <w:keepNext w:val="0"/>
              <w:keepLines w:val="0"/>
              <w:pageBreakBefore w:val="0"/>
              <w:kinsoku/>
              <w:wordWrap/>
              <w:overflowPunct/>
              <w:topLinePunct w:val="0"/>
              <w:autoSpaceDE/>
              <w:autoSpaceDN/>
              <w:bidi w:val="0"/>
              <w:adjustRightInd/>
              <w:snapToGrid/>
              <w:spacing w:line="400" w:lineRule="exac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（1）构成本招标文件的各个组成文件应互为解释，互为说明；</w:t>
            </w:r>
          </w:p>
          <w:p w14:paraId="1810F2EF">
            <w:pPr>
              <w:keepNext w:val="0"/>
              <w:keepLines w:val="0"/>
              <w:pageBreakBefore w:val="0"/>
              <w:kinsoku/>
              <w:wordWrap/>
              <w:overflowPunct/>
              <w:topLinePunct w:val="0"/>
              <w:autoSpaceDE/>
              <w:autoSpaceDN/>
              <w:bidi w:val="0"/>
              <w:adjustRightInd/>
              <w:snapToGrid/>
              <w:spacing w:line="400" w:lineRule="exac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（2）同一组成文件中就同一事项的规定或约定不一致的，以编排顺序在后者为准；</w:t>
            </w:r>
          </w:p>
          <w:p w14:paraId="00512681">
            <w:pPr>
              <w:keepNext w:val="0"/>
              <w:keepLines w:val="0"/>
              <w:pageBreakBefore w:val="0"/>
              <w:kinsoku/>
              <w:wordWrap/>
              <w:overflowPunct/>
              <w:topLinePunct w:val="0"/>
              <w:autoSpaceDE/>
              <w:autoSpaceDN/>
              <w:bidi w:val="0"/>
              <w:adjustRightInd/>
              <w:snapToGrid/>
              <w:spacing w:line="400" w:lineRule="exact"/>
              <w:rPr>
                <w:rFonts w:hint="default" w:ascii="宋体" w:hAnsi="宋体" w:eastAsia="宋体" w:cs="宋体"/>
                <w:color w:val="auto"/>
                <w:sz w:val="24"/>
                <w:szCs w:val="24"/>
                <w:highlight w:val="none"/>
                <w:u w:val="single"/>
                <w:lang w:val="en-US" w:eastAsia="zh-CN"/>
              </w:rPr>
            </w:pPr>
            <w:r>
              <w:rPr>
                <w:rFonts w:hint="eastAsia" w:ascii="宋体" w:hAnsi="宋体" w:eastAsia="宋体" w:cs="宋体"/>
                <w:bCs/>
                <w:color w:val="auto"/>
                <w:sz w:val="24"/>
                <w:szCs w:val="24"/>
                <w:highlight w:val="none"/>
              </w:rPr>
              <w:t>（3）如有不明确或不一致，构成合同文件组成内容的，以合同文件约定内容为准，且以专用合同条款约定的合同文件优先顺序解释；</w:t>
            </w:r>
          </w:p>
        </w:tc>
      </w:tr>
      <w:tr w14:paraId="035DD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502" w:hRule="atLeast"/>
          <w:jc w:val="center"/>
        </w:trPr>
        <w:tc>
          <w:tcPr>
            <w:tcW w:w="454" w:type="pct"/>
            <w:vAlign w:val="center"/>
          </w:tcPr>
          <w:p w14:paraId="68C9C202">
            <w:pPr>
              <w:pStyle w:val="29"/>
              <w:keepNext w:val="0"/>
              <w:keepLines w:val="0"/>
              <w:pageBreakBefore w:val="0"/>
              <w:widowControl w:val="0"/>
              <w:kinsoku/>
              <w:wordWrap/>
              <w:overflowPunct/>
              <w:topLinePunct w:val="0"/>
              <w:autoSpaceDE/>
              <w:autoSpaceDN/>
              <w:bidi w:val="0"/>
              <w:spacing w:before="0" w:beforeAutospacing="0" w:after="0" w:afterAutospacing="0" w:line="400" w:lineRule="exact"/>
              <w:jc w:val="center"/>
              <w:rPr>
                <w:rFonts w:hint="default" w:ascii="宋体" w:hAnsi="宋体" w:eastAsia="宋体" w:cs="宋体"/>
                <w:b w:val="0"/>
                <w:color w:val="auto"/>
                <w:sz w:val="24"/>
                <w:highlight w:val="none"/>
                <w:lang w:val="en-US" w:eastAsia="zh-CN"/>
              </w:rPr>
            </w:pPr>
            <w:r>
              <w:rPr>
                <w:rFonts w:hint="eastAsia" w:ascii="宋体" w:hAnsi="宋体" w:eastAsia="宋体" w:cs="宋体"/>
                <w:b w:val="0"/>
                <w:color w:val="auto"/>
                <w:sz w:val="24"/>
                <w:highlight w:val="none"/>
                <w:lang w:val="en-US" w:eastAsia="zh-CN"/>
              </w:rPr>
              <w:t>13</w:t>
            </w:r>
          </w:p>
        </w:tc>
        <w:tc>
          <w:tcPr>
            <w:tcW w:w="771" w:type="pct"/>
            <w:vAlign w:val="center"/>
          </w:tcPr>
          <w:p w14:paraId="0385CB5F">
            <w:pPr>
              <w:pStyle w:val="29"/>
              <w:keepNext w:val="0"/>
              <w:keepLines w:val="0"/>
              <w:pageBreakBefore w:val="0"/>
              <w:widowControl w:val="0"/>
              <w:kinsoku/>
              <w:wordWrap/>
              <w:overflowPunct/>
              <w:topLinePunct w:val="0"/>
              <w:autoSpaceDE/>
              <w:autoSpaceDN/>
              <w:bidi w:val="0"/>
              <w:spacing w:before="0" w:beforeAutospacing="0" w:after="0" w:afterAutospacing="0" w:line="400" w:lineRule="exact"/>
              <w:jc w:val="center"/>
              <w:rPr>
                <w:rFonts w:hint="eastAsia" w:ascii="宋体" w:hAnsi="宋体" w:eastAsia="宋体" w:cs="宋体"/>
                <w:b w:val="0"/>
                <w:color w:val="auto"/>
                <w:sz w:val="24"/>
                <w:highlight w:val="none"/>
                <w:lang w:val="en-US" w:eastAsia="zh-CN"/>
              </w:rPr>
            </w:pPr>
            <w:r>
              <w:rPr>
                <w:rFonts w:hint="eastAsia" w:ascii="宋体" w:hAnsi="宋体" w:eastAsia="宋体" w:cs="宋体"/>
                <w:b w:val="0"/>
                <w:color w:val="auto"/>
                <w:sz w:val="24"/>
                <w:highlight w:val="none"/>
                <w:lang w:val="en-US" w:eastAsia="zh-CN"/>
              </w:rPr>
              <w:t>本项目采购标的所属行业</w:t>
            </w:r>
          </w:p>
        </w:tc>
        <w:tc>
          <w:tcPr>
            <w:tcW w:w="3774" w:type="pct"/>
            <w:vAlign w:val="center"/>
          </w:tcPr>
          <w:p w14:paraId="16D40BBD">
            <w:pPr>
              <w:pStyle w:val="29"/>
              <w:keepNext w:val="0"/>
              <w:keepLines w:val="0"/>
              <w:pageBreakBefore w:val="0"/>
              <w:widowControl w:val="0"/>
              <w:kinsoku/>
              <w:wordWrap/>
              <w:overflowPunct/>
              <w:topLinePunct w:val="0"/>
              <w:autoSpaceDE/>
              <w:autoSpaceDN/>
              <w:bidi w:val="0"/>
              <w:spacing w:before="0" w:beforeAutospacing="0" w:after="0" w:afterAutospacing="0" w:line="400" w:lineRule="exact"/>
              <w:jc w:val="left"/>
              <w:rPr>
                <w:rFonts w:hint="eastAsia" w:ascii="宋体" w:hAnsi="宋体" w:eastAsia="宋体" w:cs="宋体"/>
                <w:b w:val="0"/>
                <w:color w:val="auto"/>
                <w:sz w:val="24"/>
                <w:highlight w:val="none"/>
                <w:lang w:val="en-US" w:eastAsia="zh-CN"/>
              </w:rPr>
            </w:pPr>
            <w:r>
              <w:rPr>
                <w:rFonts w:hint="eastAsia" w:ascii="宋体" w:hAnsi="宋体" w:eastAsia="宋体" w:cs="宋体"/>
                <w:b w:val="0"/>
                <w:color w:val="auto"/>
                <w:sz w:val="24"/>
                <w:highlight w:val="none"/>
                <w:lang w:val="en-US" w:eastAsia="zh-CN"/>
              </w:rPr>
              <w:t>其他未列明行业</w:t>
            </w:r>
            <w:bookmarkStart w:id="46" w:name="_GoBack"/>
            <w:bookmarkEnd w:id="46"/>
          </w:p>
        </w:tc>
      </w:tr>
      <w:tr w14:paraId="68DCB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9" w:type="dxa"/>
            <w:bottom w:w="0" w:type="dxa"/>
            <w:right w:w="79" w:type="dxa"/>
          </w:tblCellMar>
        </w:tblPrEx>
        <w:trPr>
          <w:trHeight w:val="794" w:hRule="atLeast"/>
          <w:jc w:val="center"/>
        </w:trPr>
        <w:tc>
          <w:tcPr>
            <w:tcW w:w="454" w:type="pct"/>
            <w:vAlign w:val="center"/>
          </w:tcPr>
          <w:p w14:paraId="4AB10A4C">
            <w:pPr>
              <w:pStyle w:val="29"/>
              <w:keepNext w:val="0"/>
              <w:keepLines w:val="0"/>
              <w:pageBreakBefore w:val="0"/>
              <w:widowControl w:val="0"/>
              <w:kinsoku/>
              <w:wordWrap/>
              <w:overflowPunct/>
              <w:topLinePunct w:val="0"/>
              <w:autoSpaceDE/>
              <w:autoSpaceDN/>
              <w:bidi w:val="0"/>
              <w:spacing w:before="0" w:beforeAutospacing="0" w:after="0" w:afterAutospacing="0" w:line="400" w:lineRule="exact"/>
              <w:jc w:val="center"/>
              <w:rPr>
                <w:rFonts w:hint="default" w:ascii="宋体" w:hAnsi="宋体" w:eastAsia="宋体" w:cs="宋体"/>
                <w:b w:val="0"/>
                <w:color w:val="auto"/>
                <w:sz w:val="24"/>
                <w:highlight w:val="none"/>
                <w:lang w:val="en-US" w:eastAsia="zh-CN"/>
              </w:rPr>
            </w:pPr>
            <w:r>
              <w:rPr>
                <w:rFonts w:hint="eastAsia" w:ascii="宋体" w:hAnsi="宋体" w:eastAsia="宋体" w:cs="宋体"/>
                <w:b w:val="0"/>
                <w:color w:val="auto"/>
                <w:sz w:val="24"/>
                <w:highlight w:val="none"/>
                <w:lang w:val="en-US" w:eastAsia="zh-CN"/>
              </w:rPr>
              <w:t>14</w:t>
            </w:r>
          </w:p>
        </w:tc>
        <w:tc>
          <w:tcPr>
            <w:tcW w:w="771" w:type="pct"/>
            <w:vAlign w:val="center"/>
          </w:tcPr>
          <w:p w14:paraId="52474D96">
            <w:pPr>
              <w:pStyle w:val="29"/>
              <w:keepNext w:val="0"/>
              <w:keepLines w:val="0"/>
              <w:pageBreakBefore w:val="0"/>
              <w:widowControl w:val="0"/>
              <w:kinsoku/>
              <w:wordWrap/>
              <w:overflowPunct/>
              <w:topLinePunct w:val="0"/>
              <w:autoSpaceDE/>
              <w:autoSpaceDN/>
              <w:bidi w:val="0"/>
              <w:spacing w:before="0" w:beforeAutospacing="0" w:after="0" w:afterAutospacing="0" w:line="400" w:lineRule="exact"/>
              <w:jc w:val="center"/>
              <w:rPr>
                <w:rFonts w:hint="default"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重要提示</w:t>
            </w:r>
          </w:p>
        </w:tc>
        <w:tc>
          <w:tcPr>
            <w:tcW w:w="3774" w:type="pct"/>
            <w:vAlign w:val="center"/>
          </w:tcPr>
          <w:p w14:paraId="69A7B5DB">
            <w:pPr>
              <w:keepNext w:val="0"/>
              <w:keepLines w:val="0"/>
              <w:pageBreakBefore w:val="0"/>
              <w:numPr>
                <w:ilvl w:val="0"/>
                <w:numId w:val="1"/>
              </w:numPr>
              <w:kinsoku/>
              <w:wordWrap/>
              <w:overflowPunct/>
              <w:topLinePunct w:val="0"/>
              <w:autoSpaceDE/>
              <w:autoSpaceDN/>
              <w:bidi w:val="0"/>
              <w:adjustRightInd/>
              <w:snapToGrid/>
              <w:spacing w:line="400" w:lineRule="exact"/>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《政府采购框架协议采购方式管理暂行办法》</w:t>
            </w:r>
          </w:p>
          <w:p w14:paraId="1D52522A">
            <w:pPr>
              <w:keepNext w:val="0"/>
              <w:keepLines w:val="0"/>
              <w:pageBreakBefore w:val="0"/>
              <w:numPr>
                <w:ilvl w:val="0"/>
                <w:numId w:val="0"/>
              </w:numPr>
              <w:kinsoku/>
              <w:wordWrap/>
              <w:overflowPunct/>
              <w:topLinePunct w:val="0"/>
              <w:autoSpaceDE/>
              <w:autoSpaceDN/>
              <w:bidi w:val="0"/>
              <w:adjustRightInd/>
              <w:snapToGrid/>
              <w:spacing w:line="400" w:lineRule="exac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第十九条 入围供应商有下列情形之一，尚未签订框架协议的，取消其入围资格；已经签订框架协议的，解除与其签订的框架协议：</w:t>
            </w:r>
          </w:p>
          <w:p w14:paraId="640BD2CC">
            <w:pPr>
              <w:keepNext w:val="0"/>
              <w:keepLines w:val="0"/>
              <w:pageBreakBefore w:val="0"/>
              <w:kinsoku/>
              <w:wordWrap/>
              <w:overflowPunct/>
              <w:topLinePunct w:val="0"/>
              <w:autoSpaceDE/>
              <w:autoSpaceDN/>
              <w:bidi w:val="0"/>
              <w:adjustRightInd/>
              <w:snapToGrid/>
              <w:spacing w:line="400" w:lineRule="exac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（一）恶意串通谋取入围或者合同成交的；</w:t>
            </w:r>
          </w:p>
          <w:p w14:paraId="1AB731DE">
            <w:pPr>
              <w:keepNext w:val="0"/>
              <w:keepLines w:val="0"/>
              <w:pageBreakBefore w:val="0"/>
              <w:kinsoku/>
              <w:wordWrap/>
              <w:overflowPunct/>
              <w:topLinePunct w:val="0"/>
              <w:autoSpaceDE/>
              <w:autoSpaceDN/>
              <w:bidi w:val="0"/>
              <w:adjustRightInd/>
              <w:snapToGrid/>
              <w:spacing w:line="400" w:lineRule="exac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（二）提供虚假材料谋取入围或者合同成交的；</w:t>
            </w:r>
          </w:p>
          <w:p w14:paraId="31CC7E9E">
            <w:pPr>
              <w:keepNext w:val="0"/>
              <w:keepLines w:val="0"/>
              <w:pageBreakBefore w:val="0"/>
              <w:kinsoku/>
              <w:wordWrap/>
              <w:overflowPunct/>
              <w:topLinePunct w:val="0"/>
              <w:autoSpaceDE/>
              <w:autoSpaceDN/>
              <w:bidi w:val="0"/>
              <w:adjustRightInd/>
              <w:snapToGrid/>
              <w:spacing w:line="400" w:lineRule="exac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（三）无正当理由拒不接受合同授予的；</w:t>
            </w:r>
          </w:p>
          <w:p w14:paraId="295C26ED">
            <w:pPr>
              <w:keepNext w:val="0"/>
              <w:keepLines w:val="0"/>
              <w:pageBreakBefore w:val="0"/>
              <w:kinsoku/>
              <w:wordWrap/>
              <w:overflowPunct/>
              <w:topLinePunct w:val="0"/>
              <w:autoSpaceDE/>
              <w:autoSpaceDN/>
              <w:bidi w:val="0"/>
              <w:adjustRightInd/>
              <w:snapToGrid/>
              <w:spacing w:line="400" w:lineRule="exac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（四）不履行合同义务或者履行合同义务不符合约定，经采购人请求履行后仍不履行或者仍未按约定履行的；</w:t>
            </w:r>
          </w:p>
          <w:p w14:paraId="143DB516">
            <w:pPr>
              <w:keepNext w:val="0"/>
              <w:keepLines w:val="0"/>
              <w:pageBreakBefore w:val="0"/>
              <w:kinsoku/>
              <w:wordWrap/>
              <w:overflowPunct/>
              <w:topLinePunct w:val="0"/>
              <w:autoSpaceDE/>
              <w:autoSpaceDN/>
              <w:bidi w:val="0"/>
              <w:adjustRightInd/>
              <w:snapToGrid/>
              <w:spacing w:line="400" w:lineRule="exac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（五）框架协议有效期内，因违法行为被禁止或限制参加政府采购活动的；</w:t>
            </w:r>
          </w:p>
          <w:p w14:paraId="1228F46C">
            <w:pPr>
              <w:keepNext w:val="0"/>
              <w:keepLines w:val="0"/>
              <w:pageBreakBefore w:val="0"/>
              <w:kinsoku/>
              <w:wordWrap/>
              <w:overflowPunct/>
              <w:topLinePunct w:val="0"/>
              <w:autoSpaceDE/>
              <w:autoSpaceDN/>
              <w:bidi w:val="0"/>
              <w:adjustRightInd/>
              <w:snapToGrid/>
              <w:spacing w:line="400" w:lineRule="exac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（六）框架协议约定的其他情形。</w:t>
            </w:r>
          </w:p>
          <w:p w14:paraId="16E642BB">
            <w:pPr>
              <w:keepNext w:val="0"/>
              <w:keepLines w:val="0"/>
              <w:pageBreakBefore w:val="0"/>
              <w:kinsoku/>
              <w:wordWrap/>
              <w:overflowPunct/>
              <w:topLinePunct w:val="0"/>
              <w:autoSpaceDE/>
              <w:autoSpaceDN/>
              <w:bidi w:val="0"/>
              <w:adjustRightInd/>
              <w:snapToGrid/>
              <w:spacing w:line="400" w:lineRule="exac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被取消入围资格或者被解除框架协议的供应商不得参加同一封闭式框架协议补充征集，或者重新申请加入同一开放式框架协议。</w:t>
            </w:r>
          </w:p>
          <w:p w14:paraId="3F3692E6">
            <w:pPr>
              <w:keepNext w:val="0"/>
              <w:keepLines w:val="0"/>
              <w:pageBreakBefore w:val="0"/>
              <w:kinsoku/>
              <w:wordWrap/>
              <w:overflowPunct/>
              <w:topLinePunct w:val="0"/>
              <w:autoSpaceDE/>
              <w:autoSpaceDN/>
              <w:bidi w:val="0"/>
              <w:adjustRightInd/>
              <w:snapToGrid/>
              <w:spacing w:line="400" w:lineRule="exac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第二十七条 确定第一阶段入围供应商时，提交响应文件和符合资格条件、实质性要求的供应商应当均不少于2家，淘汰比例一般不得低于20%，且至少淘汰一家供应商。</w:t>
            </w:r>
          </w:p>
          <w:p w14:paraId="35C4BD9D">
            <w:pPr>
              <w:keepNext w:val="0"/>
              <w:keepLines w:val="0"/>
              <w:pageBreakBefore w:val="0"/>
              <w:kinsoku/>
              <w:wordWrap/>
              <w:overflowPunct/>
              <w:topLinePunct w:val="0"/>
              <w:autoSpaceDE/>
              <w:autoSpaceDN/>
              <w:bidi w:val="0"/>
              <w:adjustRightInd/>
              <w:snapToGrid/>
              <w:spacing w:line="400" w:lineRule="exac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采用质量优先法的检测、实验等仪器设备采购，淘汰比例不得低于40%，且至少淘汰一家供应商。</w:t>
            </w:r>
          </w:p>
          <w:p w14:paraId="1EB32D48">
            <w:pPr>
              <w:keepNext w:val="0"/>
              <w:keepLines w:val="0"/>
              <w:pageBreakBefore w:val="0"/>
              <w:kinsoku/>
              <w:wordWrap/>
              <w:overflowPunct/>
              <w:topLinePunct w:val="0"/>
              <w:autoSpaceDE/>
              <w:autoSpaceDN/>
              <w:bidi w:val="0"/>
              <w:adjustRightInd/>
              <w:snapToGrid/>
              <w:spacing w:line="400" w:lineRule="exac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第三十一条 除剩余入围供应商不足入围供应商总数70%且影响框架协议执行的情形外，框架协议有效期内，征集人不得补充征集供应商。</w:t>
            </w:r>
          </w:p>
          <w:p w14:paraId="0B6976CE">
            <w:pPr>
              <w:keepNext w:val="0"/>
              <w:keepLines w:val="0"/>
              <w:pageBreakBefore w:val="0"/>
              <w:kinsoku/>
              <w:wordWrap/>
              <w:overflowPunct/>
              <w:topLinePunct w:val="0"/>
              <w:autoSpaceDE/>
              <w:autoSpaceDN/>
              <w:bidi w:val="0"/>
              <w:adjustRightInd/>
              <w:snapToGrid/>
              <w:spacing w:line="400" w:lineRule="exact"/>
              <w:rPr>
                <w:rFonts w:hint="eastAsia" w:ascii="宋体" w:hAnsi="宋体" w:eastAsia="宋体" w:cs="宋体"/>
                <w:bCs/>
                <w:color w:val="auto"/>
                <w:kern w:val="0"/>
                <w:sz w:val="24"/>
                <w:szCs w:val="24"/>
                <w:highlight w:val="none"/>
                <w:lang w:val="en-US" w:eastAsia="zh-CN" w:bidi="ar-SA"/>
              </w:rPr>
            </w:pPr>
            <w:r>
              <w:rPr>
                <w:rFonts w:hint="eastAsia" w:ascii="宋体" w:hAnsi="宋体" w:eastAsia="宋体" w:cs="宋体"/>
                <w:bCs/>
                <w:color w:val="auto"/>
                <w:sz w:val="24"/>
                <w:szCs w:val="24"/>
                <w:highlight w:val="none"/>
              </w:rPr>
              <w:t>征集人补充征集供应商的，补充征集规则应当在框架协议中约定，补充征集的条件、程序、评审方法和淘汰比例应当与初次征集相同。补充征集应当遵守原框架协议的有效期。补充征集期间，原框架协议继续履行。</w:t>
            </w:r>
          </w:p>
          <w:p w14:paraId="029CC9BD">
            <w:pPr>
              <w:keepNext w:val="0"/>
              <w:keepLines w:val="0"/>
              <w:pageBreakBefore w:val="0"/>
              <w:numPr>
                <w:ilvl w:val="0"/>
                <w:numId w:val="2"/>
              </w:numPr>
              <w:kinsoku/>
              <w:wordWrap/>
              <w:overflowPunct/>
              <w:topLinePunct w:val="0"/>
              <w:autoSpaceDE/>
              <w:autoSpaceDN/>
              <w:bidi w:val="0"/>
              <w:adjustRightInd/>
              <w:snapToGrid/>
              <w:spacing w:line="400" w:lineRule="exact"/>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《政府采购质疑和投诉办法》（财政部令第94号）</w:t>
            </w:r>
          </w:p>
          <w:p w14:paraId="7D929890">
            <w:pPr>
              <w:keepNext w:val="0"/>
              <w:keepLines w:val="0"/>
              <w:pageBreakBefore w:val="0"/>
              <w:numPr>
                <w:ilvl w:val="0"/>
                <w:numId w:val="0"/>
              </w:numPr>
              <w:kinsoku/>
              <w:wordWrap/>
              <w:overflowPunct/>
              <w:topLinePunct w:val="0"/>
              <w:autoSpaceDE/>
              <w:autoSpaceDN/>
              <w:bidi w:val="0"/>
              <w:adjustRightInd/>
              <w:snapToGrid/>
              <w:spacing w:line="400" w:lineRule="exact"/>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第十六条 采购人、采购代理机构认为供应商质疑不成立，或者成立但未对中标、成交结果构成影响的，继续开展采购活动；认为供应商质疑成立且影响或者可能影响中标、成交结果的，按照下列情况处理：</w:t>
            </w:r>
          </w:p>
          <w:p w14:paraId="6F0FAF4A">
            <w:pPr>
              <w:keepNext w:val="0"/>
              <w:keepLines w:val="0"/>
              <w:pageBreakBefore w:val="0"/>
              <w:kinsoku/>
              <w:wordWrap/>
              <w:overflowPunct/>
              <w:topLinePunct w:val="0"/>
              <w:autoSpaceDE/>
              <w:autoSpaceDN/>
              <w:bidi w:val="0"/>
              <w:adjustRightInd/>
              <w:snapToGrid/>
              <w:spacing w:line="400" w:lineRule="exact"/>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（一）对采购文件提出的质疑，依法通过澄清或者修改可以继续开展采购活动的，澄清或者修改采购文件后继续开展采购活动；否则应当修改采购文件后重新开展采购活动。</w:t>
            </w:r>
          </w:p>
          <w:p w14:paraId="6347C44A">
            <w:pPr>
              <w:keepNext w:val="0"/>
              <w:keepLines w:val="0"/>
              <w:pageBreakBefore w:val="0"/>
              <w:kinsoku/>
              <w:wordWrap/>
              <w:overflowPunct/>
              <w:topLinePunct w:val="0"/>
              <w:autoSpaceDE/>
              <w:autoSpaceDN/>
              <w:bidi w:val="0"/>
              <w:adjustRightInd/>
              <w:snapToGrid/>
              <w:spacing w:line="400" w:lineRule="exact"/>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二）对采购过程、中标或者成交结果提出的质疑，合格供应商符合法定数量时，可以从合格的中标或者成交候选人中另行确定中标、成交供应商的，应当依法另行确定中标、成交供应商；否则应当重新开展采购活动。</w:t>
            </w:r>
          </w:p>
          <w:p w14:paraId="4BB72552">
            <w:pPr>
              <w:keepNext w:val="0"/>
              <w:keepLines w:val="0"/>
              <w:pageBreakBefore w:val="0"/>
              <w:kinsoku/>
              <w:wordWrap/>
              <w:overflowPunct/>
              <w:topLinePunct w:val="0"/>
              <w:autoSpaceDE/>
              <w:autoSpaceDN/>
              <w:bidi w:val="0"/>
              <w:adjustRightInd/>
              <w:snapToGrid/>
              <w:spacing w:line="400" w:lineRule="exact"/>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质疑答复导致中标、成交结果改变的，采购人或者采购代理机构应当将有关情况书面报告本级财政部门。</w:t>
            </w:r>
          </w:p>
          <w:p w14:paraId="48A89146">
            <w:pPr>
              <w:keepNext w:val="0"/>
              <w:keepLines w:val="0"/>
              <w:pageBreakBefore w:val="0"/>
              <w:kinsoku/>
              <w:wordWrap/>
              <w:overflowPunct/>
              <w:topLinePunct w:val="0"/>
              <w:autoSpaceDE/>
              <w:autoSpaceDN/>
              <w:bidi w:val="0"/>
              <w:adjustRightInd/>
              <w:snapToGrid/>
              <w:spacing w:line="400" w:lineRule="exact"/>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第三十二条 投诉人对采购过程或者采购结果提起的投诉事项，财政部门经查证属实的，应当认定投诉事项成立。经认定成立的投诉事项不影响采购结果的，继续开展采购活动；影响或者可能影响采购结果的，财政部门按照下列情况处理：</w:t>
            </w:r>
          </w:p>
          <w:p w14:paraId="4858573E">
            <w:pPr>
              <w:keepNext w:val="0"/>
              <w:keepLines w:val="0"/>
              <w:pageBreakBefore w:val="0"/>
              <w:kinsoku/>
              <w:wordWrap/>
              <w:overflowPunct/>
              <w:topLinePunct w:val="0"/>
              <w:autoSpaceDE/>
              <w:autoSpaceDN/>
              <w:bidi w:val="0"/>
              <w:adjustRightInd/>
              <w:snapToGrid/>
              <w:spacing w:line="400" w:lineRule="exact"/>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（一）未确定中标或者成交供应商的，责令重新开展采购活动。</w:t>
            </w:r>
          </w:p>
          <w:p w14:paraId="4A90A6A8">
            <w:pPr>
              <w:keepNext w:val="0"/>
              <w:keepLines w:val="0"/>
              <w:pageBreakBefore w:val="0"/>
              <w:kinsoku/>
              <w:wordWrap/>
              <w:overflowPunct/>
              <w:topLinePunct w:val="0"/>
              <w:autoSpaceDE/>
              <w:autoSpaceDN/>
              <w:bidi w:val="0"/>
              <w:adjustRightInd/>
              <w:snapToGrid/>
              <w:spacing w:line="400" w:lineRule="exact"/>
              <w:rPr>
                <w:rFonts w:hint="eastAsia"/>
                <w:highlight w:val="none"/>
                <w:lang w:val="en-US" w:eastAsia="zh-CN"/>
              </w:rPr>
            </w:pPr>
            <w:r>
              <w:rPr>
                <w:rFonts w:hint="eastAsia" w:ascii="宋体" w:hAnsi="宋体" w:eastAsia="宋体" w:cs="宋体"/>
                <w:bCs/>
                <w:color w:val="auto"/>
                <w:sz w:val="24"/>
                <w:szCs w:val="24"/>
                <w:highlight w:val="none"/>
                <w:lang w:val="en-US" w:eastAsia="zh-CN"/>
              </w:rPr>
              <w:t>（二）已确定中标或者成交供应商但尚未签订政府采购合同的，认定中标或者成交结果无效。合格供应商符合法定数量时，可以从合格的中标或者成交候选人中另行确定中标或者成交供应商的，应当要求采购人依法另行确定中标、成交供应商；否则责令重新开展采购活动。</w:t>
            </w:r>
          </w:p>
          <w:p w14:paraId="4F6A9D0E">
            <w:pPr>
              <w:keepNext w:val="0"/>
              <w:keepLines w:val="0"/>
              <w:pageBreakBefore w:val="0"/>
              <w:kinsoku/>
              <w:wordWrap/>
              <w:overflowPunct/>
              <w:topLinePunct w:val="0"/>
              <w:autoSpaceDE/>
              <w:autoSpaceDN/>
              <w:bidi w:val="0"/>
              <w:adjustRightInd/>
              <w:snapToGrid/>
              <w:spacing w:line="400" w:lineRule="exact"/>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三）政府采购合同已经签订但尚未履行的，撤销合同。合格供应商符合法定数量时，可以从合格的中标或者成交候选人中另行确定中标或者成交供应商的，应当要求采购人依法另行确定中标、成交供应商；否则责令重新开展采购活动。</w:t>
            </w:r>
          </w:p>
          <w:p w14:paraId="79A98C36">
            <w:pPr>
              <w:keepNext w:val="0"/>
              <w:keepLines w:val="0"/>
              <w:pageBreakBefore w:val="0"/>
              <w:kinsoku/>
              <w:wordWrap/>
              <w:overflowPunct/>
              <w:topLinePunct w:val="0"/>
              <w:autoSpaceDE/>
              <w:autoSpaceDN/>
              <w:bidi w:val="0"/>
              <w:adjustRightInd/>
              <w:snapToGrid/>
              <w:spacing w:line="400" w:lineRule="exact"/>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（四）政府采购合同已经履行，给他人造成损失的，相关当事人可依法提起诉讼,由责任人承担赔偿责任。</w:t>
            </w:r>
          </w:p>
          <w:p w14:paraId="22A9DC1A">
            <w:pPr>
              <w:keepNext w:val="0"/>
              <w:keepLines w:val="0"/>
              <w:pageBreakBefore w:val="0"/>
              <w:kinsoku/>
              <w:wordWrap/>
              <w:overflowPunct/>
              <w:topLinePunct w:val="0"/>
              <w:autoSpaceDE/>
              <w:autoSpaceDN/>
              <w:bidi w:val="0"/>
              <w:adjustRightInd/>
              <w:snapToGrid/>
              <w:spacing w:line="400" w:lineRule="exact"/>
              <w:rPr>
                <w:rFonts w:hint="default"/>
                <w:highlight w:val="none"/>
                <w:lang w:val="en-US" w:eastAsia="zh-CN"/>
              </w:rPr>
            </w:pPr>
            <w:r>
              <w:rPr>
                <w:rFonts w:hint="eastAsia" w:ascii="宋体" w:hAnsi="宋体" w:eastAsia="宋体" w:cs="宋体"/>
                <w:bCs/>
                <w:color w:val="auto"/>
                <w:sz w:val="24"/>
                <w:szCs w:val="24"/>
                <w:highlight w:val="none"/>
                <w:lang w:val="en-US" w:eastAsia="zh-CN"/>
              </w:rPr>
              <w:t>投诉人对废标行为提起的投诉事项成立的，财政部门应当认定废标行为无效。</w:t>
            </w:r>
          </w:p>
        </w:tc>
      </w:tr>
    </w:tbl>
    <w:p w14:paraId="11030007">
      <w:pPr>
        <w:pStyle w:val="6"/>
        <w:bidi w:val="0"/>
        <w:spacing w:before="0" w:after="0" w:line="240" w:lineRule="auto"/>
        <w:jc w:val="center"/>
        <w:rPr>
          <w:rFonts w:hint="eastAsia"/>
          <w:color w:val="auto"/>
          <w:highlight w:val="none"/>
          <w:lang w:val="en-US" w:eastAsia="zh-CN"/>
        </w:rPr>
      </w:pPr>
    </w:p>
    <w:bookmarkEnd w:id="1"/>
    <w:p w14:paraId="0E31FC0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auto"/>
        <w:rPr>
          <w:b/>
          <w:bCs/>
          <w:color w:val="auto"/>
          <w:sz w:val="24"/>
          <w:szCs w:val="24"/>
          <w:highlight w:val="none"/>
        </w:rPr>
      </w:pPr>
    </w:p>
    <w:p w14:paraId="4A0F9487">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宋体" w:hAnsi="宋体" w:eastAsia="宋体" w:cs="宋体"/>
          <w:color w:val="auto"/>
          <w:kern w:val="0"/>
          <w:sz w:val="24"/>
          <w:szCs w:val="24"/>
          <w:highlight w:val="none"/>
          <w:lang w:val="en-US" w:eastAsia="zh-CN" w:bidi="ar"/>
        </w:rPr>
      </w:pPr>
    </w:p>
    <w:p w14:paraId="5CCF5CD4">
      <w:pPr>
        <w:rPr>
          <w:rFonts w:hint="eastAsia"/>
          <w:color w:val="auto"/>
          <w:highlight w:val="none"/>
          <w:lang w:val="en-US" w:eastAsia="zh-CN"/>
        </w:rPr>
      </w:pPr>
    </w:p>
    <w:p w14:paraId="005681B3">
      <w:pPr>
        <w:pStyle w:val="2"/>
        <w:rPr>
          <w:rFonts w:hint="eastAsia"/>
          <w:color w:val="auto"/>
          <w:highlight w:val="none"/>
          <w:lang w:val="en-US" w:eastAsia="zh-CN"/>
        </w:rPr>
      </w:pPr>
    </w:p>
    <w:p w14:paraId="04511749">
      <w:pPr>
        <w:rPr>
          <w:rFonts w:hint="eastAsia"/>
          <w:color w:val="auto"/>
          <w:highlight w:val="none"/>
          <w:lang w:val="en-US" w:eastAsia="zh-CN"/>
        </w:rPr>
      </w:pPr>
      <w:r>
        <w:rPr>
          <w:rFonts w:hint="eastAsia"/>
          <w:color w:val="auto"/>
          <w:highlight w:val="none"/>
          <w:lang w:val="en-US" w:eastAsia="zh-CN"/>
        </w:rPr>
        <w:br w:type="page"/>
      </w:r>
    </w:p>
    <w:p w14:paraId="424C6192">
      <w:pPr>
        <w:pStyle w:val="6"/>
        <w:bidi w:val="0"/>
        <w:spacing w:before="0" w:after="0" w:line="240" w:lineRule="auto"/>
        <w:jc w:val="center"/>
        <w:rPr>
          <w:rFonts w:hint="default"/>
          <w:color w:val="auto"/>
          <w:highlight w:val="none"/>
          <w:lang w:val="en-US"/>
        </w:rPr>
      </w:pPr>
      <w:bookmarkStart w:id="4" w:name="_Toc26869"/>
      <w:r>
        <w:rPr>
          <w:rFonts w:hint="eastAsia"/>
          <w:color w:val="auto"/>
          <w:highlight w:val="none"/>
          <w:lang w:val="en-US" w:eastAsia="zh-CN"/>
        </w:rPr>
        <w:t>第三章</w:t>
      </w:r>
      <w:r>
        <w:rPr>
          <w:rFonts w:hint="eastAsia" w:ascii="宋体" w:hAnsi="宋体" w:eastAsia="宋体" w:cs="宋体"/>
          <w:b/>
          <w:color w:val="auto"/>
          <w:sz w:val="24"/>
          <w:highlight w:val="none"/>
          <w:lang w:val="en-US" w:eastAsia="zh-CN"/>
        </w:rPr>
        <w:t xml:space="preserve"> </w:t>
      </w:r>
      <w:r>
        <w:rPr>
          <w:rFonts w:hint="eastAsia"/>
          <w:color w:val="auto"/>
          <w:highlight w:val="none"/>
          <w:lang w:val="en-US" w:eastAsia="zh-CN"/>
        </w:rPr>
        <w:t>资格审查材料</w:t>
      </w:r>
    </w:p>
    <w:p w14:paraId="427771C0">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color w:val="auto"/>
          <w:sz w:val="24"/>
          <w:szCs w:val="24"/>
          <w:highlight w:val="none"/>
        </w:rPr>
      </w:pPr>
      <w:r>
        <w:rPr>
          <w:rFonts w:hint="eastAsia" w:ascii="宋体" w:hAnsi="宋体" w:eastAsia="宋体" w:cs="宋体"/>
          <w:b/>
          <w:bCs/>
          <w:color w:val="auto"/>
          <w:kern w:val="0"/>
          <w:sz w:val="24"/>
          <w:szCs w:val="24"/>
          <w:highlight w:val="none"/>
          <w:lang w:val="en-US" w:eastAsia="zh-CN" w:bidi="ar"/>
        </w:rPr>
        <w:t xml:space="preserve"> </w:t>
      </w:r>
    </w:p>
    <w:p w14:paraId="2BB96720">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490" w:firstLineChars="200"/>
        <w:jc w:val="both"/>
        <w:textAlignment w:val="auto"/>
        <w:rPr>
          <w:rFonts w:hint="eastAsia" w:ascii="宋体" w:hAnsi="宋体" w:eastAsia="宋体" w:cs="宋体"/>
          <w:b/>
          <w:bCs/>
          <w:color w:val="auto"/>
          <w:spacing w:val="2"/>
          <w:position w:val="27"/>
          <w:sz w:val="24"/>
          <w:szCs w:val="24"/>
          <w:highlight w:val="none"/>
        </w:rPr>
      </w:pPr>
      <w:r>
        <w:rPr>
          <w:rFonts w:hint="eastAsia" w:ascii="宋体" w:hAnsi="宋体" w:eastAsia="宋体" w:cs="宋体"/>
          <w:b/>
          <w:bCs/>
          <w:color w:val="auto"/>
          <w:spacing w:val="2"/>
          <w:kern w:val="2"/>
          <w:position w:val="27"/>
          <w:sz w:val="24"/>
          <w:szCs w:val="24"/>
          <w:lang w:val="en-US" w:eastAsia="zh-CN" w:bidi="ar-SA"/>
        </w:rPr>
        <w:t>1.</w:t>
      </w:r>
      <w:r>
        <w:rPr>
          <w:rFonts w:hint="eastAsia" w:ascii="宋体" w:hAnsi="宋体" w:eastAsia="宋体" w:cs="宋体"/>
          <w:color w:val="auto"/>
          <w:spacing w:val="2"/>
          <w:position w:val="27"/>
          <w:sz w:val="24"/>
          <w:szCs w:val="24"/>
          <w:highlight w:val="none"/>
        </w:rPr>
        <w:t xml:space="preserve">满足《中华人民共和国政府采购法》第二十二条规定 </w:t>
      </w:r>
      <w:r>
        <w:rPr>
          <w:rFonts w:hint="eastAsia" w:ascii="宋体" w:hAnsi="宋体" w:eastAsia="宋体" w:cs="宋体"/>
          <w:b/>
          <w:bCs/>
          <w:color w:val="auto"/>
          <w:spacing w:val="2"/>
          <w:position w:val="27"/>
          <w:sz w:val="24"/>
          <w:szCs w:val="24"/>
          <w:highlight w:val="none"/>
        </w:rPr>
        <w:t>(响应文件中须提供有效期内的营业执照 (或事业单位法人登记证书) 的清晰影印件或扫描件，否则申请无效) ；</w:t>
      </w:r>
    </w:p>
    <w:p w14:paraId="25D40FA7">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490" w:firstLineChars="200"/>
        <w:jc w:val="both"/>
        <w:textAlignment w:val="auto"/>
        <w:rPr>
          <w:rFonts w:hint="default" w:ascii="宋体" w:hAnsi="宋体" w:eastAsia="宋体" w:cs="宋体"/>
          <w:b/>
          <w:bCs/>
          <w:color w:val="auto"/>
          <w:spacing w:val="2"/>
          <w:position w:val="27"/>
          <w:sz w:val="24"/>
          <w:szCs w:val="24"/>
          <w:highlight w:val="none"/>
          <w:lang w:val="en-US" w:eastAsia="zh-CN"/>
        </w:rPr>
      </w:pPr>
      <w:r>
        <w:rPr>
          <w:rFonts w:hint="default" w:ascii="宋体" w:hAnsi="宋体" w:eastAsia="宋体" w:cs="宋体"/>
          <w:b/>
          <w:bCs/>
          <w:color w:val="auto"/>
          <w:spacing w:val="2"/>
          <w:kern w:val="2"/>
          <w:position w:val="27"/>
          <w:sz w:val="24"/>
          <w:szCs w:val="24"/>
          <w:lang w:val="en-US" w:eastAsia="zh-CN" w:bidi="ar-SA"/>
        </w:rPr>
        <w:t>2.</w:t>
      </w:r>
      <w:r>
        <w:rPr>
          <w:rFonts w:hint="eastAsia" w:ascii="宋体" w:hAnsi="宋体" w:eastAsia="宋体" w:cs="宋体"/>
          <w:color w:val="auto"/>
          <w:spacing w:val="2"/>
          <w:position w:val="27"/>
          <w:sz w:val="24"/>
          <w:szCs w:val="24"/>
          <w:highlight w:val="none"/>
        </w:rPr>
        <w:t>具有综合二类及以上维修资质</w:t>
      </w:r>
      <w:r>
        <w:rPr>
          <w:rFonts w:hint="eastAsia" w:ascii="宋体" w:hAnsi="宋体" w:eastAsia="宋体" w:cs="宋体"/>
          <w:b/>
          <w:bCs/>
          <w:color w:val="auto"/>
          <w:spacing w:val="2"/>
          <w:position w:val="27"/>
          <w:sz w:val="24"/>
          <w:szCs w:val="24"/>
          <w:highlight w:val="none"/>
        </w:rPr>
        <w:t xml:space="preserve"> (响应文件中须提供维修资质证书的清晰影印件或扫描件，否则申请无效)；</w:t>
      </w:r>
    </w:p>
    <w:p w14:paraId="15CA7868">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490" w:firstLineChars="200"/>
        <w:jc w:val="both"/>
        <w:textAlignment w:val="auto"/>
        <w:rPr>
          <w:rFonts w:hint="default" w:ascii="宋体" w:hAnsi="宋体" w:eastAsia="宋体" w:cs="宋体"/>
          <w:b/>
          <w:bCs/>
          <w:color w:val="auto"/>
          <w:spacing w:val="2"/>
          <w:position w:val="27"/>
          <w:sz w:val="24"/>
          <w:szCs w:val="24"/>
          <w:highlight w:val="none"/>
          <w:lang w:val="en-US" w:eastAsia="zh-CN"/>
        </w:rPr>
      </w:pPr>
      <w:r>
        <w:rPr>
          <w:rFonts w:hint="default" w:ascii="宋体" w:hAnsi="宋体" w:eastAsia="宋体" w:cs="宋体"/>
          <w:b/>
          <w:bCs/>
          <w:color w:val="auto"/>
          <w:spacing w:val="2"/>
          <w:kern w:val="2"/>
          <w:position w:val="27"/>
          <w:sz w:val="24"/>
          <w:szCs w:val="24"/>
          <w:lang w:val="en-US" w:eastAsia="zh-CN" w:bidi="ar-SA"/>
        </w:rPr>
        <w:t>3.</w:t>
      </w:r>
      <w:r>
        <w:rPr>
          <w:rFonts w:hint="default" w:ascii="宋体" w:hAnsi="宋体" w:eastAsia="宋体" w:cs="宋体"/>
          <w:b/>
          <w:bCs/>
          <w:color w:val="auto"/>
          <w:spacing w:val="2"/>
          <w:position w:val="27"/>
          <w:sz w:val="24"/>
          <w:szCs w:val="24"/>
          <w:highlight w:val="none"/>
          <w:lang w:val="en-US" w:eastAsia="zh-CN"/>
        </w:rPr>
        <w:t>落实政府采购政策需满足的资格要求：本项目符合财政部、工业和信息化部制定的《政府采购促进中小企业发展管理办法》第六条第四款之规定，为非专门面向中小企业采购项目。具体原因如下:本项目为框架协议采购，如对此项内容有疑问，可通过征集文件约定方式进行质疑。</w:t>
      </w:r>
    </w:p>
    <w:p w14:paraId="4F451B2B">
      <w:pPr>
        <w:pStyle w:val="6"/>
        <w:bidi w:val="0"/>
        <w:spacing w:before="0" w:after="0" w:line="240" w:lineRule="auto"/>
        <w:jc w:val="center"/>
        <w:rPr>
          <w:rFonts w:hint="eastAsia"/>
          <w:color w:val="auto"/>
          <w:highlight w:val="none"/>
          <w:lang w:val="en-US" w:eastAsia="zh-CN"/>
        </w:rPr>
      </w:pPr>
    </w:p>
    <w:p w14:paraId="2B78E536">
      <w:pPr>
        <w:rPr>
          <w:rFonts w:hint="eastAsia"/>
          <w:color w:val="auto"/>
          <w:highlight w:val="none"/>
          <w:lang w:val="en-US" w:eastAsia="zh-CN"/>
        </w:rPr>
      </w:pPr>
    </w:p>
    <w:p w14:paraId="345865FC">
      <w:pPr>
        <w:rPr>
          <w:rFonts w:hint="eastAsia"/>
          <w:color w:val="auto"/>
          <w:highlight w:val="none"/>
          <w:lang w:val="en-US" w:eastAsia="zh-CN"/>
        </w:rPr>
      </w:pPr>
    </w:p>
    <w:p w14:paraId="659E2475">
      <w:pPr>
        <w:rPr>
          <w:rFonts w:hint="eastAsia"/>
          <w:color w:val="auto"/>
          <w:highlight w:val="none"/>
          <w:lang w:val="en-US" w:eastAsia="zh-CN"/>
        </w:rPr>
      </w:pPr>
    </w:p>
    <w:p w14:paraId="6D9A7A4D">
      <w:pPr>
        <w:rPr>
          <w:rFonts w:hint="eastAsia"/>
          <w:color w:val="auto"/>
          <w:highlight w:val="none"/>
          <w:lang w:val="en-US" w:eastAsia="zh-CN"/>
        </w:rPr>
      </w:pPr>
    </w:p>
    <w:p w14:paraId="195E3E53">
      <w:pPr>
        <w:rPr>
          <w:rFonts w:hint="eastAsia"/>
          <w:color w:val="auto"/>
          <w:highlight w:val="none"/>
          <w:lang w:val="en-US" w:eastAsia="zh-CN"/>
        </w:rPr>
      </w:pPr>
    </w:p>
    <w:p w14:paraId="199AB742">
      <w:pPr>
        <w:rPr>
          <w:rFonts w:hint="eastAsia"/>
          <w:color w:val="auto"/>
          <w:highlight w:val="none"/>
          <w:lang w:val="en-US" w:eastAsia="zh-CN"/>
        </w:rPr>
      </w:pPr>
    </w:p>
    <w:p w14:paraId="3D1B28E2">
      <w:pPr>
        <w:rPr>
          <w:rFonts w:hint="eastAsia"/>
          <w:color w:val="auto"/>
          <w:highlight w:val="none"/>
          <w:lang w:val="en-US" w:eastAsia="zh-CN"/>
        </w:rPr>
      </w:pPr>
    </w:p>
    <w:p w14:paraId="12B2BABD">
      <w:pPr>
        <w:rPr>
          <w:rFonts w:hint="eastAsia"/>
          <w:color w:val="auto"/>
          <w:highlight w:val="none"/>
          <w:lang w:val="en-US" w:eastAsia="zh-CN"/>
        </w:rPr>
      </w:pPr>
    </w:p>
    <w:p w14:paraId="3D965689">
      <w:pPr>
        <w:rPr>
          <w:rFonts w:hint="eastAsia"/>
          <w:color w:val="auto"/>
          <w:highlight w:val="none"/>
          <w:lang w:val="en-US" w:eastAsia="zh-CN"/>
        </w:rPr>
      </w:pPr>
    </w:p>
    <w:p w14:paraId="7AE74212">
      <w:pPr>
        <w:rPr>
          <w:rFonts w:hint="eastAsia"/>
          <w:color w:val="auto"/>
          <w:highlight w:val="none"/>
          <w:lang w:val="en-US" w:eastAsia="zh-CN"/>
        </w:rPr>
      </w:pPr>
    </w:p>
    <w:p w14:paraId="59A053EE">
      <w:pPr>
        <w:rPr>
          <w:rFonts w:hint="eastAsia"/>
          <w:color w:val="auto"/>
          <w:highlight w:val="none"/>
          <w:lang w:val="en-US" w:eastAsia="zh-CN"/>
        </w:rPr>
      </w:pPr>
    </w:p>
    <w:p w14:paraId="09892903">
      <w:pPr>
        <w:rPr>
          <w:rFonts w:hint="eastAsia"/>
          <w:color w:val="auto"/>
          <w:highlight w:val="none"/>
          <w:lang w:val="en-US" w:eastAsia="zh-CN"/>
        </w:rPr>
      </w:pPr>
    </w:p>
    <w:p w14:paraId="7826740B">
      <w:pPr>
        <w:rPr>
          <w:rFonts w:hint="eastAsia"/>
          <w:color w:val="auto"/>
          <w:highlight w:val="none"/>
          <w:lang w:val="en-US" w:eastAsia="zh-CN"/>
        </w:rPr>
      </w:pPr>
    </w:p>
    <w:p w14:paraId="47DE7A3A">
      <w:pPr>
        <w:rPr>
          <w:rFonts w:hint="eastAsia"/>
          <w:color w:val="auto"/>
          <w:highlight w:val="none"/>
          <w:lang w:val="en-US" w:eastAsia="zh-CN"/>
        </w:rPr>
      </w:pPr>
    </w:p>
    <w:p w14:paraId="2E733470">
      <w:pPr>
        <w:rPr>
          <w:rFonts w:hint="eastAsia"/>
          <w:color w:val="auto"/>
          <w:highlight w:val="none"/>
          <w:lang w:val="en-US" w:eastAsia="zh-CN"/>
        </w:rPr>
      </w:pPr>
    </w:p>
    <w:p w14:paraId="03B8B538">
      <w:pPr>
        <w:rPr>
          <w:rFonts w:hint="eastAsia"/>
          <w:color w:val="auto"/>
          <w:highlight w:val="none"/>
          <w:lang w:val="en-US" w:eastAsia="zh-CN"/>
        </w:rPr>
      </w:pPr>
    </w:p>
    <w:p w14:paraId="3A670647">
      <w:pPr>
        <w:rPr>
          <w:rFonts w:hint="eastAsia"/>
          <w:color w:val="auto"/>
          <w:highlight w:val="none"/>
          <w:lang w:val="en-US" w:eastAsia="zh-CN"/>
        </w:rPr>
      </w:pPr>
    </w:p>
    <w:p w14:paraId="4ED7706E">
      <w:pPr>
        <w:rPr>
          <w:rFonts w:hint="eastAsia"/>
          <w:color w:val="auto"/>
          <w:highlight w:val="none"/>
          <w:lang w:val="en-US" w:eastAsia="zh-CN"/>
        </w:rPr>
      </w:pPr>
    </w:p>
    <w:p w14:paraId="4EA001AA">
      <w:pPr>
        <w:rPr>
          <w:rFonts w:hint="eastAsia"/>
          <w:color w:val="auto"/>
          <w:highlight w:val="none"/>
          <w:lang w:val="en-US" w:eastAsia="zh-CN"/>
        </w:rPr>
      </w:pPr>
    </w:p>
    <w:p w14:paraId="72206308">
      <w:pPr>
        <w:rPr>
          <w:rFonts w:hint="eastAsia"/>
          <w:color w:val="auto"/>
          <w:highlight w:val="none"/>
          <w:lang w:val="en-US" w:eastAsia="zh-CN"/>
        </w:rPr>
      </w:pPr>
    </w:p>
    <w:p w14:paraId="6F1A2920">
      <w:pPr>
        <w:rPr>
          <w:rFonts w:hint="eastAsia"/>
          <w:color w:val="auto"/>
          <w:highlight w:val="none"/>
          <w:lang w:val="en-US" w:eastAsia="zh-CN"/>
        </w:rPr>
      </w:pPr>
    </w:p>
    <w:p w14:paraId="0B5383FF">
      <w:pPr>
        <w:rPr>
          <w:rFonts w:hint="eastAsia"/>
          <w:color w:val="auto"/>
          <w:highlight w:val="none"/>
          <w:lang w:val="en-US" w:eastAsia="zh-CN"/>
        </w:rPr>
      </w:pPr>
    </w:p>
    <w:p w14:paraId="06AF7B0E">
      <w:pPr>
        <w:rPr>
          <w:rFonts w:hint="eastAsia"/>
          <w:color w:val="auto"/>
          <w:highlight w:val="none"/>
          <w:lang w:val="en-US" w:eastAsia="zh-CN"/>
        </w:rPr>
      </w:pPr>
    </w:p>
    <w:p w14:paraId="38A9EC66">
      <w:pPr>
        <w:rPr>
          <w:rFonts w:hint="eastAsia"/>
          <w:color w:val="auto"/>
          <w:highlight w:val="none"/>
          <w:lang w:val="en-US" w:eastAsia="zh-CN"/>
        </w:rPr>
      </w:pPr>
    </w:p>
    <w:p w14:paraId="67EA076A">
      <w:pPr>
        <w:rPr>
          <w:rFonts w:hint="eastAsia"/>
          <w:color w:val="auto"/>
          <w:highlight w:val="none"/>
          <w:lang w:val="en-US" w:eastAsia="zh-CN"/>
        </w:rPr>
      </w:pPr>
    </w:p>
    <w:p w14:paraId="3A056120">
      <w:pPr>
        <w:rPr>
          <w:rFonts w:hint="eastAsia"/>
          <w:color w:val="auto"/>
          <w:highlight w:val="none"/>
          <w:lang w:val="en-US" w:eastAsia="zh-CN"/>
        </w:rPr>
      </w:pPr>
    </w:p>
    <w:p w14:paraId="6DF6ABEB">
      <w:pPr>
        <w:rPr>
          <w:rFonts w:hint="eastAsia"/>
          <w:color w:val="auto"/>
          <w:highlight w:val="none"/>
          <w:lang w:val="en-US" w:eastAsia="zh-CN"/>
        </w:rPr>
      </w:pPr>
    </w:p>
    <w:p w14:paraId="1A781E24">
      <w:pPr>
        <w:rPr>
          <w:rFonts w:hint="eastAsia"/>
          <w:color w:val="auto"/>
          <w:highlight w:val="none"/>
          <w:lang w:val="en-US" w:eastAsia="zh-CN"/>
        </w:rPr>
      </w:pPr>
    </w:p>
    <w:p w14:paraId="4C745099">
      <w:pPr>
        <w:rPr>
          <w:rFonts w:hint="eastAsia"/>
          <w:color w:val="auto"/>
          <w:highlight w:val="none"/>
          <w:lang w:val="en-US" w:eastAsia="zh-CN"/>
        </w:rPr>
      </w:pPr>
    </w:p>
    <w:p w14:paraId="2286807F">
      <w:pPr>
        <w:rPr>
          <w:rFonts w:hint="eastAsia"/>
          <w:color w:val="auto"/>
          <w:highlight w:val="none"/>
          <w:lang w:val="en-US" w:eastAsia="zh-CN"/>
        </w:rPr>
      </w:pPr>
    </w:p>
    <w:p w14:paraId="1C868074">
      <w:pPr>
        <w:pStyle w:val="6"/>
        <w:bidi w:val="0"/>
        <w:spacing w:before="0" w:after="0" w:line="240" w:lineRule="auto"/>
        <w:jc w:val="center"/>
        <w:rPr>
          <w:color w:val="auto"/>
          <w:highlight w:val="none"/>
        </w:rPr>
      </w:pPr>
      <w:r>
        <w:rPr>
          <w:rFonts w:hint="eastAsia"/>
          <w:color w:val="auto"/>
          <w:highlight w:val="none"/>
          <w:lang w:val="en-US" w:eastAsia="zh-CN"/>
        </w:rPr>
        <w:t>第四章 资格审查方法和标准</w:t>
      </w:r>
      <w:bookmarkEnd w:id="4"/>
    </w:p>
    <w:p w14:paraId="6D6FD74E">
      <w:pPr>
        <w:keepNext w:val="0"/>
        <w:keepLines w:val="0"/>
        <w:pageBreakBefore w:val="0"/>
        <w:widowControl/>
        <w:suppressLineNumbers w:val="0"/>
        <w:kinsoku/>
        <w:wordWrap/>
        <w:overflowPunct/>
        <w:topLinePunct w:val="0"/>
        <w:autoSpaceDE/>
        <w:autoSpaceDN/>
        <w:bidi w:val="0"/>
        <w:adjustRightInd/>
        <w:snapToGrid/>
        <w:spacing w:line="520" w:lineRule="exact"/>
        <w:ind w:firstLine="482" w:firstLineChars="200"/>
        <w:jc w:val="both"/>
        <w:textAlignment w:val="auto"/>
        <w:rPr>
          <w:color w:val="auto"/>
          <w:sz w:val="24"/>
          <w:szCs w:val="24"/>
          <w:highlight w:val="none"/>
        </w:rPr>
      </w:pPr>
      <w:r>
        <w:rPr>
          <w:rFonts w:hint="eastAsia" w:ascii="宋体" w:hAnsi="宋体" w:eastAsia="宋体" w:cs="宋体"/>
          <w:b/>
          <w:bCs/>
          <w:color w:val="auto"/>
          <w:kern w:val="0"/>
          <w:sz w:val="24"/>
          <w:szCs w:val="24"/>
          <w:highlight w:val="none"/>
          <w:lang w:val="en-US" w:eastAsia="zh-CN" w:bidi="ar"/>
        </w:rPr>
        <w:t xml:space="preserve">一、总则 </w:t>
      </w:r>
    </w:p>
    <w:p w14:paraId="0C2EDCD5">
      <w:pPr>
        <w:keepNext w:val="0"/>
        <w:keepLines w:val="0"/>
        <w:pageBreakBefore w:val="0"/>
        <w:widowControl/>
        <w:suppressLineNumbers w:val="0"/>
        <w:kinsoku/>
        <w:wordWrap/>
        <w:overflowPunct/>
        <w:topLinePunct w:val="0"/>
        <w:autoSpaceDE/>
        <w:autoSpaceDN/>
        <w:bidi w:val="0"/>
        <w:adjustRightInd/>
        <w:snapToGrid/>
        <w:spacing w:line="520" w:lineRule="exact"/>
        <w:ind w:firstLine="480" w:firstLineChars="200"/>
        <w:jc w:val="both"/>
        <w:textAlignment w:val="auto"/>
        <w:rPr>
          <w:color w:val="auto"/>
          <w:sz w:val="24"/>
          <w:szCs w:val="24"/>
          <w:highlight w:val="none"/>
        </w:rPr>
      </w:pPr>
      <w:r>
        <w:rPr>
          <w:rFonts w:hint="eastAsia" w:ascii="宋体" w:hAnsi="宋体" w:eastAsia="宋体" w:cs="宋体"/>
          <w:color w:val="auto"/>
          <w:kern w:val="0"/>
          <w:sz w:val="24"/>
          <w:szCs w:val="24"/>
          <w:highlight w:val="none"/>
          <w:lang w:val="en-US" w:eastAsia="zh-CN" w:bidi="ar"/>
        </w:rPr>
        <w:t>本项目将按照征集文件的相关要求及本章的规定评审。</w:t>
      </w:r>
    </w:p>
    <w:p w14:paraId="3F5A3EF3">
      <w:pPr>
        <w:keepNext w:val="0"/>
        <w:keepLines w:val="0"/>
        <w:pageBreakBefore w:val="0"/>
        <w:widowControl/>
        <w:suppressLineNumbers w:val="0"/>
        <w:kinsoku/>
        <w:wordWrap/>
        <w:overflowPunct/>
        <w:topLinePunct w:val="0"/>
        <w:autoSpaceDE/>
        <w:autoSpaceDN/>
        <w:bidi w:val="0"/>
        <w:adjustRightInd/>
        <w:snapToGrid/>
        <w:spacing w:line="520" w:lineRule="exact"/>
        <w:ind w:firstLine="482" w:firstLineChars="200"/>
        <w:jc w:val="both"/>
        <w:textAlignment w:val="auto"/>
        <w:rPr>
          <w:color w:val="auto"/>
          <w:sz w:val="24"/>
          <w:szCs w:val="24"/>
          <w:highlight w:val="none"/>
        </w:rPr>
      </w:pPr>
      <w:r>
        <w:rPr>
          <w:rFonts w:hint="eastAsia" w:ascii="宋体" w:hAnsi="宋体" w:eastAsia="宋体" w:cs="宋体"/>
          <w:b/>
          <w:bCs/>
          <w:color w:val="auto"/>
          <w:kern w:val="0"/>
          <w:sz w:val="24"/>
          <w:szCs w:val="24"/>
          <w:highlight w:val="none"/>
          <w:lang w:val="en-US" w:eastAsia="zh-CN" w:bidi="ar"/>
        </w:rPr>
        <w:t xml:space="preserve">二、评审方法 </w:t>
      </w:r>
    </w:p>
    <w:p w14:paraId="1E5D22CF">
      <w:pPr>
        <w:keepNext w:val="0"/>
        <w:keepLines w:val="0"/>
        <w:pageBreakBefore w:val="0"/>
        <w:widowControl/>
        <w:suppressLineNumbers w:val="0"/>
        <w:kinsoku/>
        <w:wordWrap/>
        <w:overflowPunct/>
        <w:topLinePunct w:val="0"/>
        <w:autoSpaceDE/>
        <w:autoSpaceDN/>
        <w:bidi w:val="0"/>
        <w:adjustRightInd/>
        <w:snapToGrid/>
        <w:spacing w:line="520" w:lineRule="exact"/>
        <w:ind w:firstLine="480" w:firstLineChars="200"/>
        <w:jc w:val="both"/>
        <w:textAlignment w:val="auto"/>
        <w:rPr>
          <w:color w:val="auto"/>
          <w:highlight w:val="none"/>
        </w:rPr>
      </w:pPr>
      <w:r>
        <w:rPr>
          <w:rFonts w:hint="eastAsia" w:ascii="宋体" w:hAnsi="宋体" w:eastAsia="宋体" w:cs="宋体"/>
          <w:color w:val="auto"/>
          <w:kern w:val="0"/>
          <w:sz w:val="24"/>
          <w:szCs w:val="24"/>
          <w:highlight w:val="none"/>
          <w:lang w:val="en-US" w:eastAsia="zh-CN" w:bidi="ar"/>
        </w:rPr>
        <w:t>依据政府采购相关法律法规规定，对供应商进行资格审查。资格审查表如下：</w:t>
      </w:r>
    </w:p>
    <w:tbl>
      <w:tblPr>
        <w:tblStyle w:val="28"/>
        <w:tblpPr w:leftFromText="180" w:rightFromText="180" w:vertAnchor="text" w:horzAnchor="page" w:tblpX="1273" w:tblpY="8"/>
        <w:tblOverlap w:val="never"/>
        <w:tblW w:w="9436"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49"/>
        <w:gridCol w:w="2138"/>
        <w:gridCol w:w="1949"/>
        <w:gridCol w:w="4400"/>
      </w:tblGrid>
      <w:tr w14:paraId="162165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9436" w:type="dxa"/>
            <w:gridSpan w:val="4"/>
            <w:vAlign w:val="top"/>
          </w:tcPr>
          <w:p w14:paraId="700BCDE3">
            <w:pPr>
              <w:pStyle w:val="27"/>
              <w:spacing w:before="219" w:line="220" w:lineRule="auto"/>
              <w:ind w:left="3851"/>
              <w:rPr>
                <w:color w:val="auto"/>
                <w:highlight w:val="none"/>
              </w:rPr>
            </w:pPr>
            <w:r>
              <w:rPr>
                <w:color w:val="auto"/>
                <w:spacing w:val="-3"/>
                <w:highlight w:val="none"/>
                <w14:textOutline w14:w="4358" w14:cap="sq" w14:cmpd="sng">
                  <w14:solidFill>
                    <w14:srgbClr w14:val="000000"/>
                  </w14:solidFill>
                  <w14:prstDash w14:val="solid"/>
                  <w14:bevel/>
                </w14:textOutline>
              </w:rPr>
              <w:t>资格审查表</w:t>
            </w:r>
          </w:p>
        </w:tc>
      </w:tr>
      <w:tr w14:paraId="4BE83C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949" w:type="dxa"/>
            <w:vAlign w:val="top"/>
          </w:tcPr>
          <w:p w14:paraId="2EF5305D">
            <w:pPr>
              <w:pStyle w:val="27"/>
              <w:spacing w:before="155" w:line="222" w:lineRule="auto"/>
              <w:ind w:left="119"/>
              <w:rPr>
                <w:color w:val="auto"/>
                <w:highlight w:val="none"/>
              </w:rPr>
            </w:pPr>
            <w:r>
              <w:rPr>
                <w:color w:val="auto"/>
                <w:spacing w:val="-5"/>
                <w:highlight w:val="none"/>
                <w14:textOutline w14:w="4358" w14:cap="sq" w14:cmpd="sng">
                  <w14:solidFill>
                    <w14:srgbClr w14:val="000000"/>
                  </w14:solidFill>
                  <w14:prstDash w14:val="solid"/>
                  <w14:bevel/>
                </w14:textOutline>
              </w:rPr>
              <w:t>序号</w:t>
            </w:r>
          </w:p>
        </w:tc>
        <w:tc>
          <w:tcPr>
            <w:tcW w:w="2138" w:type="dxa"/>
            <w:vAlign w:val="top"/>
          </w:tcPr>
          <w:p w14:paraId="3C97A7EA">
            <w:pPr>
              <w:pStyle w:val="27"/>
              <w:spacing w:before="155" w:line="221" w:lineRule="auto"/>
              <w:ind w:left="590"/>
              <w:rPr>
                <w:color w:val="auto"/>
                <w:highlight w:val="none"/>
              </w:rPr>
            </w:pPr>
            <w:r>
              <w:rPr>
                <w:color w:val="auto"/>
                <w:spacing w:val="-2"/>
                <w:highlight w:val="none"/>
                <w14:textOutline w14:w="4358" w14:cap="sq" w14:cmpd="sng">
                  <w14:solidFill>
                    <w14:srgbClr w14:val="000000"/>
                  </w14:solidFill>
                  <w14:prstDash w14:val="solid"/>
                  <w14:bevel/>
                </w14:textOutline>
              </w:rPr>
              <w:t>评审指标</w:t>
            </w:r>
          </w:p>
        </w:tc>
        <w:tc>
          <w:tcPr>
            <w:tcW w:w="1949" w:type="dxa"/>
            <w:vAlign w:val="top"/>
          </w:tcPr>
          <w:p w14:paraId="735B1365">
            <w:pPr>
              <w:pStyle w:val="27"/>
              <w:spacing w:before="155" w:line="221" w:lineRule="auto"/>
              <w:ind w:left="497"/>
              <w:rPr>
                <w:color w:val="auto"/>
                <w:highlight w:val="none"/>
              </w:rPr>
            </w:pPr>
            <w:r>
              <w:rPr>
                <w:color w:val="auto"/>
                <w:spacing w:val="-2"/>
                <w:highlight w:val="none"/>
                <w14:textOutline w14:w="4358" w14:cap="sq" w14:cmpd="sng">
                  <w14:solidFill>
                    <w14:srgbClr w14:val="000000"/>
                  </w14:solidFill>
                  <w14:prstDash w14:val="solid"/>
                  <w14:bevel/>
                </w14:textOutline>
              </w:rPr>
              <w:t>评审标准</w:t>
            </w:r>
          </w:p>
        </w:tc>
        <w:tc>
          <w:tcPr>
            <w:tcW w:w="4400" w:type="dxa"/>
            <w:vAlign w:val="top"/>
          </w:tcPr>
          <w:p w14:paraId="51D3A974">
            <w:pPr>
              <w:pStyle w:val="27"/>
              <w:spacing w:before="156" w:line="219" w:lineRule="auto"/>
              <w:ind w:left="1198"/>
              <w:rPr>
                <w:color w:val="auto"/>
                <w:highlight w:val="none"/>
              </w:rPr>
            </w:pPr>
            <w:r>
              <w:rPr>
                <w:color w:val="auto"/>
                <w:spacing w:val="-1"/>
                <w:highlight w:val="none"/>
                <w14:textOutline w14:w="4358" w14:cap="sq" w14:cmpd="sng">
                  <w14:solidFill>
                    <w14:srgbClr w14:val="000000"/>
                  </w14:solidFill>
                  <w14:prstDash w14:val="solid"/>
                  <w14:bevel/>
                </w14:textOutline>
              </w:rPr>
              <w:t>格式及材料要求</w:t>
            </w:r>
          </w:p>
        </w:tc>
      </w:tr>
      <w:tr w14:paraId="7DF3B0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2" w:hRule="atLeast"/>
        </w:trPr>
        <w:tc>
          <w:tcPr>
            <w:tcW w:w="949" w:type="dxa"/>
            <w:vAlign w:val="top"/>
          </w:tcPr>
          <w:p w14:paraId="59362B67">
            <w:pPr>
              <w:pStyle w:val="27"/>
              <w:spacing w:before="300" w:line="184" w:lineRule="auto"/>
              <w:ind w:left="318"/>
              <w:rPr>
                <w:color w:val="auto"/>
                <w:highlight w:val="none"/>
              </w:rPr>
            </w:pPr>
            <w:r>
              <w:rPr>
                <w:color w:val="auto"/>
                <w:highlight w:val="none"/>
                <w14:textOutline w14:w="4358" w14:cap="sq" w14:cmpd="sng">
                  <w14:solidFill>
                    <w14:srgbClr w14:val="000000"/>
                  </w14:solidFill>
                  <w14:prstDash w14:val="solid"/>
                  <w14:bevel/>
                </w14:textOutline>
              </w:rPr>
              <w:t>1</w:t>
            </w:r>
          </w:p>
        </w:tc>
        <w:tc>
          <w:tcPr>
            <w:tcW w:w="2138" w:type="dxa"/>
            <w:vAlign w:val="top"/>
          </w:tcPr>
          <w:p w14:paraId="26B884FD">
            <w:pPr>
              <w:pStyle w:val="27"/>
              <w:spacing w:before="264" w:line="220" w:lineRule="auto"/>
              <w:ind w:left="601"/>
              <w:rPr>
                <w:color w:val="auto"/>
                <w:highlight w:val="none"/>
              </w:rPr>
            </w:pPr>
            <w:r>
              <w:rPr>
                <w:color w:val="auto"/>
                <w:spacing w:val="-5"/>
                <w:highlight w:val="none"/>
              </w:rPr>
              <w:t>营业执照</w:t>
            </w:r>
          </w:p>
        </w:tc>
        <w:tc>
          <w:tcPr>
            <w:tcW w:w="1949" w:type="dxa"/>
            <w:vAlign w:val="top"/>
          </w:tcPr>
          <w:p w14:paraId="53B865EB">
            <w:pPr>
              <w:pStyle w:val="27"/>
              <w:spacing w:before="263" w:line="221" w:lineRule="auto"/>
              <w:ind w:left="501"/>
              <w:rPr>
                <w:color w:val="auto"/>
                <w:highlight w:val="none"/>
              </w:rPr>
            </w:pPr>
            <w:r>
              <w:rPr>
                <w:color w:val="auto"/>
                <w:spacing w:val="-3"/>
                <w:highlight w:val="none"/>
              </w:rPr>
              <w:t>合法有效</w:t>
            </w:r>
          </w:p>
        </w:tc>
        <w:tc>
          <w:tcPr>
            <w:tcW w:w="4400" w:type="dxa"/>
            <w:vMerge w:val="restart"/>
            <w:tcBorders>
              <w:bottom w:val="nil"/>
            </w:tcBorders>
            <w:vAlign w:val="top"/>
          </w:tcPr>
          <w:p w14:paraId="155ACAEC">
            <w:pPr>
              <w:pStyle w:val="27"/>
              <w:spacing w:before="118" w:line="294" w:lineRule="auto"/>
              <w:ind w:left="58" w:firstLine="1"/>
              <w:jc w:val="both"/>
              <w:rPr>
                <w:color w:val="auto"/>
                <w:highlight w:val="none"/>
              </w:rPr>
            </w:pPr>
            <w:r>
              <w:rPr>
                <w:color w:val="auto"/>
                <w:spacing w:val="-8"/>
                <w:highlight w:val="none"/>
              </w:rPr>
              <w:t>提供有效的供应商营业执照（或事业单</w:t>
            </w:r>
            <w:r>
              <w:rPr>
                <w:color w:val="auto"/>
                <w:spacing w:val="-7"/>
                <w:highlight w:val="none"/>
              </w:rPr>
              <w:t>位法人登记证书）和税务登记证的复印件，应完整的体现出营业执照（或事业单位法人登记证书）和税务登记证的全</w:t>
            </w:r>
            <w:r>
              <w:rPr>
                <w:color w:val="auto"/>
                <w:highlight w:val="none"/>
              </w:rPr>
              <w:t xml:space="preserve"> </w:t>
            </w:r>
            <w:r>
              <w:rPr>
                <w:color w:val="auto"/>
                <w:spacing w:val="-6"/>
                <w:highlight w:val="none"/>
              </w:rPr>
              <w:t>部内容。已办理“三证合一</w:t>
            </w:r>
            <w:r>
              <w:rPr>
                <w:color w:val="auto"/>
                <w:spacing w:val="-87"/>
                <w:highlight w:val="none"/>
              </w:rPr>
              <w:t xml:space="preserve"> </w:t>
            </w:r>
            <w:r>
              <w:rPr>
                <w:color w:val="auto"/>
                <w:spacing w:val="-6"/>
                <w:highlight w:val="none"/>
              </w:rPr>
              <w:t>”登记的，</w:t>
            </w:r>
            <w:r>
              <w:rPr>
                <w:color w:val="auto"/>
                <w:highlight w:val="none"/>
              </w:rPr>
              <w:t xml:space="preserve"> </w:t>
            </w:r>
            <w:r>
              <w:rPr>
                <w:color w:val="auto"/>
                <w:spacing w:val="-7"/>
                <w:highlight w:val="none"/>
              </w:rPr>
              <w:t>响应文件中提供营业执照（或事业单位</w:t>
            </w:r>
            <w:r>
              <w:rPr>
                <w:color w:val="auto"/>
                <w:spacing w:val="-1"/>
                <w:highlight w:val="none"/>
              </w:rPr>
              <w:t>法人登记证书）复印件即可。</w:t>
            </w:r>
          </w:p>
        </w:tc>
      </w:tr>
      <w:tr w14:paraId="4FEDBF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13" w:hRule="atLeast"/>
        </w:trPr>
        <w:tc>
          <w:tcPr>
            <w:tcW w:w="949" w:type="dxa"/>
            <w:vAlign w:val="top"/>
          </w:tcPr>
          <w:p w14:paraId="4A699974">
            <w:pPr>
              <w:spacing w:line="305" w:lineRule="auto"/>
              <w:rPr>
                <w:rFonts w:ascii="Arial"/>
                <w:color w:val="auto"/>
                <w:sz w:val="21"/>
                <w:highlight w:val="none"/>
              </w:rPr>
            </w:pPr>
          </w:p>
          <w:p w14:paraId="7E271093">
            <w:pPr>
              <w:spacing w:line="305" w:lineRule="auto"/>
              <w:rPr>
                <w:rFonts w:ascii="Arial"/>
                <w:color w:val="auto"/>
                <w:sz w:val="21"/>
                <w:highlight w:val="none"/>
              </w:rPr>
            </w:pPr>
          </w:p>
          <w:p w14:paraId="25C6DCD0">
            <w:pPr>
              <w:spacing w:line="305" w:lineRule="auto"/>
              <w:rPr>
                <w:rFonts w:ascii="Arial"/>
                <w:color w:val="auto"/>
                <w:sz w:val="21"/>
                <w:highlight w:val="none"/>
              </w:rPr>
            </w:pPr>
          </w:p>
          <w:p w14:paraId="79A647FE">
            <w:pPr>
              <w:pStyle w:val="27"/>
              <w:spacing w:before="78" w:line="183" w:lineRule="auto"/>
              <w:ind w:left="303"/>
              <w:rPr>
                <w:color w:val="auto"/>
                <w:highlight w:val="none"/>
              </w:rPr>
            </w:pPr>
            <w:r>
              <w:rPr>
                <w:color w:val="auto"/>
                <w:highlight w:val="none"/>
                <w14:textOutline w14:w="4358" w14:cap="sq" w14:cmpd="sng">
                  <w14:solidFill>
                    <w14:srgbClr w14:val="000000"/>
                  </w14:solidFill>
                  <w14:prstDash w14:val="solid"/>
                  <w14:bevel/>
                </w14:textOutline>
              </w:rPr>
              <w:t>2</w:t>
            </w:r>
          </w:p>
        </w:tc>
        <w:tc>
          <w:tcPr>
            <w:tcW w:w="2138" w:type="dxa"/>
            <w:vAlign w:val="top"/>
          </w:tcPr>
          <w:p w14:paraId="75DCC181">
            <w:pPr>
              <w:spacing w:line="292" w:lineRule="auto"/>
              <w:rPr>
                <w:rFonts w:ascii="Arial"/>
                <w:color w:val="auto"/>
                <w:sz w:val="21"/>
                <w:highlight w:val="none"/>
              </w:rPr>
            </w:pPr>
          </w:p>
          <w:p w14:paraId="6C17D40E">
            <w:pPr>
              <w:spacing w:line="292" w:lineRule="auto"/>
              <w:rPr>
                <w:rFonts w:ascii="Arial"/>
                <w:color w:val="auto"/>
                <w:sz w:val="21"/>
                <w:highlight w:val="none"/>
              </w:rPr>
            </w:pPr>
          </w:p>
          <w:p w14:paraId="44AB023C">
            <w:pPr>
              <w:spacing w:line="293" w:lineRule="auto"/>
              <w:rPr>
                <w:rFonts w:ascii="Arial"/>
                <w:color w:val="auto"/>
                <w:sz w:val="21"/>
                <w:highlight w:val="none"/>
              </w:rPr>
            </w:pPr>
          </w:p>
          <w:p w14:paraId="786B408B">
            <w:pPr>
              <w:pStyle w:val="27"/>
              <w:spacing w:before="78" w:line="220" w:lineRule="auto"/>
              <w:ind w:left="473"/>
              <w:rPr>
                <w:color w:val="auto"/>
                <w:highlight w:val="none"/>
              </w:rPr>
            </w:pPr>
            <w:r>
              <w:rPr>
                <w:color w:val="auto"/>
                <w:spacing w:val="-2"/>
                <w:highlight w:val="none"/>
              </w:rPr>
              <w:t>税务登记证</w:t>
            </w:r>
          </w:p>
        </w:tc>
        <w:tc>
          <w:tcPr>
            <w:tcW w:w="1949" w:type="dxa"/>
            <w:vAlign w:val="top"/>
          </w:tcPr>
          <w:p w14:paraId="7F71D87C">
            <w:pPr>
              <w:spacing w:line="292" w:lineRule="auto"/>
              <w:rPr>
                <w:rFonts w:ascii="Arial"/>
                <w:color w:val="auto"/>
                <w:sz w:val="21"/>
                <w:highlight w:val="none"/>
              </w:rPr>
            </w:pPr>
          </w:p>
          <w:p w14:paraId="00275A35">
            <w:pPr>
              <w:spacing w:line="292" w:lineRule="auto"/>
              <w:rPr>
                <w:rFonts w:ascii="Arial"/>
                <w:color w:val="auto"/>
                <w:sz w:val="21"/>
                <w:highlight w:val="none"/>
              </w:rPr>
            </w:pPr>
          </w:p>
          <w:p w14:paraId="7834B60B">
            <w:pPr>
              <w:spacing w:line="293" w:lineRule="auto"/>
              <w:rPr>
                <w:rFonts w:ascii="Arial"/>
                <w:color w:val="auto"/>
                <w:sz w:val="21"/>
                <w:highlight w:val="none"/>
              </w:rPr>
            </w:pPr>
          </w:p>
          <w:p w14:paraId="51B76DB8">
            <w:pPr>
              <w:pStyle w:val="27"/>
              <w:spacing w:before="78" w:line="221" w:lineRule="auto"/>
              <w:ind w:left="501"/>
              <w:rPr>
                <w:color w:val="auto"/>
                <w:highlight w:val="none"/>
              </w:rPr>
            </w:pPr>
            <w:r>
              <w:rPr>
                <w:color w:val="auto"/>
                <w:spacing w:val="-3"/>
                <w:highlight w:val="none"/>
              </w:rPr>
              <w:t>合法有效</w:t>
            </w:r>
          </w:p>
        </w:tc>
        <w:tc>
          <w:tcPr>
            <w:tcW w:w="4400" w:type="dxa"/>
            <w:vMerge w:val="continue"/>
            <w:tcBorders>
              <w:top w:val="nil"/>
            </w:tcBorders>
            <w:vAlign w:val="top"/>
          </w:tcPr>
          <w:p w14:paraId="0081C414">
            <w:pPr>
              <w:rPr>
                <w:rFonts w:ascii="Arial"/>
                <w:color w:val="auto"/>
                <w:sz w:val="21"/>
                <w:highlight w:val="none"/>
              </w:rPr>
            </w:pPr>
          </w:p>
        </w:tc>
      </w:tr>
      <w:tr w14:paraId="360BEF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949" w:type="dxa"/>
            <w:vAlign w:val="top"/>
          </w:tcPr>
          <w:p w14:paraId="41FB1A22">
            <w:pPr>
              <w:spacing w:line="274" w:lineRule="auto"/>
              <w:rPr>
                <w:rFonts w:ascii="Arial"/>
                <w:color w:val="auto"/>
                <w:sz w:val="21"/>
                <w:highlight w:val="none"/>
              </w:rPr>
            </w:pPr>
          </w:p>
          <w:p w14:paraId="1867A9C4">
            <w:pPr>
              <w:pStyle w:val="27"/>
              <w:spacing w:before="78" w:line="183" w:lineRule="auto"/>
              <w:ind w:left="305"/>
              <w:rPr>
                <w:color w:val="auto"/>
                <w:highlight w:val="none"/>
              </w:rPr>
            </w:pPr>
            <w:r>
              <w:rPr>
                <w:color w:val="auto"/>
                <w:highlight w:val="none"/>
                <w14:textOutline w14:w="4358" w14:cap="sq" w14:cmpd="sng">
                  <w14:solidFill>
                    <w14:srgbClr w14:val="000000"/>
                  </w14:solidFill>
                  <w14:prstDash w14:val="solid"/>
                  <w14:bevel/>
                </w14:textOutline>
              </w:rPr>
              <w:t>3</w:t>
            </w:r>
          </w:p>
        </w:tc>
        <w:tc>
          <w:tcPr>
            <w:tcW w:w="2138" w:type="dxa"/>
            <w:vAlign w:val="top"/>
          </w:tcPr>
          <w:p w14:paraId="72C3A0A8">
            <w:pPr>
              <w:pStyle w:val="27"/>
              <w:spacing w:before="315" w:line="220" w:lineRule="auto"/>
              <w:ind w:left="597"/>
              <w:rPr>
                <w:color w:val="auto"/>
                <w:highlight w:val="none"/>
              </w:rPr>
            </w:pPr>
            <w:r>
              <w:rPr>
                <w:color w:val="auto"/>
                <w:spacing w:val="-4"/>
                <w:highlight w:val="none"/>
              </w:rPr>
              <w:t>维修资质</w:t>
            </w:r>
          </w:p>
        </w:tc>
        <w:tc>
          <w:tcPr>
            <w:tcW w:w="1949" w:type="dxa"/>
            <w:vAlign w:val="top"/>
          </w:tcPr>
          <w:p w14:paraId="6988AC8A">
            <w:pPr>
              <w:pStyle w:val="27"/>
              <w:spacing w:before="116" w:line="401" w:lineRule="exact"/>
              <w:ind w:left="145"/>
              <w:rPr>
                <w:color w:val="auto"/>
                <w:highlight w:val="none"/>
              </w:rPr>
            </w:pPr>
            <w:r>
              <w:rPr>
                <w:color w:val="auto"/>
                <w:spacing w:val="-3"/>
                <w:position w:val="11"/>
                <w:highlight w:val="none"/>
              </w:rPr>
              <w:t>具有综合二类及</w:t>
            </w:r>
          </w:p>
          <w:p w14:paraId="1438F99E">
            <w:pPr>
              <w:pStyle w:val="27"/>
              <w:spacing w:line="212" w:lineRule="auto"/>
              <w:ind w:left="287"/>
              <w:rPr>
                <w:color w:val="auto"/>
                <w:highlight w:val="none"/>
              </w:rPr>
            </w:pPr>
            <w:r>
              <w:rPr>
                <w:color w:val="auto"/>
                <w:spacing w:val="-7"/>
                <w:highlight w:val="none"/>
              </w:rPr>
              <w:t>以上维修资质</w:t>
            </w:r>
          </w:p>
        </w:tc>
        <w:tc>
          <w:tcPr>
            <w:tcW w:w="4400" w:type="dxa"/>
            <w:vAlign w:val="top"/>
          </w:tcPr>
          <w:p w14:paraId="077729EE">
            <w:pPr>
              <w:pStyle w:val="27"/>
              <w:spacing w:before="316" w:line="219" w:lineRule="auto"/>
              <w:ind w:left="364"/>
              <w:rPr>
                <w:color w:val="auto"/>
                <w:highlight w:val="none"/>
              </w:rPr>
            </w:pPr>
            <w:r>
              <w:rPr>
                <w:color w:val="auto"/>
                <w:spacing w:val="-1"/>
                <w:highlight w:val="none"/>
              </w:rPr>
              <w:t>提供相关证明材料的清晰复印件</w:t>
            </w:r>
          </w:p>
        </w:tc>
      </w:tr>
      <w:tr w14:paraId="151CD4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949" w:type="dxa"/>
            <w:vAlign w:val="top"/>
          </w:tcPr>
          <w:p w14:paraId="0C36146A">
            <w:pPr>
              <w:spacing w:line="278" w:lineRule="auto"/>
              <w:rPr>
                <w:rFonts w:ascii="Arial"/>
                <w:color w:val="auto"/>
                <w:sz w:val="21"/>
                <w:highlight w:val="none"/>
              </w:rPr>
            </w:pPr>
          </w:p>
          <w:p w14:paraId="4C7FB0BF">
            <w:pPr>
              <w:pStyle w:val="27"/>
              <w:spacing w:before="78" w:line="182" w:lineRule="auto"/>
              <w:ind w:left="305"/>
              <w:rPr>
                <w:rFonts w:hint="eastAsia" w:eastAsia="宋体"/>
                <w:color w:val="auto"/>
                <w:highlight w:val="none"/>
                <w:lang w:eastAsia="zh-CN"/>
              </w:rPr>
            </w:pPr>
            <w:r>
              <w:rPr>
                <w:rFonts w:hint="eastAsia"/>
                <w:color w:val="auto"/>
                <w:highlight w:val="none"/>
                <w:lang w:val="en-US" w:eastAsia="zh-CN"/>
                <w14:textOutline w14:w="4358" w14:cap="sq" w14:cmpd="sng">
                  <w14:solidFill>
                    <w14:srgbClr w14:val="000000"/>
                  </w14:solidFill>
                  <w14:prstDash w14:val="solid"/>
                  <w14:bevel/>
                </w14:textOutline>
              </w:rPr>
              <w:t>4</w:t>
            </w:r>
          </w:p>
        </w:tc>
        <w:tc>
          <w:tcPr>
            <w:tcW w:w="2138" w:type="dxa"/>
            <w:vAlign w:val="top"/>
          </w:tcPr>
          <w:p w14:paraId="28650356">
            <w:pPr>
              <w:pStyle w:val="27"/>
              <w:spacing w:before="318" w:line="219" w:lineRule="auto"/>
              <w:ind w:left="832"/>
              <w:rPr>
                <w:color w:val="auto"/>
                <w:highlight w:val="none"/>
              </w:rPr>
            </w:pPr>
            <w:r>
              <w:rPr>
                <w:color w:val="auto"/>
                <w:spacing w:val="-4"/>
                <w:highlight w:val="none"/>
              </w:rPr>
              <w:t>报价</w:t>
            </w:r>
          </w:p>
        </w:tc>
        <w:tc>
          <w:tcPr>
            <w:tcW w:w="1949" w:type="dxa"/>
            <w:vAlign w:val="top"/>
          </w:tcPr>
          <w:p w14:paraId="4B56A7E4">
            <w:pPr>
              <w:pStyle w:val="27"/>
              <w:spacing w:before="120" w:line="400" w:lineRule="exact"/>
              <w:ind w:left="144"/>
              <w:rPr>
                <w:color w:val="auto"/>
                <w:highlight w:val="none"/>
              </w:rPr>
            </w:pPr>
            <w:r>
              <w:rPr>
                <w:color w:val="auto"/>
                <w:spacing w:val="-2"/>
                <w:position w:val="11"/>
                <w:highlight w:val="none"/>
              </w:rPr>
              <w:t>不得超过最高限</w:t>
            </w:r>
          </w:p>
          <w:p w14:paraId="36C62879">
            <w:pPr>
              <w:pStyle w:val="27"/>
              <w:spacing w:before="1" w:line="210" w:lineRule="auto"/>
              <w:ind w:left="621"/>
              <w:rPr>
                <w:color w:val="auto"/>
                <w:highlight w:val="none"/>
              </w:rPr>
            </w:pPr>
            <w:r>
              <w:rPr>
                <w:color w:val="auto"/>
                <w:spacing w:val="-4"/>
                <w:highlight w:val="none"/>
              </w:rPr>
              <w:t>制单价</w:t>
            </w:r>
          </w:p>
        </w:tc>
        <w:tc>
          <w:tcPr>
            <w:tcW w:w="4400" w:type="dxa"/>
            <w:vAlign w:val="top"/>
          </w:tcPr>
          <w:p w14:paraId="540325D9">
            <w:pPr>
              <w:pStyle w:val="27"/>
              <w:spacing w:before="318" w:line="219" w:lineRule="auto"/>
              <w:ind w:left="426"/>
              <w:rPr>
                <w:color w:val="auto"/>
                <w:highlight w:val="none"/>
              </w:rPr>
            </w:pPr>
            <w:r>
              <w:rPr>
                <w:color w:val="auto"/>
                <w:spacing w:val="-1"/>
                <w:highlight w:val="none"/>
              </w:rPr>
              <w:t>详见第四章 二、最高限制单价</w:t>
            </w:r>
          </w:p>
        </w:tc>
      </w:tr>
      <w:tr w14:paraId="48B472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9" w:hRule="atLeast"/>
        </w:trPr>
        <w:tc>
          <w:tcPr>
            <w:tcW w:w="949" w:type="dxa"/>
            <w:vAlign w:val="top"/>
          </w:tcPr>
          <w:p w14:paraId="0643A13F">
            <w:pPr>
              <w:spacing w:line="278" w:lineRule="auto"/>
              <w:rPr>
                <w:rFonts w:ascii="Arial"/>
                <w:color w:val="auto"/>
                <w:sz w:val="21"/>
                <w:highlight w:val="none"/>
              </w:rPr>
            </w:pPr>
          </w:p>
          <w:p w14:paraId="5D7D9CE5">
            <w:pPr>
              <w:pStyle w:val="27"/>
              <w:spacing w:before="78" w:line="183" w:lineRule="auto"/>
              <w:ind w:left="302"/>
              <w:rPr>
                <w:rFonts w:hint="eastAsia" w:eastAsia="宋体"/>
                <w:color w:val="auto"/>
                <w:highlight w:val="none"/>
                <w:lang w:eastAsia="zh-CN"/>
              </w:rPr>
            </w:pPr>
            <w:r>
              <w:rPr>
                <w:rFonts w:hint="eastAsia"/>
                <w:color w:val="auto"/>
                <w:highlight w:val="none"/>
                <w:lang w:val="en-US" w:eastAsia="zh-CN"/>
                <w14:textOutline w14:w="4358" w14:cap="sq" w14:cmpd="sng">
                  <w14:solidFill>
                    <w14:srgbClr w14:val="000000"/>
                  </w14:solidFill>
                  <w14:prstDash w14:val="solid"/>
                  <w14:bevel/>
                </w14:textOutline>
              </w:rPr>
              <w:t>5</w:t>
            </w:r>
          </w:p>
        </w:tc>
        <w:tc>
          <w:tcPr>
            <w:tcW w:w="2138" w:type="dxa"/>
            <w:vAlign w:val="top"/>
          </w:tcPr>
          <w:p w14:paraId="763EE4B1">
            <w:pPr>
              <w:rPr>
                <w:rFonts w:ascii="Arial"/>
                <w:color w:val="auto"/>
                <w:sz w:val="21"/>
                <w:highlight w:val="none"/>
              </w:rPr>
            </w:pPr>
          </w:p>
          <w:p w14:paraId="30E8A6FC">
            <w:pPr>
              <w:pStyle w:val="27"/>
              <w:spacing w:before="78" w:line="221" w:lineRule="auto"/>
              <w:ind w:left="594"/>
              <w:rPr>
                <w:color w:val="auto"/>
                <w:highlight w:val="none"/>
              </w:rPr>
            </w:pPr>
            <w:r>
              <w:rPr>
                <w:color w:val="auto"/>
                <w:spacing w:val="-3"/>
                <w:highlight w:val="none"/>
              </w:rPr>
              <w:t>其他要求</w:t>
            </w:r>
          </w:p>
        </w:tc>
        <w:tc>
          <w:tcPr>
            <w:tcW w:w="6349" w:type="dxa"/>
            <w:gridSpan w:val="2"/>
            <w:vAlign w:val="top"/>
          </w:tcPr>
          <w:p w14:paraId="4EDDDA9D">
            <w:pPr>
              <w:pStyle w:val="27"/>
              <w:spacing w:before="118" w:line="401" w:lineRule="exact"/>
              <w:ind w:left="58"/>
              <w:rPr>
                <w:color w:val="auto"/>
                <w:highlight w:val="none"/>
              </w:rPr>
            </w:pPr>
            <w:r>
              <w:rPr>
                <w:color w:val="auto"/>
                <w:spacing w:val="-4"/>
                <w:position w:val="11"/>
                <w:highlight w:val="none"/>
              </w:rPr>
              <w:t>符合法律、行政法规规定的其他条件或征集文件列明的其</w:t>
            </w:r>
          </w:p>
          <w:p w14:paraId="3C529D99">
            <w:pPr>
              <w:pStyle w:val="27"/>
              <w:spacing w:before="1" w:line="214" w:lineRule="auto"/>
              <w:ind w:left="56"/>
              <w:rPr>
                <w:color w:val="auto"/>
                <w:highlight w:val="none"/>
              </w:rPr>
            </w:pPr>
            <w:r>
              <w:rPr>
                <w:color w:val="auto"/>
                <w:spacing w:val="-3"/>
                <w:highlight w:val="none"/>
              </w:rPr>
              <w:t>他要求。</w:t>
            </w:r>
          </w:p>
        </w:tc>
      </w:tr>
    </w:tbl>
    <w:p w14:paraId="5EE13FCA">
      <w:pPr>
        <w:keepNext w:val="0"/>
        <w:keepLines w:val="0"/>
        <w:pageBreakBefore w:val="0"/>
        <w:widowControl/>
        <w:suppressLineNumbers w:val="0"/>
        <w:kinsoku/>
        <w:wordWrap/>
        <w:overflowPunct/>
        <w:topLinePunct w:val="0"/>
        <w:autoSpaceDE/>
        <w:autoSpaceDN/>
        <w:bidi w:val="0"/>
        <w:adjustRightInd/>
        <w:snapToGrid/>
        <w:spacing w:line="520" w:lineRule="exact"/>
        <w:ind w:firstLine="482" w:firstLineChars="200"/>
        <w:jc w:val="both"/>
        <w:textAlignment w:val="auto"/>
        <w:rPr>
          <w:color w:val="auto"/>
          <w:highlight w:val="none"/>
        </w:rPr>
      </w:pPr>
      <w:r>
        <w:rPr>
          <w:rFonts w:hint="eastAsia" w:ascii="宋体" w:hAnsi="宋体" w:eastAsia="宋体" w:cs="宋体"/>
          <w:b/>
          <w:bCs/>
          <w:color w:val="auto"/>
          <w:kern w:val="0"/>
          <w:sz w:val="24"/>
          <w:szCs w:val="24"/>
          <w:highlight w:val="none"/>
          <w:lang w:val="en-US" w:eastAsia="zh-CN" w:bidi="ar"/>
        </w:rPr>
        <w:t>资格审查指标通过标准：</w:t>
      </w:r>
      <w:r>
        <w:rPr>
          <w:rFonts w:hint="eastAsia" w:ascii="宋体" w:hAnsi="宋体" w:eastAsia="宋体" w:cs="宋体"/>
          <w:color w:val="auto"/>
          <w:kern w:val="0"/>
          <w:sz w:val="24"/>
          <w:szCs w:val="24"/>
          <w:highlight w:val="none"/>
          <w:lang w:val="en-US" w:eastAsia="zh-CN" w:bidi="ar"/>
        </w:rPr>
        <w:t>供应商须通过资格审查表中的全部评审指标。</w:t>
      </w:r>
    </w:p>
    <w:tbl>
      <w:tblPr>
        <w:tblStyle w:val="28"/>
        <w:tblW w:w="9494" w:type="dxa"/>
        <w:tblInd w:w="-15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0"/>
        <w:gridCol w:w="2132"/>
        <w:gridCol w:w="1943"/>
        <w:gridCol w:w="4409"/>
        <w:gridCol w:w="90"/>
      </w:tblGrid>
      <w:tr w14:paraId="5E2493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90" w:type="dxa"/>
          <w:trHeight w:val="456" w:hRule="atLeast"/>
        </w:trPr>
        <w:tc>
          <w:tcPr>
            <w:tcW w:w="9404" w:type="dxa"/>
            <w:gridSpan w:val="4"/>
            <w:vAlign w:val="center"/>
          </w:tcPr>
          <w:p w14:paraId="187CCCFB">
            <w:pPr>
              <w:pStyle w:val="27"/>
              <w:spacing w:before="240" w:line="219" w:lineRule="auto"/>
              <w:ind w:left="3867"/>
              <w:jc w:val="both"/>
              <w:rPr>
                <w:color w:val="auto"/>
                <w:highlight w:val="none"/>
              </w:rPr>
            </w:pPr>
            <w:r>
              <w:rPr>
                <w:color w:val="auto"/>
                <w:spacing w:val="-7"/>
                <w:highlight w:val="none"/>
              </w:rPr>
              <w:t>符合性审查表</w:t>
            </w:r>
          </w:p>
        </w:tc>
      </w:tr>
      <w:tr w14:paraId="1AEB5C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90" w:type="dxa"/>
          <w:trHeight w:val="491" w:hRule="atLeast"/>
        </w:trPr>
        <w:tc>
          <w:tcPr>
            <w:tcW w:w="920" w:type="dxa"/>
            <w:vAlign w:val="center"/>
          </w:tcPr>
          <w:p w14:paraId="711A716D">
            <w:pPr>
              <w:pStyle w:val="27"/>
              <w:spacing w:before="174" w:line="221" w:lineRule="auto"/>
              <w:ind w:left="132"/>
              <w:jc w:val="both"/>
              <w:rPr>
                <w:color w:val="auto"/>
                <w:highlight w:val="none"/>
              </w:rPr>
            </w:pPr>
            <w:r>
              <w:rPr>
                <w:color w:val="auto"/>
                <w:spacing w:val="-5"/>
                <w:highlight w:val="none"/>
              </w:rPr>
              <w:t>序号</w:t>
            </w:r>
          </w:p>
        </w:tc>
        <w:tc>
          <w:tcPr>
            <w:tcW w:w="2132" w:type="dxa"/>
            <w:vAlign w:val="center"/>
          </w:tcPr>
          <w:p w14:paraId="1AE8A57C">
            <w:pPr>
              <w:pStyle w:val="27"/>
              <w:spacing w:before="172" w:line="220" w:lineRule="auto"/>
              <w:ind w:left="600"/>
              <w:jc w:val="both"/>
              <w:rPr>
                <w:color w:val="auto"/>
                <w:highlight w:val="none"/>
              </w:rPr>
            </w:pPr>
            <w:r>
              <w:rPr>
                <w:color w:val="auto"/>
                <w:spacing w:val="-4"/>
                <w:highlight w:val="none"/>
              </w:rPr>
              <w:t>评审指标</w:t>
            </w:r>
          </w:p>
        </w:tc>
        <w:tc>
          <w:tcPr>
            <w:tcW w:w="1943" w:type="dxa"/>
            <w:vAlign w:val="center"/>
          </w:tcPr>
          <w:p w14:paraId="5721366D">
            <w:pPr>
              <w:pStyle w:val="27"/>
              <w:spacing w:before="172" w:line="220" w:lineRule="auto"/>
              <w:ind w:left="512"/>
              <w:jc w:val="both"/>
              <w:rPr>
                <w:color w:val="auto"/>
                <w:highlight w:val="none"/>
              </w:rPr>
            </w:pPr>
            <w:r>
              <w:rPr>
                <w:color w:val="auto"/>
                <w:spacing w:val="-4"/>
                <w:highlight w:val="none"/>
              </w:rPr>
              <w:t>评审标准</w:t>
            </w:r>
          </w:p>
        </w:tc>
        <w:tc>
          <w:tcPr>
            <w:tcW w:w="4409" w:type="dxa"/>
            <w:vAlign w:val="center"/>
          </w:tcPr>
          <w:p w14:paraId="17E24D51">
            <w:pPr>
              <w:pStyle w:val="27"/>
              <w:spacing w:before="171" w:line="219" w:lineRule="auto"/>
              <w:ind w:left="1220"/>
              <w:jc w:val="both"/>
              <w:rPr>
                <w:color w:val="auto"/>
                <w:highlight w:val="none"/>
              </w:rPr>
            </w:pPr>
            <w:r>
              <w:rPr>
                <w:color w:val="auto"/>
                <w:spacing w:val="-3"/>
                <w:highlight w:val="none"/>
              </w:rPr>
              <w:t>格式及材料要求</w:t>
            </w:r>
          </w:p>
        </w:tc>
      </w:tr>
      <w:tr w14:paraId="4E3B65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90" w:type="dxa"/>
          <w:trHeight w:val="797" w:hRule="atLeast"/>
        </w:trPr>
        <w:tc>
          <w:tcPr>
            <w:tcW w:w="920" w:type="dxa"/>
            <w:vAlign w:val="center"/>
          </w:tcPr>
          <w:p w14:paraId="15AB37D0">
            <w:pPr>
              <w:pStyle w:val="27"/>
              <w:spacing w:before="92" w:line="184" w:lineRule="auto"/>
              <w:ind w:firstLine="240" w:firstLineChars="100"/>
              <w:jc w:val="both"/>
              <w:rPr>
                <w:color w:val="auto"/>
                <w:highlight w:val="none"/>
              </w:rPr>
            </w:pPr>
            <w:r>
              <w:rPr>
                <w:color w:val="auto"/>
                <w:highlight w:val="none"/>
              </w:rPr>
              <w:t>1</w:t>
            </w:r>
          </w:p>
        </w:tc>
        <w:tc>
          <w:tcPr>
            <w:tcW w:w="2132" w:type="dxa"/>
            <w:vAlign w:val="center"/>
          </w:tcPr>
          <w:p w14:paraId="4A48B193">
            <w:pPr>
              <w:pStyle w:val="27"/>
              <w:spacing w:before="96" w:line="219" w:lineRule="auto"/>
              <w:ind w:left="843"/>
              <w:jc w:val="both"/>
              <w:rPr>
                <w:color w:val="auto"/>
                <w:highlight w:val="none"/>
              </w:rPr>
            </w:pPr>
            <w:r>
              <w:rPr>
                <w:color w:val="auto"/>
                <w:spacing w:val="-8"/>
                <w:highlight w:val="none"/>
              </w:rPr>
              <w:t>商务</w:t>
            </w:r>
          </w:p>
        </w:tc>
        <w:tc>
          <w:tcPr>
            <w:tcW w:w="1943" w:type="dxa"/>
            <w:vAlign w:val="center"/>
          </w:tcPr>
          <w:p w14:paraId="6740BE18">
            <w:pPr>
              <w:pStyle w:val="27"/>
              <w:spacing w:before="96" w:line="220" w:lineRule="auto"/>
              <w:ind w:left="519"/>
              <w:jc w:val="both"/>
              <w:rPr>
                <w:color w:val="auto"/>
                <w:highlight w:val="none"/>
              </w:rPr>
            </w:pPr>
            <w:r>
              <w:rPr>
                <w:color w:val="auto"/>
                <w:spacing w:val="-6"/>
                <w:highlight w:val="none"/>
              </w:rPr>
              <w:t>合法有效</w:t>
            </w:r>
          </w:p>
        </w:tc>
        <w:tc>
          <w:tcPr>
            <w:tcW w:w="4409" w:type="dxa"/>
            <w:vAlign w:val="center"/>
          </w:tcPr>
          <w:p w14:paraId="4BF01235">
            <w:pPr>
              <w:pStyle w:val="27"/>
              <w:spacing w:before="39" w:line="219" w:lineRule="auto"/>
              <w:ind w:left="1337"/>
              <w:jc w:val="both"/>
              <w:rPr>
                <w:color w:val="auto"/>
                <w:highlight w:val="none"/>
              </w:rPr>
            </w:pPr>
            <w:r>
              <w:rPr>
                <w:color w:val="auto"/>
                <w:spacing w:val="-2"/>
                <w:highlight w:val="none"/>
              </w:rPr>
              <w:t>参照格式要求</w:t>
            </w:r>
          </w:p>
        </w:tc>
      </w:tr>
      <w:tr w14:paraId="32DAC5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90" w:type="dxa"/>
          <w:trHeight w:val="828" w:hRule="atLeast"/>
        </w:trPr>
        <w:tc>
          <w:tcPr>
            <w:tcW w:w="920" w:type="dxa"/>
            <w:vAlign w:val="center"/>
          </w:tcPr>
          <w:p w14:paraId="773EC9E3">
            <w:pPr>
              <w:spacing w:line="372" w:lineRule="auto"/>
              <w:jc w:val="both"/>
              <w:rPr>
                <w:rFonts w:ascii="Arial"/>
                <w:color w:val="auto"/>
                <w:sz w:val="21"/>
                <w:highlight w:val="none"/>
              </w:rPr>
            </w:pPr>
          </w:p>
          <w:p w14:paraId="74397B13">
            <w:pPr>
              <w:pStyle w:val="27"/>
              <w:spacing w:before="78" w:line="183" w:lineRule="auto"/>
              <w:ind w:firstLine="240" w:firstLineChars="100"/>
              <w:jc w:val="both"/>
              <w:rPr>
                <w:color w:val="auto"/>
                <w:highlight w:val="none"/>
              </w:rPr>
            </w:pPr>
            <w:r>
              <w:rPr>
                <w:color w:val="auto"/>
                <w:highlight w:val="none"/>
              </w:rPr>
              <w:t>2</w:t>
            </w:r>
          </w:p>
        </w:tc>
        <w:tc>
          <w:tcPr>
            <w:tcW w:w="2132" w:type="dxa"/>
            <w:vAlign w:val="center"/>
          </w:tcPr>
          <w:p w14:paraId="76DEB49C">
            <w:pPr>
              <w:spacing w:line="256" w:lineRule="auto"/>
              <w:jc w:val="both"/>
              <w:rPr>
                <w:rFonts w:ascii="Arial"/>
                <w:color w:val="auto"/>
                <w:sz w:val="21"/>
                <w:highlight w:val="none"/>
              </w:rPr>
            </w:pPr>
          </w:p>
          <w:p w14:paraId="5F47BD91">
            <w:pPr>
              <w:pStyle w:val="27"/>
              <w:spacing w:before="78" w:line="218" w:lineRule="auto"/>
              <w:ind w:left="841"/>
              <w:jc w:val="both"/>
              <w:rPr>
                <w:color w:val="auto"/>
                <w:highlight w:val="none"/>
              </w:rPr>
            </w:pPr>
            <w:r>
              <w:rPr>
                <w:color w:val="auto"/>
                <w:spacing w:val="-4"/>
                <w:highlight w:val="none"/>
              </w:rPr>
              <w:t>报价</w:t>
            </w:r>
          </w:p>
        </w:tc>
        <w:tc>
          <w:tcPr>
            <w:tcW w:w="1943" w:type="dxa"/>
            <w:vAlign w:val="center"/>
          </w:tcPr>
          <w:p w14:paraId="2F49F753">
            <w:pPr>
              <w:pStyle w:val="27"/>
              <w:spacing w:before="12" w:line="212" w:lineRule="auto"/>
              <w:jc w:val="both"/>
              <w:rPr>
                <w:color w:val="auto"/>
                <w:highlight w:val="none"/>
              </w:rPr>
            </w:pPr>
            <w:r>
              <w:rPr>
                <w:color w:val="auto"/>
                <w:spacing w:val="-2"/>
                <w:highlight w:val="none"/>
              </w:rPr>
              <w:t>不得超过最高限制</w:t>
            </w:r>
          </w:p>
          <w:p w14:paraId="638FC41A">
            <w:pPr>
              <w:pStyle w:val="27"/>
              <w:spacing w:line="210" w:lineRule="auto"/>
              <w:jc w:val="both"/>
              <w:rPr>
                <w:color w:val="auto"/>
                <w:highlight w:val="none"/>
              </w:rPr>
            </w:pPr>
            <w:r>
              <w:rPr>
                <w:color w:val="auto"/>
                <w:spacing w:val="-2"/>
                <w:highlight w:val="none"/>
              </w:rPr>
              <w:t>单价，不能报价为</w:t>
            </w:r>
          </w:p>
          <w:p w14:paraId="610C2865">
            <w:pPr>
              <w:pStyle w:val="27"/>
              <w:spacing w:line="197" w:lineRule="auto"/>
              <w:ind w:left="867"/>
              <w:jc w:val="both"/>
              <w:rPr>
                <w:color w:val="auto"/>
                <w:highlight w:val="none"/>
              </w:rPr>
            </w:pPr>
            <w:r>
              <w:rPr>
                <w:color w:val="auto"/>
                <w:highlight w:val="none"/>
              </w:rPr>
              <w:t>零</w:t>
            </w:r>
          </w:p>
        </w:tc>
        <w:tc>
          <w:tcPr>
            <w:tcW w:w="4409" w:type="dxa"/>
            <w:vAlign w:val="center"/>
          </w:tcPr>
          <w:p w14:paraId="65537D67">
            <w:pPr>
              <w:spacing w:line="256" w:lineRule="auto"/>
              <w:jc w:val="both"/>
              <w:rPr>
                <w:rFonts w:ascii="Arial"/>
                <w:color w:val="auto"/>
                <w:sz w:val="21"/>
                <w:highlight w:val="none"/>
              </w:rPr>
            </w:pPr>
          </w:p>
          <w:p w14:paraId="79D80FF0">
            <w:pPr>
              <w:pStyle w:val="27"/>
              <w:spacing w:before="78" w:line="219" w:lineRule="auto"/>
              <w:ind w:left="1524"/>
              <w:jc w:val="both"/>
              <w:rPr>
                <w:color w:val="auto"/>
                <w:highlight w:val="none"/>
              </w:rPr>
            </w:pPr>
            <w:r>
              <w:rPr>
                <w:color w:val="auto"/>
                <w:spacing w:val="-4"/>
                <w:highlight w:val="none"/>
              </w:rPr>
              <w:t>参照格式要求</w:t>
            </w:r>
          </w:p>
        </w:tc>
      </w:tr>
      <w:tr w14:paraId="734A31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1" w:hRule="atLeast"/>
        </w:trPr>
        <w:tc>
          <w:tcPr>
            <w:tcW w:w="920" w:type="dxa"/>
            <w:vAlign w:val="center"/>
          </w:tcPr>
          <w:p w14:paraId="449856DE">
            <w:pPr>
              <w:pStyle w:val="27"/>
              <w:spacing w:before="97" w:line="183" w:lineRule="auto"/>
              <w:ind w:left="459"/>
              <w:jc w:val="both"/>
              <w:rPr>
                <w:color w:val="auto"/>
                <w:highlight w:val="none"/>
              </w:rPr>
            </w:pPr>
          </w:p>
          <w:p w14:paraId="7A81EE41">
            <w:pPr>
              <w:pStyle w:val="27"/>
              <w:spacing w:before="97" w:line="183" w:lineRule="auto"/>
              <w:ind w:firstLine="240" w:firstLineChars="100"/>
              <w:jc w:val="both"/>
              <w:rPr>
                <w:color w:val="auto"/>
                <w:highlight w:val="none"/>
              </w:rPr>
            </w:pPr>
            <w:r>
              <w:rPr>
                <w:color w:val="auto"/>
                <w:highlight w:val="none"/>
              </w:rPr>
              <w:t>3</w:t>
            </w:r>
          </w:p>
        </w:tc>
        <w:tc>
          <w:tcPr>
            <w:tcW w:w="2132" w:type="dxa"/>
            <w:vAlign w:val="center"/>
          </w:tcPr>
          <w:p w14:paraId="29FE132D">
            <w:pPr>
              <w:spacing w:line="261" w:lineRule="auto"/>
              <w:jc w:val="both"/>
              <w:rPr>
                <w:rFonts w:ascii="Arial"/>
                <w:color w:val="auto"/>
                <w:sz w:val="21"/>
                <w:highlight w:val="none"/>
              </w:rPr>
            </w:pPr>
          </w:p>
          <w:p w14:paraId="48112BD0">
            <w:pPr>
              <w:pStyle w:val="27"/>
              <w:spacing w:before="78" w:line="219" w:lineRule="auto"/>
              <w:ind w:left="844"/>
              <w:jc w:val="both"/>
              <w:rPr>
                <w:color w:val="auto"/>
                <w:highlight w:val="none"/>
              </w:rPr>
            </w:pPr>
            <w:r>
              <w:rPr>
                <w:color w:val="auto"/>
                <w:spacing w:val="-6"/>
                <w:highlight w:val="none"/>
              </w:rPr>
              <w:t>技术</w:t>
            </w:r>
          </w:p>
        </w:tc>
        <w:tc>
          <w:tcPr>
            <w:tcW w:w="1943" w:type="dxa"/>
            <w:tcBorders>
              <w:right w:val="single" w:color="auto" w:sz="4" w:space="0"/>
            </w:tcBorders>
            <w:vAlign w:val="center"/>
          </w:tcPr>
          <w:p w14:paraId="34988B5A">
            <w:pPr>
              <w:pStyle w:val="27"/>
              <w:spacing w:before="13" w:line="216" w:lineRule="auto"/>
              <w:ind w:left="902" w:right="96" w:hanging="491"/>
              <w:jc w:val="both"/>
              <w:rPr>
                <w:color w:val="auto"/>
                <w:highlight w:val="none"/>
              </w:rPr>
            </w:pPr>
            <w:r>
              <w:rPr>
                <w:color w:val="auto"/>
                <w:spacing w:val="-2"/>
                <w:highlight w:val="none"/>
              </w:rPr>
              <w:t>技术指标完全</w:t>
            </w:r>
            <w:r>
              <w:rPr>
                <w:color w:val="auto"/>
                <w:highlight w:val="none"/>
              </w:rPr>
              <w:t xml:space="preserve"> </w:t>
            </w:r>
            <w:r>
              <w:rPr>
                <w:color w:val="auto"/>
                <w:spacing w:val="-11"/>
                <w:highlight w:val="none"/>
              </w:rPr>
              <w:t>响应</w:t>
            </w:r>
          </w:p>
        </w:tc>
        <w:tc>
          <w:tcPr>
            <w:tcW w:w="4409" w:type="dxa"/>
            <w:tcBorders>
              <w:top w:val="single" w:color="auto" w:sz="4" w:space="0"/>
              <w:left w:val="single" w:color="auto" w:sz="4" w:space="0"/>
              <w:bottom w:val="single" w:color="auto" w:sz="4" w:space="0"/>
              <w:right w:val="single" w:color="auto" w:sz="4" w:space="0"/>
            </w:tcBorders>
            <w:vAlign w:val="center"/>
          </w:tcPr>
          <w:p w14:paraId="7104B631">
            <w:pPr>
              <w:spacing w:line="261" w:lineRule="auto"/>
              <w:jc w:val="both"/>
              <w:rPr>
                <w:rFonts w:ascii="Arial"/>
                <w:color w:val="auto"/>
                <w:sz w:val="21"/>
                <w:highlight w:val="none"/>
              </w:rPr>
            </w:pPr>
          </w:p>
          <w:p w14:paraId="1F14C51E">
            <w:pPr>
              <w:pStyle w:val="27"/>
              <w:spacing w:before="78" w:line="219" w:lineRule="auto"/>
              <w:ind w:left="1551"/>
              <w:jc w:val="both"/>
              <w:rPr>
                <w:color w:val="auto"/>
                <w:highlight w:val="none"/>
              </w:rPr>
            </w:pPr>
            <w:r>
              <w:rPr>
                <w:color w:val="auto"/>
                <w:spacing w:val="-2"/>
                <w:highlight w:val="none"/>
              </w:rPr>
              <w:t>参照格式要求</w:t>
            </w:r>
          </w:p>
        </w:tc>
        <w:tc>
          <w:tcPr>
            <w:tcW w:w="90" w:type="dxa"/>
            <w:tcBorders>
              <w:top w:val="nil"/>
              <w:left w:val="single" w:color="auto" w:sz="4" w:space="0"/>
              <w:bottom w:val="nil"/>
              <w:right w:val="nil"/>
            </w:tcBorders>
            <w:vAlign w:val="center"/>
          </w:tcPr>
          <w:p w14:paraId="3D6E6E44">
            <w:pPr>
              <w:jc w:val="both"/>
              <w:rPr>
                <w:rFonts w:ascii="Arial"/>
                <w:color w:val="auto"/>
                <w:sz w:val="21"/>
                <w:highlight w:val="none"/>
              </w:rPr>
            </w:pPr>
          </w:p>
        </w:tc>
      </w:tr>
      <w:tr w14:paraId="6D46B0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0" w:hRule="atLeast"/>
        </w:trPr>
        <w:tc>
          <w:tcPr>
            <w:tcW w:w="920" w:type="dxa"/>
            <w:vAlign w:val="center"/>
          </w:tcPr>
          <w:p w14:paraId="2208EDB9">
            <w:pPr>
              <w:pStyle w:val="27"/>
              <w:spacing w:before="78" w:line="183" w:lineRule="auto"/>
              <w:ind w:firstLine="240" w:firstLineChars="100"/>
              <w:jc w:val="both"/>
              <w:rPr>
                <w:color w:val="auto"/>
                <w:highlight w:val="none"/>
              </w:rPr>
            </w:pPr>
            <w:r>
              <w:rPr>
                <w:color w:val="auto"/>
                <w:highlight w:val="none"/>
              </w:rPr>
              <w:t>4</w:t>
            </w:r>
          </w:p>
        </w:tc>
        <w:tc>
          <w:tcPr>
            <w:tcW w:w="2132" w:type="dxa"/>
            <w:vAlign w:val="center"/>
          </w:tcPr>
          <w:p w14:paraId="0C256AAD">
            <w:pPr>
              <w:pStyle w:val="27"/>
              <w:spacing w:before="78" w:line="220" w:lineRule="auto"/>
              <w:ind w:firstLine="684" w:firstLineChars="300"/>
              <w:jc w:val="both"/>
              <w:rPr>
                <w:color w:val="auto"/>
                <w:highlight w:val="none"/>
              </w:rPr>
            </w:pPr>
            <w:r>
              <w:rPr>
                <w:color w:val="auto"/>
                <w:spacing w:val="-6"/>
                <w:highlight w:val="none"/>
              </w:rPr>
              <w:t>其他要求</w:t>
            </w:r>
          </w:p>
        </w:tc>
        <w:tc>
          <w:tcPr>
            <w:tcW w:w="6352" w:type="dxa"/>
            <w:gridSpan w:val="2"/>
            <w:vAlign w:val="center"/>
          </w:tcPr>
          <w:p w14:paraId="658C85E4">
            <w:pPr>
              <w:pStyle w:val="27"/>
              <w:spacing w:before="124" w:line="406" w:lineRule="exact"/>
              <w:ind w:left="155"/>
              <w:jc w:val="both"/>
              <w:rPr>
                <w:color w:val="auto"/>
                <w:highlight w:val="none"/>
              </w:rPr>
            </w:pPr>
            <w:r>
              <w:rPr>
                <w:color w:val="auto"/>
                <w:spacing w:val="-8"/>
                <w:position w:val="12"/>
                <w:highlight w:val="none"/>
              </w:rPr>
              <w:t>符合法律、行政法规规定的其他条件或征集文件列明的其</w:t>
            </w:r>
          </w:p>
          <w:p w14:paraId="5C8297E2">
            <w:pPr>
              <w:pStyle w:val="27"/>
              <w:spacing w:line="207" w:lineRule="auto"/>
              <w:ind w:left="2585"/>
              <w:jc w:val="both"/>
              <w:rPr>
                <w:color w:val="auto"/>
                <w:highlight w:val="none"/>
              </w:rPr>
            </w:pPr>
            <w:r>
              <w:rPr>
                <w:color w:val="auto"/>
                <w:spacing w:val="-6"/>
                <w:highlight w:val="none"/>
              </w:rPr>
              <w:t>他要求。</w:t>
            </w:r>
          </w:p>
        </w:tc>
        <w:tc>
          <w:tcPr>
            <w:tcW w:w="90" w:type="dxa"/>
            <w:tcBorders>
              <w:top w:val="nil"/>
              <w:bottom w:val="nil"/>
              <w:right w:val="nil"/>
            </w:tcBorders>
            <w:vAlign w:val="center"/>
          </w:tcPr>
          <w:p w14:paraId="558270C0">
            <w:pPr>
              <w:jc w:val="both"/>
              <w:rPr>
                <w:rFonts w:ascii="Arial"/>
                <w:color w:val="auto"/>
                <w:sz w:val="21"/>
                <w:highlight w:val="none"/>
              </w:rPr>
            </w:pPr>
          </w:p>
        </w:tc>
      </w:tr>
    </w:tbl>
    <w:p w14:paraId="01B2796F">
      <w:pPr>
        <w:spacing w:before="224" w:line="219" w:lineRule="auto"/>
        <w:ind w:left="510"/>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符合性审查指标通过标准：供应商须通过符合性审查表中的全部评审指标。</w:t>
      </w:r>
    </w:p>
    <w:p w14:paraId="761E43E5">
      <w:pPr>
        <w:keepNext w:val="0"/>
        <w:keepLines w:val="0"/>
        <w:pageBreakBefore w:val="0"/>
        <w:widowControl/>
        <w:suppressLineNumbers w:val="0"/>
        <w:kinsoku/>
        <w:wordWrap/>
        <w:overflowPunct/>
        <w:topLinePunct w:val="0"/>
        <w:autoSpaceDE/>
        <w:autoSpaceDN/>
        <w:bidi w:val="0"/>
        <w:adjustRightInd/>
        <w:snapToGrid/>
        <w:spacing w:line="520" w:lineRule="exact"/>
        <w:ind w:firstLine="420" w:firstLineChars="200"/>
        <w:jc w:val="both"/>
        <w:textAlignment w:val="auto"/>
        <w:rPr>
          <w:rFonts w:hint="eastAsia"/>
          <w:color w:val="auto"/>
          <w:highlight w:val="none"/>
          <w:lang w:val="en-US" w:eastAsia="zh-CN"/>
        </w:rPr>
      </w:pPr>
      <w:r>
        <w:rPr>
          <w:rFonts w:hint="eastAsia"/>
          <w:color w:val="auto"/>
          <w:highlight w:val="none"/>
          <w:lang w:val="en-US" w:eastAsia="zh-CN"/>
        </w:rPr>
        <w:br w:type="page"/>
      </w:r>
    </w:p>
    <w:p w14:paraId="0E19F07C">
      <w:pPr>
        <w:pStyle w:val="6"/>
        <w:numPr>
          <w:ilvl w:val="0"/>
          <w:numId w:val="0"/>
        </w:numPr>
        <w:bidi w:val="0"/>
        <w:jc w:val="center"/>
        <w:rPr>
          <w:rFonts w:hint="eastAsia"/>
          <w:color w:val="auto"/>
          <w:highlight w:val="none"/>
          <w:lang w:val="en-US" w:eastAsia="zh-CN"/>
        </w:rPr>
      </w:pPr>
      <w:bookmarkStart w:id="5" w:name="_Toc25985"/>
      <w:r>
        <w:rPr>
          <w:rFonts w:hint="eastAsia"/>
          <w:color w:val="auto"/>
          <w:highlight w:val="none"/>
          <w:lang w:val="en-US" w:eastAsia="zh-CN"/>
        </w:rPr>
        <w:t>第五章 第一阶段入围评审办法</w:t>
      </w:r>
      <w:bookmarkEnd w:id="5"/>
    </w:p>
    <w:p w14:paraId="0F63CCF5">
      <w:pPr>
        <w:spacing w:before="78" w:line="220" w:lineRule="auto"/>
        <w:ind w:left="851"/>
        <w:rPr>
          <w:rFonts w:ascii="宋体" w:hAnsi="宋体" w:eastAsia="宋体" w:cs="宋体"/>
          <w:color w:val="auto"/>
          <w:spacing w:val="-4"/>
          <w:sz w:val="24"/>
          <w:szCs w:val="24"/>
          <w:highlight w:val="none"/>
        </w:rPr>
      </w:pPr>
    </w:p>
    <w:p w14:paraId="6FC1AE7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2" w:firstLineChars="200"/>
        <w:textAlignment w:val="auto"/>
        <w:rPr>
          <w:rFonts w:hint="eastAsia"/>
          <w:b/>
          <w:bCs/>
          <w:color w:val="auto"/>
          <w:sz w:val="24"/>
          <w:szCs w:val="36"/>
          <w:highlight w:val="none"/>
          <w:lang w:val="en-US" w:eastAsia="zh-CN"/>
        </w:rPr>
      </w:pPr>
      <w:r>
        <w:rPr>
          <w:rFonts w:hint="eastAsia"/>
          <w:b/>
          <w:bCs/>
          <w:color w:val="auto"/>
          <w:sz w:val="24"/>
          <w:szCs w:val="36"/>
          <w:highlight w:val="none"/>
          <w:lang w:val="en-US" w:eastAsia="zh-CN"/>
        </w:rPr>
        <w:t>一、评审方法及标准</w:t>
      </w:r>
    </w:p>
    <w:p w14:paraId="3E34721D">
      <w:pPr>
        <w:spacing w:before="290" w:line="425" w:lineRule="auto"/>
        <w:ind w:left="364" w:right="344" w:firstLine="480"/>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本次采用质量优先法确定第一阶段入围供应商。质量优先法是指对满足采购需求</w:t>
      </w:r>
      <w:r>
        <w:rPr>
          <w:rFonts w:ascii="宋体" w:hAnsi="宋体" w:eastAsia="宋体" w:cs="宋体"/>
          <w:color w:val="auto"/>
          <w:spacing w:val="7"/>
          <w:sz w:val="24"/>
          <w:szCs w:val="24"/>
          <w:highlight w:val="none"/>
        </w:rPr>
        <w:t xml:space="preserve"> </w:t>
      </w:r>
      <w:r>
        <w:rPr>
          <w:rFonts w:ascii="宋体" w:hAnsi="宋体" w:eastAsia="宋体" w:cs="宋体"/>
          <w:color w:val="auto"/>
          <w:spacing w:val="2"/>
          <w:sz w:val="24"/>
          <w:szCs w:val="24"/>
          <w:highlight w:val="none"/>
        </w:rPr>
        <w:t>且响应报价不超过最高限制单价的货物、服务进行质量综合评分，按照质量评分从高到低排序，根据征集文件规定的淘汰率或者入围供应商数量上限，确定入围供应商的</w:t>
      </w:r>
      <w:r>
        <w:rPr>
          <w:rFonts w:ascii="宋体" w:hAnsi="宋体" w:eastAsia="宋体" w:cs="宋体"/>
          <w:color w:val="auto"/>
          <w:spacing w:val="-5"/>
          <w:sz w:val="24"/>
          <w:szCs w:val="24"/>
          <w:highlight w:val="none"/>
        </w:rPr>
        <w:t>评审方法。</w:t>
      </w:r>
    </w:p>
    <w:p w14:paraId="550BE18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2" w:firstLineChars="200"/>
        <w:textAlignment w:val="auto"/>
        <w:rPr>
          <w:rFonts w:hint="default"/>
          <w:b/>
          <w:bCs/>
          <w:color w:val="auto"/>
          <w:sz w:val="24"/>
          <w:szCs w:val="36"/>
          <w:highlight w:val="none"/>
          <w:lang w:val="en-US" w:eastAsia="zh-CN"/>
        </w:rPr>
      </w:pPr>
      <w:r>
        <w:rPr>
          <w:rFonts w:hint="eastAsia"/>
          <w:b/>
          <w:bCs/>
          <w:color w:val="auto"/>
          <w:sz w:val="24"/>
          <w:szCs w:val="36"/>
          <w:highlight w:val="none"/>
          <w:lang w:val="en-US" w:eastAsia="zh-CN"/>
        </w:rPr>
        <w:t>二、入围供应商数量上限</w:t>
      </w:r>
    </w:p>
    <w:p w14:paraId="077C68C8">
      <w:pPr>
        <w:spacing w:before="290" w:line="430" w:lineRule="auto"/>
        <w:ind w:left="364" w:right="341" w:firstLine="480"/>
        <w:rPr>
          <w:rFonts w:hint="eastAsia" w:ascii="宋体" w:hAnsi="宋体" w:eastAsia="宋体" w:cs="宋体"/>
          <w:color w:val="auto"/>
          <w:spacing w:val="4"/>
          <w:sz w:val="24"/>
          <w:szCs w:val="24"/>
          <w:highlight w:val="none"/>
        </w:rPr>
      </w:pPr>
      <w:r>
        <w:rPr>
          <w:rFonts w:ascii="宋体" w:hAnsi="宋体" w:eastAsia="宋体" w:cs="宋体"/>
          <w:color w:val="auto"/>
          <w:spacing w:val="2"/>
          <w:sz w:val="24"/>
          <w:szCs w:val="24"/>
          <w:highlight w:val="none"/>
        </w:rPr>
        <w:t>根据符合资格条件、实质性要求的供应商最终质量评分由高到低进行排序，本次</w:t>
      </w:r>
      <w:r>
        <w:rPr>
          <w:rFonts w:ascii="宋体" w:hAnsi="宋体" w:eastAsia="宋体" w:cs="宋体"/>
          <w:color w:val="auto"/>
          <w:spacing w:val="5"/>
          <w:sz w:val="24"/>
          <w:szCs w:val="24"/>
          <w:highlight w:val="none"/>
        </w:rPr>
        <w:t>拟选取</w:t>
      </w:r>
      <w:r>
        <w:rPr>
          <w:rFonts w:hint="eastAsia" w:ascii="宋体" w:hAnsi="宋体" w:eastAsia="宋体" w:cs="宋体"/>
          <w:color w:val="auto"/>
          <w:spacing w:val="5"/>
          <w:sz w:val="24"/>
          <w:szCs w:val="24"/>
          <w:highlight w:val="none"/>
          <w:lang w:val="en-US" w:eastAsia="zh-CN"/>
        </w:rPr>
        <w:t>3</w:t>
      </w:r>
      <w:r>
        <w:rPr>
          <w:rFonts w:ascii="宋体" w:hAnsi="宋体" w:eastAsia="宋体" w:cs="宋体"/>
          <w:color w:val="auto"/>
          <w:spacing w:val="5"/>
          <w:sz w:val="24"/>
          <w:szCs w:val="24"/>
          <w:highlight w:val="none"/>
        </w:rPr>
        <w:t>家，淘汰率不低于20%，且至少淘汰一家供应商（向上取整，例如：8家供应</w:t>
      </w:r>
      <w:r>
        <w:rPr>
          <w:rFonts w:ascii="宋体" w:hAnsi="宋体" w:eastAsia="宋体" w:cs="宋体"/>
          <w:color w:val="auto"/>
          <w:spacing w:val="-1"/>
          <w:sz w:val="24"/>
          <w:szCs w:val="24"/>
          <w:highlight w:val="none"/>
        </w:rPr>
        <w:t>商通过资格审查、符合性审查，按20%淘汰比例应该淘汰1.6 家，向上取整后淘汰2</w:t>
      </w:r>
      <w:r>
        <w:rPr>
          <w:rFonts w:ascii="宋体" w:hAnsi="宋体" w:eastAsia="宋体" w:cs="宋体"/>
          <w:color w:val="auto"/>
          <w:spacing w:val="5"/>
          <w:sz w:val="24"/>
          <w:szCs w:val="24"/>
          <w:highlight w:val="none"/>
        </w:rPr>
        <w:t>家）</w:t>
      </w:r>
      <w:r>
        <w:rPr>
          <w:rFonts w:ascii="宋体" w:hAnsi="宋体" w:eastAsia="宋体" w:cs="宋体"/>
          <w:color w:val="auto"/>
          <w:spacing w:val="4"/>
          <w:sz w:val="24"/>
          <w:szCs w:val="24"/>
          <w:highlight w:val="none"/>
        </w:rPr>
        <w:t>。</w:t>
      </w:r>
      <w:r>
        <w:rPr>
          <w:rFonts w:ascii="宋体" w:hAnsi="宋体" w:eastAsia="宋体" w:cs="宋体"/>
          <w:color w:val="auto"/>
          <w:spacing w:val="5"/>
          <w:sz w:val="24"/>
          <w:szCs w:val="24"/>
          <w:highlight w:val="none"/>
        </w:rPr>
        <w:t>除剩余入围供应商不足入围供应商总数70%且影响框架协议执行的情形外，框</w:t>
      </w:r>
      <w:r>
        <w:rPr>
          <w:rFonts w:ascii="宋体" w:hAnsi="宋体" w:eastAsia="宋体" w:cs="宋体"/>
          <w:color w:val="auto"/>
          <w:spacing w:val="9"/>
          <w:sz w:val="24"/>
          <w:szCs w:val="24"/>
          <w:highlight w:val="none"/>
        </w:rPr>
        <w:t>架协议有效期内，征集人不得补充征集供应</w:t>
      </w:r>
      <w:r>
        <w:rPr>
          <w:rFonts w:ascii="宋体" w:hAnsi="宋体" w:eastAsia="宋体" w:cs="宋体"/>
          <w:color w:val="auto"/>
          <w:spacing w:val="8"/>
          <w:sz w:val="24"/>
          <w:szCs w:val="24"/>
          <w:highlight w:val="none"/>
        </w:rPr>
        <w:t>商；如报名4家或5家的，至少淘汰一家</w:t>
      </w:r>
      <w:r>
        <w:rPr>
          <w:rFonts w:ascii="宋体" w:hAnsi="宋体" w:eastAsia="宋体" w:cs="宋体"/>
          <w:color w:val="auto"/>
          <w:spacing w:val="4"/>
          <w:sz w:val="24"/>
          <w:szCs w:val="24"/>
          <w:highlight w:val="none"/>
        </w:rPr>
        <w:t>供应商；如报名3家及以下的，终止本次征集</w:t>
      </w:r>
      <w:r>
        <w:rPr>
          <w:rFonts w:hint="eastAsia" w:ascii="宋体" w:hAnsi="宋体" w:eastAsia="宋体" w:cs="宋体"/>
          <w:color w:val="auto"/>
          <w:spacing w:val="4"/>
          <w:sz w:val="24"/>
          <w:szCs w:val="24"/>
          <w:highlight w:val="none"/>
        </w:rPr>
        <w:t>。</w:t>
      </w:r>
    </w:p>
    <w:p w14:paraId="51EC311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2" w:firstLineChars="200"/>
        <w:textAlignment w:val="auto"/>
        <w:rPr>
          <w:rFonts w:hint="eastAsia"/>
          <w:b/>
          <w:bCs/>
          <w:color w:val="auto"/>
          <w:sz w:val="24"/>
          <w:szCs w:val="36"/>
          <w:highlight w:val="none"/>
          <w:lang w:val="en-US" w:eastAsia="zh-CN"/>
        </w:rPr>
      </w:pPr>
    </w:p>
    <w:p w14:paraId="70DD5DF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2" w:firstLineChars="200"/>
        <w:textAlignment w:val="auto"/>
        <w:rPr>
          <w:rFonts w:hint="eastAsia"/>
          <w:b/>
          <w:bCs/>
          <w:color w:val="auto"/>
          <w:sz w:val="24"/>
          <w:szCs w:val="36"/>
          <w:highlight w:val="none"/>
          <w:lang w:val="en-US" w:eastAsia="zh-CN"/>
        </w:rPr>
      </w:pPr>
    </w:p>
    <w:p w14:paraId="65A47B3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2" w:firstLineChars="200"/>
        <w:textAlignment w:val="auto"/>
        <w:rPr>
          <w:rFonts w:hint="eastAsia"/>
          <w:b/>
          <w:bCs/>
          <w:color w:val="auto"/>
          <w:sz w:val="24"/>
          <w:szCs w:val="36"/>
          <w:highlight w:val="none"/>
          <w:lang w:val="en-US" w:eastAsia="zh-CN"/>
        </w:rPr>
      </w:pPr>
    </w:p>
    <w:p w14:paraId="4CBDEF9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2" w:firstLineChars="200"/>
        <w:textAlignment w:val="auto"/>
        <w:rPr>
          <w:rFonts w:hint="eastAsia"/>
          <w:b/>
          <w:bCs/>
          <w:color w:val="auto"/>
          <w:sz w:val="24"/>
          <w:szCs w:val="36"/>
          <w:highlight w:val="none"/>
          <w:lang w:val="en-US" w:eastAsia="zh-CN"/>
        </w:rPr>
      </w:pPr>
    </w:p>
    <w:p w14:paraId="2B82852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2" w:firstLineChars="200"/>
        <w:textAlignment w:val="auto"/>
        <w:rPr>
          <w:rFonts w:hint="eastAsia"/>
          <w:b/>
          <w:bCs/>
          <w:color w:val="auto"/>
          <w:sz w:val="24"/>
          <w:szCs w:val="36"/>
          <w:highlight w:val="none"/>
          <w:lang w:val="en-US" w:eastAsia="zh-CN"/>
        </w:rPr>
      </w:pPr>
    </w:p>
    <w:p w14:paraId="5106A79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2" w:firstLineChars="200"/>
        <w:textAlignment w:val="auto"/>
        <w:rPr>
          <w:rFonts w:hint="eastAsia"/>
          <w:b/>
          <w:bCs/>
          <w:color w:val="auto"/>
          <w:sz w:val="24"/>
          <w:szCs w:val="36"/>
          <w:highlight w:val="none"/>
          <w:lang w:val="en-US" w:eastAsia="zh-CN"/>
        </w:rPr>
      </w:pPr>
    </w:p>
    <w:p w14:paraId="2EA09B2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2" w:firstLineChars="200"/>
        <w:textAlignment w:val="auto"/>
        <w:rPr>
          <w:rFonts w:hint="eastAsia"/>
          <w:b/>
          <w:bCs/>
          <w:color w:val="auto"/>
          <w:sz w:val="24"/>
          <w:szCs w:val="36"/>
          <w:highlight w:val="none"/>
          <w:lang w:val="en-US" w:eastAsia="zh-CN"/>
        </w:rPr>
      </w:pPr>
    </w:p>
    <w:p w14:paraId="7430182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2" w:firstLineChars="200"/>
        <w:textAlignment w:val="auto"/>
        <w:rPr>
          <w:rFonts w:hint="eastAsia"/>
          <w:b/>
          <w:bCs/>
          <w:color w:val="auto"/>
          <w:sz w:val="24"/>
          <w:szCs w:val="36"/>
          <w:highlight w:val="none"/>
          <w:lang w:val="en-US" w:eastAsia="zh-CN"/>
        </w:rPr>
      </w:pPr>
    </w:p>
    <w:p w14:paraId="173B2FF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2" w:firstLineChars="200"/>
        <w:textAlignment w:val="auto"/>
        <w:rPr>
          <w:rFonts w:hint="eastAsia"/>
          <w:b/>
          <w:bCs/>
          <w:color w:val="auto"/>
          <w:sz w:val="24"/>
          <w:szCs w:val="36"/>
          <w:highlight w:val="none"/>
          <w:lang w:val="en-US" w:eastAsia="zh-CN"/>
        </w:rPr>
      </w:pPr>
    </w:p>
    <w:p w14:paraId="499CE02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2" w:firstLineChars="200"/>
        <w:textAlignment w:val="auto"/>
        <w:rPr>
          <w:rFonts w:hint="default"/>
          <w:b/>
          <w:bCs/>
          <w:color w:val="auto"/>
          <w:sz w:val="24"/>
          <w:szCs w:val="36"/>
          <w:highlight w:val="none"/>
          <w:lang w:val="en-US" w:eastAsia="zh-CN"/>
        </w:rPr>
      </w:pPr>
      <w:r>
        <w:rPr>
          <w:rFonts w:hint="eastAsia"/>
          <w:b/>
          <w:bCs/>
          <w:color w:val="auto"/>
          <w:sz w:val="24"/>
          <w:szCs w:val="36"/>
          <w:highlight w:val="none"/>
          <w:lang w:val="en-US" w:eastAsia="zh-CN"/>
        </w:rPr>
        <w:t>四、评审细则</w:t>
      </w:r>
    </w:p>
    <w:tbl>
      <w:tblPr>
        <w:tblStyle w:val="19"/>
        <w:tblW w:w="100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
      <w:tblGrid>
        <w:gridCol w:w="637"/>
        <w:gridCol w:w="1146"/>
        <w:gridCol w:w="7052"/>
        <w:gridCol w:w="1263"/>
      </w:tblGrid>
      <w:tr w14:paraId="4076C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804" w:hRule="atLeast"/>
          <w:tblHeader/>
          <w:jc w:val="center"/>
        </w:trPr>
        <w:tc>
          <w:tcPr>
            <w:tcW w:w="637" w:type="dxa"/>
            <w:noWrap/>
            <w:vAlign w:val="center"/>
          </w:tcPr>
          <w:p w14:paraId="425B9B05">
            <w:pPr>
              <w:keepNext w:val="0"/>
              <w:keepLines w:val="0"/>
              <w:pageBreakBefore w:val="0"/>
              <w:widowControl/>
              <w:kinsoku/>
              <w:wordWrap/>
              <w:overflowPunct/>
              <w:topLinePunct w:val="0"/>
              <w:autoSpaceDE/>
              <w:autoSpaceDN/>
              <w:bidi w:val="0"/>
              <w:adjustRightInd w:val="0"/>
              <w:snapToGrid w:val="0"/>
              <w:spacing w:line="400" w:lineRule="exact"/>
              <w:ind w:left="0" w:right="0" w:firstLine="0"/>
              <w:jc w:val="center"/>
              <w:textAlignment w:val="auto"/>
              <w:rPr>
                <w:rFonts w:hint="eastAsia" w:ascii="宋体" w:hAnsi="宋体" w:eastAsia="宋体" w:cs="宋体"/>
                <w:b/>
                <w:bCs w:val="0"/>
                <w:snapToGrid w:val="0"/>
                <w:color w:val="auto"/>
                <w:spacing w:val="0"/>
                <w:w w:val="100"/>
                <w:kern w:val="0"/>
                <w:sz w:val="24"/>
                <w:szCs w:val="24"/>
                <w:highlight w:val="none"/>
              </w:rPr>
            </w:pPr>
            <w:r>
              <w:rPr>
                <w:rFonts w:hint="eastAsia" w:ascii="宋体" w:hAnsi="宋体" w:eastAsia="宋体" w:cs="宋体"/>
                <w:b/>
                <w:bCs w:val="0"/>
                <w:snapToGrid w:val="0"/>
                <w:color w:val="auto"/>
                <w:spacing w:val="0"/>
                <w:w w:val="100"/>
                <w:kern w:val="0"/>
                <w:sz w:val="24"/>
                <w:szCs w:val="24"/>
                <w:highlight w:val="none"/>
              </w:rPr>
              <w:t>序号</w:t>
            </w:r>
          </w:p>
        </w:tc>
        <w:tc>
          <w:tcPr>
            <w:tcW w:w="1146" w:type="dxa"/>
            <w:noWrap w:val="0"/>
            <w:vAlign w:val="center"/>
          </w:tcPr>
          <w:p w14:paraId="4B2B0B26">
            <w:pPr>
              <w:keepNext w:val="0"/>
              <w:keepLines w:val="0"/>
              <w:pageBreakBefore w:val="0"/>
              <w:widowControl/>
              <w:kinsoku/>
              <w:wordWrap/>
              <w:overflowPunct/>
              <w:topLinePunct w:val="0"/>
              <w:autoSpaceDE/>
              <w:autoSpaceDN/>
              <w:bidi w:val="0"/>
              <w:adjustRightInd w:val="0"/>
              <w:snapToGrid w:val="0"/>
              <w:spacing w:line="400" w:lineRule="exact"/>
              <w:ind w:left="0" w:right="0" w:firstLine="0"/>
              <w:jc w:val="center"/>
              <w:textAlignment w:val="auto"/>
              <w:rPr>
                <w:rFonts w:hint="eastAsia" w:ascii="宋体" w:hAnsi="宋体" w:eastAsia="宋体" w:cs="宋体"/>
                <w:b/>
                <w:bCs w:val="0"/>
                <w:snapToGrid w:val="0"/>
                <w:color w:val="auto"/>
                <w:spacing w:val="0"/>
                <w:w w:val="100"/>
                <w:kern w:val="0"/>
                <w:sz w:val="24"/>
                <w:szCs w:val="24"/>
                <w:highlight w:val="none"/>
              </w:rPr>
            </w:pPr>
            <w:r>
              <w:rPr>
                <w:rFonts w:hint="eastAsia" w:ascii="宋体" w:hAnsi="宋体" w:eastAsia="宋体" w:cs="宋体"/>
                <w:b/>
                <w:bCs w:val="0"/>
                <w:snapToGrid w:val="0"/>
                <w:color w:val="auto"/>
                <w:spacing w:val="0"/>
                <w:w w:val="100"/>
                <w:kern w:val="0"/>
                <w:sz w:val="24"/>
                <w:szCs w:val="24"/>
                <w:highlight w:val="none"/>
              </w:rPr>
              <w:t>评分项目</w:t>
            </w:r>
          </w:p>
        </w:tc>
        <w:tc>
          <w:tcPr>
            <w:tcW w:w="7052" w:type="dxa"/>
            <w:noWrap w:val="0"/>
            <w:vAlign w:val="center"/>
          </w:tcPr>
          <w:p w14:paraId="45D0AE31">
            <w:pPr>
              <w:keepNext w:val="0"/>
              <w:keepLines w:val="0"/>
              <w:pageBreakBefore w:val="0"/>
              <w:widowControl/>
              <w:kinsoku/>
              <w:wordWrap/>
              <w:overflowPunct/>
              <w:topLinePunct w:val="0"/>
              <w:autoSpaceDE/>
              <w:autoSpaceDN/>
              <w:bidi w:val="0"/>
              <w:adjustRightInd w:val="0"/>
              <w:snapToGrid w:val="0"/>
              <w:spacing w:line="400" w:lineRule="exact"/>
              <w:ind w:left="0" w:leftChars="0" w:right="0" w:rightChars="0" w:firstLine="0" w:firstLineChars="0"/>
              <w:jc w:val="center"/>
              <w:textAlignment w:val="auto"/>
              <w:rPr>
                <w:rFonts w:hint="eastAsia" w:ascii="宋体" w:hAnsi="宋体" w:eastAsia="宋体" w:cs="宋体"/>
                <w:b/>
                <w:bCs w:val="0"/>
                <w:snapToGrid w:val="0"/>
                <w:color w:val="auto"/>
                <w:spacing w:val="0"/>
                <w:w w:val="100"/>
                <w:kern w:val="0"/>
                <w:sz w:val="24"/>
                <w:szCs w:val="24"/>
                <w:highlight w:val="none"/>
              </w:rPr>
            </w:pPr>
            <w:r>
              <w:rPr>
                <w:rFonts w:hint="eastAsia" w:ascii="宋体" w:hAnsi="宋体" w:eastAsia="宋体" w:cs="宋体"/>
                <w:b/>
                <w:bCs w:val="0"/>
                <w:snapToGrid w:val="0"/>
                <w:color w:val="auto"/>
                <w:spacing w:val="0"/>
                <w:w w:val="100"/>
                <w:kern w:val="0"/>
                <w:sz w:val="24"/>
                <w:szCs w:val="24"/>
                <w:highlight w:val="none"/>
              </w:rPr>
              <w:t>评分标准</w:t>
            </w:r>
          </w:p>
        </w:tc>
        <w:tc>
          <w:tcPr>
            <w:tcW w:w="1263" w:type="dxa"/>
            <w:noWrap w:val="0"/>
            <w:vAlign w:val="center"/>
          </w:tcPr>
          <w:p w14:paraId="48C37539">
            <w:pPr>
              <w:keepNext w:val="0"/>
              <w:keepLines w:val="0"/>
              <w:pageBreakBefore w:val="0"/>
              <w:widowControl/>
              <w:kinsoku/>
              <w:wordWrap/>
              <w:overflowPunct/>
              <w:topLinePunct w:val="0"/>
              <w:autoSpaceDE/>
              <w:autoSpaceDN/>
              <w:bidi w:val="0"/>
              <w:adjustRightInd w:val="0"/>
              <w:snapToGrid w:val="0"/>
              <w:spacing w:line="400" w:lineRule="exact"/>
              <w:ind w:left="0" w:leftChars="0" w:right="0" w:rightChars="0" w:firstLine="0" w:firstLineChars="0"/>
              <w:jc w:val="center"/>
              <w:textAlignment w:val="auto"/>
              <w:rPr>
                <w:rFonts w:hint="eastAsia" w:ascii="宋体" w:hAnsi="宋体" w:eastAsia="宋体" w:cs="宋体"/>
                <w:b/>
                <w:bCs w:val="0"/>
                <w:snapToGrid w:val="0"/>
                <w:color w:val="auto"/>
                <w:spacing w:val="0"/>
                <w:w w:val="100"/>
                <w:kern w:val="0"/>
                <w:sz w:val="24"/>
                <w:szCs w:val="24"/>
                <w:highlight w:val="none"/>
              </w:rPr>
            </w:pPr>
            <w:r>
              <w:rPr>
                <w:rFonts w:hint="eastAsia" w:ascii="宋体" w:hAnsi="宋体" w:eastAsia="宋体" w:cs="宋体"/>
                <w:b/>
                <w:bCs w:val="0"/>
                <w:snapToGrid w:val="0"/>
                <w:color w:val="auto"/>
                <w:spacing w:val="0"/>
                <w:w w:val="100"/>
                <w:kern w:val="0"/>
                <w:sz w:val="24"/>
                <w:szCs w:val="24"/>
                <w:highlight w:val="none"/>
              </w:rPr>
              <w:t>分值</w:t>
            </w:r>
          </w:p>
          <w:p w14:paraId="2597CB3C">
            <w:pPr>
              <w:keepNext w:val="0"/>
              <w:keepLines w:val="0"/>
              <w:pageBreakBefore w:val="0"/>
              <w:widowControl/>
              <w:kinsoku/>
              <w:wordWrap/>
              <w:overflowPunct/>
              <w:topLinePunct w:val="0"/>
              <w:autoSpaceDE/>
              <w:autoSpaceDN/>
              <w:bidi w:val="0"/>
              <w:adjustRightInd w:val="0"/>
              <w:snapToGrid w:val="0"/>
              <w:spacing w:line="400" w:lineRule="exact"/>
              <w:ind w:left="0" w:leftChars="0" w:right="0" w:rightChars="0" w:firstLine="0" w:firstLineChars="0"/>
              <w:jc w:val="center"/>
              <w:textAlignment w:val="auto"/>
              <w:rPr>
                <w:rFonts w:hint="eastAsia" w:ascii="宋体" w:hAnsi="宋体" w:eastAsia="宋体" w:cs="宋体"/>
                <w:b/>
                <w:bCs w:val="0"/>
                <w:snapToGrid w:val="0"/>
                <w:color w:val="auto"/>
                <w:spacing w:val="0"/>
                <w:w w:val="100"/>
                <w:kern w:val="0"/>
                <w:sz w:val="24"/>
                <w:szCs w:val="24"/>
                <w:highlight w:val="none"/>
              </w:rPr>
            </w:pPr>
            <w:r>
              <w:rPr>
                <w:rFonts w:hint="eastAsia" w:ascii="宋体" w:hAnsi="宋体" w:eastAsia="宋体" w:cs="宋体"/>
                <w:b/>
                <w:bCs w:val="0"/>
                <w:snapToGrid w:val="0"/>
                <w:color w:val="auto"/>
                <w:spacing w:val="0"/>
                <w:w w:val="100"/>
                <w:kern w:val="0"/>
                <w:sz w:val="24"/>
                <w:szCs w:val="24"/>
                <w:highlight w:val="none"/>
              </w:rPr>
              <w:t>范围</w:t>
            </w:r>
          </w:p>
        </w:tc>
      </w:tr>
      <w:tr w14:paraId="729C9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1297" w:hRule="atLeast"/>
          <w:jc w:val="center"/>
        </w:trPr>
        <w:tc>
          <w:tcPr>
            <w:tcW w:w="637" w:type="dxa"/>
            <w:noWrap/>
            <w:vAlign w:val="center"/>
          </w:tcPr>
          <w:p w14:paraId="45715220">
            <w:pPr>
              <w:keepNext w:val="0"/>
              <w:keepLines w:val="0"/>
              <w:pageBreakBefore w:val="0"/>
              <w:widowControl/>
              <w:kinsoku/>
              <w:wordWrap/>
              <w:overflowPunct/>
              <w:topLinePunct w:val="0"/>
              <w:autoSpaceDE/>
              <w:autoSpaceDN/>
              <w:bidi w:val="0"/>
              <w:adjustRightInd w:val="0"/>
              <w:snapToGrid w:val="0"/>
              <w:spacing w:line="400" w:lineRule="exact"/>
              <w:ind w:left="0" w:right="0" w:firstLine="0"/>
              <w:jc w:val="center"/>
              <w:textAlignment w:val="auto"/>
              <w:rPr>
                <w:rFonts w:hint="eastAsia" w:ascii="宋体" w:hAnsi="宋体" w:eastAsia="宋体" w:cs="宋体"/>
                <w:b w:val="0"/>
                <w:bCs/>
                <w:snapToGrid w:val="0"/>
                <w:color w:val="auto"/>
                <w:spacing w:val="0"/>
                <w:w w:val="100"/>
                <w:kern w:val="0"/>
                <w:sz w:val="24"/>
                <w:szCs w:val="24"/>
                <w:highlight w:val="none"/>
              </w:rPr>
            </w:pPr>
            <w:r>
              <w:rPr>
                <w:rFonts w:hint="eastAsia" w:ascii="宋体" w:hAnsi="宋体" w:eastAsia="宋体" w:cs="宋体"/>
                <w:b w:val="0"/>
                <w:bCs/>
                <w:snapToGrid w:val="0"/>
                <w:color w:val="auto"/>
                <w:spacing w:val="0"/>
                <w:w w:val="100"/>
                <w:kern w:val="0"/>
                <w:sz w:val="24"/>
                <w:szCs w:val="24"/>
                <w:highlight w:val="none"/>
              </w:rPr>
              <w:t>1</w:t>
            </w:r>
          </w:p>
        </w:tc>
        <w:tc>
          <w:tcPr>
            <w:tcW w:w="1146" w:type="dxa"/>
            <w:noWrap w:val="0"/>
            <w:vAlign w:val="top"/>
          </w:tcPr>
          <w:p w14:paraId="00BC2A70">
            <w:pPr>
              <w:keepNext w:val="0"/>
              <w:keepLines w:val="0"/>
              <w:pageBreakBefore w:val="0"/>
              <w:widowControl/>
              <w:kinsoku/>
              <w:wordWrap/>
              <w:overflowPunct/>
              <w:topLinePunct w:val="0"/>
              <w:autoSpaceDE/>
              <w:autoSpaceDN/>
              <w:bidi w:val="0"/>
              <w:adjustRightInd w:val="0"/>
              <w:snapToGrid w:val="0"/>
              <w:spacing w:line="400" w:lineRule="exact"/>
              <w:ind w:left="0" w:right="0" w:firstLine="0"/>
              <w:jc w:val="center"/>
              <w:textAlignment w:val="auto"/>
              <w:rPr>
                <w:rFonts w:hint="eastAsia" w:ascii="宋体" w:hAnsi="宋体" w:eastAsia="宋体" w:cs="宋体"/>
                <w:b w:val="0"/>
                <w:bCs/>
                <w:snapToGrid w:val="0"/>
                <w:color w:val="auto"/>
                <w:spacing w:val="0"/>
                <w:w w:val="100"/>
                <w:kern w:val="0"/>
                <w:sz w:val="24"/>
                <w:szCs w:val="24"/>
                <w:highlight w:val="none"/>
              </w:rPr>
            </w:pPr>
          </w:p>
          <w:p w14:paraId="7AEBEEC0">
            <w:pPr>
              <w:keepNext w:val="0"/>
              <w:keepLines w:val="0"/>
              <w:pageBreakBefore w:val="0"/>
              <w:widowControl/>
              <w:kinsoku/>
              <w:wordWrap/>
              <w:overflowPunct/>
              <w:topLinePunct w:val="0"/>
              <w:autoSpaceDE/>
              <w:autoSpaceDN/>
              <w:bidi w:val="0"/>
              <w:adjustRightInd w:val="0"/>
              <w:snapToGrid w:val="0"/>
              <w:spacing w:line="400" w:lineRule="exact"/>
              <w:ind w:left="0" w:right="0" w:firstLine="0"/>
              <w:jc w:val="center"/>
              <w:textAlignment w:val="auto"/>
              <w:rPr>
                <w:rFonts w:hint="default" w:ascii="宋体" w:hAnsi="宋体" w:eastAsia="宋体" w:cs="宋体"/>
                <w:b w:val="0"/>
                <w:bCs/>
                <w:snapToGrid w:val="0"/>
                <w:color w:val="auto"/>
                <w:spacing w:val="0"/>
                <w:w w:val="100"/>
                <w:kern w:val="0"/>
                <w:sz w:val="24"/>
                <w:szCs w:val="24"/>
                <w:highlight w:val="none"/>
                <w:lang w:val="en" w:eastAsia="zh-CN"/>
              </w:rPr>
            </w:pPr>
            <w:r>
              <w:rPr>
                <w:rFonts w:hint="eastAsia" w:ascii="宋体" w:hAnsi="宋体" w:eastAsia="宋体" w:cs="宋体"/>
                <w:b w:val="0"/>
                <w:bCs/>
                <w:snapToGrid w:val="0"/>
                <w:color w:val="auto"/>
                <w:spacing w:val="0"/>
                <w:w w:val="100"/>
                <w:kern w:val="0"/>
                <w:sz w:val="24"/>
                <w:szCs w:val="24"/>
                <w:highlight w:val="none"/>
                <w:lang w:val="en-US" w:eastAsia="zh-CN"/>
              </w:rPr>
              <w:t>业绩</w:t>
            </w:r>
          </w:p>
        </w:tc>
        <w:tc>
          <w:tcPr>
            <w:tcW w:w="7052" w:type="dxa"/>
            <w:noWrap w:val="0"/>
            <w:vAlign w:val="top"/>
          </w:tcPr>
          <w:p w14:paraId="6FADA8CA">
            <w:pPr>
              <w:pStyle w:val="27"/>
              <w:spacing w:before="78" w:line="220" w:lineRule="auto"/>
              <w:jc w:val="both"/>
              <w:rPr>
                <w:rFonts w:hint="eastAsia"/>
                <w:color w:val="auto"/>
                <w:spacing w:val="6"/>
                <w:highlight w:val="none"/>
              </w:rPr>
            </w:pPr>
            <w:r>
              <w:rPr>
                <w:rFonts w:hint="eastAsia"/>
                <w:color w:val="auto"/>
                <w:spacing w:val="6"/>
                <w:highlight w:val="none"/>
              </w:rPr>
              <w:t>供应商提供类似车辆维修项目业绩，提供1个类似业绩得</w:t>
            </w:r>
            <w:r>
              <w:rPr>
                <w:rFonts w:hint="eastAsia"/>
                <w:color w:val="auto"/>
                <w:spacing w:val="6"/>
                <w:highlight w:val="none"/>
                <w:lang w:val="en-US" w:eastAsia="zh-CN"/>
              </w:rPr>
              <w:t>8</w:t>
            </w:r>
            <w:r>
              <w:rPr>
                <w:rFonts w:hint="eastAsia"/>
                <w:color w:val="auto"/>
                <w:spacing w:val="6"/>
                <w:highlight w:val="none"/>
              </w:rPr>
              <w:t>分，满分2</w:t>
            </w:r>
            <w:r>
              <w:rPr>
                <w:rFonts w:hint="eastAsia"/>
                <w:color w:val="auto"/>
                <w:spacing w:val="6"/>
                <w:highlight w:val="none"/>
                <w:lang w:val="en-US" w:eastAsia="zh-CN"/>
              </w:rPr>
              <w:t>4</w:t>
            </w:r>
            <w:r>
              <w:rPr>
                <w:rFonts w:hint="eastAsia"/>
                <w:color w:val="auto"/>
                <w:spacing w:val="6"/>
                <w:highlight w:val="none"/>
              </w:rPr>
              <w:t>分；</w:t>
            </w:r>
          </w:p>
          <w:p w14:paraId="7BC3934D">
            <w:pPr>
              <w:pStyle w:val="27"/>
              <w:spacing w:before="78" w:line="220" w:lineRule="auto"/>
              <w:jc w:val="both"/>
              <w:rPr>
                <w:rFonts w:hint="eastAsia" w:eastAsia="宋体"/>
                <w:color w:val="auto"/>
                <w:sz w:val="24"/>
                <w:highlight w:val="none"/>
                <w:lang w:val="en" w:eastAsia="zh-CN"/>
              </w:rPr>
            </w:pPr>
            <w:r>
              <w:rPr>
                <w:rFonts w:hint="eastAsia"/>
                <w:color w:val="auto"/>
                <w:spacing w:val="6"/>
                <w:highlight w:val="none"/>
              </w:rPr>
              <w:t>注：响应文件中须提供合同、</w:t>
            </w:r>
            <w:r>
              <w:rPr>
                <w:rFonts w:hint="eastAsia"/>
                <w:color w:val="auto"/>
                <w:spacing w:val="6"/>
                <w:highlight w:val="none"/>
                <w:lang w:val="en-US" w:eastAsia="zh-CN"/>
              </w:rPr>
              <w:t>成交通知书</w:t>
            </w:r>
            <w:r>
              <w:rPr>
                <w:rFonts w:hint="eastAsia"/>
                <w:color w:val="auto"/>
                <w:spacing w:val="6"/>
                <w:highlight w:val="none"/>
              </w:rPr>
              <w:t>扫描件</w:t>
            </w:r>
            <w:r>
              <w:rPr>
                <w:rFonts w:hint="eastAsia" w:ascii="宋体" w:hAnsi="宋体" w:eastAsia="宋体" w:cs="宋体"/>
                <w:color w:val="auto"/>
                <w:spacing w:val="0"/>
                <w:w w:val="100"/>
                <w:sz w:val="24"/>
                <w:szCs w:val="24"/>
                <w:highlight w:val="none"/>
              </w:rPr>
              <w:t>并加盖供应商公章</w:t>
            </w:r>
            <w:r>
              <w:rPr>
                <w:rFonts w:hint="eastAsia"/>
                <w:color w:val="auto"/>
                <w:spacing w:val="6"/>
                <w:highlight w:val="none"/>
                <w:lang w:eastAsia="zh-CN"/>
              </w:rPr>
              <w:t>，</w:t>
            </w:r>
            <w:r>
              <w:rPr>
                <w:rFonts w:hint="eastAsia"/>
                <w:color w:val="auto"/>
                <w:spacing w:val="6"/>
                <w:highlight w:val="none"/>
                <w:lang w:val="en-US" w:eastAsia="zh-CN"/>
              </w:rPr>
              <w:t>未提供不得分</w:t>
            </w:r>
            <w:r>
              <w:rPr>
                <w:rFonts w:hint="eastAsia"/>
                <w:color w:val="auto"/>
                <w:spacing w:val="6"/>
                <w:highlight w:val="none"/>
              </w:rPr>
              <w:t>。</w:t>
            </w:r>
          </w:p>
        </w:tc>
        <w:tc>
          <w:tcPr>
            <w:tcW w:w="1263" w:type="dxa"/>
            <w:noWrap w:val="0"/>
            <w:vAlign w:val="top"/>
          </w:tcPr>
          <w:p w14:paraId="22746D2E">
            <w:pPr>
              <w:pStyle w:val="27"/>
              <w:spacing w:before="78" w:line="220" w:lineRule="auto"/>
              <w:jc w:val="both"/>
              <w:rPr>
                <w:color w:val="auto"/>
                <w:spacing w:val="6"/>
                <w:highlight w:val="none"/>
              </w:rPr>
            </w:pPr>
          </w:p>
          <w:p w14:paraId="5A85C054">
            <w:pPr>
              <w:pStyle w:val="27"/>
              <w:spacing w:before="78" w:line="220" w:lineRule="auto"/>
              <w:jc w:val="center"/>
              <w:rPr>
                <w:rFonts w:hint="default" w:ascii="宋体" w:hAnsi="宋体" w:eastAsia="宋体" w:cs="宋体"/>
                <w:b w:val="0"/>
                <w:bCs/>
                <w:snapToGrid w:val="0"/>
                <w:color w:val="auto"/>
                <w:spacing w:val="0"/>
                <w:w w:val="100"/>
                <w:sz w:val="24"/>
                <w:szCs w:val="24"/>
                <w:highlight w:val="none"/>
                <w:lang w:val="en-US"/>
              </w:rPr>
            </w:pPr>
            <w:r>
              <w:rPr>
                <w:color w:val="auto"/>
                <w:spacing w:val="6"/>
                <w:highlight w:val="none"/>
              </w:rPr>
              <w:t>0-</w:t>
            </w:r>
            <w:r>
              <w:rPr>
                <w:rFonts w:hint="eastAsia"/>
                <w:color w:val="auto"/>
                <w:spacing w:val="6"/>
                <w:highlight w:val="none"/>
                <w:lang w:val="en-US" w:eastAsia="zh-CN"/>
              </w:rPr>
              <w:t>24</w:t>
            </w:r>
          </w:p>
        </w:tc>
      </w:tr>
      <w:tr w14:paraId="73C2F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1808" w:hRule="atLeast"/>
          <w:jc w:val="center"/>
        </w:trPr>
        <w:tc>
          <w:tcPr>
            <w:tcW w:w="637" w:type="dxa"/>
            <w:noWrap w:val="0"/>
            <w:vAlign w:val="center"/>
          </w:tcPr>
          <w:p w14:paraId="436B28EF">
            <w:pPr>
              <w:keepNext w:val="0"/>
              <w:keepLines w:val="0"/>
              <w:pageBreakBefore w:val="0"/>
              <w:widowControl/>
              <w:kinsoku/>
              <w:wordWrap/>
              <w:overflowPunct/>
              <w:topLinePunct w:val="0"/>
              <w:autoSpaceDE/>
              <w:autoSpaceDN/>
              <w:bidi w:val="0"/>
              <w:adjustRightInd w:val="0"/>
              <w:snapToGrid w:val="0"/>
              <w:spacing w:line="400" w:lineRule="exact"/>
              <w:ind w:left="0" w:right="0" w:firstLine="0"/>
              <w:jc w:val="center"/>
              <w:textAlignment w:val="auto"/>
              <w:rPr>
                <w:rFonts w:hint="eastAsia" w:ascii="宋体" w:hAnsi="宋体" w:eastAsia="宋体" w:cs="宋体"/>
                <w:b w:val="0"/>
                <w:bCs/>
                <w:snapToGrid w:val="0"/>
                <w:color w:val="auto"/>
                <w:spacing w:val="0"/>
                <w:w w:val="100"/>
                <w:kern w:val="0"/>
                <w:sz w:val="24"/>
                <w:szCs w:val="24"/>
                <w:highlight w:val="none"/>
              </w:rPr>
            </w:pPr>
            <w:r>
              <w:rPr>
                <w:rFonts w:hint="eastAsia" w:ascii="宋体" w:hAnsi="宋体" w:eastAsia="宋体" w:cs="宋体"/>
                <w:b w:val="0"/>
                <w:bCs/>
                <w:snapToGrid w:val="0"/>
                <w:color w:val="auto"/>
                <w:spacing w:val="0"/>
                <w:w w:val="100"/>
                <w:kern w:val="0"/>
                <w:sz w:val="24"/>
                <w:szCs w:val="24"/>
                <w:highlight w:val="none"/>
              </w:rPr>
              <w:t>2</w:t>
            </w:r>
          </w:p>
        </w:tc>
        <w:tc>
          <w:tcPr>
            <w:tcW w:w="1146" w:type="dxa"/>
            <w:noWrap w:val="0"/>
            <w:vAlign w:val="top"/>
          </w:tcPr>
          <w:p w14:paraId="6527CC5C">
            <w:pPr>
              <w:keepNext w:val="0"/>
              <w:keepLines w:val="0"/>
              <w:pageBreakBefore w:val="0"/>
              <w:widowControl/>
              <w:kinsoku/>
              <w:wordWrap/>
              <w:overflowPunct/>
              <w:topLinePunct w:val="0"/>
              <w:autoSpaceDE/>
              <w:autoSpaceDN/>
              <w:bidi w:val="0"/>
              <w:adjustRightInd w:val="0"/>
              <w:snapToGrid w:val="0"/>
              <w:spacing w:line="400" w:lineRule="exact"/>
              <w:ind w:left="0" w:right="0" w:firstLine="0"/>
              <w:jc w:val="both"/>
              <w:textAlignment w:val="auto"/>
              <w:rPr>
                <w:rFonts w:hint="eastAsia" w:ascii="宋体" w:hAnsi="宋体" w:eastAsia="宋体" w:cs="宋体"/>
                <w:b w:val="0"/>
                <w:bCs/>
                <w:snapToGrid w:val="0"/>
                <w:color w:val="auto"/>
                <w:spacing w:val="0"/>
                <w:w w:val="100"/>
                <w:kern w:val="0"/>
                <w:sz w:val="24"/>
                <w:szCs w:val="24"/>
                <w:highlight w:val="none"/>
                <w:lang w:val="en-US" w:eastAsia="zh-CN"/>
              </w:rPr>
            </w:pPr>
          </w:p>
          <w:p w14:paraId="61F30683">
            <w:pPr>
              <w:keepNext w:val="0"/>
              <w:keepLines w:val="0"/>
              <w:pageBreakBefore w:val="0"/>
              <w:widowControl/>
              <w:kinsoku/>
              <w:wordWrap/>
              <w:overflowPunct/>
              <w:topLinePunct w:val="0"/>
              <w:autoSpaceDE/>
              <w:autoSpaceDN/>
              <w:bidi w:val="0"/>
              <w:adjustRightInd w:val="0"/>
              <w:snapToGrid w:val="0"/>
              <w:spacing w:line="400" w:lineRule="exact"/>
              <w:ind w:left="0" w:right="0" w:firstLine="0"/>
              <w:jc w:val="both"/>
              <w:textAlignment w:val="auto"/>
              <w:rPr>
                <w:rFonts w:hint="eastAsia" w:ascii="宋体" w:hAnsi="宋体" w:eastAsia="宋体" w:cs="宋体"/>
                <w:b w:val="0"/>
                <w:bCs/>
                <w:snapToGrid w:val="0"/>
                <w:color w:val="auto"/>
                <w:spacing w:val="0"/>
                <w:w w:val="100"/>
                <w:kern w:val="0"/>
                <w:sz w:val="24"/>
                <w:szCs w:val="24"/>
                <w:highlight w:val="none"/>
                <w:lang w:val="en-US" w:eastAsia="zh-CN"/>
              </w:rPr>
            </w:pPr>
          </w:p>
          <w:p w14:paraId="36A45F39">
            <w:pPr>
              <w:keepNext w:val="0"/>
              <w:keepLines w:val="0"/>
              <w:pageBreakBefore w:val="0"/>
              <w:widowControl/>
              <w:kinsoku/>
              <w:wordWrap/>
              <w:overflowPunct/>
              <w:topLinePunct w:val="0"/>
              <w:autoSpaceDE/>
              <w:autoSpaceDN/>
              <w:bidi w:val="0"/>
              <w:adjustRightInd w:val="0"/>
              <w:snapToGrid w:val="0"/>
              <w:spacing w:line="400" w:lineRule="exact"/>
              <w:ind w:left="0" w:right="0" w:firstLine="0"/>
              <w:jc w:val="center"/>
              <w:textAlignment w:val="auto"/>
              <w:rPr>
                <w:rFonts w:hint="eastAsia" w:ascii="宋体" w:hAnsi="宋体" w:eastAsia="宋体" w:cs="宋体"/>
                <w:b w:val="0"/>
                <w:bCs/>
                <w:snapToGrid w:val="0"/>
                <w:color w:val="auto"/>
                <w:spacing w:val="0"/>
                <w:w w:val="100"/>
                <w:kern w:val="0"/>
                <w:sz w:val="24"/>
                <w:szCs w:val="24"/>
                <w:highlight w:val="none"/>
                <w:lang w:eastAsia="zh-CN"/>
              </w:rPr>
            </w:pPr>
            <w:r>
              <w:rPr>
                <w:rFonts w:hint="eastAsia" w:ascii="宋体" w:hAnsi="宋体" w:eastAsia="宋体" w:cs="宋体"/>
                <w:b w:val="0"/>
                <w:bCs/>
                <w:snapToGrid w:val="0"/>
                <w:color w:val="auto"/>
                <w:spacing w:val="0"/>
                <w:w w:val="100"/>
                <w:kern w:val="0"/>
                <w:sz w:val="24"/>
                <w:szCs w:val="24"/>
                <w:highlight w:val="none"/>
                <w:lang w:val="en-US" w:eastAsia="zh-CN"/>
              </w:rPr>
              <w:t>人员配备</w:t>
            </w:r>
          </w:p>
        </w:tc>
        <w:tc>
          <w:tcPr>
            <w:tcW w:w="7052" w:type="dxa"/>
            <w:noWrap w:val="0"/>
            <w:vAlign w:val="top"/>
          </w:tcPr>
          <w:p w14:paraId="745AE9BB">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left="0" w:leftChars="0" w:right="0" w:rightChars="0" w:firstLine="0" w:firstLineChars="0"/>
              <w:jc w:val="left"/>
              <w:textAlignment w:val="auto"/>
              <w:rPr>
                <w:rFonts w:hint="eastAsia" w:ascii="宋体" w:hAnsi="宋体" w:eastAsia="宋体" w:cs="宋体"/>
                <w:b w:val="0"/>
                <w:bCs/>
                <w:snapToGrid w:val="0"/>
                <w:color w:val="auto"/>
                <w:spacing w:val="0"/>
                <w:w w:val="100"/>
                <w:kern w:val="0"/>
                <w:sz w:val="24"/>
                <w:szCs w:val="24"/>
                <w:highlight w:val="none"/>
              </w:rPr>
            </w:pPr>
            <w:r>
              <w:rPr>
                <w:rFonts w:hint="eastAsia" w:ascii="宋体" w:hAnsi="宋体" w:eastAsia="宋体" w:cs="宋体"/>
                <w:b w:val="0"/>
                <w:bCs/>
                <w:snapToGrid w:val="0"/>
                <w:color w:val="auto"/>
                <w:spacing w:val="0"/>
                <w:w w:val="100"/>
                <w:kern w:val="0"/>
                <w:sz w:val="24"/>
                <w:szCs w:val="24"/>
                <w:highlight w:val="none"/>
              </w:rPr>
              <w:t>拟配备团队人员</w:t>
            </w:r>
          </w:p>
          <w:p w14:paraId="79D17D4C">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leftChars="0" w:right="0" w:rightChars="0"/>
              <w:jc w:val="left"/>
              <w:textAlignment w:val="auto"/>
              <w:rPr>
                <w:rFonts w:hint="eastAsia" w:ascii="宋体" w:hAnsi="宋体" w:eastAsia="宋体" w:cs="宋体"/>
                <w:b w:val="0"/>
                <w:bCs/>
                <w:snapToGrid w:val="0"/>
                <w:color w:val="auto"/>
                <w:spacing w:val="0"/>
                <w:w w:val="100"/>
                <w:kern w:val="0"/>
                <w:sz w:val="24"/>
                <w:szCs w:val="24"/>
                <w:highlight w:val="none"/>
              </w:rPr>
            </w:pPr>
            <w:r>
              <w:rPr>
                <w:rFonts w:hint="eastAsia" w:ascii="宋体" w:hAnsi="宋体" w:eastAsia="宋体" w:cs="宋体"/>
                <w:b w:val="0"/>
                <w:bCs/>
                <w:snapToGrid w:val="0"/>
                <w:color w:val="auto"/>
                <w:spacing w:val="0"/>
                <w:w w:val="100"/>
                <w:kern w:val="0"/>
                <w:sz w:val="24"/>
                <w:szCs w:val="24"/>
                <w:highlight w:val="none"/>
              </w:rPr>
              <w:t>具有汽车维修相关专业职称或职业资格或</w:t>
            </w:r>
            <w:r>
              <w:rPr>
                <w:rFonts w:hint="eastAsia" w:ascii="宋体" w:hAnsi="宋体" w:eastAsia="宋体" w:cs="宋体"/>
                <w:b w:val="0"/>
                <w:bCs/>
                <w:snapToGrid w:val="0"/>
                <w:color w:val="auto"/>
                <w:spacing w:val="0"/>
                <w:w w:val="100"/>
                <w:kern w:val="0"/>
                <w:sz w:val="24"/>
                <w:szCs w:val="24"/>
                <w:highlight w:val="none"/>
                <w:lang w:val="en-US" w:eastAsia="zh-CN"/>
              </w:rPr>
              <w:t>从业资格证书</w:t>
            </w:r>
            <w:r>
              <w:rPr>
                <w:rFonts w:hint="eastAsia" w:ascii="宋体" w:hAnsi="宋体" w:eastAsia="宋体" w:cs="宋体"/>
                <w:b w:val="0"/>
                <w:bCs/>
                <w:snapToGrid w:val="0"/>
                <w:color w:val="auto"/>
                <w:spacing w:val="0"/>
                <w:w w:val="100"/>
                <w:kern w:val="0"/>
                <w:sz w:val="24"/>
                <w:szCs w:val="24"/>
                <w:highlight w:val="none"/>
              </w:rPr>
              <w:t>的人员</w:t>
            </w:r>
            <w:r>
              <w:rPr>
                <w:rFonts w:hint="eastAsia" w:ascii="宋体" w:hAnsi="宋体" w:eastAsia="宋体" w:cs="宋体"/>
                <w:b w:val="0"/>
                <w:bCs/>
                <w:snapToGrid w:val="0"/>
                <w:color w:val="auto"/>
                <w:spacing w:val="0"/>
                <w:w w:val="100"/>
                <w:kern w:val="0"/>
                <w:sz w:val="24"/>
                <w:szCs w:val="24"/>
                <w:highlight w:val="none"/>
                <w:lang w:val="en-US" w:eastAsia="zh-CN"/>
              </w:rPr>
              <w:t>每提供一人</w:t>
            </w:r>
            <w:r>
              <w:rPr>
                <w:rFonts w:hint="eastAsia" w:ascii="宋体" w:hAnsi="宋体" w:eastAsia="宋体" w:cs="宋体"/>
                <w:b w:val="0"/>
                <w:bCs/>
                <w:snapToGrid w:val="0"/>
                <w:color w:val="auto"/>
                <w:spacing w:val="0"/>
                <w:w w:val="100"/>
                <w:kern w:val="0"/>
                <w:sz w:val="24"/>
                <w:szCs w:val="24"/>
                <w:highlight w:val="none"/>
              </w:rPr>
              <w:t>得</w:t>
            </w:r>
            <w:r>
              <w:rPr>
                <w:rFonts w:hint="eastAsia" w:ascii="宋体" w:hAnsi="宋体" w:eastAsia="宋体" w:cs="宋体"/>
                <w:b w:val="0"/>
                <w:bCs/>
                <w:snapToGrid w:val="0"/>
                <w:color w:val="auto"/>
                <w:spacing w:val="0"/>
                <w:w w:val="100"/>
                <w:kern w:val="0"/>
                <w:sz w:val="24"/>
                <w:szCs w:val="24"/>
                <w:highlight w:val="none"/>
                <w:lang w:val="en-US" w:eastAsia="zh-CN"/>
              </w:rPr>
              <w:t>5</w:t>
            </w:r>
            <w:r>
              <w:rPr>
                <w:rFonts w:hint="eastAsia" w:ascii="宋体" w:hAnsi="宋体" w:eastAsia="宋体" w:cs="宋体"/>
                <w:b w:val="0"/>
                <w:bCs/>
                <w:snapToGrid w:val="0"/>
                <w:color w:val="auto"/>
                <w:spacing w:val="0"/>
                <w:w w:val="100"/>
                <w:kern w:val="0"/>
                <w:sz w:val="24"/>
                <w:szCs w:val="24"/>
                <w:highlight w:val="none"/>
              </w:rPr>
              <w:t>分，</w:t>
            </w:r>
            <w:r>
              <w:rPr>
                <w:rFonts w:hint="eastAsia" w:ascii="宋体" w:hAnsi="宋体" w:eastAsia="宋体" w:cs="宋体"/>
                <w:b w:val="0"/>
                <w:bCs/>
                <w:snapToGrid w:val="0"/>
                <w:color w:val="auto"/>
                <w:spacing w:val="0"/>
                <w:w w:val="100"/>
                <w:kern w:val="0"/>
                <w:sz w:val="24"/>
                <w:szCs w:val="24"/>
                <w:highlight w:val="none"/>
                <w:lang w:val="en-US" w:eastAsia="zh-CN"/>
              </w:rPr>
              <w:t>满分30</w:t>
            </w:r>
            <w:r>
              <w:rPr>
                <w:rFonts w:hint="eastAsia" w:ascii="宋体" w:hAnsi="宋体" w:eastAsia="宋体" w:cs="宋体"/>
                <w:b w:val="0"/>
                <w:bCs/>
                <w:snapToGrid w:val="0"/>
                <w:color w:val="auto"/>
                <w:spacing w:val="0"/>
                <w:w w:val="100"/>
                <w:kern w:val="0"/>
                <w:sz w:val="24"/>
                <w:szCs w:val="24"/>
                <w:highlight w:val="none"/>
              </w:rPr>
              <w:t>分</w:t>
            </w:r>
            <w:r>
              <w:rPr>
                <w:rFonts w:hint="eastAsia" w:ascii="宋体" w:hAnsi="宋体" w:eastAsia="宋体" w:cs="宋体"/>
                <w:b w:val="0"/>
                <w:bCs/>
                <w:snapToGrid w:val="0"/>
                <w:color w:val="auto"/>
                <w:spacing w:val="0"/>
                <w:w w:val="100"/>
                <w:kern w:val="0"/>
                <w:sz w:val="24"/>
                <w:szCs w:val="24"/>
                <w:highlight w:val="none"/>
                <w:lang w:eastAsia="zh-CN"/>
              </w:rPr>
              <w:t>。</w:t>
            </w:r>
          </w:p>
          <w:p w14:paraId="708BC430">
            <w:pPr>
              <w:keepNext w:val="0"/>
              <w:keepLines w:val="0"/>
              <w:pageBreakBefore w:val="0"/>
              <w:widowControl/>
              <w:kinsoku/>
              <w:wordWrap/>
              <w:overflowPunct/>
              <w:topLinePunct w:val="0"/>
              <w:autoSpaceDE/>
              <w:autoSpaceDN/>
              <w:bidi w:val="0"/>
              <w:adjustRightInd w:val="0"/>
              <w:snapToGrid w:val="0"/>
              <w:spacing w:line="400" w:lineRule="exact"/>
              <w:ind w:left="0" w:right="0" w:firstLine="0"/>
              <w:jc w:val="left"/>
              <w:textAlignment w:val="auto"/>
              <w:rPr>
                <w:rFonts w:hint="eastAsia" w:ascii="宋体" w:hAnsi="宋体" w:eastAsia="宋体" w:cs="宋体"/>
                <w:b w:val="0"/>
                <w:bCs/>
                <w:snapToGrid w:val="0"/>
                <w:color w:val="auto"/>
                <w:spacing w:val="0"/>
                <w:w w:val="100"/>
                <w:kern w:val="0"/>
                <w:sz w:val="24"/>
                <w:szCs w:val="24"/>
                <w:highlight w:val="none"/>
              </w:rPr>
            </w:pPr>
            <w:r>
              <w:rPr>
                <w:rFonts w:hint="eastAsia" w:ascii="宋体" w:hAnsi="宋体" w:eastAsia="宋体" w:cs="宋体"/>
                <w:b w:val="0"/>
                <w:bCs/>
                <w:snapToGrid w:val="0"/>
                <w:color w:val="auto"/>
                <w:spacing w:val="0"/>
                <w:w w:val="100"/>
                <w:kern w:val="0"/>
                <w:sz w:val="24"/>
                <w:szCs w:val="24"/>
                <w:highlight w:val="none"/>
                <w:lang w:val="en-US" w:eastAsia="zh-CN"/>
              </w:rPr>
              <w:t>注：响应文件中提供人员证书扫描件</w:t>
            </w:r>
            <w:r>
              <w:rPr>
                <w:rFonts w:hint="eastAsia" w:ascii="宋体" w:hAnsi="宋体" w:eastAsia="宋体" w:cs="宋体"/>
                <w:b w:val="0"/>
                <w:bCs/>
                <w:snapToGrid w:val="0"/>
                <w:color w:val="auto"/>
                <w:spacing w:val="0"/>
                <w:w w:val="100"/>
                <w:kern w:val="0"/>
                <w:sz w:val="24"/>
                <w:szCs w:val="24"/>
                <w:highlight w:val="none"/>
              </w:rPr>
              <w:t>并加盖供应商公章</w:t>
            </w:r>
            <w:r>
              <w:rPr>
                <w:rFonts w:hint="eastAsia" w:ascii="宋体" w:hAnsi="宋体" w:eastAsia="宋体" w:cs="宋体"/>
                <w:b w:val="0"/>
                <w:bCs/>
                <w:snapToGrid w:val="0"/>
                <w:color w:val="auto"/>
                <w:spacing w:val="0"/>
                <w:w w:val="100"/>
                <w:kern w:val="0"/>
                <w:sz w:val="24"/>
                <w:szCs w:val="24"/>
                <w:highlight w:val="none"/>
                <w:lang w:eastAsia="zh-CN"/>
              </w:rPr>
              <w:t>，未提供不得分。</w:t>
            </w:r>
          </w:p>
        </w:tc>
        <w:tc>
          <w:tcPr>
            <w:tcW w:w="1263" w:type="dxa"/>
            <w:noWrap w:val="0"/>
            <w:vAlign w:val="top"/>
          </w:tcPr>
          <w:p w14:paraId="6F972386">
            <w:pPr>
              <w:pStyle w:val="27"/>
              <w:spacing w:before="78" w:line="220" w:lineRule="auto"/>
              <w:jc w:val="center"/>
              <w:rPr>
                <w:color w:val="auto"/>
                <w:spacing w:val="6"/>
                <w:highlight w:val="none"/>
              </w:rPr>
            </w:pPr>
          </w:p>
          <w:p w14:paraId="05946C37">
            <w:pPr>
              <w:pStyle w:val="27"/>
              <w:spacing w:before="78" w:line="220" w:lineRule="auto"/>
              <w:jc w:val="center"/>
              <w:rPr>
                <w:color w:val="auto"/>
                <w:spacing w:val="6"/>
                <w:highlight w:val="none"/>
              </w:rPr>
            </w:pPr>
          </w:p>
          <w:p w14:paraId="3CD1137F">
            <w:pPr>
              <w:pStyle w:val="27"/>
              <w:spacing w:before="78" w:line="220" w:lineRule="auto"/>
              <w:jc w:val="center"/>
              <w:rPr>
                <w:rFonts w:hint="default" w:eastAsia="宋体"/>
                <w:color w:val="auto"/>
                <w:spacing w:val="6"/>
                <w:highlight w:val="none"/>
                <w:lang w:val="en-US" w:eastAsia="zh-CN"/>
              </w:rPr>
            </w:pPr>
            <w:r>
              <w:rPr>
                <w:rFonts w:hint="eastAsia"/>
                <w:color w:val="auto"/>
                <w:spacing w:val="6"/>
                <w:highlight w:val="none"/>
                <w:lang w:val="en-US" w:eastAsia="zh-CN"/>
              </w:rPr>
              <w:t>0-30</w:t>
            </w:r>
          </w:p>
        </w:tc>
      </w:tr>
      <w:tr w14:paraId="55288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05" w:hRule="atLeast"/>
          <w:jc w:val="center"/>
        </w:trPr>
        <w:tc>
          <w:tcPr>
            <w:tcW w:w="637" w:type="dxa"/>
            <w:noWrap w:val="0"/>
            <w:vAlign w:val="center"/>
          </w:tcPr>
          <w:p w14:paraId="1EF8BD4B">
            <w:pPr>
              <w:keepNext w:val="0"/>
              <w:keepLines w:val="0"/>
              <w:pageBreakBefore w:val="0"/>
              <w:widowControl/>
              <w:kinsoku/>
              <w:wordWrap/>
              <w:overflowPunct/>
              <w:topLinePunct w:val="0"/>
              <w:autoSpaceDE/>
              <w:autoSpaceDN/>
              <w:bidi w:val="0"/>
              <w:adjustRightInd w:val="0"/>
              <w:snapToGrid w:val="0"/>
              <w:spacing w:line="400" w:lineRule="exact"/>
              <w:ind w:left="0" w:right="0" w:firstLine="0"/>
              <w:jc w:val="center"/>
              <w:textAlignment w:val="auto"/>
              <w:rPr>
                <w:rFonts w:hint="eastAsia" w:ascii="宋体" w:hAnsi="宋体" w:eastAsia="宋体" w:cs="宋体"/>
                <w:b w:val="0"/>
                <w:bCs/>
                <w:snapToGrid w:val="0"/>
                <w:color w:val="auto"/>
                <w:spacing w:val="0"/>
                <w:w w:val="100"/>
                <w:kern w:val="0"/>
                <w:sz w:val="24"/>
                <w:szCs w:val="24"/>
                <w:highlight w:val="none"/>
                <w:lang w:val="en-US" w:eastAsia="zh-CN"/>
              </w:rPr>
            </w:pPr>
            <w:r>
              <w:rPr>
                <w:rFonts w:hint="eastAsia" w:ascii="宋体" w:hAnsi="宋体" w:eastAsia="宋体" w:cs="宋体"/>
                <w:b w:val="0"/>
                <w:bCs/>
                <w:snapToGrid w:val="0"/>
                <w:color w:val="auto"/>
                <w:spacing w:val="0"/>
                <w:w w:val="100"/>
                <w:kern w:val="0"/>
                <w:sz w:val="24"/>
                <w:szCs w:val="24"/>
                <w:highlight w:val="none"/>
                <w:lang w:val="en-US" w:eastAsia="zh-CN"/>
              </w:rPr>
              <w:t>3</w:t>
            </w:r>
          </w:p>
        </w:tc>
        <w:tc>
          <w:tcPr>
            <w:tcW w:w="1146" w:type="dxa"/>
            <w:noWrap w:val="0"/>
            <w:vAlign w:val="top"/>
          </w:tcPr>
          <w:p w14:paraId="53671407">
            <w:pPr>
              <w:spacing w:line="312" w:lineRule="auto"/>
              <w:jc w:val="center"/>
              <w:rPr>
                <w:rFonts w:ascii="Arial"/>
                <w:color w:val="auto"/>
                <w:sz w:val="21"/>
                <w:highlight w:val="none"/>
              </w:rPr>
            </w:pPr>
          </w:p>
          <w:p w14:paraId="678E5911">
            <w:pPr>
              <w:spacing w:line="312" w:lineRule="auto"/>
              <w:jc w:val="center"/>
              <w:rPr>
                <w:rFonts w:ascii="Arial"/>
                <w:color w:val="auto"/>
                <w:sz w:val="21"/>
                <w:highlight w:val="none"/>
              </w:rPr>
            </w:pPr>
          </w:p>
          <w:p w14:paraId="20C92C31">
            <w:pPr>
              <w:spacing w:line="312" w:lineRule="auto"/>
              <w:jc w:val="center"/>
              <w:rPr>
                <w:rFonts w:ascii="Arial"/>
                <w:color w:val="auto"/>
                <w:sz w:val="21"/>
                <w:highlight w:val="none"/>
              </w:rPr>
            </w:pPr>
          </w:p>
          <w:p w14:paraId="05A1150C">
            <w:pPr>
              <w:pStyle w:val="27"/>
              <w:spacing w:before="78" w:line="220" w:lineRule="auto"/>
              <w:ind w:left="304"/>
              <w:jc w:val="center"/>
              <w:rPr>
                <w:color w:val="auto"/>
                <w:spacing w:val="-2"/>
                <w:highlight w:val="none"/>
              </w:rPr>
            </w:pPr>
          </w:p>
          <w:p w14:paraId="17FE1A2B">
            <w:pPr>
              <w:pStyle w:val="27"/>
              <w:spacing w:before="78" w:line="220" w:lineRule="auto"/>
              <w:ind w:left="304"/>
              <w:jc w:val="center"/>
              <w:rPr>
                <w:color w:val="auto"/>
                <w:spacing w:val="-2"/>
                <w:highlight w:val="none"/>
              </w:rPr>
            </w:pPr>
          </w:p>
          <w:p w14:paraId="6AC91995">
            <w:pPr>
              <w:pStyle w:val="27"/>
              <w:spacing w:before="78" w:line="220" w:lineRule="auto"/>
              <w:ind w:left="304"/>
              <w:jc w:val="center"/>
              <w:rPr>
                <w:color w:val="auto"/>
                <w:spacing w:val="-2"/>
                <w:highlight w:val="none"/>
              </w:rPr>
            </w:pPr>
          </w:p>
          <w:p w14:paraId="0B943EF0">
            <w:pPr>
              <w:pStyle w:val="27"/>
              <w:spacing w:before="78" w:line="220" w:lineRule="auto"/>
              <w:jc w:val="center"/>
              <w:rPr>
                <w:rFonts w:hint="default"/>
                <w:color w:val="auto"/>
                <w:spacing w:val="6"/>
                <w:highlight w:val="none"/>
                <w:lang w:val="en-US" w:eastAsia="zh-CN"/>
              </w:rPr>
            </w:pPr>
            <w:r>
              <w:rPr>
                <w:color w:val="auto"/>
                <w:spacing w:val="-2"/>
                <w:highlight w:val="none"/>
              </w:rPr>
              <w:t>服务方案</w:t>
            </w:r>
          </w:p>
        </w:tc>
        <w:tc>
          <w:tcPr>
            <w:tcW w:w="7052" w:type="dxa"/>
            <w:noWrap w:val="0"/>
            <w:vAlign w:val="top"/>
          </w:tcPr>
          <w:p w14:paraId="1B0E1372">
            <w:pPr>
              <w:pStyle w:val="27"/>
              <w:spacing w:before="78" w:line="219" w:lineRule="auto"/>
              <w:ind w:left="114"/>
              <w:rPr>
                <w:color w:val="auto"/>
                <w:spacing w:val="-1"/>
                <w:highlight w:val="none"/>
              </w:rPr>
            </w:pPr>
            <w:r>
              <w:rPr>
                <w:color w:val="auto"/>
                <w:spacing w:val="-1"/>
                <w:highlight w:val="none"/>
              </w:rPr>
              <w:t>供应商应根据项目实际需求制订针对性的服务方案，至少包含下列内容：</w:t>
            </w:r>
          </w:p>
          <w:p w14:paraId="13BA420D">
            <w:pPr>
              <w:pStyle w:val="27"/>
              <w:numPr>
                <w:ilvl w:val="0"/>
                <w:numId w:val="0"/>
              </w:numPr>
              <w:spacing w:before="78" w:line="219" w:lineRule="auto"/>
              <w:ind w:left="114" w:leftChars="0"/>
              <w:rPr>
                <w:color w:val="auto"/>
                <w:spacing w:val="-1"/>
                <w:highlight w:val="none"/>
              </w:rPr>
            </w:pPr>
            <w:r>
              <w:rPr>
                <w:rFonts w:hint="eastAsia" w:ascii="宋体" w:hAnsi="宋体" w:eastAsia="宋体" w:cs="宋体"/>
                <w:color w:val="auto"/>
                <w:spacing w:val="-1"/>
                <w:kern w:val="2"/>
                <w:sz w:val="24"/>
                <w:szCs w:val="24"/>
                <w:lang w:val="en-US" w:eastAsia="en-US" w:bidi="ar-SA"/>
              </w:rPr>
              <w:t>①</w:t>
            </w:r>
            <w:r>
              <w:rPr>
                <w:color w:val="auto"/>
                <w:spacing w:val="4"/>
                <w:highlight w:val="none"/>
              </w:rPr>
              <w:t>实施方法</w:t>
            </w:r>
            <w:r>
              <w:rPr>
                <w:color w:val="auto"/>
                <w:spacing w:val="-1"/>
                <w:highlight w:val="none"/>
              </w:rPr>
              <w:t>；</w:t>
            </w:r>
          </w:p>
          <w:p w14:paraId="6B9BD03F">
            <w:pPr>
              <w:pStyle w:val="27"/>
              <w:numPr>
                <w:ilvl w:val="0"/>
                <w:numId w:val="0"/>
              </w:numPr>
              <w:spacing w:before="78" w:line="219" w:lineRule="auto"/>
              <w:ind w:left="114" w:leftChars="0"/>
              <w:rPr>
                <w:color w:val="auto"/>
                <w:highlight w:val="none"/>
              </w:rPr>
            </w:pPr>
            <w:r>
              <w:rPr>
                <w:rFonts w:hint="eastAsia" w:ascii="宋体" w:hAnsi="宋体" w:eastAsia="宋体" w:cs="宋体"/>
                <w:color w:val="auto"/>
                <w:kern w:val="2"/>
                <w:sz w:val="24"/>
                <w:szCs w:val="24"/>
                <w:lang w:val="en-US" w:eastAsia="en-US" w:bidi="ar-SA"/>
              </w:rPr>
              <w:t>②</w:t>
            </w:r>
            <w:r>
              <w:rPr>
                <w:color w:val="auto"/>
                <w:spacing w:val="4"/>
                <w:highlight w:val="none"/>
              </w:rPr>
              <w:t>工作流程</w:t>
            </w:r>
            <w:r>
              <w:rPr>
                <w:color w:val="auto"/>
                <w:spacing w:val="-2"/>
                <w:highlight w:val="none"/>
              </w:rPr>
              <w:t>；</w:t>
            </w:r>
          </w:p>
          <w:p w14:paraId="6EBB07B1">
            <w:pPr>
              <w:pStyle w:val="27"/>
              <w:numPr>
                <w:ilvl w:val="0"/>
                <w:numId w:val="0"/>
              </w:numPr>
              <w:spacing w:before="78" w:line="219" w:lineRule="auto"/>
              <w:ind w:left="114" w:leftChars="0"/>
              <w:rPr>
                <w:color w:val="auto"/>
                <w:highlight w:val="none"/>
              </w:rPr>
            </w:pPr>
            <w:r>
              <w:rPr>
                <w:rFonts w:hint="eastAsia" w:ascii="宋体" w:hAnsi="宋体" w:eastAsia="宋体" w:cs="宋体"/>
                <w:color w:val="auto"/>
                <w:kern w:val="2"/>
                <w:sz w:val="24"/>
                <w:szCs w:val="24"/>
                <w:lang w:val="en-US" w:eastAsia="en-US" w:bidi="ar-SA"/>
              </w:rPr>
              <w:t>③</w:t>
            </w:r>
            <w:r>
              <w:rPr>
                <w:color w:val="auto"/>
                <w:spacing w:val="4"/>
                <w:highlight w:val="none"/>
              </w:rPr>
              <w:t>时间及人员安排</w:t>
            </w:r>
            <w:r>
              <w:rPr>
                <w:color w:val="auto"/>
                <w:spacing w:val="-2"/>
                <w:highlight w:val="none"/>
              </w:rPr>
              <w:t>；</w:t>
            </w:r>
          </w:p>
          <w:p w14:paraId="67F235D4">
            <w:pPr>
              <w:pStyle w:val="27"/>
              <w:numPr>
                <w:ilvl w:val="0"/>
                <w:numId w:val="0"/>
              </w:numPr>
              <w:spacing w:before="78" w:line="219" w:lineRule="auto"/>
              <w:ind w:left="114" w:leftChars="0"/>
              <w:rPr>
                <w:color w:val="auto"/>
                <w:highlight w:val="none"/>
              </w:rPr>
            </w:pPr>
            <w:r>
              <w:rPr>
                <w:rFonts w:hint="eastAsia" w:ascii="宋体" w:hAnsi="宋体" w:eastAsia="宋体" w:cs="宋体"/>
                <w:color w:val="auto"/>
                <w:kern w:val="2"/>
                <w:sz w:val="24"/>
                <w:szCs w:val="24"/>
                <w:lang w:val="en-US" w:eastAsia="en-US" w:bidi="ar-SA"/>
              </w:rPr>
              <w:t>④</w:t>
            </w:r>
            <w:r>
              <w:rPr>
                <w:color w:val="auto"/>
                <w:spacing w:val="-2"/>
                <w:highlight w:val="none"/>
              </w:rPr>
              <w:t>人员安排合理性</w:t>
            </w:r>
            <w:r>
              <w:rPr>
                <w:rFonts w:hint="eastAsia"/>
                <w:color w:val="auto"/>
                <w:spacing w:val="-2"/>
                <w:highlight w:val="none"/>
                <w:lang w:eastAsia="zh-CN"/>
              </w:rPr>
              <w:t>；</w:t>
            </w:r>
          </w:p>
          <w:p w14:paraId="6E8AF905">
            <w:pPr>
              <w:pStyle w:val="27"/>
              <w:numPr>
                <w:ilvl w:val="0"/>
                <w:numId w:val="0"/>
              </w:numPr>
              <w:spacing w:before="78" w:line="219" w:lineRule="auto"/>
              <w:ind w:left="114" w:leftChars="0"/>
              <w:rPr>
                <w:color w:val="auto"/>
                <w:highlight w:val="none"/>
              </w:rPr>
            </w:pPr>
            <w:r>
              <w:rPr>
                <w:rFonts w:hint="eastAsia" w:ascii="宋体" w:hAnsi="宋体" w:eastAsia="宋体" w:cs="宋体"/>
                <w:color w:val="auto"/>
                <w:kern w:val="2"/>
                <w:sz w:val="24"/>
                <w:szCs w:val="24"/>
                <w:lang w:val="en-US" w:eastAsia="en-US" w:bidi="ar-SA"/>
              </w:rPr>
              <w:t>⑤</w:t>
            </w:r>
            <w:r>
              <w:rPr>
                <w:rFonts w:hint="eastAsia"/>
                <w:color w:val="auto"/>
                <w:spacing w:val="-2"/>
                <w:highlight w:val="none"/>
                <w:lang w:val="en-US" w:eastAsia="zh-CN"/>
              </w:rPr>
              <w:t>维修设施设备配备</w:t>
            </w:r>
            <w:r>
              <w:rPr>
                <w:color w:val="auto"/>
                <w:spacing w:val="-2"/>
                <w:highlight w:val="none"/>
              </w:rPr>
              <w:t>。</w:t>
            </w:r>
          </w:p>
          <w:p w14:paraId="3F0E94B7">
            <w:pPr>
              <w:pStyle w:val="27"/>
              <w:spacing w:before="78" w:line="219" w:lineRule="auto"/>
              <w:ind w:left="114"/>
              <w:rPr>
                <w:color w:val="auto"/>
                <w:spacing w:val="-1"/>
                <w:highlight w:val="none"/>
              </w:rPr>
            </w:pPr>
            <w:r>
              <w:rPr>
                <w:color w:val="auto"/>
                <w:spacing w:val="-1"/>
                <w:highlight w:val="none"/>
              </w:rPr>
              <w:t>由评审小组按顺序分别进行评审：</w:t>
            </w:r>
          </w:p>
          <w:p w14:paraId="6E8795E9">
            <w:pPr>
              <w:pStyle w:val="27"/>
              <w:numPr>
                <w:ilvl w:val="0"/>
                <w:numId w:val="0"/>
              </w:numPr>
              <w:spacing w:before="78" w:line="219" w:lineRule="auto"/>
              <w:rPr>
                <w:rFonts w:hint="eastAsia"/>
                <w:color w:val="auto"/>
                <w:spacing w:val="-1"/>
                <w:highlight w:val="none"/>
                <w:lang w:val="en-US" w:eastAsia="zh-CN"/>
              </w:rPr>
            </w:pPr>
            <w:r>
              <w:rPr>
                <w:rFonts w:hint="eastAsia" w:ascii="宋体" w:hAnsi="宋体" w:eastAsia="宋体" w:cs="宋体"/>
                <w:color w:val="auto"/>
                <w:spacing w:val="-1"/>
                <w:kern w:val="2"/>
                <w:sz w:val="24"/>
                <w:szCs w:val="24"/>
                <w:lang w:val="en-US" w:eastAsia="zh-CN" w:bidi="ar-SA"/>
              </w:rPr>
              <w:t>（1）</w:t>
            </w:r>
            <w:r>
              <w:rPr>
                <w:rFonts w:hint="eastAsia"/>
                <w:color w:val="auto"/>
                <w:spacing w:val="-1"/>
                <w:highlight w:val="none"/>
                <w:lang w:val="en-US" w:eastAsia="zh-CN"/>
              </w:rPr>
              <w:t>方案中每小项内容符合项目实际需求，逻辑清晰，措施规范全面的，每小项得 2 分；</w:t>
            </w:r>
          </w:p>
          <w:p w14:paraId="39BAEEA2">
            <w:pPr>
              <w:pStyle w:val="27"/>
              <w:numPr>
                <w:ilvl w:val="0"/>
                <w:numId w:val="0"/>
              </w:numPr>
              <w:spacing w:before="78" w:line="219" w:lineRule="auto"/>
              <w:rPr>
                <w:rFonts w:hint="eastAsia"/>
                <w:color w:val="auto"/>
                <w:spacing w:val="-1"/>
                <w:highlight w:val="none"/>
                <w:lang w:val="en-US" w:eastAsia="zh-CN"/>
              </w:rPr>
            </w:pPr>
            <w:r>
              <w:rPr>
                <w:rFonts w:hint="eastAsia" w:ascii="宋体" w:hAnsi="宋体" w:eastAsia="宋体" w:cs="宋体"/>
                <w:color w:val="auto"/>
                <w:spacing w:val="-1"/>
                <w:kern w:val="2"/>
                <w:sz w:val="24"/>
                <w:szCs w:val="24"/>
                <w:lang w:val="en-US" w:eastAsia="zh-CN" w:bidi="ar-SA"/>
              </w:rPr>
              <w:t>（2）</w:t>
            </w:r>
            <w:r>
              <w:rPr>
                <w:rFonts w:hint="eastAsia"/>
                <w:color w:val="auto"/>
                <w:spacing w:val="-1"/>
                <w:highlight w:val="none"/>
                <w:lang w:val="en-US" w:eastAsia="zh-CN"/>
              </w:rPr>
              <w:t>方案中每小项内容与项目实际需求有出入，逻辑不清晰，措施缺失的，每小项得1分；</w:t>
            </w:r>
          </w:p>
          <w:p w14:paraId="3C582BB1">
            <w:pPr>
              <w:pStyle w:val="27"/>
              <w:numPr>
                <w:ilvl w:val="0"/>
                <w:numId w:val="0"/>
              </w:numPr>
              <w:spacing w:before="78" w:line="219" w:lineRule="auto"/>
              <w:rPr>
                <w:rFonts w:hint="eastAsia"/>
                <w:color w:val="auto"/>
                <w:spacing w:val="-1"/>
                <w:highlight w:val="none"/>
                <w:lang w:val="en-US" w:eastAsia="zh-CN"/>
              </w:rPr>
            </w:pPr>
            <w:r>
              <w:rPr>
                <w:rFonts w:hint="eastAsia" w:ascii="宋体" w:hAnsi="宋体" w:eastAsia="宋体" w:cs="宋体"/>
                <w:color w:val="auto"/>
                <w:spacing w:val="-1"/>
                <w:kern w:val="2"/>
                <w:sz w:val="24"/>
                <w:szCs w:val="24"/>
                <w:lang w:val="en-US" w:eastAsia="zh-CN" w:bidi="ar-SA"/>
              </w:rPr>
              <w:t>（3）</w:t>
            </w:r>
            <w:r>
              <w:rPr>
                <w:rFonts w:hint="eastAsia"/>
                <w:color w:val="auto"/>
                <w:spacing w:val="-1"/>
                <w:highlight w:val="none"/>
                <w:lang w:val="en-US" w:eastAsia="zh-CN"/>
              </w:rPr>
              <w:t>未提供方案或未体现每小项内容的，此项不得分。</w:t>
            </w:r>
          </w:p>
          <w:p w14:paraId="3867BD00">
            <w:pPr>
              <w:pStyle w:val="27"/>
              <w:spacing w:before="78" w:line="219" w:lineRule="auto"/>
              <w:ind w:left="114"/>
              <w:rPr>
                <w:rFonts w:hint="eastAsia" w:eastAsia="宋体"/>
                <w:color w:val="auto"/>
                <w:spacing w:val="6"/>
                <w:highlight w:val="none"/>
                <w:lang w:val="en-US" w:eastAsia="zh-CN"/>
              </w:rPr>
            </w:pPr>
            <w:r>
              <w:rPr>
                <w:rFonts w:hint="eastAsia"/>
                <w:color w:val="auto"/>
                <w:spacing w:val="-1"/>
                <w:highlight w:val="none"/>
                <w:lang w:val="en-US" w:eastAsia="zh-CN"/>
              </w:rPr>
              <w:t>本项最高得10分。</w:t>
            </w:r>
          </w:p>
        </w:tc>
        <w:tc>
          <w:tcPr>
            <w:tcW w:w="1263" w:type="dxa"/>
            <w:noWrap w:val="0"/>
            <w:vAlign w:val="top"/>
          </w:tcPr>
          <w:p w14:paraId="572142D5">
            <w:pPr>
              <w:spacing w:line="244" w:lineRule="auto"/>
              <w:rPr>
                <w:rFonts w:ascii="Arial"/>
                <w:color w:val="auto"/>
                <w:sz w:val="21"/>
                <w:highlight w:val="none"/>
              </w:rPr>
            </w:pPr>
          </w:p>
          <w:p w14:paraId="34FAC73B">
            <w:pPr>
              <w:spacing w:line="244" w:lineRule="auto"/>
              <w:rPr>
                <w:rFonts w:ascii="Arial"/>
                <w:color w:val="auto"/>
                <w:sz w:val="21"/>
                <w:highlight w:val="none"/>
              </w:rPr>
            </w:pPr>
          </w:p>
          <w:p w14:paraId="61E67078">
            <w:pPr>
              <w:spacing w:line="244" w:lineRule="auto"/>
              <w:rPr>
                <w:rFonts w:ascii="Arial"/>
                <w:color w:val="auto"/>
                <w:sz w:val="21"/>
                <w:highlight w:val="none"/>
              </w:rPr>
            </w:pPr>
          </w:p>
          <w:p w14:paraId="4F26804D">
            <w:pPr>
              <w:spacing w:line="245" w:lineRule="auto"/>
              <w:rPr>
                <w:rFonts w:ascii="Arial"/>
                <w:color w:val="auto"/>
                <w:sz w:val="21"/>
                <w:highlight w:val="none"/>
              </w:rPr>
            </w:pPr>
          </w:p>
          <w:p w14:paraId="752F77D4">
            <w:pPr>
              <w:pStyle w:val="27"/>
              <w:spacing w:before="78" w:line="181" w:lineRule="auto"/>
              <w:ind w:left="147" w:leftChars="0"/>
              <w:rPr>
                <w:color w:val="auto"/>
                <w:spacing w:val="-3"/>
                <w:highlight w:val="none"/>
              </w:rPr>
            </w:pPr>
          </w:p>
          <w:p w14:paraId="1CE2F979">
            <w:pPr>
              <w:pStyle w:val="27"/>
              <w:spacing w:before="78" w:line="181" w:lineRule="auto"/>
              <w:ind w:left="147" w:leftChars="0"/>
              <w:rPr>
                <w:color w:val="auto"/>
                <w:spacing w:val="-3"/>
                <w:highlight w:val="none"/>
              </w:rPr>
            </w:pPr>
          </w:p>
          <w:p w14:paraId="1F2614CF">
            <w:pPr>
              <w:pStyle w:val="27"/>
              <w:spacing w:before="78" w:line="181" w:lineRule="auto"/>
              <w:ind w:left="147" w:leftChars="0"/>
              <w:rPr>
                <w:color w:val="auto"/>
                <w:spacing w:val="-3"/>
                <w:highlight w:val="none"/>
              </w:rPr>
            </w:pPr>
          </w:p>
          <w:p w14:paraId="6A34DDD5">
            <w:pPr>
              <w:pStyle w:val="27"/>
              <w:spacing w:before="78" w:line="181" w:lineRule="auto"/>
              <w:ind w:left="147" w:leftChars="0"/>
              <w:rPr>
                <w:color w:val="auto"/>
                <w:spacing w:val="-3"/>
                <w:highlight w:val="none"/>
              </w:rPr>
            </w:pPr>
          </w:p>
          <w:p w14:paraId="49B84C25">
            <w:pPr>
              <w:pStyle w:val="27"/>
              <w:spacing w:before="78" w:line="181" w:lineRule="auto"/>
              <w:ind w:left="147" w:leftChars="0" w:firstLine="234" w:firstLineChars="100"/>
              <w:rPr>
                <w:rFonts w:hint="default" w:eastAsia="宋体"/>
                <w:color w:val="auto"/>
                <w:spacing w:val="6"/>
                <w:highlight w:val="none"/>
                <w:lang w:val="en-US" w:eastAsia="zh-CN"/>
              </w:rPr>
            </w:pPr>
            <w:r>
              <w:rPr>
                <w:color w:val="auto"/>
                <w:spacing w:val="-3"/>
                <w:highlight w:val="none"/>
              </w:rPr>
              <w:t>0-</w:t>
            </w:r>
            <w:r>
              <w:rPr>
                <w:rFonts w:hint="eastAsia"/>
                <w:color w:val="auto"/>
                <w:spacing w:val="-3"/>
                <w:highlight w:val="none"/>
                <w:lang w:val="en-US" w:eastAsia="zh-CN"/>
              </w:rPr>
              <w:t>10</w:t>
            </w:r>
          </w:p>
        </w:tc>
      </w:tr>
      <w:tr w14:paraId="5E604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654" w:hRule="atLeast"/>
          <w:jc w:val="center"/>
        </w:trPr>
        <w:tc>
          <w:tcPr>
            <w:tcW w:w="637" w:type="dxa"/>
            <w:noWrap w:val="0"/>
            <w:vAlign w:val="center"/>
          </w:tcPr>
          <w:p w14:paraId="1D34DD71">
            <w:pPr>
              <w:keepNext w:val="0"/>
              <w:keepLines w:val="0"/>
              <w:pageBreakBefore w:val="0"/>
              <w:widowControl/>
              <w:kinsoku/>
              <w:wordWrap/>
              <w:overflowPunct/>
              <w:topLinePunct w:val="0"/>
              <w:autoSpaceDE/>
              <w:autoSpaceDN/>
              <w:bidi w:val="0"/>
              <w:adjustRightInd w:val="0"/>
              <w:snapToGrid w:val="0"/>
              <w:spacing w:line="400" w:lineRule="exact"/>
              <w:ind w:left="0" w:right="0" w:firstLine="0"/>
              <w:jc w:val="center"/>
              <w:textAlignment w:val="auto"/>
              <w:rPr>
                <w:rFonts w:hint="eastAsia" w:ascii="宋体" w:hAnsi="宋体" w:eastAsia="宋体" w:cs="宋体"/>
                <w:b w:val="0"/>
                <w:bCs/>
                <w:snapToGrid w:val="0"/>
                <w:color w:val="auto"/>
                <w:spacing w:val="0"/>
                <w:w w:val="100"/>
                <w:kern w:val="0"/>
                <w:sz w:val="24"/>
                <w:szCs w:val="24"/>
                <w:highlight w:val="none"/>
                <w:lang w:eastAsia="zh-CN"/>
              </w:rPr>
            </w:pPr>
            <w:r>
              <w:rPr>
                <w:rFonts w:hint="eastAsia" w:ascii="宋体" w:hAnsi="宋体" w:eastAsia="宋体" w:cs="宋体"/>
                <w:b w:val="0"/>
                <w:bCs/>
                <w:snapToGrid w:val="0"/>
                <w:color w:val="auto"/>
                <w:spacing w:val="0"/>
                <w:w w:val="100"/>
                <w:kern w:val="0"/>
                <w:sz w:val="24"/>
                <w:szCs w:val="24"/>
                <w:highlight w:val="none"/>
                <w:lang w:val="en-US" w:eastAsia="zh-CN"/>
              </w:rPr>
              <w:t>4</w:t>
            </w:r>
          </w:p>
        </w:tc>
        <w:tc>
          <w:tcPr>
            <w:tcW w:w="1146" w:type="dxa"/>
            <w:noWrap w:val="0"/>
            <w:vAlign w:val="top"/>
          </w:tcPr>
          <w:p w14:paraId="32A4358D">
            <w:pPr>
              <w:spacing w:line="311" w:lineRule="auto"/>
              <w:jc w:val="center"/>
              <w:rPr>
                <w:rFonts w:ascii="Arial"/>
                <w:color w:val="auto"/>
                <w:sz w:val="21"/>
                <w:highlight w:val="none"/>
              </w:rPr>
            </w:pPr>
          </w:p>
          <w:p w14:paraId="54F8FFFF">
            <w:pPr>
              <w:spacing w:line="311" w:lineRule="auto"/>
              <w:jc w:val="center"/>
              <w:rPr>
                <w:rFonts w:ascii="Arial"/>
                <w:color w:val="auto"/>
                <w:sz w:val="21"/>
                <w:highlight w:val="none"/>
              </w:rPr>
            </w:pPr>
          </w:p>
          <w:p w14:paraId="52EA0260">
            <w:pPr>
              <w:spacing w:line="312" w:lineRule="auto"/>
              <w:jc w:val="center"/>
              <w:rPr>
                <w:rFonts w:ascii="Arial"/>
                <w:color w:val="auto"/>
                <w:sz w:val="21"/>
                <w:highlight w:val="none"/>
              </w:rPr>
            </w:pPr>
          </w:p>
          <w:p w14:paraId="32A6CA74">
            <w:pPr>
              <w:pStyle w:val="27"/>
              <w:spacing w:before="78" w:line="467" w:lineRule="exact"/>
              <w:jc w:val="center"/>
              <w:rPr>
                <w:color w:val="auto"/>
                <w:spacing w:val="-3"/>
                <w:position w:val="17"/>
                <w:highlight w:val="none"/>
              </w:rPr>
            </w:pPr>
          </w:p>
          <w:p w14:paraId="3B36CCC3">
            <w:pPr>
              <w:pStyle w:val="27"/>
              <w:spacing w:before="78" w:line="467" w:lineRule="exact"/>
              <w:jc w:val="center"/>
              <w:rPr>
                <w:color w:val="auto"/>
                <w:spacing w:val="-3"/>
                <w:position w:val="17"/>
                <w:highlight w:val="none"/>
              </w:rPr>
            </w:pPr>
          </w:p>
          <w:p w14:paraId="49CA7046">
            <w:pPr>
              <w:pStyle w:val="27"/>
              <w:spacing w:line="220" w:lineRule="auto"/>
              <w:jc w:val="center"/>
              <w:rPr>
                <w:rFonts w:hint="eastAsia" w:ascii="宋体" w:hAnsi="宋体" w:eastAsia="宋体" w:cs="宋体"/>
                <w:color w:val="auto"/>
                <w:spacing w:val="0"/>
                <w:w w:val="100"/>
                <w:sz w:val="24"/>
                <w:szCs w:val="24"/>
                <w:highlight w:val="none"/>
              </w:rPr>
            </w:pPr>
            <w:r>
              <w:rPr>
                <w:rFonts w:hint="eastAsia"/>
                <w:color w:val="auto"/>
                <w:spacing w:val="-3"/>
                <w:position w:val="17"/>
                <w:highlight w:val="none"/>
              </w:rPr>
              <w:t>售后服务方案</w:t>
            </w:r>
          </w:p>
        </w:tc>
        <w:tc>
          <w:tcPr>
            <w:tcW w:w="7052" w:type="dxa"/>
            <w:noWrap w:val="0"/>
            <w:vAlign w:val="top"/>
          </w:tcPr>
          <w:p w14:paraId="6A9791B0">
            <w:pPr>
              <w:pStyle w:val="26"/>
              <w:keepNext w:val="0"/>
              <w:keepLines w:val="0"/>
              <w:pageBreakBefore w:val="0"/>
              <w:kinsoku/>
              <w:wordWrap/>
              <w:overflowPunct/>
              <w:topLinePunct w:val="0"/>
              <w:autoSpaceDE/>
              <w:autoSpaceDN/>
              <w:bidi w:val="0"/>
              <w:spacing w:line="400" w:lineRule="exact"/>
              <w:ind w:left="0" w:right="0" w:firstLine="0"/>
              <w:jc w:val="both"/>
              <w:textAlignment w:val="auto"/>
              <w:rPr>
                <w:rFonts w:hint="eastAsia" w:ascii="宋体" w:hAnsi="宋体" w:eastAsia="宋体" w:cs="宋体"/>
                <w:color w:val="auto"/>
                <w:spacing w:val="0"/>
                <w:w w:val="100"/>
                <w:sz w:val="24"/>
                <w:szCs w:val="24"/>
                <w:highlight w:val="none"/>
              </w:rPr>
            </w:pPr>
            <w:r>
              <w:rPr>
                <w:rFonts w:hint="eastAsia" w:ascii="宋体" w:hAnsi="宋体" w:eastAsia="宋体" w:cs="宋体"/>
                <w:color w:val="auto"/>
                <w:spacing w:val="0"/>
                <w:w w:val="100"/>
                <w:sz w:val="24"/>
                <w:szCs w:val="24"/>
                <w:highlight w:val="none"/>
              </w:rPr>
              <w:t>供应商应根据项目实际需求制订针对性的</w:t>
            </w:r>
            <w:r>
              <w:rPr>
                <w:rFonts w:hint="eastAsia" w:ascii="宋体" w:hAnsi="宋体" w:eastAsia="宋体" w:cs="宋体"/>
                <w:color w:val="auto"/>
                <w:spacing w:val="0"/>
                <w:w w:val="100"/>
                <w:sz w:val="24"/>
                <w:szCs w:val="24"/>
                <w:highlight w:val="none"/>
                <w:lang w:val="en-US" w:eastAsia="zh-CN"/>
              </w:rPr>
              <w:t>售后服务方案</w:t>
            </w:r>
            <w:r>
              <w:rPr>
                <w:rFonts w:hint="eastAsia" w:ascii="宋体" w:hAnsi="宋体" w:eastAsia="宋体" w:cs="宋体"/>
                <w:color w:val="auto"/>
                <w:spacing w:val="0"/>
                <w:w w:val="100"/>
                <w:sz w:val="24"/>
                <w:szCs w:val="24"/>
                <w:highlight w:val="none"/>
              </w:rPr>
              <w:t>，至少包含下列内容：</w:t>
            </w:r>
          </w:p>
          <w:p w14:paraId="1904F1D7">
            <w:pPr>
              <w:pStyle w:val="26"/>
              <w:keepNext w:val="0"/>
              <w:keepLines w:val="0"/>
              <w:pageBreakBefore w:val="0"/>
              <w:numPr>
                <w:ilvl w:val="0"/>
                <w:numId w:val="0"/>
              </w:numPr>
              <w:kinsoku/>
              <w:wordWrap/>
              <w:overflowPunct/>
              <w:topLinePunct w:val="0"/>
              <w:autoSpaceDE/>
              <w:autoSpaceDN/>
              <w:bidi w:val="0"/>
              <w:spacing w:line="400" w:lineRule="exact"/>
              <w:ind w:right="0" w:rightChars="0"/>
              <w:jc w:val="both"/>
              <w:textAlignment w:val="auto"/>
              <w:rPr>
                <w:rFonts w:hint="eastAsia" w:ascii="宋体" w:hAnsi="宋体" w:eastAsia="宋体" w:cs="宋体"/>
                <w:color w:val="auto"/>
                <w:spacing w:val="4"/>
                <w:kern w:val="2"/>
                <w:sz w:val="24"/>
                <w:szCs w:val="24"/>
                <w:highlight w:val="none"/>
                <w:lang w:val="en-US" w:eastAsia="en-US" w:bidi="ar-SA"/>
              </w:rPr>
            </w:pPr>
            <w:r>
              <w:rPr>
                <w:rFonts w:hint="eastAsia" w:ascii="宋体" w:hAnsi="宋体" w:eastAsia="宋体" w:cs="宋体"/>
                <w:color w:val="auto"/>
                <w:spacing w:val="0"/>
                <w:w w:val="100"/>
                <w:sz w:val="24"/>
                <w:szCs w:val="24"/>
                <w:highlight w:val="none"/>
              </w:rPr>
              <w:t>①</w:t>
            </w:r>
            <w:r>
              <w:rPr>
                <w:rFonts w:hint="eastAsia" w:ascii="宋体" w:hAnsi="宋体" w:eastAsia="宋体" w:cs="宋体"/>
                <w:color w:val="auto"/>
                <w:spacing w:val="4"/>
                <w:kern w:val="2"/>
                <w:sz w:val="24"/>
                <w:szCs w:val="24"/>
                <w:highlight w:val="none"/>
                <w:lang w:val="en-US" w:eastAsia="en-US" w:bidi="ar-SA"/>
              </w:rPr>
              <w:t>保养维修后定期的回访；</w:t>
            </w:r>
          </w:p>
          <w:p w14:paraId="127AA74D">
            <w:pPr>
              <w:pStyle w:val="26"/>
              <w:keepNext w:val="0"/>
              <w:keepLines w:val="0"/>
              <w:pageBreakBefore w:val="0"/>
              <w:numPr>
                <w:ilvl w:val="0"/>
                <w:numId w:val="0"/>
              </w:numPr>
              <w:kinsoku/>
              <w:wordWrap/>
              <w:overflowPunct/>
              <w:topLinePunct w:val="0"/>
              <w:autoSpaceDE/>
              <w:autoSpaceDN/>
              <w:bidi w:val="0"/>
              <w:spacing w:line="400" w:lineRule="exact"/>
              <w:ind w:right="0" w:rightChars="0"/>
              <w:jc w:val="both"/>
              <w:textAlignment w:val="auto"/>
              <w:rPr>
                <w:rFonts w:hint="eastAsia" w:ascii="宋体" w:hAnsi="宋体" w:eastAsia="宋体" w:cs="宋体"/>
                <w:color w:val="auto"/>
                <w:spacing w:val="0"/>
                <w:w w:val="100"/>
                <w:sz w:val="24"/>
                <w:szCs w:val="24"/>
                <w:highlight w:val="none"/>
              </w:rPr>
            </w:pPr>
            <w:r>
              <w:rPr>
                <w:rFonts w:hint="eastAsia" w:ascii="宋体" w:hAnsi="宋体" w:eastAsia="宋体" w:cs="宋体"/>
                <w:color w:val="auto"/>
                <w:spacing w:val="0"/>
                <w:w w:val="100"/>
                <w:sz w:val="24"/>
                <w:szCs w:val="24"/>
                <w:highlight w:val="none"/>
              </w:rPr>
              <w:t>②</w:t>
            </w:r>
            <w:r>
              <w:rPr>
                <w:rFonts w:hint="eastAsia" w:ascii="宋体" w:hAnsi="宋体" w:eastAsia="宋体" w:cs="宋体"/>
                <w:color w:val="auto"/>
                <w:spacing w:val="4"/>
                <w:kern w:val="2"/>
                <w:sz w:val="24"/>
                <w:szCs w:val="24"/>
                <w:highlight w:val="none"/>
                <w:lang w:val="en-US" w:eastAsia="en-US" w:bidi="ar-SA"/>
              </w:rPr>
              <w:t>保养维修后遇到同类问题的售后方案。</w:t>
            </w:r>
          </w:p>
          <w:p w14:paraId="20C247D1">
            <w:pPr>
              <w:pStyle w:val="26"/>
              <w:keepNext w:val="0"/>
              <w:keepLines w:val="0"/>
              <w:pageBreakBefore w:val="0"/>
              <w:kinsoku/>
              <w:wordWrap/>
              <w:overflowPunct/>
              <w:topLinePunct w:val="0"/>
              <w:autoSpaceDE/>
              <w:autoSpaceDN/>
              <w:bidi w:val="0"/>
              <w:spacing w:line="400" w:lineRule="exact"/>
              <w:ind w:left="0" w:right="0" w:firstLine="0"/>
              <w:jc w:val="both"/>
              <w:textAlignment w:val="auto"/>
              <w:rPr>
                <w:rFonts w:hint="eastAsia" w:ascii="宋体" w:hAnsi="宋体" w:eastAsia="宋体" w:cs="宋体"/>
                <w:color w:val="auto"/>
                <w:spacing w:val="0"/>
                <w:w w:val="100"/>
                <w:sz w:val="24"/>
                <w:szCs w:val="24"/>
                <w:highlight w:val="none"/>
              </w:rPr>
            </w:pPr>
            <w:r>
              <w:rPr>
                <w:rFonts w:hint="eastAsia" w:ascii="宋体" w:hAnsi="宋体" w:eastAsia="宋体" w:cs="宋体"/>
                <w:color w:val="auto"/>
                <w:spacing w:val="0"/>
                <w:w w:val="100"/>
                <w:sz w:val="24"/>
                <w:szCs w:val="24"/>
                <w:highlight w:val="none"/>
              </w:rPr>
              <w:t>由评审小组按顺序分别进行评审：</w:t>
            </w:r>
          </w:p>
          <w:p w14:paraId="4A690E02">
            <w:pPr>
              <w:pStyle w:val="26"/>
              <w:keepNext w:val="0"/>
              <w:keepLines w:val="0"/>
              <w:pageBreakBefore w:val="0"/>
              <w:numPr>
                <w:ilvl w:val="0"/>
                <w:numId w:val="0"/>
              </w:numPr>
              <w:kinsoku/>
              <w:wordWrap/>
              <w:overflowPunct/>
              <w:topLinePunct w:val="0"/>
              <w:autoSpaceDE/>
              <w:autoSpaceDN/>
              <w:bidi w:val="0"/>
              <w:spacing w:line="400" w:lineRule="exact"/>
              <w:ind w:left="0" w:leftChars="0" w:right="0" w:rightChars="0" w:firstLine="0" w:firstLineChars="0"/>
              <w:jc w:val="both"/>
              <w:textAlignment w:val="auto"/>
              <w:rPr>
                <w:rFonts w:hint="eastAsia" w:ascii="宋体" w:hAnsi="宋体" w:eastAsia="宋体" w:cs="宋体"/>
                <w:color w:val="auto"/>
                <w:spacing w:val="0"/>
                <w:w w:val="100"/>
                <w:sz w:val="24"/>
                <w:szCs w:val="24"/>
                <w:highlight w:val="none"/>
              </w:rPr>
            </w:pPr>
            <w:r>
              <w:rPr>
                <w:rFonts w:hint="eastAsia" w:ascii="宋体" w:hAnsi="宋体" w:eastAsia="宋体" w:cs="宋体"/>
                <w:color w:val="auto"/>
                <w:spacing w:val="0"/>
                <w:w w:val="100"/>
                <w:kern w:val="2"/>
                <w:sz w:val="24"/>
                <w:szCs w:val="24"/>
                <w:lang w:val="en-US" w:eastAsia="zh-CN" w:bidi="ar-SA"/>
              </w:rPr>
              <w:t>（1）</w:t>
            </w:r>
            <w:r>
              <w:rPr>
                <w:rFonts w:hint="eastAsia" w:ascii="宋体" w:hAnsi="宋体" w:eastAsia="宋体" w:cs="宋体"/>
                <w:color w:val="auto"/>
                <w:spacing w:val="0"/>
                <w:w w:val="100"/>
                <w:sz w:val="24"/>
                <w:szCs w:val="24"/>
                <w:highlight w:val="none"/>
              </w:rPr>
              <w:t>方案中每小项内容符合项目实际需求，逻辑清晰，措施规范全面的，每小项得</w:t>
            </w:r>
            <w:r>
              <w:rPr>
                <w:rFonts w:hint="eastAsia" w:cs="宋体"/>
                <w:color w:val="auto"/>
                <w:spacing w:val="0"/>
                <w:w w:val="100"/>
                <w:sz w:val="24"/>
                <w:szCs w:val="24"/>
                <w:highlight w:val="none"/>
                <w:lang w:val="en-US" w:eastAsia="zh-CN"/>
              </w:rPr>
              <w:t>3</w:t>
            </w:r>
            <w:r>
              <w:rPr>
                <w:rFonts w:hint="eastAsia" w:ascii="宋体" w:hAnsi="宋体" w:eastAsia="宋体" w:cs="宋体"/>
                <w:color w:val="auto"/>
                <w:spacing w:val="0"/>
                <w:w w:val="100"/>
                <w:sz w:val="24"/>
                <w:szCs w:val="24"/>
                <w:highlight w:val="none"/>
              </w:rPr>
              <w:t>分；</w:t>
            </w:r>
          </w:p>
          <w:p w14:paraId="33AE7583">
            <w:pPr>
              <w:pStyle w:val="26"/>
              <w:keepNext w:val="0"/>
              <w:keepLines w:val="0"/>
              <w:pageBreakBefore w:val="0"/>
              <w:numPr>
                <w:ilvl w:val="0"/>
                <w:numId w:val="0"/>
              </w:numPr>
              <w:kinsoku/>
              <w:wordWrap/>
              <w:overflowPunct/>
              <w:topLinePunct w:val="0"/>
              <w:autoSpaceDE/>
              <w:autoSpaceDN/>
              <w:bidi w:val="0"/>
              <w:spacing w:line="400" w:lineRule="exact"/>
              <w:ind w:left="0" w:leftChars="0" w:right="0" w:rightChars="0" w:firstLine="0" w:firstLineChars="0"/>
              <w:jc w:val="both"/>
              <w:textAlignment w:val="auto"/>
              <w:rPr>
                <w:rFonts w:hint="eastAsia" w:ascii="宋体" w:hAnsi="宋体" w:eastAsia="宋体" w:cs="宋体"/>
                <w:color w:val="auto"/>
                <w:spacing w:val="0"/>
                <w:w w:val="100"/>
                <w:sz w:val="24"/>
                <w:szCs w:val="24"/>
                <w:highlight w:val="none"/>
              </w:rPr>
            </w:pPr>
            <w:r>
              <w:rPr>
                <w:rFonts w:hint="eastAsia" w:ascii="宋体" w:hAnsi="宋体" w:eastAsia="宋体" w:cs="宋体"/>
                <w:color w:val="auto"/>
                <w:spacing w:val="0"/>
                <w:w w:val="100"/>
                <w:kern w:val="2"/>
                <w:sz w:val="24"/>
                <w:szCs w:val="24"/>
                <w:lang w:val="en-US" w:eastAsia="zh-CN" w:bidi="ar-SA"/>
              </w:rPr>
              <w:t>（2）</w:t>
            </w:r>
            <w:r>
              <w:rPr>
                <w:rFonts w:hint="eastAsia" w:ascii="宋体" w:hAnsi="宋体" w:eastAsia="宋体" w:cs="宋体"/>
                <w:color w:val="auto"/>
                <w:spacing w:val="0"/>
                <w:w w:val="100"/>
                <w:sz w:val="24"/>
                <w:szCs w:val="24"/>
                <w:highlight w:val="none"/>
              </w:rPr>
              <w:t>方案中每小项内容与项目实际需求有出入，逻辑不清晰，措施缺失的，每小项得</w:t>
            </w:r>
            <w:r>
              <w:rPr>
                <w:rFonts w:hint="eastAsia" w:cs="宋体"/>
                <w:color w:val="auto"/>
                <w:spacing w:val="0"/>
                <w:w w:val="100"/>
                <w:sz w:val="24"/>
                <w:szCs w:val="24"/>
                <w:highlight w:val="none"/>
                <w:lang w:val="en-US" w:eastAsia="zh-CN"/>
              </w:rPr>
              <w:t>1</w:t>
            </w:r>
            <w:r>
              <w:rPr>
                <w:rFonts w:hint="eastAsia" w:ascii="宋体" w:hAnsi="宋体" w:eastAsia="宋体" w:cs="宋体"/>
                <w:color w:val="auto"/>
                <w:spacing w:val="0"/>
                <w:w w:val="100"/>
                <w:sz w:val="24"/>
                <w:szCs w:val="24"/>
                <w:highlight w:val="none"/>
              </w:rPr>
              <w:t>分；</w:t>
            </w:r>
          </w:p>
          <w:p w14:paraId="5BEA9950">
            <w:pPr>
              <w:pStyle w:val="26"/>
              <w:keepNext w:val="0"/>
              <w:keepLines w:val="0"/>
              <w:pageBreakBefore w:val="0"/>
              <w:numPr>
                <w:ilvl w:val="0"/>
                <w:numId w:val="0"/>
              </w:numPr>
              <w:kinsoku/>
              <w:wordWrap/>
              <w:overflowPunct/>
              <w:topLinePunct w:val="0"/>
              <w:autoSpaceDE/>
              <w:autoSpaceDN/>
              <w:bidi w:val="0"/>
              <w:spacing w:line="400" w:lineRule="exact"/>
              <w:ind w:leftChars="0" w:right="0" w:rightChars="0"/>
              <w:jc w:val="both"/>
              <w:textAlignment w:val="auto"/>
              <w:rPr>
                <w:rFonts w:hint="eastAsia" w:ascii="宋体" w:hAnsi="宋体" w:eastAsia="宋体" w:cs="宋体"/>
                <w:color w:val="auto"/>
                <w:spacing w:val="0"/>
                <w:w w:val="100"/>
                <w:sz w:val="24"/>
                <w:szCs w:val="24"/>
                <w:highlight w:val="none"/>
              </w:rPr>
            </w:pPr>
            <w:r>
              <w:rPr>
                <w:rFonts w:hint="eastAsia" w:ascii="宋体" w:hAnsi="宋体" w:eastAsia="宋体" w:cs="宋体"/>
                <w:color w:val="auto"/>
                <w:spacing w:val="0"/>
                <w:w w:val="100"/>
                <w:sz w:val="24"/>
                <w:szCs w:val="24"/>
                <w:highlight w:val="none"/>
              </w:rPr>
              <w:t>（3）未提供方案或未体现每小项内容的，此项不得分。</w:t>
            </w:r>
          </w:p>
          <w:p w14:paraId="23B6B4D4">
            <w:pPr>
              <w:pStyle w:val="26"/>
              <w:keepNext w:val="0"/>
              <w:keepLines w:val="0"/>
              <w:pageBreakBefore w:val="0"/>
              <w:kinsoku/>
              <w:wordWrap/>
              <w:overflowPunct/>
              <w:topLinePunct w:val="0"/>
              <w:autoSpaceDE/>
              <w:autoSpaceDN/>
              <w:bidi w:val="0"/>
              <w:spacing w:line="400" w:lineRule="exact"/>
              <w:ind w:left="0" w:right="0" w:firstLine="0"/>
              <w:jc w:val="both"/>
              <w:textAlignment w:val="auto"/>
              <w:rPr>
                <w:rFonts w:hint="eastAsia" w:ascii="宋体" w:hAnsi="宋体" w:eastAsia="宋体" w:cs="宋体"/>
                <w:color w:val="auto"/>
                <w:spacing w:val="0"/>
                <w:w w:val="100"/>
                <w:sz w:val="24"/>
                <w:szCs w:val="24"/>
                <w:highlight w:val="none"/>
              </w:rPr>
            </w:pPr>
            <w:r>
              <w:rPr>
                <w:rFonts w:hint="eastAsia" w:ascii="宋体" w:hAnsi="宋体" w:eastAsia="宋体" w:cs="宋体"/>
                <w:color w:val="auto"/>
                <w:spacing w:val="0"/>
                <w:w w:val="100"/>
                <w:sz w:val="24"/>
                <w:szCs w:val="24"/>
                <w:highlight w:val="none"/>
              </w:rPr>
              <w:t>本项最高得</w:t>
            </w:r>
            <w:r>
              <w:rPr>
                <w:rFonts w:hint="eastAsia" w:cs="宋体"/>
                <w:color w:val="auto"/>
                <w:spacing w:val="0"/>
                <w:w w:val="100"/>
                <w:sz w:val="24"/>
                <w:szCs w:val="24"/>
                <w:highlight w:val="none"/>
                <w:lang w:val="en-US" w:eastAsia="zh-CN"/>
              </w:rPr>
              <w:t>6</w:t>
            </w:r>
            <w:r>
              <w:rPr>
                <w:rFonts w:hint="eastAsia" w:ascii="宋体" w:hAnsi="宋体" w:eastAsia="宋体" w:cs="宋体"/>
                <w:color w:val="auto"/>
                <w:spacing w:val="0"/>
                <w:w w:val="100"/>
                <w:sz w:val="24"/>
                <w:szCs w:val="24"/>
                <w:highlight w:val="none"/>
              </w:rPr>
              <w:t>分。</w:t>
            </w:r>
          </w:p>
          <w:p w14:paraId="72E48D0E">
            <w:pPr>
              <w:pStyle w:val="27"/>
              <w:spacing w:before="1" w:line="218" w:lineRule="auto"/>
              <w:ind w:left="171" w:leftChars="0"/>
              <w:rPr>
                <w:rFonts w:hint="eastAsia" w:ascii="宋体" w:hAnsi="宋体" w:eastAsia="宋体" w:cs="宋体"/>
                <w:color w:val="auto"/>
                <w:spacing w:val="0"/>
                <w:w w:val="100"/>
                <w:sz w:val="24"/>
                <w:szCs w:val="24"/>
                <w:highlight w:val="none"/>
                <w:lang w:eastAsia="zh-CN"/>
              </w:rPr>
            </w:pPr>
          </w:p>
        </w:tc>
        <w:tc>
          <w:tcPr>
            <w:tcW w:w="1263" w:type="dxa"/>
            <w:noWrap w:val="0"/>
            <w:vAlign w:val="top"/>
          </w:tcPr>
          <w:p w14:paraId="0BCF3F43">
            <w:pPr>
              <w:spacing w:line="241" w:lineRule="auto"/>
              <w:rPr>
                <w:rFonts w:ascii="Arial"/>
                <w:color w:val="auto"/>
                <w:sz w:val="21"/>
                <w:highlight w:val="none"/>
              </w:rPr>
            </w:pPr>
          </w:p>
          <w:p w14:paraId="348C161B">
            <w:pPr>
              <w:spacing w:line="241" w:lineRule="auto"/>
              <w:rPr>
                <w:rFonts w:ascii="Arial"/>
                <w:color w:val="auto"/>
                <w:sz w:val="21"/>
                <w:highlight w:val="none"/>
              </w:rPr>
            </w:pPr>
          </w:p>
          <w:p w14:paraId="13201C5B">
            <w:pPr>
              <w:spacing w:line="241" w:lineRule="auto"/>
              <w:rPr>
                <w:rFonts w:ascii="Arial"/>
                <w:color w:val="auto"/>
                <w:sz w:val="21"/>
                <w:highlight w:val="none"/>
              </w:rPr>
            </w:pPr>
          </w:p>
          <w:p w14:paraId="4D14ECBC">
            <w:pPr>
              <w:spacing w:line="241" w:lineRule="auto"/>
              <w:rPr>
                <w:rFonts w:ascii="Arial"/>
                <w:color w:val="auto"/>
                <w:sz w:val="21"/>
                <w:highlight w:val="none"/>
              </w:rPr>
            </w:pPr>
          </w:p>
          <w:p w14:paraId="7ADE9959">
            <w:pPr>
              <w:spacing w:line="242" w:lineRule="auto"/>
              <w:rPr>
                <w:rFonts w:ascii="Arial"/>
                <w:color w:val="auto"/>
                <w:sz w:val="21"/>
                <w:highlight w:val="none"/>
              </w:rPr>
            </w:pPr>
          </w:p>
          <w:p w14:paraId="0AB79E10">
            <w:pPr>
              <w:pStyle w:val="27"/>
              <w:spacing w:before="78" w:line="182" w:lineRule="auto"/>
              <w:ind w:left="147" w:leftChars="0"/>
              <w:rPr>
                <w:color w:val="auto"/>
                <w:highlight w:val="none"/>
              </w:rPr>
            </w:pPr>
          </w:p>
          <w:p w14:paraId="7DBD1BD9">
            <w:pPr>
              <w:pStyle w:val="27"/>
              <w:spacing w:before="78" w:line="182" w:lineRule="auto"/>
              <w:ind w:left="147" w:leftChars="0"/>
              <w:rPr>
                <w:color w:val="auto"/>
                <w:highlight w:val="none"/>
              </w:rPr>
            </w:pPr>
          </w:p>
          <w:p w14:paraId="7FC3BEF4">
            <w:pPr>
              <w:pStyle w:val="27"/>
              <w:spacing w:before="78" w:line="182" w:lineRule="auto"/>
              <w:ind w:left="147" w:leftChars="0"/>
              <w:rPr>
                <w:rFonts w:hint="eastAsia" w:ascii="宋体" w:hAnsi="宋体" w:eastAsia="宋体" w:cs="宋体"/>
                <w:color w:val="auto"/>
                <w:spacing w:val="0"/>
                <w:w w:val="100"/>
                <w:sz w:val="24"/>
                <w:szCs w:val="24"/>
                <w:highlight w:val="none"/>
                <w:lang w:val="en-US" w:eastAsia="zh-CN"/>
              </w:rPr>
            </w:pPr>
            <w:r>
              <w:rPr>
                <w:color w:val="auto"/>
                <w:highlight w:val="none"/>
              </w:rPr>
              <w:t>0-</w:t>
            </w:r>
            <w:r>
              <w:rPr>
                <w:rFonts w:hint="eastAsia"/>
                <w:color w:val="auto"/>
                <w:highlight w:val="none"/>
                <w:lang w:val="en-US" w:eastAsia="zh-CN"/>
              </w:rPr>
              <w:t>6</w:t>
            </w:r>
          </w:p>
        </w:tc>
      </w:tr>
      <w:tr w14:paraId="7BC24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373" w:hRule="atLeast"/>
          <w:jc w:val="center"/>
        </w:trPr>
        <w:tc>
          <w:tcPr>
            <w:tcW w:w="637" w:type="dxa"/>
            <w:noWrap w:val="0"/>
            <w:vAlign w:val="center"/>
          </w:tcPr>
          <w:p w14:paraId="4B22BDAE">
            <w:pPr>
              <w:keepNext w:val="0"/>
              <w:keepLines w:val="0"/>
              <w:pageBreakBefore w:val="0"/>
              <w:widowControl/>
              <w:kinsoku/>
              <w:wordWrap/>
              <w:overflowPunct/>
              <w:topLinePunct w:val="0"/>
              <w:autoSpaceDE/>
              <w:autoSpaceDN/>
              <w:bidi w:val="0"/>
              <w:adjustRightInd w:val="0"/>
              <w:snapToGrid w:val="0"/>
              <w:spacing w:line="400" w:lineRule="exact"/>
              <w:ind w:left="0" w:right="0" w:firstLine="0"/>
              <w:jc w:val="center"/>
              <w:textAlignment w:val="auto"/>
              <w:rPr>
                <w:rFonts w:hint="eastAsia" w:ascii="宋体" w:hAnsi="宋体" w:eastAsia="宋体" w:cs="宋体"/>
                <w:b w:val="0"/>
                <w:bCs/>
                <w:snapToGrid w:val="0"/>
                <w:color w:val="auto"/>
                <w:spacing w:val="0"/>
                <w:w w:val="100"/>
                <w:kern w:val="0"/>
                <w:sz w:val="24"/>
                <w:szCs w:val="24"/>
                <w:highlight w:val="none"/>
                <w:lang w:val="en-US" w:eastAsia="zh-CN"/>
              </w:rPr>
            </w:pPr>
            <w:r>
              <w:rPr>
                <w:rFonts w:hint="eastAsia" w:ascii="宋体" w:hAnsi="宋体" w:eastAsia="宋体" w:cs="宋体"/>
                <w:b w:val="0"/>
                <w:bCs/>
                <w:snapToGrid w:val="0"/>
                <w:color w:val="auto"/>
                <w:spacing w:val="0"/>
                <w:w w:val="100"/>
                <w:kern w:val="0"/>
                <w:sz w:val="24"/>
                <w:szCs w:val="24"/>
                <w:highlight w:val="none"/>
                <w:lang w:val="en-US" w:eastAsia="zh-CN"/>
              </w:rPr>
              <w:t>5</w:t>
            </w:r>
          </w:p>
        </w:tc>
        <w:tc>
          <w:tcPr>
            <w:tcW w:w="1146" w:type="dxa"/>
            <w:noWrap w:val="0"/>
            <w:vAlign w:val="top"/>
          </w:tcPr>
          <w:p w14:paraId="0BD71D4A">
            <w:pPr>
              <w:spacing w:line="292" w:lineRule="auto"/>
              <w:jc w:val="center"/>
              <w:rPr>
                <w:rFonts w:ascii="Arial"/>
                <w:color w:val="auto"/>
                <w:sz w:val="21"/>
                <w:highlight w:val="none"/>
              </w:rPr>
            </w:pPr>
          </w:p>
          <w:p w14:paraId="027F456E">
            <w:pPr>
              <w:spacing w:line="292" w:lineRule="auto"/>
              <w:jc w:val="center"/>
              <w:rPr>
                <w:rFonts w:ascii="Arial"/>
                <w:color w:val="auto"/>
                <w:sz w:val="21"/>
                <w:highlight w:val="none"/>
              </w:rPr>
            </w:pPr>
          </w:p>
          <w:p w14:paraId="0E0CE16F">
            <w:pPr>
              <w:spacing w:line="292" w:lineRule="auto"/>
              <w:jc w:val="center"/>
              <w:rPr>
                <w:rFonts w:ascii="Arial"/>
                <w:color w:val="auto"/>
                <w:sz w:val="21"/>
                <w:highlight w:val="none"/>
              </w:rPr>
            </w:pPr>
          </w:p>
          <w:p w14:paraId="7F68607F">
            <w:pPr>
              <w:spacing w:line="292" w:lineRule="auto"/>
              <w:jc w:val="center"/>
              <w:rPr>
                <w:rFonts w:ascii="Arial"/>
                <w:color w:val="auto"/>
                <w:sz w:val="21"/>
                <w:highlight w:val="none"/>
              </w:rPr>
            </w:pPr>
          </w:p>
          <w:p w14:paraId="5DD66CF5">
            <w:pPr>
              <w:pStyle w:val="27"/>
              <w:spacing w:before="78" w:line="220" w:lineRule="auto"/>
              <w:jc w:val="center"/>
              <w:rPr>
                <w:rFonts w:hint="eastAsia"/>
                <w:color w:val="auto"/>
                <w:highlight w:val="none"/>
              </w:rPr>
            </w:pPr>
          </w:p>
          <w:p w14:paraId="18521648">
            <w:pPr>
              <w:pStyle w:val="27"/>
              <w:spacing w:before="78" w:line="220" w:lineRule="auto"/>
              <w:jc w:val="center"/>
              <w:rPr>
                <w:rFonts w:hint="eastAsia"/>
                <w:color w:val="auto"/>
                <w:highlight w:val="none"/>
              </w:rPr>
            </w:pPr>
          </w:p>
          <w:p w14:paraId="76F49F91">
            <w:pPr>
              <w:pStyle w:val="27"/>
              <w:spacing w:before="78" w:line="220" w:lineRule="auto"/>
              <w:jc w:val="center"/>
              <w:rPr>
                <w:rFonts w:hint="eastAsia" w:ascii="宋体" w:hAnsi="宋体" w:eastAsia="宋体" w:cs="宋体"/>
                <w:color w:val="auto"/>
                <w:spacing w:val="0"/>
                <w:w w:val="100"/>
                <w:sz w:val="24"/>
                <w:szCs w:val="24"/>
                <w:highlight w:val="none"/>
              </w:rPr>
            </w:pPr>
            <w:r>
              <w:rPr>
                <w:rFonts w:hint="eastAsia"/>
                <w:color w:val="auto"/>
                <w:highlight w:val="none"/>
              </w:rPr>
              <w:t>应急处理方案</w:t>
            </w:r>
          </w:p>
        </w:tc>
        <w:tc>
          <w:tcPr>
            <w:tcW w:w="7052" w:type="dxa"/>
            <w:noWrap w:val="0"/>
            <w:vAlign w:val="top"/>
          </w:tcPr>
          <w:p w14:paraId="15144171">
            <w:pPr>
              <w:pStyle w:val="26"/>
              <w:keepNext w:val="0"/>
              <w:keepLines w:val="0"/>
              <w:pageBreakBefore w:val="0"/>
              <w:kinsoku/>
              <w:wordWrap/>
              <w:overflowPunct/>
              <w:topLinePunct w:val="0"/>
              <w:autoSpaceDE/>
              <w:autoSpaceDN/>
              <w:bidi w:val="0"/>
              <w:spacing w:line="400" w:lineRule="exact"/>
              <w:ind w:left="0" w:right="0" w:firstLine="0"/>
              <w:jc w:val="both"/>
              <w:textAlignment w:val="auto"/>
              <w:rPr>
                <w:rFonts w:hint="eastAsia" w:ascii="宋体" w:hAnsi="宋体" w:eastAsia="宋体" w:cs="宋体"/>
                <w:color w:val="auto"/>
                <w:spacing w:val="0"/>
                <w:w w:val="100"/>
                <w:sz w:val="24"/>
                <w:szCs w:val="24"/>
                <w:highlight w:val="none"/>
              </w:rPr>
            </w:pPr>
            <w:r>
              <w:rPr>
                <w:rFonts w:hint="eastAsia" w:ascii="宋体" w:hAnsi="宋体" w:eastAsia="宋体" w:cs="宋体"/>
                <w:color w:val="auto"/>
                <w:spacing w:val="0"/>
                <w:w w:val="100"/>
                <w:sz w:val="24"/>
                <w:szCs w:val="24"/>
                <w:highlight w:val="none"/>
              </w:rPr>
              <w:t>供应商应根据项目实际需求制订针对性的应急处理方案，至少包含下列内容：</w:t>
            </w:r>
          </w:p>
          <w:p w14:paraId="6E2F0562">
            <w:pPr>
              <w:pStyle w:val="26"/>
              <w:keepNext w:val="0"/>
              <w:keepLines w:val="0"/>
              <w:pageBreakBefore w:val="0"/>
              <w:kinsoku/>
              <w:wordWrap/>
              <w:overflowPunct/>
              <w:topLinePunct w:val="0"/>
              <w:autoSpaceDE/>
              <w:autoSpaceDN/>
              <w:bidi w:val="0"/>
              <w:spacing w:line="400" w:lineRule="exact"/>
              <w:ind w:left="0" w:right="0" w:firstLine="0"/>
              <w:jc w:val="both"/>
              <w:textAlignment w:val="auto"/>
              <w:rPr>
                <w:rFonts w:hint="eastAsia" w:ascii="宋体" w:hAnsi="宋体" w:eastAsia="宋体" w:cs="宋体"/>
                <w:color w:val="auto"/>
                <w:spacing w:val="0"/>
                <w:w w:val="100"/>
                <w:sz w:val="24"/>
                <w:szCs w:val="24"/>
                <w:highlight w:val="none"/>
              </w:rPr>
            </w:pPr>
            <w:r>
              <w:rPr>
                <w:rFonts w:hint="eastAsia" w:ascii="宋体" w:hAnsi="宋体" w:eastAsia="宋体" w:cs="宋体"/>
                <w:color w:val="auto"/>
                <w:spacing w:val="0"/>
                <w:w w:val="100"/>
                <w:sz w:val="24"/>
                <w:szCs w:val="24"/>
                <w:highlight w:val="none"/>
              </w:rPr>
              <w:t xml:space="preserve">①车辆故障处理预案; </w:t>
            </w:r>
          </w:p>
          <w:p w14:paraId="2958D08C">
            <w:pPr>
              <w:pStyle w:val="26"/>
              <w:keepNext w:val="0"/>
              <w:keepLines w:val="0"/>
              <w:pageBreakBefore w:val="0"/>
              <w:kinsoku/>
              <w:wordWrap/>
              <w:overflowPunct/>
              <w:topLinePunct w:val="0"/>
              <w:autoSpaceDE/>
              <w:autoSpaceDN/>
              <w:bidi w:val="0"/>
              <w:spacing w:line="400" w:lineRule="exact"/>
              <w:ind w:left="0" w:right="0" w:firstLine="0"/>
              <w:jc w:val="both"/>
              <w:textAlignment w:val="auto"/>
              <w:rPr>
                <w:rFonts w:hint="eastAsia" w:ascii="宋体" w:hAnsi="宋体" w:eastAsia="宋体" w:cs="宋体"/>
                <w:color w:val="auto"/>
                <w:spacing w:val="0"/>
                <w:w w:val="100"/>
                <w:sz w:val="24"/>
                <w:szCs w:val="24"/>
                <w:highlight w:val="none"/>
              </w:rPr>
            </w:pPr>
            <w:r>
              <w:rPr>
                <w:rFonts w:hint="eastAsia" w:ascii="宋体" w:hAnsi="宋体" w:eastAsia="宋体" w:cs="宋体"/>
                <w:color w:val="auto"/>
                <w:spacing w:val="0"/>
                <w:w w:val="100"/>
                <w:sz w:val="24"/>
                <w:szCs w:val="24"/>
                <w:highlight w:val="none"/>
              </w:rPr>
              <w:t>②车辆事故处理预案。</w:t>
            </w:r>
          </w:p>
          <w:p w14:paraId="6CB2A8A5">
            <w:pPr>
              <w:pStyle w:val="26"/>
              <w:keepNext w:val="0"/>
              <w:keepLines w:val="0"/>
              <w:pageBreakBefore w:val="0"/>
              <w:kinsoku/>
              <w:wordWrap/>
              <w:overflowPunct/>
              <w:topLinePunct w:val="0"/>
              <w:autoSpaceDE/>
              <w:autoSpaceDN/>
              <w:bidi w:val="0"/>
              <w:spacing w:line="400" w:lineRule="exact"/>
              <w:ind w:left="0" w:right="0" w:firstLine="0"/>
              <w:jc w:val="both"/>
              <w:textAlignment w:val="auto"/>
              <w:rPr>
                <w:rFonts w:hint="eastAsia" w:ascii="宋体" w:hAnsi="宋体" w:eastAsia="宋体" w:cs="宋体"/>
                <w:color w:val="auto"/>
                <w:spacing w:val="0"/>
                <w:w w:val="100"/>
                <w:sz w:val="24"/>
                <w:szCs w:val="24"/>
                <w:highlight w:val="none"/>
              </w:rPr>
            </w:pPr>
            <w:r>
              <w:rPr>
                <w:rFonts w:hint="eastAsia" w:ascii="宋体" w:hAnsi="宋体" w:eastAsia="宋体" w:cs="宋体"/>
                <w:color w:val="auto"/>
                <w:spacing w:val="0"/>
                <w:w w:val="100"/>
                <w:sz w:val="24"/>
                <w:szCs w:val="24"/>
                <w:highlight w:val="none"/>
              </w:rPr>
              <w:t>由评审小组按顺序分别进行评审：</w:t>
            </w:r>
          </w:p>
          <w:p w14:paraId="13CF01BA">
            <w:pPr>
              <w:pStyle w:val="26"/>
              <w:keepNext w:val="0"/>
              <w:keepLines w:val="0"/>
              <w:pageBreakBefore w:val="0"/>
              <w:kinsoku/>
              <w:wordWrap/>
              <w:overflowPunct/>
              <w:topLinePunct w:val="0"/>
              <w:autoSpaceDE/>
              <w:autoSpaceDN/>
              <w:bidi w:val="0"/>
              <w:spacing w:line="400" w:lineRule="exact"/>
              <w:ind w:left="0" w:right="0" w:firstLine="0"/>
              <w:jc w:val="both"/>
              <w:textAlignment w:val="auto"/>
              <w:rPr>
                <w:rFonts w:hint="eastAsia" w:ascii="宋体" w:hAnsi="宋体" w:eastAsia="宋体" w:cs="宋体"/>
                <w:color w:val="auto"/>
                <w:spacing w:val="0"/>
                <w:w w:val="100"/>
                <w:sz w:val="24"/>
                <w:szCs w:val="24"/>
                <w:highlight w:val="none"/>
              </w:rPr>
            </w:pPr>
            <w:r>
              <w:rPr>
                <w:rFonts w:hint="eastAsia" w:ascii="宋体" w:hAnsi="宋体" w:eastAsia="宋体" w:cs="宋体"/>
                <w:color w:val="auto"/>
                <w:spacing w:val="0"/>
                <w:w w:val="100"/>
                <w:sz w:val="24"/>
                <w:szCs w:val="24"/>
                <w:highlight w:val="none"/>
              </w:rPr>
              <w:t xml:space="preserve">（1）方案中该小项内容贴合项目实际需求，逻辑清晰, 措施规范全面的，该小项得 </w:t>
            </w:r>
            <w:r>
              <w:rPr>
                <w:rFonts w:hint="eastAsia" w:cs="宋体"/>
                <w:color w:val="auto"/>
                <w:spacing w:val="0"/>
                <w:w w:val="100"/>
                <w:sz w:val="24"/>
                <w:szCs w:val="24"/>
                <w:highlight w:val="none"/>
                <w:lang w:val="en-US" w:eastAsia="zh-CN"/>
              </w:rPr>
              <w:t>3</w:t>
            </w:r>
            <w:r>
              <w:rPr>
                <w:rFonts w:hint="eastAsia" w:ascii="宋体" w:hAnsi="宋体" w:eastAsia="宋体" w:cs="宋体"/>
                <w:color w:val="auto"/>
                <w:spacing w:val="0"/>
                <w:w w:val="100"/>
                <w:sz w:val="24"/>
                <w:szCs w:val="24"/>
                <w:highlight w:val="none"/>
              </w:rPr>
              <w:t>分；</w:t>
            </w:r>
          </w:p>
          <w:p w14:paraId="703559B1">
            <w:pPr>
              <w:pStyle w:val="26"/>
              <w:keepNext w:val="0"/>
              <w:keepLines w:val="0"/>
              <w:pageBreakBefore w:val="0"/>
              <w:kinsoku/>
              <w:wordWrap/>
              <w:overflowPunct/>
              <w:topLinePunct w:val="0"/>
              <w:autoSpaceDE/>
              <w:autoSpaceDN/>
              <w:bidi w:val="0"/>
              <w:spacing w:line="400" w:lineRule="exact"/>
              <w:ind w:left="0" w:right="0" w:firstLine="0"/>
              <w:jc w:val="both"/>
              <w:textAlignment w:val="auto"/>
              <w:rPr>
                <w:rFonts w:hint="eastAsia" w:ascii="宋体" w:hAnsi="宋体" w:eastAsia="宋体" w:cs="宋体"/>
                <w:color w:val="auto"/>
                <w:spacing w:val="0"/>
                <w:w w:val="100"/>
                <w:sz w:val="24"/>
                <w:szCs w:val="24"/>
                <w:highlight w:val="none"/>
              </w:rPr>
            </w:pPr>
            <w:r>
              <w:rPr>
                <w:rFonts w:hint="eastAsia" w:ascii="宋体" w:hAnsi="宋体" w:eastAsia="宋体" w:cs="宋体"/>
                <w:color w:val="auto"/>
                <w:spacing w:val="0"/>
                <w:w w:val="100"/>
                <w:sz w:val="24"/>
                <w:szCs w:val="24"/>
                <w:highlight w:val="none"/>
              </w:rPr>
              <w:t>（2）方案中该小项内容与项目实际需求有出入，逻辑不清晰，措施缺失的，该小项得</w:t>
            </w:r>
            <w:r>
              <w:rPr>
                <w:rFonts w:hint="eastAsia" w:cs="宋体"/>
                <w:color w:val="auto"/>
                <w:spacing w:val="0"/>
                <w:w w:val="100"/>
                <w:sz w:val="24"/>
                <w:szCs w:val="24"/>
                <w:highlight w:val="none"/>
                <w:lang w:val="en-US" w:eastAsia="zh-CN"/>
              </w:rPr>
              <w:t>1</w:t>
            </w:r>
            <w:r>
              <w:rPr>
                <w:rFonts w:hint="eastAsia" w:ascii="宋体" w:hAnsi="宋体" w:eastAsia="宋体" w:cs="宋体"/>
                <w:color w:val="auto"/>
                <w:spacing w:val="0"/>
                <w:w w:val="100"/>
                <w:sz w:val="24"/>
                <w:szCs w:val="24"/>
                <w:highlight w:val="none"/>
              </w:rPr>
              <w:t>分；</w:t>
            </w:r>
          </w:p>
          <w:p w14:paraId="4A35D015">
            <w:pPr>
              <w:pStyle w:val="26"/>
              <w:keepNext w:val="0"/>
              <w:keepLines w:val="0"/>
              <w:pageBreakBefore w:val="0"/>
              <w:kinsoku/>
              <w:wordWrap/>
              <w:overflowPunct/>
              <w:topLinePunct w:val="0"/>
              <w:autoSpaceDE/>
              <w:autoSpaceDN/>
              <w:bidi w:val="0"/>
              <w:spacing w:line="400" w:lineRule="exact"/>
              <w:ind w:left="0" w:right="0" w:firstLine="0"/>
              <w:jc w:val="both"/>
              <w:textAlignment w:val="auto"/>
              <w:rPr>
                <w:rFonts w:hint="eastAsia" w:ascii="宋体" w:hAnsi="宋体" w:eastAsia="宋体" w:cs="宋体"/>
                <w:color w:val="auto"/>
                <w:spacing w:val="0"/>
                <w:w w:val="100"/>
                <w:sz w:val="24"/>
                <w:szCs w:val="24"/>
                <w:highlight w:val="none"/>
              </w:rPr>
            </w:pPr>
            <w:r>
              <w:rPr>
                <w:rFonts w:hint="eastAsia" w:ascii="宋体" w:hAnsi="宋体" w:eastAsia="宋体" w:cs="宋体"/>
                <w:color w:val="auto"/>
                <w:spacing w:val="0"/>
                <w:w w:val="100"/>
                <w:sz w:val="24"/>
                <w:szCs w:val="24"/>
                <w:highlight w:val="none"/>
              </w:rPr>
              <w:t>（3）未提供方案或未体现该小项内容的，该小项不得分。</w:t>
            </w:r>
          </w:p>
          <w:p w14:paraId="0EB65701">
            <w:pPr>
              <w:pStyle w:val="26"/>
              <w:keepNext w:val="0"/>
              <w:keepLines w:val="0"/>
              <w:pageBreakBefore w:val="0"/>
              <w:kinsoku/>
              <w:wordWrap/>
              <w:overflowPunct/>
              <w:topLinePunct w:val="0"/>
              <w:autoSpaceDE/>
              <w:autoSpaceDN/>
              <w:bidi w:val="0"/>
              <w:spacing w:line="400" w:lineRule="exact"/>
              <w:ind w:left="0" w:right="0" w:firstLine="0"/>
              <w:jc w:val="both"/>
              <w:textAlignment w:val="auto"/>
              <w:rPr>
                <w:rFonts w:hint="eastAsia" w:ascii="宋体" w:hAnsi="宋体" w:eastAsia="宋体" w:cs="宋体"/>
                <w:color w:val="auto"/>
                <w:spacing w:val="0"/>
                <w:w w:val="100"/>
                <w:sz w:val="24"/>
                <w:szCs w:val="24"/>
                <w:highlight w:val="none"/>
                <w:lang w:val="en-US" w:eastAsia="en-US"/>
              </w:rPr>
            </w:pPr>
            <w:r>
              <w:rPr>
                <w:rFonts w:hint="eastAsia" w:ascii="宋体" w:hAnsi="宋体" w:eastAsia="宋体" w:cs="宋体"/>
                <w:color w:val="auto"/>
                <w:spacing w:val="0"/>
                <w:w w:val="100"/>
                <w:sz w:val="24"/>
                <w:szCs w:val="24"/>
                <w:highlight w:val="none"/>
              </w:rPr>
              <w:t>本项最高得</w:t>
            </w:r>
            <w:r>
              <w:rPr>
                <w:rFonts w:hint="eastAsia" w:cs="宋体"/>
                <w:color w:val="auto"/>
                <w:spacing w:val="0"/>
                <w:w w:val="100"/>
                <w:sz w:val="24"/>
                <w:szCs w:val="24"/>
                <w:highlight w:val="none"/>
                <w:lang w:val="en-US" w:eastAsia="zh-CN"/>
              </w:rPr>
              <w:t>6</w:t>
            </w:r>
            <w:r>
              <w:rPr>
                <w:rFonts w:hint="eastAsia" w:ascii="宋体" w:hAnsi="宋体" w:eastAsia="宋体" w:cs="宋体"/>
                <w:color w:val="auto"/>
                <w:spacing w:val="0"/>
                <w:w w:val="100"/>
                <w:sz w:val="24"/>
                <w:szCs w:val="24"/>
                <w:highlight w:val="none"/>
              </w:rPr>
              <w:t>分</w:t>
            </w:r>
            <w:r>
              <w:rPr>
                <w:rFonts w:hint="eastAsia" w:ascii="宋体" w:hAnsi="宋体" w:eastAsia="宋体" w:cs="宋体"/>
                <w:color w:val="auto"/>
                <w:spacing w:val="0"/>
                <w:w w:val="100"/>
                <w:sz w:val="24"/>
                <w:szCs w:val="24"/>
                <w:highlight w:val="none"/>
                <w:lang w:eastAsia="zh-CN"/>
              </w:rPr>
              <w:t>。</w:t>
            </w:r>
          </w:p>
        </w:tc>
        <w:tc>
          <w:tcPr>
            <w:tcW w:w="1263" w:type="dxa"/>
            <w:noWrap w:val="0"/>
            <w:vAlign w:val="top"/>
          </w:tcPr>
          <w:p w14:paraId="369715CA">
            <w:pPr>
              <w:spacing w:line="241" w:lineRule="auto"/>
              <w:rPr>
                <w:rFonts w:ascii="Arial"/>
                <w:color w:val="auto"/>
                <w:sz w:val="21"/>
                <w:highlight w:val="none"/>
              </w:rPr>
            </w:pPr>
          </w:p>
          <w:p w14:paraId="2BD826B6">
            <w:pPr>
              <w:spacing w:line="241" w:lineRule="auto"/>
              <w:rPr>
                <w:rFonts w:ascii="Arial"/>
                <w:color w:val="auto"/>
                <w:sz w:val="21"/>
                <w:highlight w:val="none"/>
              </w:rPr>
            </w:pPr>
          </w:p>
          <w:p w14:paraId="7E477358">
            <w:pPr>
              <w:spacing w:line="241" w:lineRule="auto"/>
              <w:rPr>
                <w:rFonts w:ascii="Arial"/>
                <w:color w:val="auto"/>
                <w:sz w:val="21"/>
                <w:highlight w:val="none"/>
              </w:rPr>
            </w:pPr>
          </w:p>
          <w:p w14:paraId="2AF26C44">
            <w:pPr>
              <w:spacing w:line="242" w:lineRule="auto"/>
              <w:rPr>
                <w:rFonts w:ascii="Arial"/>
                <w:color w:val="auto"/>
                <w:sz w:val="21"/>
                <w:highlight w:val="none"/>
              </w:rPr>
            </w:pPr>
          </w:p>
          <w:p w14:paraId="156F7AD4">
            <w:pPr>
              <w:spacing w:line="242" w:lineRule="auto"/>
              <w:rPr>
                <w:rFonts w:ascii="Arial"/>
                <w:color w:val="auto"/>
                <w:sz w:val="21"/>
                <w:highlight w:val="none"/>
              </w:rPr>
            </w:pPr>
          </w:p>
          <w:p w14:paraId="68B5B99F">
            <w:pPr>
              <w:pStyle w:val="27"/>
              <w:spacing w:before="78" w:line="182" w:lineRule="auto"/>
              <w:ind w:left="147" w:leftChars="0"/>
              <w:rPr>
                <w:color w:val="auto"/>
                <w:highlight w:val="none"/>
              </w:rPr>
            </w:pPr>
          </w:p>
          <w:p w14:paraId="1482C0D1">
            <w:pPr>
              <w:pStyle w:val="27"/>
              <w:spacing w:before="78" w:line="182" w:lineRule="auto"/>
              <w:ind w:left="147" w:leftChars="0"/>
              <w:rPr>
                <w:color w:val="auto"/>
                <w:highlight w:val="none"/>
              </w:rPr>
            </w:pPr>
          </w:p>
          <w:p w14:paraId="2C8FEFE8">
            <w:pPr>
              <w:pStyle w:val="27"/>
              <w:spacing w:before="78" w:line="182" w:lineRule="auto"/>
              <w:ind w:left="147" w:leftChars="0"/>
              <w:rPr>
                <w:color w:val="auto"/>
                <w:highlight w:val="none"/>
              </w:rPr>
            </w:pPr>
          </w:p>
          <w:p w14:paraId="2A185C0E">
            <w:pPr>
              <w:pStyle w:val="27"/>
              <w:spacing w:before="78" w:line="182" w:lineRule="auto"/>
              <w:ind w:left="147" w:leftChars="0"/>
              <w:rPr>
                <w:rFonts w:hint="eastAsia" w:ascii="宋体" w:hAnsi="宋体" w:eastAsia="宋体" w:cs="宋体"/>
                <w:color w:val="auto"/>
                <w:kern w:val="2"/>
                <w:sz w:val="24"/>
                <w:szCs w:val="24"/>
                <w:highlight w:val="none"/>
                <w:lang w:val="en-US" w:eastAsia="zh-CN" w:bidi="ar-SA"/>
              </w:rPr>
            </w:pPr>
            <w:r>
              <w:rPr>
                <w:color w:val="auto"/>
                <w:highlight w:val="none"/>
              </w:rPr>
              <w:t>0-</w:t>
            </w:r>
            <w:r>
              <w:rPr>
                <w:rFonts w:hint="eastAsia"/>
                <w:color w:val="auto"/>
                <w:highlight w:val="none"/>
                <w:lang w:val="en-US" w:eastAsia="zh-CN"/>
              </w:rPr>
              <w:t>6</w:t>
            </w:r>
          </w:p>
        </w:tc>
      </w:tr>
      <w:tr w14:paraId="3F3BC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373" w:hRule="atLeast"/>
          <w:jc w:val="center"/>
        </w:trPr>
        <w:tc>
          <w:tcPr>
            <w:tcW w:w="637" w:type="dxa"/>
            <w:noWrap w:val="0"/>
            <w:vAlign w:val="center"/>
          </w:tcPr>
          <w:p w14:paraId="5B624B56">
            <w:pPr>
              <w:keepNext w:val="0"/>
              <w:keepLines w:val="0"/>
              <w:pageBreakBefore w:val="0"/>
              <w:kinsoku/>
              <w:wordWrap/>
              <w:overflowPunct/>
              <w:topLinePunct w:val="0"/>
              <w:autoSpaceDE/>
              <w:autoSpaceDN/>
              <w:bidi w:val="0"/>
              <w:spacing w:line="400" w:lineRule="exact"/>
              <w:ind w:left="0" w:leftChars="0" w:right="0" w:rightChars="0" w:firstLine="0" w:firstLineChars="0"/>
              <w:jc w:val="center"/>
              <w:textAlignment w:val="auto"/>
              <w:rPr>
                <w:rFonts w:hint="default" w:ascii="宋体" w:hAnsi="宋体" w:eastAsia="宋体" w:cs="宋体"/>
                <w:b w:val="0"/>
                <w:bCs/>
                <w:snapToGrid w:val="0"/>
                <w:color w:val="auto"/>
                <w:spacing w:val="0"/>
                <w:w w:val="100"/>
                <w:kern w:val="0"/>
                <w:sz w:val="24"/>
                <w:szCs w:val="24"/>
                <w:highlight w:val="none"/>
                <w:lang w:val="en-US" w:eastAsia="zh-CN"/>
              </w:rPr>
            </w:pPr>
            <w:r>
              <w:rPr>
                <w:rFonts w:hint="eastAsia" w:ascii="宋体" w:hAnsi="宋体" w:eastAsia="宋体" w:cs="宋体"/>
                <w:b w:val="0"/>
                <w:bCs/>
                <w:snapToGrid w:val="0"/>
                <w:color w:val="auto"/>
                <w:spacing w:val="0"/>
                <w:w w:val="100"/>
                <w:kern w:val="0"/>
                <w:sz w:val="24"/>
                <w:szCs w:val="24"/>
                <w:highlight w:val="none"/>
                <w:lang w:val="en-US" w:eastAsia="zh-CN"/>
              </w:rPr>
              <w:t>6</w:t>
            </w:r>
          </w:p>
        </w:tc>
        <w:tc>
          <w:tcPr>
            <w:tcW w:w="1146" w:type="dxa"/>
            <w:noWrap w:val="0"/>
            <w:vAlign w:val="center"/>
          </w:tcPr>
          <w:p w14:paraId="7F5A9624">
            <w:pPr>
              <w:pStyle w:val="27"/>
              <w:spacing w:before="78" w:line="220" w:lineRule="auto"/>
              <w:jc w:val="center"/>
              <w:rPr>
                <w:rFonts w:hint="default" w:ascii="宋体" w:hAnsi="宋体" w:eastAsia="宋体" w:cs="宋体"/>
                <w:color w:val="auto"/>
                <w:spacing w:val="0"/>
                <w:w w:val="100"/>
                <w:sz w:val="24"/>
                <w:szCs w:val="24"/>
                <w:highlight w:val="none"/>
                <w:lang w:val="en-US" w:eastAsia="zh-CN"/>
              </w:rPr>
            </w:pPr>
            <w:r>
              <w:rPr>
                <w:rFonts w:hint="eastAsia"/>
                <w:color w:val="auto"/>
                <w:highlight w:val="none"/>
              </w:rPr>
              <w:t>管理制度</w:t>
            </w:r>
          </w:p>
        </w:tc>
        <w:tc>
          <w:tcPr>
            <w:tcW w:w="7052" w:type="dxa"/>
            <w:noWrap w:val="0"/>
            <w:vAlign w:val="top"/>
          </w:tcPr>
          <w:p w14:paraId="3D411773">
            <w:pPr>
              <w:pStyle w:val="26"/>
              <w:keepNext w:val="0"/>
              <w:keepLines w:val="0"/>
              <w:pageBreakBefore w:val="0"/>
              <w:kinsoku/>
              <w:wordWrap/>
              <w:overflowPunct/>
              <w:topLinePunct w:val="0"/>
              <w:autoSpaceDE/>
              <w:autoSpaceDN/>
              <w:bidi w:val="0"/>
              <w:spacing w:line="400" w:lineRule="exact"/>
              <w:ind w:left="0" w:right="0" w:firstLine="0"/>
              <w:jc w:val="both"/>
              <w:textAlignment w:val="auto"/>
              <w:rPr>
                <w:rFonts w:hint="eastAsia" w:ascii="宋体" w:hAnsi="宋体" w:eastAsia="宋体" w:cs="宋体"/>
                <w:color w:val="auto"/>
                <w:spacing w:val="0"/>
                <w:w w:val="100"/>
                <w:sz w:val="24"/>
                <w:szCs w:val="24"/>
                <w:highlight w:val="none"/>
              </w:rPr>
            </w:pPr>
            <w:r>
              <w:rPr>
                <w:rFonts w:hint="eastAsia" w:ascii="宋体" w:hAnsi="宋体" w:eastAsia="宋体" w:cs="宋体"/>
                <w:color w:val="auto"/>
                <w:spacing w:val="0"/>
                <w:w w:val="100"/>
                <w:sz w:val="24"/>
                <w:szCs w:val="24"/>
                <w:highlight w:val="none"/>
              </w:rPr>
              <w:t>供应商应根据项目实际需求制订针对性的管理制度，至少包含下列内容：</w:t>
            </w:r>
          </w:p>
          <w:p w14:paraId="2C60A123">
            <w:pPr>
              <w:pStyle w:val="26"/>
              <w:keepNext w:val="0"/>
              <w:keepLines w:val="0"/>
              <w:pageBreakBefore w:val="0"/>
              <w:kinsoku/>
              <w:wordWrap/>
              <w:overflowPunct/>
              <w:topLinePunct w:val="0"/>
              <w:autoSpaceDE/>
              <w:autoSpaceDN/>
              <w:bidi w:val="0"/>
              <w:spacing w:line="400" w:lineRule="exact"/>
              <w:ind w:left="0" w:right="0" w:firstLine="0"/>
              <w:jc w:val="both"/>
              <w:textAlignment w:val="auto"/>
              <w:rPr>
                <w:rFonts w:hint="eastAsia" w:ascii="宋体" w:hAnsi="宋体" w:eastAsia="宋体" w:cs="宋体"/>
                <w:color w:val="auto"/>
                <w:spacing w:val="0"/>
                <w:w w:val="100"/>
                <w:sz w:val="24"/>
                <w:szCs w:val="24"/>
                <w:highlight w:val="none"/>
              </w:rPr>
            </w:pPr>
            <w:r>
              <w:rPr>
                <w:rFonts w:hint="eastAsia" w:ascii="宋体" w:hAnsi="宋体" w:eastAsia="宋体" w:cs="宋体"/>
                <w:color w:val="auto"/>
                <w:spacing w:val="0"/>
                <w:w w:val="100"/>
                <w:sz w:val="24"/>
                <w:szCs w:val="24"/>
                <w:highlight w:val="none"/>
              </w:rPr>
              <w:t xml:space="preserve">①安全生产制度; </w:t>
            </w:r>
          </w:p>
          <w:p w14:paraId="4150559E">
            <w:pPr>
              <w:pStyle w:val="26"/>
              <w:keepNext w:val="0"/>
              <w:keepLines w:val="0"/>
              <w:pageBreakBefore w:val="0"/>
              <w:kinsoku/>
              <w:wordWrap/>
              <w:overflowPunct/>
              <w:topLinePunct w:val="0"/>
              <w:autoSpaceDE/>
              <w:autoSpaceDN/>
              <w:bidi w:val="0"/>
              <w:spacing w:line="400" w:lineRule="exact"/>
              <w:ind w:left="0" w:right="0" w:firstLine="0"/>
              <w:jc w:val="both"/>
              <w:textAlignment w:val="auto"/>
              <w:rPr>
                <w:rFonts w:hint="eastAsia" w:ascii="宋体" w:hAnsi="宋体" w:eastAsia="宋体" w:cs="宋体"/>
                <w:color w:val="auto"/>
                <w:spacing w:val="0"/>
                <w:w w:val="100"/>
                <w:sz w:val="24"/>
                <w:szCs w:val="24"/>
                <w:highlight w:val="none"/>
              </w:rPr>
            </w:pPr>
            <w:r>
              <w:rPr>
                <w:rFonts w:hint="eastAsia" w:ascii="宋体" w:hAnsi="宋体" w:eastAsia="宋体" w:cs="宋体"/>
                <w:color w:val="auto"/>
                <w:spacing w:val="0"/>
                <w:w w:val="100"/>
                <w:sz w:val="24"/>
                <w:szCs w:val="24"/>
                <w:highlight w:val="none"/>
              </w:rPr>
              <w:t>②环保管理制度。</w:t>
            </w:r>
          </w:p>
          <w:p w14:paraId="55473F5A">
            <w:pPr>
              <w:pStyle w:val="26"/>
              <w:keepNext w:val="0"/>
              <w:keepLines w:val="0"/>
              <w:pageBreakBefore w:val="0"/>
              <w:kinsoku/>
              <w:wordWrap/>
              <w:overflowPunct/>
              <w:topLinePunct w:val="0"/>
              <w:autoSpaceDE/>
              <w:autoSpaceDN/>
              <w:bidi w:val="0"/>
              <w:spacing w:line="400" w:lineRule="exact"/>
              <w:ind w:left="0" w:right="0" w:firstLine="0"/>
              <w:jc w:val="both"/>
              <w:textAlignment w:val="auto"/>
              <w:rPr>
                <w:rFonts w:hint="eastAsia" w:ascii="宋体" w:hAnsi="宋体" w:eastAsia="宋体" w:cs="宋体"/>
                <w:color w:val="auto"/>
                <w:spacing w:val="0"/>
                <w:w w:val="100"/>
                <w:sz w:val="24"/>
                <w:szCs w:val="24"/>
                <w:highlight w:val="none"/>
              </w:rPr>
            </w:pPr>
            <w:r>
              <w:rPr>
                <w:rFonts w:hint="eastAsia" w:ascii="宋体" w:hAnsi="宋体" w:eastAsia="宋体" w:cs="宋体"/>
                <w:color w:val="auto"/>
                <w:spacing w:val="0"/>
                <w:w w:val="100"/>
                <w:sz w:val="24"/>
                <w:szCs w:val="24"/>
                <w:highlight w:val="none"/>
              </w:rPr>
              <w:t>由评审小组按顺序分别进行评审：</w:t>
            </w:r>
          </w:p>
          <w:p w14:paraId="4FA68C83">
            <w:pPr>
              <w:pStyle w:val="26"/>
              <w:keepNext w:val="0"/>
              <w:keepLines w:val="0"/>
              <w:pageBreakBefore w:val="0"/>
              <w:kinsoku/>
              <w:wordWrap/>
              <w:overflowPunct/>
              <w:topLinePunct w:val="0"/>
              <w:autoSpaceDE/>
              <w:autoSpaceDN/>
              <w:bidi w:val="0"/>
              <w:spacing w:line="400" w:lineRule="exact"/>
              <w:ind w:left="0" w:right="0" w:firstLine="0"/>
              <w:jc w:val="both"/>
              <w:textAlignment w:val="auto"/>
              <w:rPr>
                <w:rFonts w:hint="eastAsia" w:ascii="宋体" w:hAnsi="宋体" w:eastAsia="宋体" w:cs="宋体"/>
                <w:color w:val="auto"/>
                <w:spacing w:val="0"/>
                <w:w w:val="100"/>
                <w:sz w:val="24"/>
                <w:szCs w:val="24"/>
                <w:highlight w:val="none"/>
              </w:rPr>
            </w:pPr>
            <w:r>
              <w:rPr>
                <w:rFonts w:hint="eastAsia" w:ascii="宋体" w:hAnsi="宋体" w:eastAsia="宋体" w:cs="宋体"/>
                <w:color w:val="auto"/>
                <w:spacing w:val="0"/>
                <w:w w:val="100"/>
                <w:sz w:val="24"/>
                <w:szCs w:val="24"/>
                <w:highlight w:val="none"/>
              </w:rPr>
              <w:t>（1）方案中该小项内容贴合项目实际需求，逻辑清晰, 措施规范全面的，该小项得</w:t>
            </w:r>
            <w:r>
              <w:rPr>
                <w:rFonts w:hint="eastAsia" w:cs="宋体"/>
                <w:color w:val="auto"/>
                <w:spacing w:val="0"/>
                <w:w w:val="100"/>
                <w:sz w:val="24"/>
                <w:szCs w:val="24"/>
                <w:highlight w:val="none"/>
                <w:lang w:val="en-US" w:eastAsia="zh-CN"/>
              </w:rPr>
              <w:t>2</w:t>
            </w:r>
            <w:r>
              <w:rPr>
                <w:rFonts w:hint="eastAsia" w:ascii="宋体" w:hAnsi="宋体" w:eastAsia="宋体" w:cs="宋体"/>
                <w:color w:val="auto"/>
                <w:spacing w:val="0"/>
                <w:w w:val="100"/>
                <w:sz w:val="24"/>
                <w:szCs w:val="24"/>
                <w:highlight w:val="none"/>
              </w:rPr>
              <w:t>分；</w:t>
            </w:r>
          </w:p>
          <w:p w14:paraId="3D9C2FB3">
            <w:pPr>
              <w:pStyle w:val="26"/>
              <w:keepNext w:val="0"/>
              <w:keepLines w:val="0"/>
              <w:pageBreakBefore w:val="0"/>
              <w:kinsoku/>
              <w:wordWrap/>
              <w:overflowPunct/>
              <w:topLinePunct w:val="0"/>
              <w:autoSpaceDE/>
              <w:autoSpaceDN/>
              <w:bidi w:val="0"/>
              <w:spacing w:line="400" w:lineRule="exact"/>
              <w:ind w:left="0" w:right="0" w:firstLine="0"/>
              <w:jc w:val="both"/>
              <w:textAlignment w:val="auto"/>
              <w:rPr>
                <w:rFonts w:hint="eastAsia" w:ascii="宋体" w:hAnsi="宋体" w:eastAsia="宋体" w:cs="宋体"/>
                <w:color w:val="auto"/>
                <w:spacing w:val="0"/>
                <w:w w:val="100"/>
                <w:sz w:val="24"/>
                <w:szCs w:val="24"/>
                <w:highlight w:val="none"/>
              </w:rPr>
            </w:pPr>
            <w:r>
              <w:rPr>
                <w:rFonts w:hint="eastAsia" w:ascii="宋体" w:hAnsi="宋体" w:eastAsia="宋体" w:cs="宋体"/>
                <w:color w:val="auto"/>
                <w:spacing w:val="0"/>
                <w:w w:val="100"/>
                <w:sz w:val="24"/>
                <w:szCs w:val="24"/>
                <w:highlight w:val="none"/>
              </w:rPr>
              <w:t>（2）方案中该小项内容与项目实际需求有出入，逻辑不清晰，措施缺失的，该小项</w:t>
            </w:r>
            <w:r>
              <w:rPr>
                <w:rFonts w:hint="eastAsia" w:cs="宋体"/>
                <w:color w:val="auto"/>
                <w:spacing w:val="0"/>
                <w:w w:val="100"/>
                <w:sz w:val="24"/>
                <w:szCs w:val="24"/>
                <w:highlight w:val="none"/>
                <w:lang w:val="en-US" w:eastAsia="zh-CN"/>
              </w:rPr>
              <w:t>得1</w:t>
            </w:r>
            <w:r>
              <w:rPr>
                <w:rFonts w:hint="eastAsia" w:ascii="宋体" w:hAnsi="宋体" w:eastAsia="宋体" w:cs="宋体"/>
                <w:color w:val="auto"/>
                <w:spacing w:val="0"/>
                <w:w w:val="100"/>
                <w:sz w:val="24"/>
                <w:szCs w:val="24"/>
                <w:highlight w:val="none"/>
              </w:rPr>
              <w:t>分；</w:t>
            </w:r>
          </w:p>
          <w:p w14:paraId="3AA54B03">
            <w:pPr>
              <w:pStyle w:val="26"/>
              <w:keepNext w:val="0"/>
              <w:keepLines w:val="0"/>
              <w:pageBreakBefore w:val="0"/>
              <w:kinsoku/>
              <w:wordWrap/>
              <w:overflowPunct/>
              <w:topLinePunct w:val="0"/>
              <w:autoSpaceDE/>
              <w:autoSpaceDN/>
              <w:bidi w:val="0"/>
              <w:spacing w:line="400" w:lineRule="exact"/>
              <w:ind w:left="0" w:right="0" w:firstLine="0"/>
              <w:jc w:val="both"/>
              <w:textAlignment w:val="auto"/>
              <w:rPr>
                <w:rFonts w:hint="eastAsia" w:ascii="宋体" w:hAnsi="宋体" w:eastAsia="宋体" w:cs="宋体"/>
                <w:color w:val="auto"/>
                <w:spacing w:val="0"/>
                <w:w w:val="100"/>
                <w:sz w:val="24"/>
                <w:szCs w:val="24"/>
                <w:highlight w:val="none"/>
              </w:rPr>
            </w:pPr>
            <w:r>
              <w:rPr>
                <w:rFonts w:hint="eastAsia" w:ascii="宋体" w:hAnsi="宋体" w:eastAsia="宋体" w:cs="宋体"/>
                <w:color w:val="auto"/>
                <w:spacing w:val="0"/>
                <w:w w:val="100"/>
                <w:sz w:val="24"/>
                <w:szCs w:val="24"/>
                <w:highlight w:val="none"/>
              </w:rPr>
              <w:t>（3）未提供方案或未体现该小项内容的，该小项不得分。</w:t>
            </w:r>
          </w:p>
          <w:p w14:paraId="18BE6596">
            <w:pPr>
              <w:pStyle w:val="26"/>
              <w:keepNext w:val="0"/>
              <w:keepLines w:val="0"/>
              <w:pageBreakBefore w:val="0"/>
              <w:kinsoku/>
              <w:wordWrap/>
              <w:overflowPunct/>
              <w:topLinePunct w:val="0"/>
              <w:autoSpaceDE/>
              <w:autoSpaceDN/>
              <w:bidi w:val="0"/>
              <w:spacing w:line="400" w:lineRule="exact"/>
              <w:ind w:left="0" w:right="0" w:firstLine="0"/>
              <w:jc w:val="both"/>
              <w:textAlignment w:val="auto"/>
              <w:rPr>
                <w:rFonts w:hint="eastAsia" w:ascii="宋体" w:hAnsi="宋体" w:eastAsia="宋体" w:cs="宋体"/>
                <w:color w:val="auto"/>
                <w:spacing w:val="0"/>
                <w:w w:val="100"/>
                <w:sz w:val="24"/>
                <w:szCs w:val="24"/>
                <w:highlight w:val="none"/>
                <w:lang w:eastAsia="zh-CN"/>
              </w:rPr>
            </w:pPr>
            <w:r>
              <w:rPr>
                <w:rFonts w:hint="eastAsia" w:ascii="宋体" w:hAnsi="宋体" w:eastAsia="宋体" w:cs="宋体"/>
                <w:color w:val="auto"/>
                <w:spacing w:val="0"/>
                <w:w w:val="100"/>
                <w:sz w:val="24"/>
                <w:szCs w:val="24"/>
                <w:highlight w:val="none"/>
              </w:rPr>
              <w:t>本项最高得</w:t>
            </w:r>
            <w:r>
              <w:rPr>
                <w:rFonts w:hint="eastAsia" w:cs="宋体"/>
                <w:color w:val="auto"/>
                <w:spacing w:val="0"/>
                <w:w w:val="100"/>
                <w:sz w:val="24"/>
                <w:szCs w:val="24"/>
                <w:highlight w:val="none"/>
                <w:lang w:val="en-US" w:eastAsia="zh-CN"/>
              </w:rPr>
              <w:t>4</w:t>
            </w:r>
            <w:r>
              <w:rPr>
                <w:rFonts w:hint="eastAsia" w:ascii="宋体" w:hAnsi="宋体" w:eastAsia="宋体" w:cs="宋体"/>
                <w:color w:val="auto"/>
                <w:spacing w:val="0"/>
                <w:w w:val="100"/>
                <w:sz w:val="24"/>
                <w:szCs w:val="24"/>
                <w:highlight w:val="none"/>
              </w:rPr>
              <w:t>分</w:t>
            </w:r>
            <w:r>
              <w:rPr>
                <w:rFonts w:hint="eastAsia" w:ascii="宋体" w:hAnsi="宋体" w:eastAsia="宋体" w:cs="宋体"/>
                <w:color w:val="auto"/>
                <w:spacing w:val="0"/>
                <w:w w:val="100"/>
                <w:sz w:val="24"/>
                <w:szCs w:val="24"/>
                <w:highlight w:val="none"/>
                <w:lang w:eastAsia="zh-CN"/>
              </w:rPr>
              <w:t>。</w:t>
            </w:r>
          </w:p>
        </w:tc>
        <w:tc>
          <w:tcPr>
            <w:tcW w:w="1263" w:type="dxa"/>
            <w:noWrap w:val="0"/>
            <w:vAlign w:val="center"/>
          </w:tcPr>
          <w:p w14:paraId="09F0CADC">
            <w:pPr>
              <w:pStyle w:val="27"/>
              <w:spacing w:before="78" w:line="182" w:lineRule="auto"/>
              <w:ind w:left="147" w:leftChars="0" w:firstLine="240" w:firstLineChars="100"/>
              <w:jc w:val="both"/>
              <w:rPr>
                <w:rFonts w:hint="eastAsia" w:ascii="宋体" w:hAnsi="宋体" w:eastAsia="宋体" w:cs="宋体"/>
                <w:color w:val="auto"/>
                <w:spacing w:val="0"/>
                <w:w w:val="100"/>
                <w:sz w:val="24"/>
                <w:szCs w:val="24"/>
                <w:highlight w:val="none"/>
                <w:lang w:val="en-US" w:eastAsia="zh-CN"/>
              </w:rPr>
            </w:pPr>
            <w:r>
              <w:rPr>
                <w:color w:val="auto"/>
                <w:highlight w:val="none"/>
              </w:rPr>
              <w:t>0-</w:t>
            </w:r>
            <w:r>
              <w:rPr>
                <w:rFonts w:hint="eastAsia"/>
                <w:color w:val="auto"/>
                <w:highlight w:val="none"/>
                <w:lang w:val="en-US" w:eastAsia="zh-CN"/>
              </w:rPr>
              <w:t>4</w:t>
            </w:r>
          </w:p>
        </w:tc>
      </w:tr>
      <w:tr w14:paraId="6787B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3193" w:hRule="atLeast"/>
          <w:jc w:val="center"/>
        </w:trPr>
        <w:tc>
          <w:tcPr>
            <w:tcW w:w="637" w:type="dxa"/>
            <w:noWrap w:val="0"/>
            <w:vAlign w:val="center"/>
          </w:tcPr>
          <w:p w14:paraId="2D2DEF2B">
            <w:pPr>
              <w:keepNext w:val="0"/>
              <w:keepLines w:val="0"/>
              <w:pageBreakBefore w:val="0"/>
              <w:kinsoku/>
              <w:wordWrap/>
              <w:overflowPunct/>
              <w:topLinePunct w:val="0"/>
              <w:autoSpaceDE/>
              <w:autoSpaceDN/>
              <w:bidi w:val="0"/>
              <w:spacing w:line="400" w:lineRule="exact"/>
              <w:ind w:left="0" w:leftChars="0" w:right="0" w:rightChars="0" w:firstLine="0" w:firstLineChars="0"/>
              <w:jc w:val="center"/>
              <w:textAlignment w:val="auto"/>
              <w:rPr>
                <w:rFonts w:hint="default" w:ascii="宋体" w:hAnsi="宋体" w:eastAsia="宋体" w:cs="宋体"/>
                <w:b w:val="0"/>
                <w:bCs/>
                <w:snapToGrid w:val="0"/>
                <w:color w:val="auto"/>
                <w:spacing w:val="0"/>
                <w:w w:val="100"/>
                <w:kern w:val="0"/>
                <w:sz w:val="24"/>
                <w:szCs w:val="24"/>
                <w:highlight w:val="none"/>
                <w:lang w:val="en-US" w:eastAsia="zh-CN"/>
              </w:rPr>
            </w:pPr>
            <w:bookmarkStart w:id="6" w:name="_Toc26081"/>
            <w:r>
              <w:rPr>
                <w:rFonts w:hint="eastAsia" w:ascii="宋体" w:hAnsi="宋体" w:eastAsia="宋体" w:cs="宋体"/>
                <w:b w:val="0"/>
                <w:bCs/>
                <w:snapToGrid w:val="0"/>
                <w:color w:val="auto"/>
                <w:spacing w:val="0"/>
                <w:w w:val="100"/>
                <w:kern w:val="0"/>
                <w:sz w:val="24"/>
                <w:szCs w:val="24"/>
                <w:highlight w:val="none"/>
                <w:lang w:val="en-US" w:eastAsia="zh-CN"/>
              </w:rPr>
              <w:t>7</w:t>
            </w:r>
          </w:p>
        </w:tc>
        <w:tc>
          <w:tcPr>
            <w:tcW w:w="1146" w:type="dxa"/>
            <w:noWrap w:val="0"/>
            <w:vAlign w:val="center"/>
          </w:tcPr>
          <w:p w14:paraId="59155602">
            <w:pPr>
              <w:pStyle w:val="27"/>
              <w:spacing w:before="78" w:line="230" w:lineRule="auto"/>
              <w:ind w:right="205" w:rightChars="0"/>
              <w:jc w:val="center"/>
              <w:rPr>
                <w:rFonts w:hint="eastAsia"/>
                <w:color w:val="auto"/>
                <w:highlight w:val="none"/>
              </w:rPr>
            </w:pPr>
            <w:r>
              <w:rPr>
                <w:b/>
                <w:bCs w:val="0"/>
                <w:color w:val="auto"/>
                <w:spacing w:val="-4"/>
                <w:highlight w:val="none"/>
              </w:rPr>
              <w:t>价格</w:t>
            </w:r>
            <w:r>
              <w:rPr>
                <w:rFonts w:hint="eastAsia"/>
                <w:b/>
                <w:bCs w:val="0"/>
                <w:color w:val="auto"/>
                <w:spacing w:val="-4"/>
                <w:highlight w:val="none"/>
                <w:lang w:val="en-US" w:eastAsia="zh-CN"/>
              </w:rPr>
              <w:t>分</w:t>
            </w:r>
            <w:r>
              <w:rPr>
                <w:rFonts w:hint="eastAsia"/>
                <w:b/>
                <w:bCs w:val="0"/>
                <w:color w:val="auto"/>
                <w:spacing w:val="-4"/>
                <w:highlight w:val="none"/>
                <w:lang w:eastAsia="zh-CN"/>
              </w:rPr>
              <w:t>（</w:t>
            </w:r>
            <w:r>
              <w:rPr>
                <w:rFonts w:hint="eastAsia"/>
                <w:b/>
                <w:bCs w:val="0"/>
                <w:color w:val="auto"/>
                <w:spacing w:val="-4"/>
                <w:highlight w:val="none"/>
                <w:lang w:val="en-US" w:eastAsia="zh-CN"/>
              </w:rPr>
              <w:t>20分）</w:t>
            </w:r>
          </w:p>
        </w:tc>
        <w:tc>
          <w:tcPr>
            <w:tcW w:w="7052" w:type="dxa"/>
            <w:noWrap w:val="0"/>
            <w:vAlign w:val="center"/>
          </w:tcPr>
          <w:p w14:paraId="71EF3F2A">
            <w:pPr>
              <w:pStyle w:val="26"/>
              <w:keepNext w:val="0"/>
              <w:keepLines w:val="0"/>
              <w:pageBreakBefore w:val="0"/>
              <w:kinsoku/>
              <w:wordWrap/>
              <w:overflowPunct/>
              <w:topLinePunct w:val="0"/>
              <w:autoSpaceDE/>
              <w:autoSpaceDN/>
              <w:bidi w:val="0"/>
              <w:spacing w:line="400" w:lineRule="exact"/>
              <w:ind w:left="0" w:right="0" w:firstLine="0"/>
              <w:jc w:val="both"/>
              <w:textAlignment w:val="auto"/>
              <w:rPr>
                <w:rFonts w:hint="eastAsia" w:ascii="宋体" w:hAnsi="宋体" w:eastAsia="宋体" w:cs="宋体"/>
                <w:b/>
                <w:bCs/>
                <w:color w:val="auto"/>
                <w:spacing w:val="0"/>
                <w:w w:val="100"/>
                <w:sz w:val="24"/>
                <w:szCs w:val="24"/>
                <w:highlight w:val="none"/>
              </w:rPr>
            </w:pPr>
            <w:r>
              <w:rPr>
                <w:rFonts w:hint="eastAsia" w:ascii="宋体" w:hAnsi="宋体" w:eastAsia="宋体" w:cs="宋体"/>
                <w:b/>
                <w:bCs/>
                <w:color w:val="auto"/>
                <w:spacing w:val="0"/>
                <w:w w:val="100"/>
                <w:sz w:val="24"/>
                <w:szCs w:val="24"/>
                <w:highlight w:val="none"/>
              </w:rPr>
              <w:t>价格分统一采用低价优先法，即满足征集文件要求且最终报价最低的投标费率作为评标基准价，价格分为满分</w:t>
            </w:r>
            <w:r>
              <w:rPr>
                <w:rFonts w:hint="eastAsia" w:cs="宋体"/>
                <w:b/>
                <w:bCs/>
                <w:color w:val="auto"/>
                <w:spacing w:val="0"/>
                <w:w w:val="100"/>
                <w:sz w:val="24"/>
                <w:szCs w:val="24"/>
                <w:highlight w:val="none"/>
                <w:lang w:val="en-US" w:eastAsia="zh-CN"/>
              </w:rPr>
              <w:t>20</w:t>
            </w:r>
            <w:r>
              <w:rPr>
                <w:rFonts w:hint="eastAsia" w:ascii="宋体" w:hAnsi="宋体" w:eastAsia="宋体" w:cs="宋体"/>
                <w:b/>
                <w:bCs/>
                <w:color w:val="auto"/>
                <w:spacing w:val="0"/>
                <w:w w:val="100"/>
                <w:sz w:val="24"/>
                <w:szCs w:val="24"/>
                <w:highlight w:val="none"/>
              </w:rPr>
              <w:t>分（其中工时费率报价满分为</w:t>
            </w:r>
            <w:r>
              <w:rPr>
                <w:rFonts w:hint="eastAsia" w:cs="宋体"/>
                <w:b/>
                <w:bCs/>
                <w:color w:val="auto"/>
                <w:spacing w:val="0"/>
                <w:w w:val="100"/>
                <w:sz w:val="24"/>
                <w:szCs w:val="24"/>
                <w:highlight w:val="none"/>
                <w:lang w:val="en-US" w:eastAsia="zh-CN"/>
              </w:rPr>
              <w:t>10</w:t>
            </w:r>
            <w:r>
              <w:rPr>
                <w:rFonts w:hint="eastAsia" w:ascii="宋体" w:hAnsi="宋体" w:eastAsia="宋体" w:cs="宋体"/>
                <w:b/>
                <w:bCs/>
                <w:color w:val="auto"/>
                <w:spacing w:val="0"/>
                <w:w w:val="100"/>
                <w:sz w:val="24"/>
                <w:szCs w:val="24"/>
                <w:highlight w:val="none"/>
              </w:rPr>
              <w:t>分，材料费率报价满分为</w:t>
            </w:r>
            <w:r>
              <w:rPr>
                <w:rFonts w:hint="eastAsia" w:cs="宋体"/>
                <w:b/>
                <w:bCs/>
                <w:color w:val="auto"/>
                <w:spacing w:val="0"/>
                <w:w w:val="100"/>
                <w:sz w:val="24"/>
                <w:szCs w:val="24"/>
                <w:highlight w:val="none"/>
                <w:lang w:val="en-US" w:eastAsia="zh-CN"/>
              </w:rPr>
              <w:t>10</w:t>
            </w:r>
            <w:r>
              <w:rPr>
                <w:rFonts w:hint="eastAsia" w:ascii="宋体" w:hAnsi="宋体" w:eastAsia="宋体" w:cs="宋体"/>
                <w:b/>
                <w:bCs/>
                <w:color w:val="auto"/>
                <w:spacing w:val="0"/>
                <w:w w:val="100"/>
                <w:sz w:val="24"/>
                <w:szCs w:val="24"/>
                <w:highlight w:val="none"/>
              </w:rPr>
              <w:t>分）。价格分统一按照下列公式计算（四舍五入保留至小数点后两位数）：</w:t>
            </w:r>
          </w:p>
          <w:p w14:paraId="72DC3C26">
            <w:pPr>
              <w:pStyle w:val="26"/>
              <w:keepNext w:val="0"/>
              <w:keepLines w:val="0"/>
              <w:pageBreakBefore w:val="0"/>
              <w:kinsoku/>
              <w:wordWrap/>
              <w:overflowPunct/>
              <w:topLinePunct w:val="0"/>
              <w:autoSpaceDE/>
              <w:autoSpaceDN/>
              <w:bidi w:val="0"/>
              <w:spacing w:line="400" w:lineRule="exact"/>
              <w:ind w:left="0" w:right="0" w:firstLine="0"/>
              <w:jc w:val="both"/>
              <w:textAlignment w:val="auto"/>
              <w:rPr>
                <w:rFonts w:hint="eastAsia" w:ascii="宋体" w:hAnsi="宋体" w:eastAsia="宋体" w:cs="宋体"/>
                <w:b/>
                <w:bCs/>
                <w:color w:val="auto"/>
                <w:spacing w:val="0"/>
                <w:w w:val="100"/>
                <w:sz w:val="24"/>
                <w:szCs w:val="24"/>
                <w:highlight w:val="none"/>
              </w:rPr>
            </w:pPr>
            <w:r>
              <w:rPr>
                <w:rFonts w:hint="eastAsia" w:ascii="宋体" w:hAnsi="宋体" w:eastAsia="宋体" w:cs="宋体"/>
                <w:b/>
                <w:bCs/>
                <w:color w:val="auto"/>
                <w:spacing w:val="0"/>
                <w:w w:val="100"/>
                <w:sz w:val="24"/>
                <w:szCs w:val="24"/>
                <w:highlight w:val="none"/>
              </w:rPr>
              <w:t>1、供应商工时费率报价得分＝（评标基准价/投标工时费率）×</w:t>
            </w:r>
            <w:r>
              <w:rPr>
                <w:rFonts w:hint="eastAsia" w:cs="宋体"/>
                <w:b/>
                <w:bCs/>
                <w:color w:val="auto"/>
                <w:spacing w:val="0"/>
                <w:w w:val="100"/>
                <w:sz w:val="24"/>
                <w:szCs w:val="24"/>
                <w:highlight w:val="none"/>
                <w:lang w:val="en-US" w:eastAsia="zh-CN"/>
              </w:rPr>
              <w:t>10</w:t>
            </w:r>
            <w:r>
              <w:rPr>
                <w:rFonts w:hint="eastAsia" w:ascii="宋体" w:hAnsi="宋体" w:eastAsia="宋体" w:cs="宋体"/>
                <w:b/>
                <w:bCs/>
                <w:color w:val="auto"/>
                <w:spacing w:val="0"/>
                <w:w w:val="100"/>
                <w:sz w:val="24"/>
                <w:szCs w:val="24"/>
                <w:highlight w:val="none"/>
              </w:rPr>
              <w:t>% ×100</w:t>
            </w:r>
          </w:p>
          <w:p w14:paraId="40EC798F">
            <w:pPr>
              <w:pStyle w:val="26"/>
              <w:keepNext w:val="0"/>
              <w:keepLines w:val="0"/>
              <w:pageBreakBefore w:val="0"/>
              <w:kinsoku/>
              <w:wordWrap/>
              <w:overflowPunct/>
              <w:topLinePunct w:val="0"/>
              <w:autoSpaceDE/>
              <w:autoSpaceDN/>
              <w:bidi w:val="0"/>
              <w:spacing w:line="400" w:lineRule="exact"/>
              <w:ind w:left="0" w:right="0" w:firstLine="0"/>
              <w:jc w:val="both"/>
              <w:textAlignment w:val="auto"/>
              <w:rPr>
                <w:rFonts w:hint="eastAsia" w:ascii="宋体" w:hAnsi="宋体" w:eastAsia="宋体" w:cs="宋体"/>
                <w:color w:val="auto"/>
                <w:spacing w:val="0"/>
                <w:w w:val="100"/>
                <w:sz w:val="24"/>
                <w:szCs w:val="24"/>
                <w:highlight w:val="none"/>
              </w:rPr>
            </w:pPr>
            <w:r>
              <w:rPr>
                <w:rFonts w:hint="eastAsia" w:ascii="宋体" w:hAnsi="宋体" w:eastAsia="宋体" w:cs="宋体"/>
                <w:b/>
                <w:bCs/>
                <w:color w:val="auto"/>
                <w:spacing w:val="0"/>
                <w:w w:val="100"/>
                <w:sz w:val="24"/>
                <w:szCs w:val="24"/>
                <w:highlight w:val="none"/>
              </w:rPr>
              <w:t>2、供应商材料费率报价得分＝（评标基准价/投标材料费率）×</w:t>
            </w:r>
            <w:r>
              <w:rPr>
                <w:rFonts w:hint="eastAsia" w:cs="宋体"/>
                <w:b/>
                <w:bCs/>
                <w:color w:val="auto"/>
                <w:spacing w:val="0"/>
                <w:w w:val="100"/>
                <w:sz w:val="24"/>
                <w:szCs w:val="24"/>
                <w:highlight w:val="none"/>
                <w:lang w:val="en-US" w:eastAsia="zh-CN"/>
              </w:rPr>
              <w:t>10</w:t>
            </w:r>
            <w:r>
              <w:rPr>
                <w:rFonts w:hint="eastAsia" w:ascii="宋体" w:hAnsi="宋体" w:eastAsia="宋体" w:cs="宋体"/>
                <w:b/>
                <w:bCs/>
                <w:color w:val="auto"/>
                <w:spacing w:val="0"/>
                <w:w w:val="100"/>
                <w:sz w:val="24"/>
                <w:szCs w:val="24"/>
                <w:highlight w:val="none"/>
              </w:rPr>
              <w:t>% ×100</w:t>
            </w:r>
          </w:p>
        </w:tc>
        <w:tc>
          <w:tcPr>
            <w:tcW w:w="1263" w:type="dxa"/>
            <w:noWrap w:val="0"/>
            <w:vAlign w:val="center"/>
          </w:tcPr>
          <w:p w14:paraId="26A071CB">
            <w:pPr>
              <w:pStyle w:val="27"/>
              <w:spacing w:before="78" w:line="182" w:lineRule="auto"/>
              <w:ind w:left="147" w:leftChars="0" w:firstLine="240" w:firstLineChars="100"/>
              <w:jc w:val="both"/>
              <w:rPr>
                <w:rFonts w:hint="default" w:eastAsia="宋体"/>
                <w:color w:val="auto"/>
                <w:highlight w:val="none"/>
                <w:lang w:val="en-US" w:eastAsia="zh-CN"/>
              </w:rPr>
            </w:pPr>
            <w:r>
              <w:rPr>
                <w:rFonts w:hint="eastAsia"/>
                <w:color w:val="auto"/>
                <w:highlight w:val="none"/>
                <w:lang w:val="en-US" w:eastAsia="zh-CN"/>
              </w:rPr>
              <w:t>0-20</w:t>
            </w:r>
          </w:p>
        </w:tc>
      </w:tr>
    </w:tbl>
    <w:p w14:paraId="2DCD1936">
      <w:pPr>
        <w:pStyle w:val="6"/>
        <w:bidi w:val="0"/>
        <w:jc w:val="center"/>
        <w:rPr>
          <w:rFonts w:hint="default"/>
          <w:color w:val="auto"/>
          <w:highlight w:val="none"/>
          <w:lang w:val="en-US" w:eastAsia="zh-CN"/>
        </w:rPr>
      </w:pPr>
      <w:r>
        <w:rPr>
          <w:rFonts w:hint="eastAsia"/>
          <w:color w:val="auto"/>
          <w:highlight w:val="none"/>
          <w:lang w:val="en-US" w:eastAsia="zh-CN"/>
        </w:rPr>
        <w:t>第六章 确定第二阶段成交供应商的方式</w:t>
      </w:r>
      <w:bookmarkEnd w:id="6"/>
    </w:p>
    <w:p w14:paraId="193DA030">
      <w:pPr>
        <w:pStyle w:val="6"/>
        <w:bidi w:val="0"/>
        <w:ind w:firstLine="480" w:firstLineChars="200"/>
        <w:jc w:val="left"/>
        <w:rPr>
          <w:rFonts w:hint="eastAsia"/>
          <w:b w:val="0"/>
          <w:bCs/>
          <w:color w:val="auto"/>
          <w:highlight w:val="none"/>
          <w:lang w:val="en-US" w:eastAsia="zh-CN"/>
        </w:rPr>
      </w:pPr>
      <w:r>
        <w:rPr>
          <w:rFonts w:hint="eastAsia" w:ascii="宋体" w:hAnsi="宋体" w:cs="Arial"/>
          <w:b w:val="0"/>
          <w:bCs/>
          <w:color w:val="auto"/>
          <w:sz w:val="24"/>
          <w:szCs w:val="24"/>
          <w:highlight w:val="none"/>
          <w:lang w:val="en-US" w:eastAsia="zh-CN"/>
        </w:rPr>
        <w:t>第一阶段入围框架协议签订后，由霍山县机关事务管理服务中心文件根据项目属 性以及服务商报价、日常服务质量和每个项目实际需要等因素，在第一阶段入围供应  商中通过直接选定方式确定第二阶段成交供应商。</w:t>
      </w:r>
    </w:p>
    <w:p w14:paraId="473868EB">
      <w:pPr>
        <w:pStyle w:val="6"/>
        <w:bidi w:val="0"/>
        <w:spacing w:before="0" w:after="0" w:line="240" w:lineRule="auto"/>
        <w:jc w:val="both"/>
        <w:rPr>
          <w:rFonts w:hint="eastAsia"/>
          <w:color w:val="auto"/>
          <w:highlight w:val="none"/>
          <w:lang w:val="en-US" w:eastAsia="zh-CN"/>
        </w:rPr>
      </w:pPr>
      <w:bookmarkStart w:id="7" w:name="_Toc2789"/>
    </w:p>
    <w:p w14:paraId="265B22FD">
      <w:pPr>
        <w:rPr>
          <w:rFonts w:hint="eastAsia"/>
          <w:color w:val="auto"/>
          <w:highlight w:val="none"/>
          <w:lang w:val="en-US" w:eastAsia="zh-CN"/>
        </w:rPr>
      </w:pPr>
    </w:p>
    <w:p w14:paraId="3B05FC3D">
      <w:pPr>
        <w:rPr>
          <w:rFonts w:hint="eastAsia"/>
          <w:color w:val="auto"/>
          <w:highlight w:val="none"/>
          <w:lang w:val="en-US" w:eastAsia="zh-CN"/>
        </w:rPr>
      </w:pPr>
    </w:p>
    <w:p w14:paraId="4BCA605F">
      <w:pPr>
        <w:rPr>
          <w:rFonts w:hint="eastAsia"/>
          <w:color w:val="auto"/>
          <w:highlight w:val="none"/>
          <w:lang w:val="en-US" w:eastAsia="zh-CN"/>
        </w:rPr>
      </w:pPr>
    </w:p>
    <w:p w14:paraId="3BA098F8">
      <w:pPr>
        <w:pStyle w:val="6"/>
        <w:bidi w:val="0"/>
        <w:jc w:val="center"/>
        <w:rPr>
          <w:rFonts w:hint="eastAsia"/>
          <w:color w:val="auto"/>
          <w:highlight w:val="none"/>
          <w:lang w:val="en-US" w:eastAsia="zh-CN"/>
        </w:rPr>
      </w:pPr>
    </w:p>
    <w:p w14:paraId="59281DE7">
      <w:pPr>
        <w:rPr>
          <w:rFonts w:hint="eastAsia"/>
          <w:color w:val="auto"/>
          <w:highlight w:val="none"/>
          <w:lang w:val="en-US" w:eastAsia="zh-CN"/>
        </w:rPr>
      </w:pPr>
    </w:p>
    <w:p w14:paraId="7DAE13C5">
      <w:pPr>
        <w:pStyle w:val="2"/>
        <w:rPr>
          <w:rFonts w:hint="eastAsia"/>
          <w:highlight w:val="none"/>
          <w:lang w:val="en-US" w:eastAsia="zh-CN"/>
        </w:rPr>
      </w:pPr>
    </w:p>
    <w:p w14:paraId="00B98B0A">
      <w:pPr>
        <w:rPr>
          <w:rFonts w:hint="eastAsia"/>
          <w:highlight w:val="none"/>
          <w:lang w:val="en-US" w:eastAsia="zh-CN"/>
        </w:rPr>
      </w:pPr>
    </w:p>
    <w:p w14:paraId="52C2AF22">
      <w:pPr>
        <w:bidi w:val="0"/>
        <w:rPr>
          <w:rFonts w:hint="eastAsia"/>
          <w:highlight w:val="none"/>
          <w:lang w:val="en-US" w:eastAsia="zh-CN"/>
        </w:rPr>
      </w:pPr>
    </w:p>
    <w:p w14:paraId="793A73FB">
      <w:pPr>
        <w:rPr>
          <w:rFonts w:hint="eastAsia"/>
          <w:color w:val="auto"/>
          <w:highlight w:val="none"/>
          <w:lang w:val="en-US" w:eastAsia="zh-CN"/>
        </w:rPr>
      </w:pPr>
    </w:p>
    <w:p w14:paraId="2DBEF729">
      <w:pPr>
        <w:rPr>
          <w:rFonts w:hint="eastAsia"/>
          <w:color w:val="auto"/>
          <w:highlight w:val="none"/>
          <w:lang w:val="en-US" w:eastAsia="zh-CN"/>
        </w:rPr>
      </w:pPr>
    </w:p>
    <w:p w14:paraId="6611D997">
      <w:pPr>
        <w:pStyle w:val="6"/>
        <w:bidi w:val="0"/>
        <w:spacing w:before="0" w:after="0" w:line="240" w:lineRule="auto"/>
        <w:jc w:val="center"/>
        <w:rPr>
          <w:rFonts w:hint="eastAsia"/>
          <w:color w:val="auto"/>
          <w:highlight w:val="none"/>
          <w:lang w:val="en-US" w:eastAsia="zh-CN"/>
        </w:rPr>
      </w:pPr>
    </w:p>
    <w:p w14:paraId="055F0E13">
      <w:pPr>
        <w:pStyle w:val="6"/>
        <w:bidi w:val="0"/>
        <w:spacing w:before="0" w:after="0" w:line="240" w:lineRule="auto"/>
        <w:jc w:val="both"/>
        <w:rPr>
          <w:rFonts w:hint="eastAsia"/>
          <w:color w:val="auto"/>
          <w:highlight w:val="none"/>
          <w:lang w:val="en-US" w:eastAsia="zh-CN"/>
        </w:rPr>
      </w:pPr>
    </w:p>
    <w:p w14:paraId="6F3D8A61">
      <w:pPr>
        <w:rPr>
          <w:rFonts w:hint="eastAsia"/>
          <w:color w:val="auto"/>
          <w:highlight w:val="none"/>
          <w:lang w:val="en-US" w:eastAsia="zh-CN"/>
        </w:rPr>
      </w:pPr>
    </w:p>
    <w:p w14:paraId="56017889">
      <w:pPr>
        <w:pStyle w:val="2"/>
        <w:rPr>
          <w:rFonts w:hint="eastAsia"/>
          <w:color w:val="auto"/>
          <w:highlight w:val="none"/>
          <w:lang w:val="en-US" w:eastAsia="zh-CN"/>
        </w:rPr>
      </w:pPr>
    </w:p>
    <w:p w14:paraId="287C4044">
      <w:pPr>
        <w:rPr>
          <w:rFonts w:hint="eastAsia"/>
          <w:color w:val="auto"/>
          <w:highlight w:val="none"/>
          <w:lang w:val="en-US" w:eastAsia="zh-CN"/>
        </w:rPr>
      </w:pPr>
    </w:p>
    <w:p w14:paraId="2D03143B">
      <w:pPr>
        <w:pStyle w:val="2"/>
        <w:rPr>
          <w:rFonts w:hint="eastAsia"/>
          <w:color w:val="auto"/>
          <w:highlight w:val="none"/>
          <w:lang w:val="en-US" w:eastAsia="zh-CN"/>
        </w:rPr>
      </w:pPr>
    </w:p>
    <w:p w14:paraId="0E4B4D5A">
      <w:pPr>
        <w:rPr>
          <w:rFonts w:hint="eastAsia"/>
          <w:color w:val="auto"/>
          <w:highlight w:val="none"/>
          <w:lang w:val="en-US" w:eastAsia="zh-CN"/>
        </w:rPr>
      </w:pPr>
    </w:p>
    <w:p w14:paraId="281C9A45">
      <w:pPr>
        <w:pStyle w:val="2"/>
        <w:rPr>
          <w:rFonts w:hint="eastAsia"/>
          <w:color w:val="auto"/>
          <w:highlight w:val="none"/>
          <w:lang w:val="en-US" w:eastAsia="zh-CN"/>
        </w:rPr>
      </w:pPr>
    </w:p>
    <w:p w14:paraId="4FBC96E8">
      <w:pPr>
        <w:rPr>
          <w:rFonts w:hint="eastAsia"/>
          <w:color w:val="auto"/>
          <w:highlight w:val="none"/>
          <w:lang w:val="en-US" w:eastAsia="zh-CN"/>
        </w:rPr>
      </w:pPr>
    </w:p>
    <w:p w14:paraId="077E4F6C">
      <w:pPr>
        <w:pStyle w:val="2"/>
        <w:rPr>
          <w:rFonts w:hint="eastAsia"/>
          <w:color w:val="auto"/>
          <w:highlight w:val="none"/>
          <w:lang w:val="en-US" w:eastAsia="zh-CN"/>
        </w:rPr>
      </w:pPr>
    </w:p>
    <w:p w14:paraId="2BFC56D2">
      <w:pPr>
        <w:rPr>
          <w:rFonts w:hint="eastAsia"/>
          <w:color w:val="auto"/>
          <w:highlight w:val="none"/>
          <w:lang w:val="en-US" w:eastAsia="zh-CN"/>
        </w:rPr>
      </w:pPr>
    </w:p>
    <w:p w14:paraId="5B30B52D">
      <w:pPr>
        <w:pStyle w:val="2"/>
        <w:rPr>
          <w:rFonts w:hint="eastAsia"/>
          <w:color w:val="auto"/>
          <w:highlight w:val="none"/>
          <w:lang w:val="en-US" w:eastAsia="zh-CN"/>
        </w:rPr>
      </w:pPr>
    </w:p>
    <w:p w14:paraId="542E9DDE">
      <w:pPr>
        <w:rPr>
          <w:rFonts w:hint="eastAsia"/>
          <w:color w:val="auto"/>
          <w:highlight w:val="none"/>
          <w:lang w:val="en-US" w:eastAsia="zh-CN"/>
        </w:rPr>
      </w:pPr>
    </w:p>
    <w:p w14:paraId="699ECC99">
      <w:pPr>
        <w:pStyle w:val="2"/>
        <w:rPr>
          <w:rFonts w:hint="eastAsia"/>
          <w:color w:val="auto"/>
          <w:highlight w:val="none"/>
          <w:lang w:val="en-US" w:eastAsia="zh-CN"/>
        </w:rPr>
      </w:pPr>
    </w:p>
    <w:p w14:paraId="74D933B0">
      <w:pPr>
        <w:rPr>
          <w:rFonts w:hint="eastAsia"/>
          <w:color w:val="auto"/>
          <w:highlight w:val="none"/>
          <w:lang w:val="en-US" w:eastAsia="zh-CN"/>
        </w:rPr>
      </w:pPr>
    </w:p>
    <w:p w14:paraId="4C87B6EB">
      <w:pPr>
        <w:pStyle w:val="2"/>
        <w:rPr>
          <w:rFonts w:hint="eastAsia"/>
          <w:color w:val="auto"/>
          <w:highlight w:val="none"/>
          <w:lang w:val="en-US" w:eastAsia="zh-CN"/>
        </w:rPr>
      </w:pPr>
    </w:p>
    <w:p w14:paraId="525E70EF">
      <w:pPr>
        <w:rPr>
          <w:rFonts w:hint="eastAsia"/>
          <w:color w:val="auto"/>
          <w:highlight w:val="none"/>
          <w:lang w:val="en-US" w:eastAsia="zh-CN"/>
        </w:rPr>
      </w:pPr>
    </w:p>
    <w:p w14:paraId="74E29A35">
      <w:pPr>
        <w:pStyle w:val="2"/>
        <w:rPr>
          <w:rFonts w:hint="eastAsia"/>
          <w:color w:val="auto"/>
          <w:highlight w:val="none"/>
          <w:lang w:val="en-US" w:eastAsia="zh-CN"/>
        </w:rPr>
      </w:pPr>
    </w:p>
    <w:p w14:paraId="7FB06B84">
      <w:pPr>
        <w:rPr>
          <w:rFonts w:hint="eastAsia"/>
          <w:color w:val="auto"/>
          <w:highlight w:val="none"/>
          <w:lang w:val="en-US" w:eastAsia="zh-CN"/>
        </w:rPr>
      </w:pPr>
    </w:p>
    <w:p w14:paraId="3B58D645">
      <w:pPr>
        <w:pStyle w:val="2"/>
        <w:rPr>
          <w:rFonts w:hint="eastAsia"/>
          <w:color w:val="auto"/>
          <w:highlight w:val="none"/>
          <w:lang w:val="en-US" w:eastAsia="zh-CN"/>
        </w:rPr>
      </w:pPr>
    </w:p>
    <w:p w14:paraId="0F81251D">
      <w:pPr>
        <w:rPr>
          <w:rFonts w:hint="eastAsia"/>
          <w:color w:val="auto"/>
          <w:highlight w:val="none"/>
          <w:lang w:val="en-US" w:eastAsia="zh-CN"/>
        </w:rPr>
      </w:pPr>
    </w:p>
    <w:p w14:paraId="5F5683FB">
      <w:pPr>
        <w:pStyle w:val="2"/>
        <w:rPr>
          <w:rFonts w:hint="eastAsia"/>
          <w:color w:val="auto"/>
          <w:highlight w:val="none"/>
          <w:lang w:val="en-US" w:eastAsia="zh-CN"/>
        </w:rPr>
      </w:pPr>
    </w:p>
    <w:p w14:paraId="019ED7F5">
      <w:pPr>
        <w:rPr>
          <w:rFonts w:hint="eastAsia"/>
          <w:color w:val="auto"/>
          <w:highlight w:val="none"/>
          <w:lang w:val="en-US" w:eastAsia="zh-CN"/>
        </w:rPr>
      </w:pPr>
    </w:p>
    <w:p w14:paraId="1729D7DA">
      <w:pPr>
        <w:pStyle w:val="2"/>
        <w:rPr>
          <w:rFonts w:hint="eastAsia"/>
          <w:color w:val="auto"/>
          <w:highlight w:val="none"/>
          <w:lang w:val="en-US" w:eastAsia="zh-CN"/>
        </w:rPr>
      </w:pPr>
    </w:p>
    <w:p w14:paraId="74D58737">
      <w:pPr>
        <w:rPr>
          <w:rFonts w:hint="eastAsia"/>
          <w:color w:val="auto"/>
          <w:highlight w:val="none"/>
          <w:lang w:val="en-US" w:eastAsia="zh-CN"/>
        </w:rPr>
      </w:pPr>
    </w:p>
    <w:p w14:paraId="2C58AF7C">
      <w:pPr>
        <w:pStyle w:val="2"/>
        <w:rPr>
          <w:rFonts w:hint="eastAsia"/>
          <w:color w:val="auto"/>
          <w:highlight w:val="none"/>
          <w:lang w:val="en-US" w:eastAsia="zh-CN"/>
        </w:rPr>
      </w:pPr>
    </w:p>
    <w:p w14:paraId="6ACDD82F">
      <w:pPr>
        <w:rPr>
          <w:rFonts w:hint="eastAsia"/>
          <w:highlight w:val="none"/>
          <w:lang w:val="en-US" w:eastAsia="zh-CN"/>
        </w:rPr>
      </w:pPr>
    </w:p>
    <w:p w14:paraId="456EEB80">
      <w:pPr>
        <w:pStyle w:val="6"/>
        <w:bidi w:val="0"/>
        <w:spacing w:before="0" w:after="0" w:line="240" w:lineRule="auto"/>
        <w:jc w:val="both"/>
        <w:rPr>
          <w:rFonts w:hint="eastAsia"/>
          <w:color w:val="auto"/>
          <w:highlight w:val="none"/>
          <w:lang w:val="en-US" w:eastAsia="zh-CN"/>
        </w:rPr>
      </w:pPr>
    </w:p>
    <w:p w14:paraId="47EA8F24">
      <w:pPr>
        <w:pStyle w:val="6"/>
        <w:bidi w:val="0"/>
        <w:spacing w:before="0" w:after="0" w:line="240" w:lineRule="auto"/>
        <w:jc w:val="center"/>
        <w:rPr>
          <w:rFonts w:hint="default"/>
          <w:color w:val="auto"/>
          <w:highlight w:val="none"/>
          <w:lang w:val="en-US" w:eastAsia="zh-CN"/>
        </w:rPr>
      </w:pPr>
      <w:r>
        <w:rPr>
          <w:rFonts w:hint="eastAsia"/>
          <w:color w:val="auto"/>
          <w:highlight w:val="none"/>
          <w:lang w:val="en-US" w:eastAsia="zh-CN"/>
        </w:rPr>
        <w:t>第七章 采购需求</w:t>
      </w:r>
      <w:bookmarkEnd w:id="7"/>
    </w:p>
    <w:p w14:paraId="4D593F7A">
      <w:pPr>
        <w:widowControl/>
        <w:kinsoku w:val="0"/>
        <w:autoSpaceDE w:val="0"/>
        <w:autoSpaceDN w:val="0"/>
        <w:adjustRightInd w:val="0"/>
        <w:snapToGrid w:val="0"/>
        <w:spacing w:before="277" w:line="360" w:lineRule="auto"/>
        <w:ind w:left="9" w:right="40" w:firstLine="483"/>
        <w:jc w:val="both"/>
        <w:textAlignment w:val="baseline"/>
        <w:rPr>
          <w:rFonts w:ascii="宋体" w:hAnsi="宋体" w:eastAsia="宋体" w:cs="宋体"/>
          <w:snapToGrid w:val="0"/>
          <w:color w:val="auto"/>
          <w:spacing w:val="-1"/>
          <w:kern w:val="0"/>
          <w:sz w:val="24"/>
          <w:szCs w:val="24"/>
          <w:highlight w:val="none"/>
          <w:lang w:eastAsia="en-US"/>
        </w:rPr>
      </w:pPr>
      <w:r>
        <w:rPr>
          <w:rFonts w:hint="eastAsia" w:ascii="宋体" w:hAnsi="宋体" w:eastAsia="宋体" w:cs="宋体"/>
          <w:snapToGrid w:val="0"/>
          <w:color w:val="auto"/>
          <w:spacing w:val="-1"/>
          <w:kern w:val="0"/>
          <w:sz w:val="24"/>
          <w:szCs w:val="24"/>
          <w:highlight w:val="none"/>
          <w:lang w:eastAsia="zh-CN"/>
        </w:rPr>
        <w:t>霍山县机关事务管理服务中心2026年-2028年公务用车定点维修服务单位框架协议采购项目（二次）</w:t>
      </w:r>
      <w:r>
        <w:rPr>
          <w:rFonts w:ascii="宋体" w:hAnsi="宋体" w:eastAsia="宋体" w:cs="宋体"/>
          <w:snapToGrid w:val="0"/>
          <w:color w:val="auto"/>
          <w:spacing w:val="-1"/>
          <w:kern w:val="0"/>
          <w:sz w:val="24"/>
          <w:szCs w:val="24"/>
          <w:highlight w:val="none"/>
          <w:lang w:eastAsia="en-US"/>
        </w:rPr>
        <w:t>，本次招标为</w:t>
      </w:r>
      <w:r>
        <w:rPr>
          <w:rFonts w:hint="eastAsia" w:ascii="宋体" w:hAnsi="宋体" w:eastAsia="宋体" w:cs="宋体"/>
          <w:snapToGrid w:val="0"/>
          <w:color w:val="auto"/>
          <w:spacing w:val="-1"/>
          <w:kern w:val="0"/>
          <w:sz w:val="24"/>
          <w:szCs w:val="24"/>
          <w:highlight w:val="none"/>
          <w:lang w:val="en-US" w:eastAsia="zh-CN"/>
        </w:rPr>
        <w:t>霍山</w:t>
      </w:r>
      <w:r>
        <w:rPr>
          <w:rFonts w:ascii="宋体" w:hAnsi="宋体" w:eastAsia="宋体" w:cs="宋体"/>
          <w:snapToGrid w:val="0"/>
          <w:color w:val="auto"/>
          <w:spacing w:val="-1"/>
          <w:kern w:val="0"/>
          <w:sz w:val="24"/>
          <w:szCs w:val="24"/>
          <w:highlight w:val="none"/>
          <w:lang w:eastAsia="en-US"/>
        </w:rPr>
        <w:t>县机关事业单位的公务用车维修保养服务。车辆正常情况下在综合类维修企业进行维保，新购车辆质保期内在所属品牌4S店进行维保。</w:t>
      </w:r>
    </w:p>
    <w:p w14:paraId="4CF9C5BA">
      <w:pPr>
        <w:widowControl/>
        <w:kinsoku w:val="0"/>
        <w:autoSpaceDE w:val="0"/>
        <w:autoSpaceDN w:val="0"/>
        <w:adjustRightInd w:val="0"/>
        <w:snapToGrid w:val="0"/>
        <w:spacing w:before="277" w:line="360" w:lineRule="auto"/>
        <w:ind w:right="40"/>
        <w:jc w:val="both"/>
        <w:textAlignment w:val="baseline"/>
        <w:rPr>
          <w:rFonts w:ascii="宋体" w:hAnsi="宋体" w:eastAsia="宋体" w:cs="宋体"/>
          <w:snapToGrid w:val="0"/>
          <w:color w:val="auto"/>
          <w:spacing w:val="-1"/>
          <w:kern w:val="0"/>
          <w:sz w:val="24"/>
          <w:szCs w:val="24"/>
          <w:highlight w:val="none"/>
          <w:lang w:eastAsia="en-US"/>
        </w:rPr>
      </w:pPr>
      <w:r>
        <w:rPr>
          <w:rFonts w:ascii="宋体" w:hAnsi="宋体" w:eastAsia="宋体" w:cs="宋体"/>
          <w:snapToGrid w:val="0"/>
          <w:color w:val="auto"/>
          <w:spacing w:val="-1"/>
          <w:kern w:val="0"/>
          <w:sz w:val="24"/>
          <w:szCs w:val="24"/>
          <w:highlight w:val="none"/>
          <w:lang w:eastAsia="en-US"/>
        </w:rPr>
        <w:t>一、 框架协议期限：自签订本项目框架协议之日起</w:t>
      </w:r>
      <w:r>
        <w:rPr>
          <w:rFonts w:hint="eastAsia" w:ascii="宋体" w:hAnsi="宋体" w:eastAsia="宋体" w:cs="宋体"/>
          <w:snapToGrid w:val="0"/>
          <w:color w:val="auto"/>
          <w:spacing w:val="-1"/>
          <w:kern w:val="0"/>
          <w:sz w:val="24"/>
          <w:szCs w:val="24"/>
          <w:highlight w:val="none"/>
          <w:lang w:val="en-US" w:eastAsia="zh-CN"/>
        </w:rPr>
        <w:t>2</w:t>
      </w:r>
      <w:r>
        <w:rPr>
          <w:rFonts w:ascii="宋体" w:hAnsi="宋体" w:eastAsia="宋体" w:cs="宋体"/>
          <w:snapToGrid w:val="0"/>
          <w:color w:val="auto"/>
          <w:spacing w:val="-1"/>
          <w:kern w:val="0"/>
          <w:sz w:val="24"/>
          <w:szCs w:val="24"/>
          <w:highlight w:val="none"/>
          <w:lang w:eastAsia="en-US"/>
        </w:rPr>
        <w:t>年。</w:t>
      </w:r>
    </w:p>
    <w:p w14:paraId="4236CF22">
      <w:pPr>
        <w:numPr>
          <w:ilvl w:val="0"/>
          <w:numId w:val="0"/>
        </w:numPr>
        <w:spacing w:before="78" w:line="448" w:lineRule="auto"/>
        <w:ind w:right="3" w:rightChars="0"/>
        <w:jc w:val="both"/>
        <w:rPr>
          <w:rFonts w:ascii="宋体" w:hAnsi="宋体" w:eastAsia="宋体" w:cs="宋体"/>
          <w:snapToGrid w:val="0"/>
          <w:color w:val="auto"/>
          <w:spacing w:val="-1"/>
          <w:kern w:val="0"/>
          <w:sz w:val="24"/>
          <w:szCs w:val="24"/>
          <w:highlight w:val="none"/>
          <w:lang w:eastAsia="en-US"/>
        </w:rPr>
      </w:pPr>
      <w:r>
        <w:rPr>
          <w:rFonts w:ascii="宋体" w:hAnsi="宋体" w:eastAsia="宋体" w:cs="宋体"/>
          <w:snapToGrid w:val="0"/>
          <w:color w:val="auto"/>
          <w:spacing w:val="-1"/>
          <w:kern w:val="0"/>
          <w:sz w:val="24"/>
          <w:szCs w:val="24"/>
          <w:highlight w:val="none"/>
          <w:lang w:eastAsia="en-US"/>
        </w:rPr>
        <w:t>二、最高限制单价及报价要求：</w:t>
      </w:r>
    </w:p>
    <w:p w14:paraId="23435F11">
      <w:pPr>
        <w:numPr>
          <w:ilvl w:val="0"/>
          <w:numId w:val="0"/>
        </w:numPr>
        <w:spacing w:before="78" w:line="448" w:lineRule="auto"/>
        <w:ind w:right="3" w:rightChars="0" w:firstLine="458" w:firstLineChars="200"/>
        <w:jc w:val="both"/>
        <w:rPr>
          <w:rFonts w:hint="eastAsia" w:ascii="宋体" w:hAnsi="宋体" w:eastAsia="宋体" w:cs="宋体"/>
          <w:b/>
          <w:bCs/>
          <w:color w:val="auto"/>
          <w:spacing w:val="-6"/>
          <w:sz w:val="24"/>
          <w:szCs w:val="24"/>
          <w:highlight w:val="none"/>
          <w:lang w:eastAsia="zh-CN"/>
        </w:rPr>
      </w:pPr>
      <w:r>
        <w:rPr>
          <w:rFonts w:hint="eastAsia" w:ascii="宋体" w:hAnsi="宋体" w:eastAsia="宋体" w:cs="宋体"/>
          <w:b/>
          <w:bCs/>
          <w:color w:val="auto"/>
          <w:spacing w:val="-6"/>
          <w:sz w:val="24"/>
          <w:szCs w:val="24"/>
          <w:highlight w:val="none"/>
        </w:rPr>
        <w:t>本项目单价采用费率报价</w:t>
      </w:r>
      <w:r>
        <w:rPr>
          <w:rFonts w:hint="eastAsia" w:ascii="宋体" w:hAnsi="宋体" w:eastAsia="宋体" w:cs="宋体"/>
          <w:b/>
          <w:bCs/>
          <w:color w:val="auto"/>
          <w:spacing w:val="-6"/>
          <w:sz w:val="24"/>
          <w:szCs w:val="24"/>
          <w:highlight w:val="none"/>
          <w:lang w:eastAsia="zh-CN"/>
        </w:rPr>
        <w:t>：</w:t>
      </w:r>
    </w:p>
    <w:p w14:paraId="6A6A62C5">
      <w:pPr>
        <w:numPr>
          <w:ilvl w:val="0"/>
          <w:numId w:val="3"/>
        </w:numPr>
        <w:spacing w:before="78" w:line="448" w:lineRule="auto"/>
        <w:ind w:right="3" w:rightChars="0" w:firstLine="458" w:firstLineChars="200"/>
        <w:jc w:val="both"/>
        <w:rPr>
          <w:rFonts w:hint="eastAsia" w:ascii="宋体" w:hAnsi="宋体" w:eastAsia="宋体" w:cs="宋体"/>
          <w:b/>
          <w:bCs/>
          <w:color w:val="auto"/>
          <w:spacing w:val="-6"/>
          <w:sz w:val="24"/>
          <w:szCs w:val="24"/>
          <w:highlight w:val="none"/>
        </w:rPr>
      </w:pPr>
      <w:r>
        <w:rPr>
          <w:rFonts w:hint="eastAsia" w:ascii="宋体" w:hAnsi="宋体" w:eastAsia="宋体" w:cs="宋体"/>
          <w:b/>
          <w:bCs/>
          <w:color w:val="auto"/>
          <w:spacing w:val="-6"/>
          <w:sz w:val="24"/>
          <w:szCs w:val="24"/>
          <w:highlight w:val="none"/>
        </w:rPr>
        <w:t>工时费率按2020年《安徽省汽车维修行业工时定额》规定标准取费，最高限制单价为70%。</w:t>
      </w:r>
    </w:p>
    <w:p w14:paraId="681D4331">
      <w:pPr>
        <w:numPr>
          <w:ilvl w:val="0"/>
          <w:numId w:val="3"/>
        </w:numPr>
        <w:spacing w:before="78" w:line="448" w:lineRule="auto"/>
        <w:ind w:left="0" w:leftChars="0" w:right="3" w:rightChars="0" w:firstLine="458" w:firstLineChars="200"/>
        <w:jc w:val="both"/>
        <w:rPr>
          <w:rFonts w:hint="eastAsia" w:ascii="宋体" w:hAnsi="宋体" w:eastAsia="宋体" w:cs="宋体"/>
          <w:b/>
          <w:bCs/>
          <w:color w:val="auto"/>
          <w:spacing w:val="-6"/>
          <w:sz w:val="24"/>
          <w:szCs w:val="24"/>
          <w:highlight w:val="none"/>
          <w:lang w:val="en-US" w:eastAsia="zh-CN"/>
        </w:rPr>
      </w:pPr>
      <w:r>
        <w:rPr>
          <w:rFonts w:hint="eastAsia" w:ascii="宋体" w:hAnsi="宋体" w:eastAsia="宋体" w:cs="宋体"/>
          <w:b/>
          <w:bCs/>
          <w:color w:val="auto"/>
          <w:spacing w:val="-6"/>
          <w:sz w:val="24"/>
          <w:szCs w:val="24"/>
          <w:highlight w:val="none"/>
        </w:rPr>
        <w:t>材料费率按维修企业市场售价取费，最高限制单价为90%。</w:t>
      </w:r>
      <w:r>
        <w:rPr>
          <w:rFonts w:hint="eastAsia" w:ascii="宋体" w:hAnsi="宋体" w:eastAsia="宋体" w:cs="宋体"/>
          <w:b/>
          <w:bCs/>
          <w:color w:val="auto"/>
          <w:spacing w:val="-6"/>
          <w:sz w:val="24"/>
          <w:szCs w:val="24"/>
          <w:highlight w:val="none"/>
          <w:lang w:val="en-US" w:eastAsia="zh-CN"/>
        </w:rPr>
        <w:t>注：超过最高限制单价的为无效报价。</w:t>
      </w:r>
    </w:p>
    <w:p w14:paraId="0080708C">
      <w:pPr>
        <w:numPr>
          <w:ilvl w:val="0"/>
          <w:numId w:val="3"/>
        </w:numPr>
        <w:spacing w:before="78" w:line="448" w:lineRule="auto"/>
        <w:ind w:right="3" w:rightChars="0" w:firstLine="458" w:firstLineChars="200"/>
        <w:jc w:val="both"/>
        <w:rPr>
          <w:rFonts w:hint="default" w:ascii="宋体" w:hAnsi="宋体" w:eastAsia="宋体" w:cs="宋体"/>
          <w:b/>
          <w:bCs/>
          <w:color w:val="auto"/>
          <w:spacing w:val="-6"/>
          <w:sz w:val="24"/>
          <w:szCs w:val="24"/>
          <w:highlight w:val="none"/>
          <w:lang w:val="en-US" w:eastAsia="zh-CN"/>
        </w:rPr>
      </w:pPr>
      <w:r>
        <w:rPr>
          <w:rFonts w:hint="default" w:ascii="宋体" w:hAnsi="宋体" w:eastAsia="宋体" w:cs="宋体"/>
          <w:b/>
          <w:bCs/>
          <w:color w:val="auto"/>
          <w:spacing w:val="-6"/>
          <w:sz w:val="24"/>
          <w:szCs w:val="24"/>
          <w:highlight w:val="none"/>
          <w:lang w:val="en-US" w:eastAsia="zh-CN"/>
        </w:rPr>
        <w:t xml:space="preserve">本项目报价费率共分为两项，分别为⑴工时定额费率；⑵材料费率。各供应商所报费率不得保留小数，否则响应无效。例如：报价费率 70.6%为无效报价。 </w:t>
      </w:r>
    </w:p>
    <w:p w14:paraId="6F378F0E">
      <w:pPr>
        <w:numPr>
          <w:ilvl w:val="0"/>
          <w:numId w:val="0"/>
        </w:numPr>
        <w:spacing w:before="78" w:line="448" w:lineRule="auto"/>
        <w:ind w:right="3" w:rightChars="0" w:firstLine="458" w:firstLineChars="200"/>
        <w:jc w:val="both"/>
        <w:rPr>
          <w:rFonts w:hint="default" w:ascii="宋体" w:hAnsi="宋体" w:eastAsia="宋体" w:cs="宋体"/>
          <w:b/>
          <w:bCs/>
          <w:color w:val="auto"/>
          <w:spacing w:val="-6"/>
          <w:sz w:val="24"/>
          <w:szCs w:val="24"/>
          <w:highlight w:val="none"/>
          <w:lang w:val="en-US" w:eastAsia="zh-CN"/>
        </w:rPr>
      </w:pPr>
      <w:r>
        <w:rPr>
          <w:rFonts w:hint="default" w:ascii="宋体" w:hAnsi="宋体" w:eastAsia="宋体" w:cs="宋体"/>
          <w:b/>
          <w:bCs/>
          <w:color w:val="auto"/>
          <w:spacing w:val="-6"/>
          <w:sz w:val="24"/>
          <w:szCs w:val="24"/>
          <w:highlight w:val="none"/>
          <w:lang w:val="en-US" w:eastAsia="zh-CN"/>
        </w:rPr>
        <w:t xml:space="preserve">⑴工时定额费率。按 2020 年《安徽省机动车维修工时定额》规定的标准为基准，进行优惠后的报价费率。如：（工时定额×工时单价）按基准收费为 100 元，供应商拟收80元，则工时定额费率为 80%（报价费率上限为70%，超过70%为响应无效）； </w:t>
      </w:r>
    </w:p>
    <w:p w14:paraId="77A13C60">
      <w:pPr>
        <w:numPr>
          <w:ilvl w:val="0"/>
          <w:numId w:val="0"/>
        </w:numPr>
        <w:spacing w:before="78" w:line="448" w:lineRule="auto"/>
        <w:ind w:right="3" w:rightChars="0" w:firstLine="458" w:firstLineChars="200"/>
        <w:jc w:val="both"/>
        <w:rPr>
          <w:rFonts w:hint="default" w:ascii="宋体" w:hAnsi="宋体" w:eastAsia="宋体" w:cs="宋体"/>
          <w:b/>
          <w:bCs/>
          <w:color w:val="auto"/>
          <w:spacing w:val="-6"/>
          <w:sz w:val="24"/>
          <w:szCs w:val="24"/>
          <w:highlight w:val="none"/>
          <w:lang w:val="en-US" w:eastAsia="zh-CN"/>
        </w:rPr>
      </w:pPr>
      <w:r>
        <w:rPr>
          <w:rFonts w:hint="default" w:ascii="宋体" w:hAnsi="宋体" w:eastAsia="宋体" w:cs="宋体"/>
          <w:b/>
          <w:bCs/>
          <w:color w:val="auto"/>
          <w:spacing w:val="-6"/>
          <w:sz w:val="24"/>
          <w:szCs w:val="24"/>
          <w:highlight w:val="none"/>
          <w:lang w:val="en-US" w:eastAsia="zh-CN"/>
        </w:rPr>
        <w:t xml:space="preserve">⑵材料费率。材料费率是指维修企业向市场采购车辆维修所需配件、材料（含辅助材料）而发生的费用为基准，进行优惠后的报价费率（报价费率上限为90%，超过90%为响应无效）。 </w:t>
      </w:r>
    </w:p>
    <w:p w14:paraId="25A1C467">
      <w:pPr>
        <w:numPr>
          <w:ilvl w:val="0"/>
          <w:numId w:val="3"/>
        </w:numPr>
        <w:spacing w:before="78" w:line="448" w:lineRule="auto"/>
        <w:ind w:right="3" w:rightChars="0" w:firstLine="458" w:firstLineChars="200"/>
        <w:jc w:val="both"/>
        <w:rPr>
          <w:rFonts w:hint="default" w:ascii="宋体" w:hAnsi="宋体" w:eastAsia="宋体" w:cs="宋体"/>
          <w:b/>
          <w:bCs/>
          <w:color w:val="auto"/>
          <w:spacing w:val="-6"/>
          <w:sz w:val="24"/>
          <w:szCs w:val="24"/>
          <w:highlight w:val="none"/>
          <w:lang w:val="en-US" w:eastAsia="zh-CN"/>
        </w:rPr>
      </w:pPr>
      <w:r>
        <w:rPr>
          <w:rFonts w:hint="default" w:ascii="宋体" w:hAnsi="宋体" w:eastAsia="宋体" w:cs="宋体"/>
          <w:b/>
          <w:bCs/>
          <w:color w:val="auto"/>
          <w:spacing w:val="-6"/>
          <w:sz w:val="24"/>
          <w:szCs w:val="24"/>
          <w:highlight w:val="none"/>
          <w:lang w:val="en-US" w:eastAsia="zh-CN"/>
        </w:rPr>
        <w:t xml:space="preserve">所有报价不得为 0。评审小组认为供应商的报价明显低于其他通过符合性审查供应商的报价，有可能影响产品质量或者不能诚信履约的，应当要求其在合理的时间内提供书面说明，必要时提交相关证明材料；供应商不能证明其报价合理性的，其将被认定为响应无效。 </w:t>
      </w:r>
    </w:p>
    <w:p w14:paraId="5C5D396C">
      <w:pPr>
        <w:numPr>
          <w:ilvl w:val="0"/>
          <w:numId w:val="0"/>
        </w:numPr>
        <w:spacing w:before="78" w:line="448" w:lineRule="auto"/>
        <w:ind w:leftChars="200" w:right="3" w:rightChars="0"/>
        <w:jc w:val="both"/>
        <w:rPr>
          <w:rFonts w:hint="default" w:ascii="宋体" w:hAnsi="宋体" w:eastAsia="宋体" w:cs="宋体"/>
          <w:b/>
          <w:bCs/>
          <w:color w:val="auto"/>
          <w:spacing w:val="-6"/>
          <w:sz w:val="24"/>
          <w:szCs w:val="24"/>
          <w:highlight w:val="none"/>
          <w:lang w:val="en-US" w:eastAsia="zh-CN"/>
        </w:rPr>
      </w:pPr>
      <w:r>
        <w:rPr>
          <w:rFonts w:hint="eastAsia" w:ascii="宋体" w:hAnsi="宋体" w:eastAsia="宋体" w:cs="宋体"/>
          <w:b/>
          <w:bCs/>
          <w:color w:val="auto"/>
          <w:spacing w:val="-6"/>
          <w:sz w:val="24"/>
          <w:szCs w:val="24"/>
          <w:highlight w:val="none"/>
          <w:lang w:val="en-US" w:eastAsia="zh-CN"/>
        </w:rPr>
        <w:t>5</w:t>
      </w:r>
      <w:r>
        <w:rPr>
          <w:rFonts w:hint="default" w:ascii="宋体" w:hAnsi="宋体" w:eastAsia="宋体" w:cs="宋体"/>
          <w:b/>
          <w:bCs/>
          <w:color w:val="auto"/>
          <w:spacing w:val="-6"/>
          <w:sz w:val="24"/>
          <w:szCs w:val="24"/>
          <w:highlight w:val="none"/>
          <w:lang w:val="en-US" w:eastAsia="zh-CN"/>
        </w:rPr>
        <w:t xml:space="preserve">、最终结算费用计算公式如下： </w:t>
      </w:r>
    </w:p>
    <w:p w14:paraId="24E2B9CA">
      <w:pPr>
        <w:numPr>
          <w:ilvl w:val="0"/>
          <w:numId w:val="0"/>
        </w:numPr>
        <w:spacing w:before="78" w:line="448" w:lineRule="auto"/>
        <w:ind w:leftChars="200" w:right="3" w:rightChars="0"/>
        <w:jc w:val="both"/>
        <w:rPr>
          <w:rFonts w:hint="default" w:ascii="宋体" w:hAnsi="宋体" w:eastAsia="宋体" w:cs="宋体"/>
          <w:b/>
          <w:bCs/>
          <w:color w:val="auto"/>
          <w:spacing w:val="-6"/>
          <w:sz w:val="24"/>
          <w:szCs w:val="24"/>
          <w:highlight w:val="none"/>
          <w:lang w:val="en-US" w:eastAsia="zh-CN"/>
        </w:rPr>
      </w:pPr>
      <w:r>
        <w:rPr>
          <w:rFonts w:hint="default" w:ascii="宋体" w:hAnsi="宋体" w:eastAsia="宋体" w:cs="宋体"/>
          <w:b/>
          <w:bCs/>
          <w:color w:val="auto"/>
          <w:spacing w:val="-6"/>
          <w:sz w:val="24"/>
          <w:szCs w:val="24"/>
          <w:highlight w:val="none"/>
          <w:lang w:val="en-US" w:eastAsia="zh-CN"/>
        </w:rPr>
        <w:t>工时费=工时定额×工时单价×工时定额费率；</w:t>
      </w:r>
    </w:p>
    <w:p w14:paraId="57E64F98">
      <w:pPr>
        <w:numPr>
          <w:ilvl w:val="0"/>
          <w:numId w:val="0"/>
        </w:numPr>
        <w:spacing w:before="78" w:line="448" w:lineRule="auto"/>
        <w:ind w:leftChars="200" w:right="3" w:rightChars="0"/>
        <w:jc w:val="both"/>
        <w:rPr>
          <w:rFonts w:hint="default" w:ascii="宋体" w:hAnsi="宋体" w:eastAsia="宋体" w:cs="宋体"/>
          <w:b/>
          <w:bCs/>
          <w:color w:val="auto"/>
          <w:spacing w:val="-6"/>
          <w:sz w:val="24"/>
          <w:szCs w:val="24"/>
          <w:highlight w:val="none"/>
          <w:lang w:val="en-US" w:eastAsia="zh-CN"/>
        </w:rPr>
      </w:pPr>
      <w:r>
        <w:rPr>
          <w:rFonts w:hint="default" w:ascii="宋体" w:hAnsi="宋体" w:eastAsia="宋体" w:cs="宋体"/>
          <w:b/>
          <w:bCs/>
          <w:color w:val="auto"/>
          <w:spacing w:val="-6"/>
          <w:sz w:val="24"/>
          <w:szCs w:val="24"/>
          <w:highlight w:val="none"/>
          <w:lang w:val="en-US" w:eastAsia="zh-CN"/>
        </w:rPr>
        <w:t>材料费=材料价</w:t>
      </w:r>
      <w:r>
        <w:rPr>
          <w:rFonts w:hint="eastAsia" w:ascii="宋体" w:hAnsi="宋体" w:eastAsia="宋体" w:cs="宋体"/>
          <w:b/>
          <w:bCs/>
          <w:color w:val="auto"/>
          <w:spacing w:val="-6"/>
          <w:sz w:val="24"/>
          <w:szCs w:val="24"/>
          <w:highlight w:val="none"/>
          <w:lang w:val="en-US" w:eastAsia="zh-CN"/>
        </w:rPr>
        <w:t>格</w:t>
      </w:r>
      <w:r>
        <w:rPr>
          <w:rFonts w:hint="default" w:ascii="宋体" w:hAnsi="宋体" w:eastAsia="宋体" w:cs="宋体"/>
          <w:b/>
          <w:bCs/>
          <w:color w:val="auto"/>
          <w:spacing w:val="-6"/>
          <w:sz w:val="24"/>
          <w:szCs w:val="24"/>
          <w:highlight w:val="none"/>
          <w:lang w:val="en-US" w:eastAsia="zh-CN"/>
        </w:rPr>
        <w:t>×材料费率；</w:t>
      </w:r>
    </w:p>
    <w:p w14:paraId="6768EB73">
      <w:pPr>
        <w:numPr>
          <w:ilvl w:val="0"/>
          <w:numId w:val="0"/>
        </w:numPr>
        <w:spacing w:before="78" w:line="448" w:lineRule="auto"/>
        <w:ind w:leftChars="200" w:right="3" w:rightChars="0"/>
        <w:jc w:val="both"/>
        <w:rPr>
          <w:rFonts w:hint="default" w:ascii="宋体" w:hAnsi="宋体" w:eastAsia="宋体" w:cs="宋体"/>
          <w:b/>
          <w:bCs/>
          <w:color w:val="auto"/>
          <w:spacing w:val="-6"/>
          <w:sz w:val="24"/>
          <w:szCs w:val="24"/>
          <w:highlight w:val="none"/>
          <w:lang w:val="en-US" w:eastAsia="zh-CN"/>
        </w:rPr>
      </w:pPr>
      <w:r>
        <w:rPr>
          <w:rFonts w:hint="default" w:ascii="宋体" w:hAnsi="宋体" w:eastAsia="宋体" w:cs="宋体"/>
          <w:b/>
          <w:bCs/>
          <w:color w:val="auto"/>
          <w:spacing w:val="-6"/>
          <w:sz w:val="24"/>
          <w:szCs w:val="24"/>
          <w:highlight w:val="none"/>
          <w:lang w:val="en-US" w:eastAsia="zh-CN"/>
        </w:rPr>
        <w:t>实际修理费=工时费+材料费；</w:t>
      </w:r>
    </w:p>
    <w:p w14:paraId="42931845">
      <w:pPr>
        <w:widowControl/>
        <w:kinsoku w:val="0"/>
        <w:autoSpaceDE w:val="0"/>
        <w:autoSpaceDN w:val="0"/>
        <w:adjustRightInd w:val="0"/>
        <w:snapToGrid w:val="0"/>
        <w:spacing w:before="277" w:line="360" w:lineRule="auto"/>
        <w:ind w:left="9" w:right="40" w:firstLine="483"/>
        <w:jc w:val="both"/>
        <w:textAlignment w:val="baseline"/>
        <w:rPr>
          <w:rFonts w:ascii="宋体" w:hAnsi="宋体" w:eastAsia="宋体" w:cs="宋体"/>
          <w:b/>
          <w:bCs/>
          <w:snapToGrid w:val="0"/>
          <w:color w:val="auto"/>
          <w:spacing w:val="-1"/>
          <w:kern w:val="0"/>
          <w:sz w:val="24"/>
          <w:szCs w:val="24"/>
          <w:highlight w:val="none"/>
          <w:lang w:eastAsia="en-US"/>
        </w:rPr>
      </w:pPr>
      <w:r>
        <w:rPr>
          <w:rFonts w:ascii="宋体" w:hAnsi="宋体" w:eastAsia="宋体" w:cs="宋体"/>
          <w:b/>
          <w:bCs/>
          <w:snapToGrid w:val="0"/>
          <w:color w:val="auto"/>
          <w:spacing w:val="-1"/>
          <w:kern w:val="0"/>
          <w:sz w:val="24"/>
          <w:szCs w:val="24"/>
          <w:highlight w:val="none"/>
          <w:lang w:eastAsia="en-US"/>
        </w:rPr>
        <w:t>三、服务要求</w:t>
      </w:r>
    </w:p>
    <w:p w14:paraId="3F7217AC">
      <w:pPr>
        <w:widowControl/>
        <w:kinsoku w:val="0"/>
        <w:autoSpaceDE w:val="0"/>
        <w:autoSpaceDN w:val="0"/>
        <w:adjustRightInd w:val="0"/>
        <w:snapToGrid w:val="0"/>
        <w:spacing w:before="277" w:line="360" w:lineRule="auto"/>
        <w:ind w:left="9" w:right="40" w:firstLine="483"/>
        <w:jc w:val="both"/>
        <w:textAlignment w:val="baseline"/>
        <w:rPr>
          <w:rFonts w:hint="eastAsia" w:ascii="宋体" w:hAnsi="宋体" w:eastAsia="宋体" w:cs="宋体"/>
          <w:snapToGrid w:val="0"/>
          <w:color w:val="auto"/>
          <w:spacing w:val="-1"/>
          <w:kern w:val="0"/>
          <w:sz w:val="24"/>
          <w:szCs w:val="24"/>
          <w:highlight w:val="none"/>
          <w:lang w:eastAsia="en-US"/>
        </w:rPr>
      </w:pPr>
      <w:r>
        <w:rPr>
          <w:rFonts w:hint="eastAsia" w:ascii="宋体" w:hAnsi="宋体" w:eastAsia="宋体" w:cs="宋体"/>
          <w:snapToGrid w:val="0"/>
          <w:color w:val="auto"/>
          <w:spacing w:val="-1"/>
          <w:kern w:val="0"/>
          <w:sz w:val="24"/>
          <w:szCs w:val="24"/>
          <w:highlight w:val="none"/>
          <w:lang w:eastAsia="en-US"/>
        </w:rPr>
        <w:t>1.定点维修包括车辆日常维修保养、总成修理，以及《机动车维修管理规定》</w:t>
      </w:r>
    </w:p>
    <w:p w14:paraId="6E0470CC">
      <w:pPr>
        <w:widowControl/>
        <w:kinsoku w:val="0"/>
        <w:autoSpaceDE w:val="0"/>
        <w:autoSpaceDN w:val="0"/>
        <w:adjustRightInd w:val="0"/>
        <w:snapToGrid w:val="0"/>
        <w:spacing w:before="277" w:line="360" w:lineRule="auto"/>
        <w:ind w:right="40"/>
        <w:jc w:val="both"/>
        <w:textAlignment w:val="baseline"/>
        <w:rPr>
          <w:rFonts w:hint="eastAsia" w:ascii="宋体" w:hAnsi="宋体" w:eastAsia="宋体" w:cs="宋体"/>
          <w:snapToGrid w:val="0"/>
          <w:color w:val="auto"/>
          <w:spacing w:val="-1"/>
          <w:kern w:val="0"/>
          <w:sz w:val="24"/>
          <w:szCs w:val="24"/>
          <w:highlight w:val="none"/>
          <w:lang w:eastAsia="en-US"/>
        </w:rPr>
      </w:pPr>
      <w:r>
        <w:rPr>
          <w:rFonts w:hint="eastAsia" w:ascii="宋体" w:hAnsi="宋体" w:eastAsia="宋体" w:cs="宋体"/>
          <w:snapToGrid w:val="0"/>
          <w:color w:val="auto"/>
          <w:spacing w:val="-1"/>
          <w:kern w:val="0"/>
          <w:sz w:val="24"/>
          <w:szCs w:val="24"/>
          <w:highlight w:val="none"/>
          <w:lang w:eastAsia="en-US"/>
        </w:rPr>
        <w:t>规定的汽车维修服务项目 (不含保险维修和新购车辆的免费保修项目)。</w:t>
      </w:r>
    </w:p>
    <w:p w14:paraId="7A94C8F0">
      <w:pPr>
        <w:widowControl/>
        <w:kinsoku w:val="0"/>
        <w:autoSpaceDE w:val="0"/>
        <w:autoSpaceDN w:val="0"/>
        <w:adjustRightInd w:val="0"/>
        <w:snapToGrid w:val="0"/>
        <w:spacing w:before="277" w:line="360" w:lineRule="auto"/>
        <w:ind w:left="9" w:right="40" w:firstLine="483"/>
        <w:jc w:val="both"/>
        <w:textAlignment w:val="baseline"/>
        <w:rPr>
          <w:rFonts w:hint="eastAsia" w:ascii="宋体" w:hAnsi="宋体" w:eastAsia="宋体" w:cs="宋体"/>
          <w:snapToGrid w:val="0"/>
          <w:color w:val="auto"/>
          <w:spacing w:val="-1"/>
          <w:kern w:val="0"/>
          <w:sz w:val="24"/>
          <w:szCs w:val="24"/>
          <w:highlight w:val="none"/>
          <w:lang w:eastAsia="en-US"/>
        </w:rPr>
      </w:pPr>
      <w:r>
        <w:rPr>
          <w:rFonts w:hint="eastAsia" w:ascii="宋体" w:hAnsi="宋体" w:eastAsia="宋体" w:cs="宋体"/>
          <w:snapToGrid w:val="0"/>
          <w:color w:val="auto"/>
          <w:spacing w:val="-1"/>
          <w:kern w:val="0"/>
          <w:sz w:val="24"/>
          <w:szCs w:val="24"/>
          <w:highlight w:val="none"/>
          <w:lang w:eastAsia="en-US"/>
        </w:rPr>
        <w:t>2.维修质量按《机动车维修管理规定》 (中华人民共和国交通运输部令 2019 年</w:t>
      </w:r>
    </w:p>
    <w:p w14:paraId="1AB234EE">
      <w:pPr>
        <w:widowControl/>
        <w:kinsoku w:val="0"/>
        <w:autoSpaceDE w:val="0"/>
        <w:autoSpaceDN w:val="0"/>
        <w:adjustRightInd w:val="0"/>
        <w:snapToGrid w:val="0"/>
        <w:spacing w:before="277" w:line="360" w:lineRule="auto"/>
        <w:ind w:right="40"/>
        <w:jc w:val="both"/>
        <w:textAlignment w:val="baseline"/>
        <w:rPr>
          <w:rFonts w:hint="eastAsia" w:ascii="宋体" w:hAnsi="宋体" w:eastAsia="宋体" w:cs="宋体"/>
          <w:snapToGrid w:val="0"/>
          <w:color w:val="auto"/>
          <w:spacing w:val="-1"/>
          <w:kern w:val="0"/>
          <w:sz w:val="24"/>
          <w:szCs w:val="24"/>
          <w:highlight w:val="none"/>
          <w:lang w:eastAsia="en-US"/>
        </w:rPr>
      </w:pPr>
      <w:r>
        <w:rPr>
          <w:rFonts w:hint="eastAsia" w:ascii="宋体" w:hAnsi="宋体" w:eastAsia="宋体" w:cs="宋体"/>
          <w:snapToGrid w:val="0"/>
          <w:color w:val="auto"/>
          <w:spacing w:val="-1"/>
          <w:kern w:val="0"/>
          <w:sz w:val="24"/>
          <w:szCs w:val="24"/>
          <w:highlight w:val="none"/>
          <w:lang w:eastAsia="en-US"/>
        </w:rPr>
        <w:t>第 20 号) 的有关规定执行。</w:t>
      </w:r>
    </w:p>
    <w:p w14:paraId="08386483">
      <w:pPr>
        <w:widowControl/>
        <w:kinsoku w:val="0"/>
        <w:autoSpaceDE w:val="0"/>
        <w:autoSpaceDN w:val="0"/>
        <w:adjustRightInd w:val="0"/>
        <w:snapToGrid w:val="0"/>
        <w:spacing w:before="277" w:line="360" w:lineRule="auto"/>
        <w:ind w:left="9" w:right="40" w:firstLine="483"/>
        <w:jc w:val="both"/>
        <w:textAlignment w:val="baseline"/>
        <w:rPr>
          <w:rFonts w:hint="eastAsia" w:ascii="宋体" w:hAnsi="宋体" w:eastAsia="宋体" w:cs="宋体"/>
          <w:snapToGrid w:val="0"/>
          <w:color w:val="auto"/>
          <w:spacing w:val="-1"/>
          <w:kern w:val="0"/>
          <w:sz w:val="24"/>
          <w:szCs w:val="24"/>
          <w:highlight w:val="none"/>
          <w:lang w:eastAsia="en-US"/>
        </w:rPr>
      </w:pPr>
      <w:r>
        <w:rPr>
          <w:rFonts w:hint="eastAsia" w:ascii="宋体" w:hAnsi="宋体" w:eastAsia="宋体" w:cs="宋体"/>
          <w:snapToGrid w:val="0"/>
          <w:color w:val="auto"/>
          <w:spacing w:val="-1"/>
          <w:kern w:val="0"/>
          <w:sz w:val="24"/>
          <w:szCs w:val="24"/>
          <w:highlight w:val="none"/>
          <w:lang w:val="en-US" w:eastAsia="zh-CN"/>
        </w:rPr>
        <w:t xml:space="preserve"> 3</w:t>
      </w:r>
      <w:r>
        <w:rPr>
          <w:rFonts w:hint="eastAsia" w:ascii="宋体" w:hAnsi="宋体" w:eastAsia="宋体" w:cs="宋体"/>
          <w:snapToGrid w:val="0"/>
          <w:color w:val="auto"/>
          <w:spacing w:val="-1"/>
          <w:kern w:val="0"/>
          <w:sz w:val="24"/>
          <w:szCs w:val="24"/>
          <w:highlight w:val="none"/>
          <w:lang w:eastAsia="en-US"/>
        </w:rPr>
        <w:t>.在保修期内，因维修质量造成的机械故障、机械事故并由此造成的经济损失， 由负责维修车辆的服务商承担。</w:t>
      </w:r>
    </w:p>
    <w:p w14:paraId="3F7C6211">
      <w:pPr>
        <w:widowControl/>
        <w:kinsoku w:val="0"/>
        <w:autoSpaceDE w:val="0"/>
        <w:autoSpaceDN w:val="0"/>
        <w:adjustRightInd w:val="0"/>
        <w:snapToGrid w:val="0"/>
        <w:spacing w:before="277" w:line="360" w:lineRule="auto"/>
        <w:ind w:left="9" w:right="40" w:firstLine="483"/>
        <w:jc w:val="both"/>
        <w:textAlignment w:val="baseline"/>
        <w:rPr>
          <w:rFonts w:hint="eastAsia" w:ascii="宋体" w:hAnsi="宋体" w:eastAsia="宋体" w:cs="宋体"/>
          <w:snapToGrid w:val="0"/>
          <w:color w:val="auto"/>
          <w:spacing w:val="-1"/>
          <w:kern w:val="0"/>
          <w:sz w:val="24"/>
          <w:szCs w:val="24"/>
          <w:highlight w:val="none"/>
          <w:lang w:val="en-US" w:eastAsia="zh-CN"/>
        </w:rPr>
      </w:pPr>
      <w:r>
        <w:rPr>
          <w:rFonts w:hint="eastAsia" w:ascii="宋体" w:hAnsi="宋体" w:eastAsia="宋体" w:cs="宋体"/>
          <w:snapToGrid w:val="0"/>
          <w:color w:val="auto"/>
          <w:spacing w:val="-1"/>
          <w:kern w:val="0"/>
          <w:sz w:val="24"/>
          <w:szCs w:val="24"/>
          <w:highlight w:val="none"/>
          <w:lang w:val="en-US" w:eastAsia="zh-CN"/>
        </w:rPr>
        <w:t>4..供应商必须提供 24 小时报修服务电话和服务救援车，上门提供简单的故障排除维修服务，同时保证对所修公务车辆随到随修，优先服务，确保车辆能及时报修。抛锚车辆能及时得到救助，必须做到报修后2.5公里内30分钟拖车或技师抵达故障现场；10公里内60分钟拖车或技师抵达故障现场。</w:t>
      </w:r>
    </w:p>
    <w:p w14:paraId="4C05E2AD">
      <w:pPr>
        <w:widowControl/>
        <w:kinsoku w:val="0"/>
        <w:autoSpaceDE w:val="0"/>
        <w:autoSpaceDN w:val="0"/>
        <w:adjustRightInd w:val="0"/>
        <w:snapToGrid w:val="0"/>
        <w:spacing w:before="277" w:line="360" w:lineRule="auto"/>
        <w:ind w:left="9" w:right="40" w:firstLine="483"/>
        <w:jc w:val="both"/>
        <w:textAlignment w:val="baseline"/>
        <w:rPr>
          <w:rFonts w:ascii="宋体" w:hAnsi="宋体" w:eastAsia="宋体" w:cs="宋体"/>
          <w:snapToGrid w:val="0"/>
          <w:color w:val="auto"/>
          <w:spacing w:val="-1"/>
          <w:kern w:val="0"/>
          <w:sz w:val="24"/>
          <w:szCs w:val="24"/>
          <w:highlight w:val="none"/>
          <w:lang w:eastAsia="en-US"/>
        </w:rPr>
      </w:pPr>
      <w:r>
        <w:rPr>
          <w:rFonts w:ascii="宋体" w:hAnsi="宋体" w:eastAsia="宋体" w:cs="宋体"/>
          <w:snapToGrid w:val="0"/>
          <w:color w:val="auto"/>
          <w:spacing w:val="-1"/>
          <w:kern w:val="0"/>
          <w:sz w:val="24"/>
          <w:szCs w:val="24"/>
          <w:highlight w:val="none"/>
          <w:lang w:eastAsia="en-US"/>
        </w:rPr>
        <w:t>5.</w:t>
      </w:r>
      <w:r>
        <w:rPr>
          <w:rFonts w:hint="eastAsia" w:ascii="宋体" w:hAnsi="宋体" w:eastAsia="宋体" w:cs="宋体"/>
          <w:snapToGrid w:val="0"/>
          <w:color w:val="auto"/>
          <w:spacing w:val="-1"/>
          <w:kern w:val="0"/>
          <w:sz w:val="24"/>
          <w:szCs w:val="24"/>
          <w:highlight w:val="none"/>
          <w:lang w:eastAsia="en-US"/>
        </w:rPr>
        <w:t>供应商必须提供上门车辆维修服务或者根据车辆使用单位要求到指定地点取车，维修完毕后送车上门等服务，取送车发生的费用和责任全部由</w:t>
      </w:r>
      <w:r>
        <w:rPr>
          <w:rFonts w:hint="eastAsia" w:ascii="宋体" w:hAnsi="宋体" w:eastAsia="宋体" w:cs="宋体"/>
          <w:snapToGrid w:val="0"/>
          <w:color w:val="auto"/>
          <w:spacing w:val="-1"/>
          <w:kern w:val="0"/>
          <w:sz w:val="24"/>
          <w:szCs w:val="24"/>
          <w:highlight w:val="none"/>
          <w:lang w:val="en-US" w:eastAsia="zh-CN"/>
        </w:rPr>
        <w:t>供应商</w:t>
      </w:r>
      <w:r>
        <w:rPr>
          <w:rFonts w:hint="eastAsia" w:ascii="宋体" w:hAnsi="宋体" w:eastAsia="宋体" w:cs="宋体"/>
          <w:snapToGrid w:val="0"/>
          <w:color w:val="auto"/>
          <w:spacing w:val="-1"/>
          <w:kern w:val="0"/>
          <w:sz w:val="24"/>
          <w:szCs w:val="24"/>
          <w:highlight w:val="none"/>
          <w:lang w:eastAsia="en-US"/>
        </w:rPr>
        <w:t>承担</w:t>
      </w:r>
      <w:r>
        <w:rPr>
          <w:rFonts w:ascii="宋体" w:hAnsi="宋体" w:eastAsia="宋体" w:cs="宋体"/>
          <w:snapToGrid w:val="0"/>
          <w:color w:val="auto"/>
          <w:spacing w:val="-1"/>
          <w:kern w:val="0"/>
          <w:sz w:val="24"/>
          <w:szCs w:val="24"/>
          <w:highlight w:val="none"/>
          <w:lang w:eastAsia="en-US"/>
        </w:rPr>
        <w:t>。</w:t>
      </w:r>
    </w:p>
    <w:p w14:paraId="39E1741C">
      <w:pPr>
        <w:widowControl/>
        <w:kinsoku w:val="0"/>
        <w:autoSpaceDE w:val="0"/>
        <w:autoSpaceDN w:val="0"/>
        <w:adjustRightInd w:val="0"/>
        <w:snapToGrid w:val="0"/>
        <w:spacing w:before="277" w:line="360" w:lineRule="auto"/>
        <w:ind w:left="9" w:right="40" w:firstLine="483"/>
        <w:jc w:val="both"/>
        <w:textAlignment w:val="baseline"/>
        <w:rPr>
          <w:rFonts w:ascii="宋体" w:hAnsi="宋体" w:eastAsia="宋体" w:cs="宋体"/>
          <w:snapToGrid w:val="0"/>
          <w:color w:val="auto"/>
          <w:spacing w:val="-1"/>
          <w:kern w:val="0"/>
          <w:sz w:val="24"/>
          <w:szCs w:val="24"/>
          <w:highlight w:val="none"/>
          <w:lang w:eastAsia="en-US"/>
        </w:rPr>
      </w:pPr>
      <w:r>
        <w:rPr>
          <w:rFonts w:ascii="宋体" w:hAnsi="宋体" w:eastAsia="宋体" w:cs="宋体"/>
          <w:snapToGrid w:val="0"/>
          <w:color w:val="auto"/>
          <w:spacing w:val="-1"/>
          <w:kern w:val="0"/>
          <w:sz w:val="24"/>
          <w:szCs w:val="24"/>
          <w:highlight w:val="none"/>
          <w:lang w:eastAsia="en-US"/>
        </w:rPr>
        <w:t>6.为加强监督管理，本次协议要求各服务商承诺建立车辆维修档案(包括纸质档案或电子档案)，定期报送维修报表。维修档案内容包括：车辆所属单位、驾驶员姓名、车牌号、维修内容、更换配件名称、原厂件或是副厂件、配件价格、维修工时、工时价格、维修金额等。</w:t>
      </w:r>
      <w:r>
        <w:rPr>
          <w:rFonts w:hint="eastAsia" w:ascii="宋体" w:hAnsi="宋体" w:eastAsia="宋体" w:cs="宋体"/>
          <w:snapToGrid w:val="0"/>
          <w:color w:val="auto"/>
          <w:spacing w:val="-1"/>
          <w:kern w:val="0"/>
          <w:sz w:val="24"/>
          <w:szCs w:val="24"/>
          <w:highlight w:val="none"/>
          <w:lang w:eastAsia="zh-CN"/>
        </w:rPr>
        <w:t>征集人</w:t>
      </w:r>
      <w:r>
        <w:rPr>
          <w:rFonts w:ascii="宋体" w:hAnsi="宋体" w:eastAsia="宋体" w:cs="宋体"/>
          <w:snapToGrid w:val="0"/>
          <w:color w:val="auto"/>
          <w:spacing w:val="-1"/>
          <w:kern w:val="0"/>
          <w:sz w:val="24"/>
          <w:szCs w:val="24"/>
          <w:highlight w:val="none"/>
          <w:lang w:eastAsia="en-US"/>
        </w:rPr>
        <w:t>将不定期对服务商实施情况进行检查。</w:t>
      </w:r>
    </w:p>
    <w:p w14:paraId="09A3B15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76" w:firstLineChars="200"/>
        <w:textAlignment w:val="auto"/>
        <w:rPr>
          <w:rFonts w:hint="eastAsia" w:ascii="宋体" w:hAnsi="宋体" w:eastAsia="宋体" w:cs="宋体"/>
          <w:color w:val="auto"/>
          <w:spacing w:val="8"/>
          <w:sz w:val="24"/>
          <w:szCs w:val="24"/>
          <w:highlight w:val="none"/>
          <w:lang w:val="en-US" w:eastAsia="zh-CN"/>
        </w:rPr>
      </w:pPr>
      <w:r>
        <w:rPr>
          <w:rFonts w:hint="eastAsia" w:ascii="宋体" w:hAnsi="宋体" w:eastAsia="宋体" w:cs="宋体"/>
          <w:snapToGrid w:val="0"/>
          <w:color w:val="auto"/>
          <w:spacing w:val="-1"/>
          <w:kern w:val="0"/>
          <w:sz w:val="24"/>
          <w:szCs w:val="24"/>
          <w:highlight w:val="none"/>
          <w:lang w:val="en-US" w:eastAsia="zh-CN"/>
        </w:rPr>
        <w:t>7.</w:t>
      </w:r>
      <w:r>
        <w:rPr>
          <w:rFonts w:hint="eastAsia" w:ascii="宋体" w:hAnsi="宋体" w:eastAsia="宋体" w:cs="宋体"/>
          <w:color w:val="auto"/>
          <w:spacing w:val="8"/>
          <w:sz w:val="24"/>
          <w:szCs w:val="24"/>
          <w:highlight w:val="none"/>
          <w:lang w:val="en-US" w:eastAsia="zh-CN"/>
        </w:rPr>
        <w:t>必须建立维修车辆档案，实行“一车一档”档案管理，维修档案内容包括:</w:t>
      </w:r>
    </w:p>
    <w:p w14:paraId="6F2BA510">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宋体" w:hAnsi="宋体" w:eastAsia="宋体" w:cs="宋体"/>
          <w:snapToGrid w:val="0"/>
          <w:color w:val="auto"/>
          <w:spacing w:val="-1"/>
          <w:kern w:val="0"/>
          <w:sz w:val="24"/>
          <w:szCs w:val="24"/>
          <w:highlight w:val="none"/>
          <w:lang w:val="en-US" w:eastAsia="zh-CN"/>
        </w:rPr>
      </w:pPr>
      <w:r>
        <w:rPr>
          <w:rFonts w:hint="eastAsia" w:ascii="宋体" w:hAnsi="宋体" w:eastAsia="宋体" w:cs="宋体"/>
          <w:color w:val="auto"/>
          <w:spacing w:val="8"/>
          <w:sz w:val="24"/>
          <w:szCs w:val="24"/>
          <w:highlight w:val="none"/>
          <w:lang w:val="en-US" w:eastAsia="zh-CN"/>
        </w:rPr>
        <w:t>车辆所属单位、驾驶员姓名、车牌号、维修内容、更换配件名称、配件金额、维修工时金额等，否则将不予认可和支付。同时按照公车管理要求，维修内容明细须录入安徽省公车监督管理平台，加入平台费用由入围供应商自行承担(提供承诺函，格式自拟，须实质响应)。</w:t>
      </w:r>
    </w:p>
    <w:p w14:paraId="26AF25E9">
      <w:pPr>
        <w:widowControl/>
        <w:kinsoku w:val="0"/>
        <w:autoSpaceDE w:val="0"/>
        <w:autoSpaceDN w:val="0"/>
        <w:adjustRightInd w:val="0"/>
        <w:snapToGrid w:val="0"/>
        <w:spacing w:before="277" w:line="430" w:lineRule="auto"/>
        <w:ind w:right="40" w:firstLine="239" w:firstLineChars="100"/>
        <w:jc w:val="both"/>
        <w:textAlignment w:val="baseline"/>
        <w:rPr>
          <w:rFonts w:ascii="宋体" w:hAnsi="宋体" w:eastAsia="宋体" w:cs="宋体"/>
          <w:b/>
          <w:bCs/>
          <w:snapToGrid w:val="0"/>
          <w:color w:val="auto"/>
          <w:spacing w:val="-1"/>
          <w:kern w:val="0"/>
          <w:sz w:val="24"/>
          <w:szCs w:val="24"/>
          <w:highlight w:val="none"/>
          <w:lang w:eastAsia="en-US"/>
        </w:rPr>
      </w:pPr>
      <w:r>
        <w:rPr>
          <w:rFonts w:ascii="宋体" w:hAnsi="宋体" w:eastAsia="宋体" w:cs="宋体"/>
          <w:b/>
          <w:bCs/>
          <w:snapToGrid w:val="0"/>
          <w:color w:val="auto"/>
          <w:spacing w:val="-1"/>
          <w:kern w:val="0"/>
          <w:sz w:val="24"/>
          <w:szCs w:val="24"/>
          <w:highlight w:val="none"/>
          <w:lang w:eastAsia="en-US"/>
        </w:rPr>
        <w:t>四、费用结算及支付方式</w:t>
      </w:r>
    </w:p>
    <w:p w14:paraId="14F90A2B">
      <w:pPr>
        <w:widowControl/>
        <w:kinsoku w:val="0"/>
        <w:autoSpaceDE w:val="0"/>
        <w:autoSpaceDN w:val="0"/>
        <w:adjustRightInd w:val="0"/>
        <w:snapToGrid w:val="0"/>
        <w:spacing w:before="277" w:line="430" w:lineRule="auto"/>
        <w:ind w:right="40" w:firstLine="476" w:firstLineChars="200"/>
        <w:jc w:val="both"/>
        <w:textAlignment w:val="baseline"/>
        <w:rPr>
          <w:rFonts w:hint="default" w:ascii="宋体" w:hAnsi="宋体" w:eastAsia="宋体" w:cs="宋体"/>
          <w:snapToGrid w:val="0"/>
          <w:color w:val="auto"/>
          <w:spacing w:val="-1"/>
          <w:kern w:val="0"/>
          <w:sz w:val="24"/>
          <w:szCs w:val="24"/>
          <w:highlight w:val="none"/>
          <w:lang w:val="en-US" w:eastAsia="zh-CN"/>
        </w:rPr>
        <w:sectPr>
          <w:headerReference r:id="rId3" w:type="default"/>
          <w:footerReference r:id="rId4" w:type="default"/>
          <w:pgSz w:w="11906" w:h="16840"/>
          <w:pgMar w:top="1101" w:right="1399" w:bottom="1152" w:left="1463" w:header="902" w:footer="917" w:gutter="0"/>
          <w:pgNumType w:fmt="decimal" w:start="1"/>
          <w:cols w:space="720" w:num="1"/>
        </w:sectPr>
      </w:pPr>
      <w:r>
        <w:rPr>
          <w:rFonts w:ascii="宋体" w:hAnsi="宋体" w:eastAsia="宋体" w:cs="宋体"/>
          <w:snapToGrid w:val="0"/>
          <w:color w:val="auto"/>
          <w:spacing w:val="-1"/>
          <w:kern w:val="0"/>
          <w:sz w:val="24"/>
          <w:szCs w:val="24"/>
          <w:highlight w:val="none"/>
          <w:lang w:eastAsia="en-US"/>
        </w:rPr>
        <w:t>车辆维修价格以本次协议确定的维修价格为最高限价，合同价以双方协商确定的维修价格为准，在框架协议期限内按月</w:t>
      </w:r>
      <w:r>
        <w:rPr>
          <w:rFonts w:hint="eastAsia" w:ascii="宋体" w:hAnsi="宋体" w:eastAsia="宋体" w:cs="宋体"/>
          <w:snapToGrid w:val="0"/>
          <w:color w:val="auto"/>
          <w:spacing w:val="-1"/>
          <w:kern w:val="0"/>
          <w:sz w:val="24"/>
          <w:szCs w:val="24"/>
          <w:highlight w:val="none"/>
          <w:lang w:val="en-US" w:eastAsia="zh-CN"/>
        </w:rPr>
        <w:t>据实</w:t>
      </w:r>
      <w:r>
        <w:rPr>
          <w:rFonts w:ascii="宋体" w:hAnsi="宋体" w:eastAsia="宋体" w:cs="宋体"/>
          <w:snapToGrid w:val="0"/>
          <w:color w:val="auto"/>
          <w:spacing w:val="-1"/>
          <w:kern w:val="0"/>
          <w:sz w:val="24"/>
          <w:szCs w:val="24"/>
          <w:highlight w:val="none"/>
          <w:lang w:eastAsia="en-US"/>
        </w:rPr>
        <w:t>结算。</w:t>
      </w:r>
    </w:p>
    <w:p w14:paraId="2B6633FB">
      <w:pPr>
        <w:pStyle w:val="2"/>
        <w:ind w:left="0" w:leftChars="0" w:firstLine="0" w:firstLineChars="0"/>
        <w:rPr>
          <w:rFonts w:hint="eastAsia"/>
          <w:color w:val="auto"/>
          <w:highlight w:val="none"/>
          <w:lang w:val="en-US" w:eastAsia="zh-CN"/>
        </w:rPr>
      </w:pPr>
    </w:p>
    <w:p w14:paraId="24354D8E">
      <w:pPr>
        <w:pStyle w:val="6"/>
        <w:numPr>
          <w:ilvl w:val="0"/>
          <w:numId w:val="0"/>
        </w:numPr>
        <w:bidi w:val="0"/>
        <w:jc w:val="center"/>
        <w:rPr>
          <w:rFonts w:hint="default"/>
          <w:color w:val="auto"/>
          <w:highlight w:val="none"/>
          <w:lang w:val="en-US" w:eastAsia="zh-CN"/>
        </w:rPr>
      </w:pPr>
      <w:bookmarkStart w:id="8" w:name="_Toc20703"/>
      <w:r>
        <w:rPr>
          <w:rFonts w:hint="eastAsia"/>
          <w:color w:val="auto"/>
          <w:highlight w:val="none"/>
          <w:lang w:val="en-US" w:eastAsia="zh-CN"/>
        </w:rPr>
        <w:t>第八章 用户反馈和评价机制</w:t>
      </w:r>
      <w:bookmarkEnd w:id="8"/>
    </w:p>
    <w:p w14:paraId="296268AA">
      <w:pPr>
        <w:keepNext w:val="0"/>
        <w:keepLines w:val="0"/>
        <w:pageBreakBefore w:val="0"/>
        <w:widowControl/>
        <w:suppressLineNumbers w:val="0"/>
        <w:kinsoku/>
        <w:wordWrap/>
        <w:overflowPunct/>
        <w:topLinePunct w:val="0"/>
        <w:autoSpaceDE/>
        <w:autoSpaceDN/>
        <w:bidi w:val="0"/>
        <w:adjustRightInd/>
        <w:snapToGrid/>
        <w:spacing w:line="560" w:lineRule="exact"/>
        <w:ind w:firstLine="480" w:firstLineChars="20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征集人接受采购人和服务对象对入围供应商履行框架协议和采购合同情况的反馈与评价，并将用户反馈和评价情况向采购人和服务对象公开，可作为第二阶段直接选定成交供应商的参考。</w:t>
      </w:r>
    </w:p>
    <w:p w14:paraId="139ECA05">
      <w:pPr>
        <w:pStyle w:val="2"/>
        <w:rPr>
          <w:rFonts w:hint="eastAsia"/>
          <w:color w:val="auto"/>
          <w:highlight w:val="none"/>
          <w:lang w:val="en-US" w:eastAsia="zh-CN"/>
        </w:rPr>
      </w:pPr>
    </w:p>
    <w:p w14:paraId="3D129A1D">
      <w:pPr>
        <w:pStyle w:val="6"/>
        <w:numPr>
          <w:ilvl w:val="0"/>
          <w:numId w:val="0"/>
        </w:numPr>
        <w:bidi w:val="0"/>
        <w:jc w:val="center"/>
        <w:rPr>
          <w:rFonts w:hint="eastAsia"/>
          <w:color w:val="auto"/>
          <w:highlight w:val="none"/>
          <w:lang w:val="en-US" w:eastAsia="zh-CN"/>
        </w:rPr>
      </w:pPr>
      <w:bookmarkStart w:id="9" w:name="_Toc10638"/>
      <w:r>
        <w:rPr>
          <w:rFonts w:hint="eastAsia"/>
          <w:color w:val="auto"/>
          <w:highlight w:val="none"/>
          <w:lang w:val="en-US" w:eastAsia="zh-CN"/>
        </w:rPr>
        <w:t>第九章 框架协议和采购合同</w:t>
      </w:r>
      <w:bookmarkEnd w:id="9"/>
    </w:p>
    <w:p w14:paraId="71D14658">
      <w:pPr>
        <w:keepNext w:val="0"/>
        <w:keepLines w:val="0"/>
        <w:pageBreakBefore w:val="0"/>
        <w:widowControl/>
        <w:suppressLineNumbers w:val="0"/>
        <w:kinsoku/>
        <w:wordWrap/>
        <w:overflowPunct/>
        <w:topLinePunct w:val="0"/>
        <w:autoSpaceDE/>
        <w:autoSpaceDN/>
        <w:bidi w:val="0"/>
        <w:adjustRightInd/>
        <w:snapToGrid/>
        <w:spacing w:line="560" w:lineRule="exact"/>
        <w:ind w:firstLine="480" w:firstLineChars="20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本项目框架协议及采购合同依据征集公告及征集文件确定的事项进行签订。</w:t>
      </w:r>
    </w:p>
    <w:p w14:paraId="0B331ACA">
      <w:pPr>
        <w:pStyle w:val="2"/>
        <w:rPr>
          <w:rFonts w:hint="default"/>
          <w:color w:val="auto"/>
          <w:highlight w:val="none"/>
          <w:lang w:val="en-US" w:eastAsia="zh-CN"/>
        </w:rPr>
      </w:pPr>
    </w:p>
    <w:p w14:paraId="7B71B583">
      <w:pPr>
        <w:pStyle w:val="2"/>
        <w:ind w:left="0" w:leftChars="0" w:firstLine="0" w:firstLineChars="0"/>
        <w:rPr>
          <w:color w:val="auto"/>
          <w:highlight w:val="none"/>
        </w:rPr>
      </w:pPr>
    </w:p>
    <w:p w14:paraId="1962A106">
      <w:pPr>
        <w:pStyle w:val="6"/>
        <w:bidi w:val="0"/>
        <w:jc w:val="center"/>
        <w:rPr>
          <w:color w:val="auto"/>
          <w:highlight w:val="none"/>
        </w:rPr>
      </w:pPr>
      <w:bookmarkStart w:id="10" w:name="_Toc669"/>
      <w:r>
        <w:rPr>
          <w:rFonts w:hint="eastAsia"/>
          <w:color w:val="auto"/>
          <w:highlight w:val="none"/>
          <w:lang w:val="en-US" w:eastAsia="zh-CN"/>
        </w:rPr>
        <w:t>第十章 供应商信用信息</w:t>
      </w:r>
      <w:bookmarkEnd w:id="10"/>
    </w:p>
    <w:p w14:paraId="31D7379C">
      <w:pPr>
        <w:keepNext w:val="0"/>
        <w:keepLines w:val="0"/>
        <w:pageBreakBefore w:val="0"/>
        <w:widowControl/>
        <w:suppressLineNumbers w:val="0"/>
        <w:kinsoku/>
        <w:wordWrap/>
        <w:overflowPunct/>
        <w:topLinePunct w:val="0"/>
        <w:autoSpaceDE/>
        <w:autoSpaceDN/>
        <w:bidi w:val="0"/>
        <w:adjustRightInd/>
        <w:snapToGrid/>
        <w:spacing w:line="560" w:lineRule="exact"/>
        <w:ind w:firstLine="480" w:firstLineChars="200"/>
        <w:jc w:val="both"/>
        <w:textAlignment w:val="auto"/>
        <w:rPr>
          <w:color w:val="auto"/>
          <w:sz w:val="24"/>
          <w:szCs w:val="24"/>
          <w:highlight w:val="none"/>
        </w:rPr>
      </w:pPr>
      <w:r>
        <w:rPr>
          <w:rFonts w:hint="eastAsia" w:ascii="宋体" w:hAnsi="宋体" w:eastAsia="宋体" w:cs="宋体"/>
          <w:color w:val="auto"/>
          <w:kern w:val="0"/>
          <w:sz w:val="24"/>
          <w:szCs w:val="24"/>
          <w:highlight w:val="none"/>
          <w:lang w:val="en-US" w:eastAsia="zh-CN" w:bidi="ar"/>
        </w:rPr>
        <w:t xml:space="preserve">供应商存在不良信用记录的不得入围。 </w:t>
      </w:r>
    </w:p>
    <w:p w14:paraId="386ED83B">
      <w:pPr>
        <w:keepNext w:val="0"/>
        <w:keepLines w:val="0"/>
        <w:pageBreakBefore w:val="0"/>
        <w:widowControl/>
        <w:suppressLineNumbers w:val="0"/>
        <w:kinsoku/>
        <w:wordWrap/>
        <w:overflowPunct/>
        <w:topLinePunct w:val="0"/>
        <w:autoSpaceDE/>
        <w:autoSpaceDN/>
        <w:bidi w:val="0"/>
        <w:adjustRightInd/>
        <w:snapToGrid/>
        <w:spacing w:line="560" w:lineRule="exact"/>
        <w:ind w:firstLine="482" w:firstLineChars="200"/>
        <w:jc w:val="both"/>
        <w:textAlignment w:val="auto"/>
        <w:rPr>
          <w:b/>
          <w:bCs/>
          <w:color w:val="auto"/>
          <w:sz w:val="24"/>
          <w:szCs w:val="24"/>
          <w:highlight w:val="none"/>
        </w:rPr>
      </w:pPr>
      <w:r>
        <w:rPr>
          <w:rFonts w:hint="eastAsia" w:ascii="宋体" w:hAnsi="宋体" w:eastAsia="宋体" w:cs="宋体"/>
          <w:b/>
          <w:bCs/>
          <w:color w:val="auto"/>
          <w:kern w:val="0"/>
          <w:sz w:val="24"/>
          <w:szCs w:val="24"/>
          <w:highlight w:val="none"/>
          <w:lang w:val="en-US" w:eastAsia="zh-CN" w:bidi="ar"/>
        </w:rPr>
        <w:t>1、不良信用记录是指：</w:t>
      </w:r>
    </w:p>
    <w:p w14:paraId="354173A4">
      <w:pPr>
        <w:keepNext w:val="0"/>
        <w:keepLines w:val="0"/>
        <w:pageBreakBefore w:val="0"/>
        <w:widowControl/>
        <w:suppressLineNumbers w:val="0"/>
        <w:kinsoku/>
        <w:wordWrap/>
        <w:overflowPunct/>
        <w:topLinePunct w:val="0"/>
        <w:autoSpaceDE/>
        <w:autoSpaceDN/>
        <w:bidi w:val="0"/>
        <w:adjustRightInd/>
        <w:snapToGrid/>
        <w:spacing w:line="560" w:lineRule="exact"/>
        <w:ind w:firstLine="480" w:firstLineChars="200"/>
        <w:jc w:val="both"/>
        <w:textAlignment w:val="auto"/>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1</w:t>
      </w:r>
      <w:r>
        <w:rPr>
          <w:rFonts w:hint="eastAsia"/>
          <w:color w:val="auto"/>
          <w:sz w:val="24"/>
          <w:szCs w:val="24"/>
          <w:highlight w:val="none"/>
          <w:lang w:eastAsia="zh-CN"/>
        </w:rPr>
        <w:t>）</w:t>
      </w:r>
      <w:r>
        <w:rPr>
          <w:rFonts w:hint="eastAsia"/>
          <w:color w:val="auto"/>
          <w:sz w:val="24"/>
          <w:szCs w:val="24"/>
          <w:highlight w:val="none"/>
        </w:rPr>
        <w:t>被人民法院列入失信被执行人；</w:t>
      </w:r>
    </w:p>
    <w:p w14:paraId="054C1C6D">
      <w:pPr>
        <w:keepNext w:val="0"/>
        <w:keepLines w:val="0"/>
        <w:pageBreakBefore w:val="0"/>
        <w:widowControl/>
        <w:suppressLineNumbers w:val="0"/>
        <w:kinsoku/>
        <w:wordWrap/>
        <w:overflowPunct/>
        <w:topLinePunct w:val="0"/>
        <w:autoSpaceDE/>
        <w:autoSpaceDN/>
        <w:bidi w:val="0"/>
        <w:adjustRightInd/>
        <w:snapToGrid/>
        <w:spacing w:line="560" w:lineRule="exact"/>
        <w:ind w:firstLine="480" w:firstLineChars="200"/>
        <w:jc w:val="both"/>
        <w:textAlignment w:val="auto"/>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2</w:t>
      </w:r>
      <w:r>
        <w:rPr>
          <w:rFonts w:hint="eastAsia"/>
          <w:color w:val="auto"/>
          <w:sz w:val="24"/>
          <w:szCs w:val="24"/>
          <w:highlight w:val="none"/>
          <w:lang w:eastAsia="zh-CN"/>
        </w:rPr>
        <w:t>）</w:t>
      </w:r>
      <w:r>
        <w:rPr>
          <w:rFonts w:hint="eastAsia"/>
          <w:color w:val="auto"/>
          <w:sz w:val="24"/>
          <w:szCs w:val="24"/>
          <w:highlight w:val="none"/>
        </w:rPr>
        <w:t>被市场监督管理部门列入</w:t>
      </w:r>
      <w:r>
        <w:rPr>
          <w:rFonts w:hint="eastAsia"/>
          <w:color w:val="auto"/>
          <w:sz w:val="24"/>
          <w:szCs w:val="24"/>
          <w:highlight w:val="none"/>
          <w:lang w:eastAsia="zh-CN"/>
        </w:rPr>
        <w:t>严重违法失信企业</w:t>
      </w:r>
      <w:r>
        <w:rPr>
          <w:rFonts w:hint="eastAsia"/>
          <w:color w:val="auto"/>
          <w:sz w:val="24"/>
          <w:szCs w:val="24"/>
          <w:highlight w:val="none"/>
        </w:rPr>
        <w:t>名录；</w:t>
      </w:r>
    </w:p>
    <w:p w14:paraId="25188DC6">
      <w:pPr>
        <w:keepNext w:val="0"/>
        <w:keepLines w:val="0"/>
        <w:pageBreakBefore w:val="0"/>
        <w:widowControl/>
        <w:suppressLineNumbers w:val="0"/>
        <w:kinsoku/>
        <w:wordWrap/>
        <w:overflowPunct/>
        <w:topLinePunct w:val="0"/>
        <w:autoSpaceDE/>
        <w:autoSpaceDN/>
        <w:bidi w:val="0"/>
        <w:adjustRightInd/>
        <w:snapToGrid/>
        <w:spacing w:line="560" w:lineRule="exact"/>
        <w:ind w:firstLine="480" w:firstLineChars="200"/>
        <w:jc w:val="both"/>
        <w:textAlignment w:val="auto"/>
        <w:rPr>
          <w:color w:val="auto"/>
          <w:sz w:val="24"/>
          <w:szCs w:val="24"/>
          <w:highlight w:val="none"/>
        </w:rPr>
      </w:pPr>
      <w:r>
        <w:rPr>
          <w:rFonts w:hint="eastAsia"/>
          <w:color w:val="auto"/>
          <w:sz w:val="24"/>
          <w:szCs w:val="24"/>
          <w:highlight w:val="none"/>
          <w:lang w:val="en-US" w:eastAsia="zh-CN"/>
        </w:rPr>
        <w:t>（3）</w:t>
      </w:r>
      <w:r>
        <w:rPr>
          <w:rFonts w:hint="eastAsia"/>
          <w:color w:val="auto"/>
          <w:sz w:val="24"/>
          <w:szCs w:val="24"/>
          <w:highlight w:val="none"/>
        </w:rPr>
        <w:t>被税务部门列入重大税收违法案件当事人名单的；</w:t>
      </w:r>
    </w:p>
    <w:p w14:paraId="5793A0C5">
      <w:pPr>
        <w:keepNext w:val="0"/>
        <w:keepLines w:val="0"/>
        <w:pageBreakBefore w:val="0"/>
        <w:widowControl/>
        <w:suppressLineNumbers w:val="0"/>
        <w:kinsoku/>
        <w:wordWrap/>
        <w:overflowPunct/>
        <w:topLinePunct w:val="0"/>
        <w:autoSpaceDE/>
        <w:autoSpaceDN/>
        <w:bidi w:val="0"/>
        <w:adjustRightInd/>
        <w:snapToGrid/>
        <w:spacing w:line="560" w:lineRule="exact"/>
        <w:ind w:firstLine="480" w:firstLineChars="200"/>
        <w:jc w:val="both"/>
        <w:textAlignment w:val="auto"/>
        <w:rPr>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4</w:t>
      </w:r>
      <w:r>
        <w:rPr>
          <w:rFonts w:hint="eastAsia"/>
          <w:color w:val="auto"/>
          <w:sz w:val="24"/>
          <w:szCs w:val="24"/>
          <w:highlight w:val="none"/>
          <w:lang w:eastAsia="zh-CN"/>
        </w:rPr>
        <w:t>）</w:t>
      </w:r>
      <w:r>
        <w:rPr>
          <w:rFonts w:hint="eastAsia"/>
          <w:color w:val="auto"/>
          <w:sz w:val="24"/>
          <w:szCs w:val="24"/>
          <w:highlight w:val="none"/>
        </w:rPr>
        <w:t>被政府采购监管部门列入政府采购严重违法失信行为记录名单。</w:t>
      </w:r>
    </w:p>
    <w:p w14:paraId="0037A467">
      <w:pPr>
        <w:keepNext w:val="0"/>
        <w:keepLines w:val="0"/>
        <w:pageBreakBefore w:val="0"/>
        <w:widowControl/>
        <w:suppressLineNumbers w:val="0"/>
        <w:kinsoku/>
        <w:wordWrap/>
        <w:overflowPunct/>
        <w:topLinePunct w:val="0"/>
        <w:autoSpaceDE/>
        <w:autoSpaceDN/>
        <w:bidi w:val="0"/>
        <w:adjustRightInd/>
        <w:snapToGrid/>
        <w:spacing w:line="560" w:lineRule="exact"/>
        <w:ind w:firstLine="482" w:firstLineChars="200"/>
        <w:jc w:val="both"/>
        <w:textAlignment w:val="auto"/>
        <w:rPr>
          <w:color w:val="auto"/>
          <w:sz w:val="24"/>
          <w:szCs w:val="24"/>
          <w:highlight w:val="none"/>
        </w:rPr>
      </w:pPr>
      <w:r>
        <w:rPr>
          <w:rFonts w:hint="eastAsia" w:ascii="宋体" w:hAnsi="宋体" w:eastAsia="宋体" w:cs="宋体"/>
          <w:b/>
          <w:bCs/>
          <w:color w:val="auto"/>
          <w:kern w:val="0"/>
          <w:sz w:val="24"/>
          <w:szCs w:val="24"/>
          <w:highlight w:val="none"/>
          <w:lang w:val="en-US" w:eastAsia="zh-CN" w:bidi="ar"/>
        </w:rPr>
        <w:t>2、信用信息查询渠道：</w:t>
      </w:r>
      <w:r>
        <w:rPr>
          <w:rFonts w:hint="eastAsia" w:ascii="宋体" w:hAnsi="宋体" w:eastAsia="宋体" w:cs="宋体"/>
          <w:color w:val="auto"/>
          <w:kern w:val="0"/>
          <w:sz w:val="24"/>
          <w:szCs w:val="24"/>
          <w:highlight w:val="none"/>
          <w:lang w:val="en-US" w:eastAsia="zh-CN" w:bidi="ar"/>
        </w:rPr>
        <w:t>中国政府采购网（www.ccgp.gov.cn）、“信用中国” 网站（www.creditchina.gov.cn）、国家企业信用信息公示系统（www.gsxt.gov.cn）。</w:t>
      </w:r>
    </w:p>
    <w:p w14:paraId="2085DD33">
      <w:pPr>
        <w:keepNext w:val="0"/>
        <w:keepLines w:val="0"/>
        <w:pageBreakBefore w:val="0"/>
        <w:widowControl/>
        <w:suppressLineNumbers w:val="0"/>
        <w:kinsoku/>
        <w:wordWrap/>
        <w:overflowPunct/>
        <w:topLinePunct w:val="0"/>
        <w:autoSpaceDE/>
        <w:autoSpaceDN/>
        <w:bidi w:val="0"/>
        <w:adjustRightInd/>
        <w:snapToGrid/>
        <w:spacing w:line="560" w:lineRule="exact"/>
        <w:ind w:firstLine="482" w:firstLineChars="200"/>
        <w:jc w:val="both"/>
        <w:textAlignment w:val="auto"/>
        <w:rPr>
          <w:color w:val="auto"/>
          <w:sz w:val="24"/>
          <w:szCs w:val="24"/>
          <w:highlight w:val="none"/>
        </w:rPr>
      </w:pPr>
      <w:r>
        <w:rPr>
          <w:rFonts w:hint="eastAsia" w:ascii="宋体" w:hAnsi="宋体" w:eastAsia="宋体" w:cs="宋体"/>
          <w:b/>
          <w:bCs/>
          <w:color w:val="auto"/>
          <w:kern w:val="0"/>
          <w:sz w:val="24"/>
          <w:szCs w:val="24"/>
          <w:highlight w:val="none"/>
          <w:lang w:val="en-US" w:eastAsia="zh-CN" w:bidi="ar"/>
        </w:rPr>
        <w:t>注：</w:t>
      </w:r>
      <w:r>
        <w:rPr>
          <w:rFonts w:hint="eastAsia" w:ascii="宋体" w:hAnsi="宋体" w:eastAsia="宋体" w:cs="宋体"/>
          <w:color w:val="auto"/>
          <w:kern w:val="0"/>
          <w:sz w:val="24"/>
          <w:szCs w:val="24"/>
          <w:highlight w:val="none"/>
          <w:lang w:val="en-US" w:eastAsia="zh-CN" w:bidi="ar"/>
        </w:rPr>
        <w:t>供应商应自行查询信用信息，查询截止时点为本项目响应文件提交截止时间。</w:t>
      </w:r>
    </w:p>
    <w:p w14:paraId="210CA1A0">
      <w:pPr>
        <w:pStyle w:val="6"/>
        <w:bidi w:val="0"/>
        <w:jc w:val="center"/>
        <w:rPr>
          <w:rFonts w:hint="eastAsia"/>
          <w:color w:val="auto"/>
          <w:highlight w:val="none"/>
          <w:lang w:val="en-US" w:eastAsia="zh-CN"/>
        </w:rPr>
      </w:pPr>
    </w:p>
    <w:p w14:paraId="68968D31">
      <w:pPr>
        <w:pStyle w:val="6"/>
        <w:bidi w:val="0"/>
        <w:jc w:val="center"/>
        <w:rPr>
          <w:rFonts w:hint="default"/>
          <w:color w:val="auto"/>
          <w:highlight w:val="none"/>
          <w:lang w:val="en-US"/>
        </w:rPr>
      </w:pPr>
      <w:bookmarkStart w:id="11" w:name="_Toc25933"/>
      <w:r>
        <w:rPr>
          <w:rFonts w:hint="eastAsia"/>
          <w:color w:val="auto"/>
          <w:highlight w:val="none"/>
          <w:lang w:val="en-US" w:eastAsia="zh-CN"/>
        </w:rPr>
        <w:t>第十一章 响应文件的编制</w:t>
      </w:r>
      <w:bookmarkEnd w:id="11"/>
      <w:r>
        <w:rPr>
          <w:rFonts w:hint="eastAsia"/>
          <w:color w:val="auto"/>
          <w:highlight w:val="none"/>
          <w:lang w:val="en-US" w:eastAsia="zh-CN"/>
        </w:rPr>
        <w:t>和提交</w:t>
      </w:r>
    </w:p>
    <w:p w14:paraId="5E5F75A9">
      <w:pPr>
        <w:keepNext w:val="0"/>
        <w:keepLines w:val="0"/>
        <w:pageBreakBefore w:val="0"/>
        <w:widowControl w:val="0"/>
        <w:kinsoku/>
        <w:wordWrap/>
        <w:overflowPunct/>
        <w:topLinePunct w:val="0"/>
        <w:autoSpaceDE/>
        <w:autoSpaceDN/>
        <w:bidi w:val="0"/>
        <w:adjustRightInd/>
        <w:snapToGrid/>
        <w:spacing w:line="560" w:lineRule="exact"/>
        <w:ind w:left="0" w:right="0" w:firstLine="482" w:firstLineChars="200"/>
        <w:jc w:val="both"/>
        <w:textAlignment w:val="auto"/>
        <w:outlineLvl w:val="0"/>
        <w:rPr>
          <w:rFonts w:ascii="宋体" w:hAnsi="宋体" w:eastAsia="宋体" w:cs="宋体"/>
          <w:color w:val="auto"/>
          <w:spacing w:val="0"/>
          <w:position w:val="0"/>
          <w:sz w:val="24"/>
          <w:szCs w:val="24"/>
          <w:highlight w:val="none"/>
        </w:rPr>
      </w:pPr>
      <w:r>
        <w:rPr>
          <w:rFonts w:ascii="宋体" w:hAnsi="宋体" w:eastAsia="宋体" w:cs="宋体"/>
          <w:b/>
          <w:bCs/>
          <w:color w:val="auto"/>
          <w:spacing w:val="0"/>
          <w:position w:val="0"/>
          <w:sz w:val="24"/>
          <w:szCs w:val="24"/>
          <w:highlight w:val="none"/>
        </w:rPr>
        <w:t>1.响应文件构成与要求</w:t>
      </w:r>
    </w:p>
    <w:p w14:paraId="1B0B9C83">
      <w:pPr>
        <w:keepNext w:val="0"/>
        <w:keepLines w:val="0"/>
        <w:pageBreakBefore w:val="0"/>
        <w:widowControl w:val="0"/>
        <w:kinsoku/>
        <w:wordWrap/>
        <w:overflowPunct/>
        <w:topLinePunct w:val="0"/>
        <w:autoSpaceDE/>
        <w:autoSpaceDN/>
        <w:bidi w:val="0"/>
        <w:adjustRightInd/>
        <w:snapToGrid/>
        <w:spacing w:line="560" w:lineRule="exact"/>
        <w:ind w:left="0" w:right="0" w:firstLine="480" w:firstLineChars="200"/>
        <w:jc w:val="both"/>
        <w:textAlignment w:val="auto"/>
        <w:rPr>
          <w:rFonts w:ascii="宋体" w:hAnsi="宋体" w:eastAsia="宋体" w:cs="宋体"/>
          <w:color w:val="auto"/>
          <w:spacing w:val="0"/>
          <w:position w:val="0"/>
          <w:sz w:val="24"/>
          <w:szCs w:val="24"/>
          <w:highlight w:val="none"/>
        </w:rPr>
      </w:pPr>
      <w:r>
        <w:rPr>
          <w:rFonts w:ascii="宋体" w:hAnsi="宋体" w:eastAsia="宋体" w:cs="宋体"/>
          <w:color w:val="auto"/>
          <w:spacing w:val="0"/>
          <w:position w:val="0"/>
          <w:sz w:val="24"/>
          <w:szCs w:val="24"/>
          <w:highlight w:val="none"/>
        </w:rPr>
        <w:t>1.1响应文件是对征集文件的实质性响应及承诺文件。</w:t>
      </w:r>
    </w:p>
    <w:p w14:paraId="06BD3260">
      <w:pPr>
        <w:keepNext w:val="0"/>
        <w:keepLines w:val="0"/>
        <w:pageBreakBefore w:val="0"/>
        <w:widowControl w:val="0"/>
        <w:kinsoku/>
        <w:wordWrap/>
        <w:overflowPunct/>
        <w:topLinePunct w:val="0"/>
        <w:autoSpaceDE/>
        <w:autoSpaceDN/>
        <w:bidi w:val="0"/>
        <w:adjustRightInd/>
        <w:snapToGrid/>
        <w:spacing w:line="560" w:lineRule="exact"/>
        <w:ind w:left="0" w:right="0" w:firstLine="480" w:firstLineChars="200"/>
        <w:jc w:val="both"/>
        <w:textAlignment w:val="auto"/>
        <w:rPr>
          <w:rFonts w:ascii="宋体" w:hAnsi="宋体" w:eastAsia="宋体" w:cs="宋体"/>
          <w:color w:val="auto"/>
          <w:spacing w:val="0"/>
          <w:position w:val="0"/>
          <w:sz w:val="24"/>
          <w:szCs w:val="24"/>
          <w:highlight w:val="none"/>
        </w:rPr>
      </w:pPr>
      <w:r>
        <w:rPr>
          <w:rFonts w:ascii="宋体" w:hAnsi="宋体" w:eastAsia="宋体" w:cs="宋体"/>
          <w:color w:val="auto"/>
          <w:spacing w:val="0"/>
          <w:position w:val="0"/>
          <w:sz w:val="24"/>
          <w:szCs w:val="24"/>
          <w:highlight w:val="none"/>
        </w:rPr>
        <w:t>1.2除非注明“供应商可自行制作格式”,响应文件应使用征集文件提供的格式。</w:t>
      </w:r>
    </w:p>
    <w:p w14:paraId="07AF1FA5">
      <w:pPr>
        <w:keepNext w:val="0"/>
        <w:keepLines w:val="0"/>
        <w:pageBreakBefore w:val="0"/>
        <w:widowControl w:val="0"/>
        <w:kinsoku/>
        <w:wordWrap/>
        <w:overflowPunct/>
        <w:topLinePunct w:val="0"/>
        <w:autoSpaceDE/>
        <w:autoSpaceDN/>
        <w:bidi w:val="0"/>
        <w:adjustRightInd/>
        <w:snapToGrid/>
        <w:spacing w:line="560" w:lineRule="exact"/>
        <w:ind w:left="0" w:right="0" w:firstLine="480" w:firstLineChars="200"/>
        <w:jc w:val="both"/>
        <w:textAlignment w:val="auto"/>
        <w:rPr>
          <w:rFonts w:ascii="宋体" w:hAnsi="宋体" w:eastAsia="宋体" w:cs="宋体"/>
          <w:color w:val="auto"/>
          <w:spacing w:val="0"/>
          <w:position w:val="0"/>
          <w:sz w:val="24"/>
          <w:szCs w:val="24"/>
          <w:highlight w:val="none"/>
        </w:rPr>
      </w:pPr>
      <w:r>
        <w:rPr>
          <w:rFonts w:ascii="宋体" w:hAnsi="宋体" w:eastAsia="宋体" w:cs="宋体"/>
          <w:color w:val="auto"/>
          <w:spacing w:val="0"/>
          <w:position w:val="0"/>
          <w:sz w:val="24"/>
          <w:szCs w:val="24"/>
          <w:highlight w:val="none"/>
        </w:rPr>
        <w:t>1.3 除专用术语外，响应文件以及供应商与征集人就有关投标的往来函电均应使用 中文。供应商提交的支持性文件和印制的文件可以用另一种语言，但相应内容应翻译成中文，对不同文字文本响应文件的解释发生异议的，以中文文本为准。</w:t>
      </w:r>
    </w:p>
    <w:p w14:paraId="7BBD1C17">
      <w:pPr>
        <w:keepNext w:val="0"/>
        <w:keepLines w:val="0"/>
        <w:pageBreakBefore w:val="0"/>
        <w:widowControl w:val="0"/>
        <w:kinsoku/>
        <w:wordWrap/>
        <w:overflowPunct/>
        <w:topLinePunct w:val="0"/>
        <w:autoSpaceDE/>
        <w:autoSpaceDN/>
        <w:bidi w:val="0"/>
        <w:adjustRightInd/>
        <w:snapToGrid/>
        <w:spacing w:line="560" w:lineRule="exact"/>
        <w:ind w:left="0" w:right="0" w:firstLine="480" w:firstLineChars="200"/>
        <w:jc w:val="both"/>
        <w:textAlignment w:val="auto"/>
        <w:rPr>
          <w:rFonts w:ascii="宋体" w:hAnsi="宋体" w:eastAsia="宋体" w:cs="宋体"/>
          <w:color w:val="auto"/>
          <w:spacing w:val="0"/>
          <w:position w:val="0"/>
          <w:sz w:val="24"/>
          <w:szCs w:val="24"/>
          <w:highlight w:val="none"/>
        </w:rPr>
      </w:pPr>
      <w:r>
        <w:rPr>
          <w:rFonts w:ascii="宋体" w:hAnsi="宋体" w:eastAsia="宋体" w:cs="宋体"/>
          <w:color w:val="auto"/>
          <w:spacing w:val="0"/>
          <w:position w:val="0"/>
          <w:sz w:val="24"/>
          <w:szCs w:val="24"/>
          <w:highlight w:val="none"/>
        </w:rPr>
        <w:t>1.4除非征集文件另有规定，响应文件应使用中华人民共和国法定计量单位。</w:t>
      </w:r>
    </w:p>
    <w:p w14:paraId="453D2F11">
      <w:pPr>
        <w:keepNext w:val="0"/>
        <w:keepLines w:val="0"/>
        <w:pageBreakBefore w:val="0"/>
        <w:widowControl w:val="0"/>
        <w:kinsoku/>
        <w:wordWrap/>
        <w:overflowPunct/>
        <w:topLinePunct w:val="0"/>
        <w:autoSpaceDE/>
        <w:autoSpaceDN/>
        <w:bidi w:val="0"/>
        <w:adjustRightInd/>
        <w:snapToGrid/>
        <w:spacing w:line="560" w:lineRule="exact"/>
        <w:ind w:left="0" w:right="0" w:firstLine="480" w:firstLineChars="200"/>
        <w:jc w:val="both"/>
        <w:textAlignment w:val="auto"/>
        <w:rPr>
          <w:rFonts w:ascii="宋体" w:hAnsi="宋体" w:eastAsia="宋体" w:cs="宋体"/>
          <w:color w:val="auto"/>
          <w:spacing w:val="0"/>
          <w:position w:val="0"/>
          <w:sz w:val="24"/>
          <w:szCs w:val="24"/>
          <w:highlight w:val="none"/>
        </w:rPr>
      </w:pPr>
      <w:r>
        <w:rPr>
          <w:rFonts w:ascii="宋体" w:hAnsi="宋体" w:eastAsia="宋体" w:cs="宋体"/>
          <w:color w:val="auto"/>
          <w:spacing w:val="0"/>
          <w:position w:val="0"/>
          <w:sz w:val="24"/>
          <w:szCs w:val="24"/>
          <w:highlight w:val="none"/>
        </w:rPr>
        <w:t>1.5除非征集文件另有规定，响应文件应使用人民币填报所有报价。允许以多种货币报价的，或涉及合同金额等计算的，均按照中国人民银行在开标日公布的汇率中间价 换算成人民币。公司注册资本为外币，须折算成人民币的，按照公司成立日期当日(以营业执照注明的成立日期为准)中国人民银行公布的汇率的中间价计算(投标供应商应提供成立日期当日中国人民银行公布的汇率的中间价作为参考)。</w:t>
      </w:r>
    </w:p>
    <w:p w14:paraId="29979347">
      <w:pPr>
        <w:keepNext w:val="0"/>
        <w:keepLines w:val="0"/>
        <w:pageBreakBefore w:val="0"/>
        <w:widowControl w:val="0"/>
        <w:kinsoku/>
        <w:wordWrap/>
        <w:overflowPunct/>
        <w:topLinePunct w:val="0"/>
        <w:autoSpaceDE/>
        <w:autoSpaceDN/>
        <w:bidi w:val="0"/>
        <w:adjustRightInd/>
        <w:snapToGrid/>
        <w:spacing w:line="560" w:lineRule="exact"/>
        <w:ind w:left="0" w:right="0" w:firstLine="480" w:firstLineChars="200"/>
        <w:jc w:val="both"/>
        <w:textAlignment w:val="auto"/>
        <w:rPr>
          <w:rFonts w:ascii="宋体" w:hAnsi="宋体" w:eastAsia="宋体" w:cs="宋体"/>
          <w:color w:val="auto"/>
          <w:spacing w:val="0"/>
          <w:position w:val="0"/>
          <w:sz w:val="24"/>
          <w:szCs w:val="24"/>
          <w:highlight w:val="none"/>
        </w:rPr>
      </w:pPr>
      <w:r>
        <w:rPr>
          <w:rFonts w:ascii="宋体" w:hAnsi="宋体" w:eastAsia="宋体" w:cs="宋体"/>
          <w:color w:val="auto"/>
          <w:spacing w:val="0"/>
          <w:position w:val="0"/>
          <w:sz w:val="24"/>
          <w:szCs w:val="24"/>
          <w:highlight w:val="none"/>
        </w:rPr>
        <w:t>1.6供应商资质证书(或资格证明)处于年检、换证、升级、变更等期间，除非有法律法规或发证机构书面材料明确表明供应商资质(或资格)有效，否则一律不予认可。</w:t>
      </w:r>
    </w:p>
    <w:p w14:paraId="4223CF6F">
      <w:pPr>
        <w:keepNext w:val="0"/>
        <w:keepLines w:val="0"/>
        <w:pageBreakBefore w:val="0"/>
        <w:widowControl w:val="0"/>
        <w:kinsoku/>
        <w:wordWrap/>
        <w:overflowPunct/>
        <w:topLinePunct w:val="0"/>
        <w:autoSpaceDE/>
        <w:autoSpaceDN/>
        <w:bidi w:val="0"/>
        <w:adjustRightInd/>
        <w:snapToGrid/>
        <w:spacing w:line="560" w:lineRule="exact"/>
        <w:ind w:left="0" w:right="0" w:firstLine="480" w:firstLineChars="200"/>
        <w:jc w:val="both"/>
        <w:textAlignment w:val="auto"/>
        <w:rPr>
          <w:rFonts w:ascii="宋体" w:hAnsi="宋体" w:eastAsia="宋体" w:cs="宋体"/>
          <w:color w:val="auto"/>
          <w:spacing w:val="0"/>
          <w:position w:val="0"/>
          <w:sz w:val="24"/>
          <w:szCs w:val="24"/>
          <w:highlight w:val="none"/>
        </w:rPr>
      </w:pPr>
      <w:r>
        <w:rPr>
          <w:rFonts w:ascii="宋体" w:hAnsi="宋体" w:eastAsia="宋体" w:cs="宋体"/>
          <w:color w:val="auto"/>
          <w:spacing w:val="0"/>
          <w:position w:val="0"/>
          <w:sz w:val="24"/>
          <w:szCs w:val="24"/>
          <w:highlight w:val="none"/>
        </w:rPr>
        <w:t>1.7电报、电话、传真形式的投标概不接受。</w:t>
      </w:r>
    </w:p>
    <w:p w14:paraId="5A07110E">
      <w:pPr>
        <w:keepNext w:val="0"/>
        <w:keepLines w:val="0"/>
        <w:pageBreakBefore w:val="0"/>
        <w:widowControl w:val="0"/>
        <w:kinsoku/>
        <w:wordWrap/>
        <w:overflowPunct/>
        <w:topLinePunct w:val="0"/>
        <w:autoSpaceDE/>
        <w:autoSpaceDN/>
        <w:bidi w:val="0"/>
        <w:adjustRightInd/>
        <w:snapToGrid/>
        <w:spacing w:line="560" w:lineRule="exact"/>
        <w:ind w:left="0" w:right="0" w:firstLine="480" w:firstLineChars="200"/>
        <w:jc w:val="both"/>
        <w:textAlignment w:val="auto"/>
        <w:rPr>
          <w:color w:val="auto"/>
          <w:spacing w:val="0"/>
          <w:position w:val="0"/>
          <w:sz w:val="24"/>
          <w:szCs w:val="24"/>
          <w:highlight w:val="none"/>
        </w:rPr>
      </w:pPr>
      <w:r>
        <w:rPr>
          <w:rFonts w:ascii="宋体" w:hAnsi="宋体" w:eastAsia="宋体" w:cs="宋体"/>
          <w:color w:val="auto"/>
          <w:spacing w:val="0"/>
          <w:position w:val="0"/>
          <w:sz w:val="24"/>
          <w:szCs w:val="24"/>
          <w:highlight w:val="none"/>
        </w:rPr>
        <w:t>1.8除非征集文件另有规定，征集人一律不予退还供应商的投标文件。</w:t>
      </w:r>
    </w:p>
    <w:p w14:paraId="1EC2708E">
      <w:pPr>
        <w:keepNext w:val="0"/>
        <w:keepLines w:val="0"/>
        <w:pageBreakBefore w:val="0"/>
        <w:widowControl w:val="0"/>
        <w:kinsoku/>
        <w:wordWrap/>
        <w:overflowPunct/>
        <w:topLinePunct w:val="0"/>
        <w:autoSpaceDE/>
        <w:autoSpaceDN/>
        <w:bidi w:val="0"/>
        <w:adjustRightInd/>
        <w:snapToGrid/>
        <w:spacing w:line="560" w:lineRule="exact"/>
        <w:ind w:left="0" w:right="0" w:firstLine="482" w:firstLineChars="200"/>
        <w:jc w:val="both"/>
        <w:textAlignment w:val="auto"/>
        <w:outlineLvl w:val="0"/>
        <w:rPr>
          <w:rFonts w:ascii="宋体" w:hAnsi="宋体" w:eastAsia="宋体" w:cs="宋体"/>
          <w:color w:val="auto"/>
          <w:spacing w:val="0"/>
          <w:position w:val="0"/>
          <w:sz w:val="24"/>
          <w:szCs w:val="24"/>
          <w:highlight w:val="none"/>
        </w:rPr>
      </w:pPr>
      <w:r>
        <w:rPr>
          <w:rFonts w:ascii="宋体" w:hAnsi="宋体" w:eastAsia="宋体" w:cs="宋体"/>
          <w:b/>
          <w:bCs/>
          <w:color w:val="auto"/>
          <w:spacing w:val="0"/>
          <w:position w:val="0"/>
          <w:sz w:val="24"/>
          <w:szCs w:val="24"/>
          <w:highlight w:val="none"/>
        </w:rPr>
        <w:t>2.响应内容填写及说明</w:t>
      </w:r>
    </w:p>
    <w:p w14:paraId="790A592F">
      <w:pPr>
        <w:keepNext w:val="0"/>
        <w:keepLines w:val="0"/>
        <w:pageBreakBefore w:val="0"/>
        <w:widowControl w:val="0"/>
        <w:kinsoku/>
        <w:wordWrap/>
        <w:overflowPunct/>
        <w:topLinePunct w:val="0"/>
        <w:autoSpaceDE/>
        <w:autoSpaceDN/>
        <w:bidi w:val="0"/>
        <w:adjustRightInd/>
        <w:snapToGrid/>
        <w:spacing w:line="560" w:lineRule="exact"/>
        <w:ind w:left="0" w:right="0" w:firstLine="480" w:firstLineChars="200"/>
        <w:jc w:val="both"/>
        <w:textAlignment w:val="auto"/>
        <w:rPr>
          <w:rFonts w:ascii="宋体" w:hAnsi="宋体" w:eastAsia="宋体" w:cs="宋体"/>
          <w:color w:val="auto"/>
          <w:spacing w:val="0"/>
          <w:position w:val="0"/>
          <w:sz w:val="24"/>
          <w:szCs w:val="24"/>
          <w:highlight w:val="none"/>
        </w:rPr>
      </w:pPr>
      <w:r>
        <w:rPr>
          <w:rFonts w:ascii="宋体" w:hAnsi="宋体" w:eastAsia="宋体" w:cs="宋体"/>
          <w:color w:val="auto"/>
          <w:spacing w:val="0"/>
          <w:position w:val="0"/>
          <w:sz w:val="24"/>
          <w:szCs w:val="24"/>
          <w:highlight w:val="none"/>
        </w:rPr>
        <w:t>2.1响应文件须对征集文件载明的征集资格、技术、资信、服务、报价等全部要求和条件做出实质性和完整的响应，如果响应文件填报的内容资料不详，或没有提供征集文件所要求的全部资料、证明及数据，将导致响应无效。</w:t>
      </w:r>
    </w:p>
    <w:p w14:paraId="0F02F001">
      <w:pPr>
        <w:keepNext w:val="0"/>
        <w:keepLines w:val="0"/>
        <w:pageBreakBefore w:val="0"/>
        <w:widowControl w:val="0"/>
        <w:kinsoku/>
        <w:wordWrap/>
        <w:overflowPunct/>
        <w:topLinePunct w:val="0"/>
        <w:autoSpaceDE/>
        <w:autoSpaceDN/>
        <w:bidi w:val="0"/>
        <w:adjustRightInd/>
        <w:snapToGrid/>
        <w:spacing w:line="560" w:lineRule="exact"/>
        <w:ind w:left="0" w:right="0" w:firstLine="480" w:firstLineChars="200"/>
        <w:jc w:val="both"/>
        <w:textAlignment w:val="auto"/>
        <w:rPr>
          <w:rFonts w:ascii="宋体" w:hAnsi="宋体" w:eastAsia="宋体" w:cs="宋体"/>
          <w:color w:val="auto"/>
          <w:spacing w:val="0"/>
          <w:position w:val="0"/>
          <w:sz w:val="24"/>
          <w:szCs w:val="24"/>
          <w:highlight w:val="none"/>
        </w:rPr>
      </w:pPr>
      <w:r>
        <w:rPr>
          <w:rFonts w:ascii="宋体" w:hAnsi="宋体" w:eastAsia="宋体" w:cs="宋体"/>
          <w:color w:val="auto"/>
          <w:spacing w:val="0"/>
          <w:position w:val="0"/>
          <w:sz w:val="24"/>
          <w:szCs w:val="24"/>
          <w:highlight w:val="none"/>
        </w:rPr>
        <w:t>2.2供应商应在响应文件中提交征集文件要求的有关证明文件，作为其响应文件的一部分。</w:t>
      </w:r>
    </w:p>
    <w:p w14:paraId="74B1B406">
      <w:pPr>
        <w:keepNext w:val="0"/>
        <w:keepLines w:val="0"/>
        <w:pageBreakBefore w:val="0"/>
        <w:widowControl w:val="0"/>
        <w:kinsoku/>
        <w:wordWrap/>
        <w:overflowPunct/>
        <w:topLinePunct w:val="0"/>
        <w:autoSpaceDE/>
        <w:autoSpaceDN/>
        <w:bidi w:val="0"/>
        <w:adjustRightInd/>
        <w:snapToGrid/>
        <w:spacing w:line="560" w:lineRule="exact"/>
        <w:ind w:left="0" w:right="0" w:firstLine="480" w:firstLineChars="200"/>
        <w:jc w:val="both"/>
        <w:textAlignment w:val="auto"/>
        <w:rPr>
          <w:rFonts w:ascii="宋体" w:hAnsi="宋体" w:eastAsia="宋体" w:cs="宋体"/>
          <w:color w:val="auto"/>
          <w:spacing w:val="0"/>
          <w:position w:val="0"/>
          <w:sz w:val="24"/>
          <w:szCs w:val="24"/>
          <w:highlight w:val="none"/>
        </w:rPr>
      </w:pPr>
      <w:r>
        <w:rPr>
          <w:rFonts w:ascii="宋体" w:hAnsi="宋体" w:eastAsia="宋体" w:cs="宋体"/>
          <w:color w:val="auto"/>
          <w:spacing w:val="0"/>
          <w:position w:val="0"/>
          <w:sz w:val="24"/>
          <w:szCs w:val="24"/>
          <w:highlight w:val="none"/>
        </w:rPr>
        <w:t>2.3供应商应在响应文件中提交征集文件要求的所有服务的合格性以及符合征集文 件规定的证明文件(可以是手册、图纸和资料等),并作为其响应文件的一部分。包括：服务主要内容的详细描述等。</w:t>
      </w:r>
    </w:p>
    <w:p w14:paraId="75BA7691">
      <w:pPr>
        <w:pStyle w:val="10"/>
        <w:spacing w:before="282" w:line="219" w:lineRule="auto"/>
        <w:ind w:left="503"/>
        <w:outlineLvl w:val="6"/>
        <w:rPr>
          <w:color w:val="auto"/>
          <w:sz w:val="24"/>
          <w:szCs w:val="24"/>
          <w:highlight w:val="none"/>
        </w:rPr>
      </w:pPr>
      <w:r>
        <w:rPr>
          <w:b/>
          <w:bCs/>
          <w:color w:val="auto"/>
          <w:spacing w:val="-7"/>
          <w:sz w:val="24"/>
          <w:szCs w:val="24"/>
          <w:highlight w:val="none"/>
        </w:rPr>
        <w:t>3.响应文件的提交</w:t>
      </w:r>
    </w:p>
    <w:p w14:paraId="02027545">
      <w:pPr>
        <w:keepNext w:val="0"/>
        <w:keepLines w:val="0"/>
        <w:pageBreakBefore w:val="0"/>
        <w:widowControl w:val="0"/>
        <w:kinsoku/>
        <w:wordWrap/>
        <w:overflowPunct/>
        <w:topLinePunct w:val="0"/>
        <w:autoSpaceDE/>
        <w:autoSpaceDN/>
        <w:bidi w:val="0"/>
        <w:adjustRightInd/>
        <w:snapToGrid/>
        <w:spacing w:line="560" w:lineRule="exact"/>
        <w:ind w:left="0" w:right="0" w:firstLine="480" w:firstLineChars="200"/>
        <w:jc w:val="both"/>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3.1供应商应在供应商须知前附表中规定的响应文件提交截止时间前，在网上提交</w:t>
      </w:r>
    </w:p>
    <w:p w14:paraId="6E9B46D9">
      <w:pPr>
        <w:keepNext w:val="0"/>
        <w:keepLines w:val="0"/>
        <w:pageBreakBefore w:val="0"/>
        <w:widowControl w:val="0"/>
        <w:kinsoku/>
        <w:wordWrap/>
        <w:overflowPunct/>
        <w:topLinePunct w:val="0"/>
        <w:autoSpaceDE/>
        <w:autoSpaceDN/>
        <w:bidi w:val="0"/>
        <w:adjustRightInd/>
        <w:snapToGrid/>
        <w:spacing w:line="560" w:lineRule="exact"/>
        <w:ind w:right="0"/>
        <w:jc w:val="both"/>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加密电子响应文件。</w:t>
      </w:r>
    </w:p>
    <w:p w14:paraId="03F56659">
      <w:pPr>
        <w:keepNext w:val="0"/>
        <w:keepLines w:val="0"/>
        <w:pageBreakBefore w:val="0"/>
        <w:widowControl w:val="0"/>
        <w:kinsoku/>
        <w:wordWrap/>
        <w:overflowPunct/>
        <w:topLinePunct w:val="0"/>
        <w:autoSpaceDE/>
        <w:autoSpaceDN/>
        <w:bidi w:val="0"/>
        <w:adjustRightInd/>
        <w:snapToGrid/>
        <w:spacing w:line="560" w:lineRule="exact"/>
        <w:ind w:left="0" w:right="0" w:firstLine="480" w:firstLineChars="200"/>
        <w:jc w:val="both"/>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3.2 供应商在征集文件规定的响应文件提交截止时间前上传了网上加密电子响应</w:t>
      </w:r>
    </w:p>
    <w:p w14:paraId="5EC722DF">
      <w:pPr>
        <w:keepNext w:val="0"/>
        <w:keepLines w:val="0"/>
        <w:pageBreakBefore w:val="0"/>
        <w:widowControl w:val="0"/>
        <w:kinsoku/>
        <w:wordWrap/>
        <w:overflowPunct/>
        <w:topLinePunct w:val="0"/>
        <w:autoSpaceDE/>
        <w:autoSpaceDN/>
        <w:bidi w:val="0"/>
        <w:adjustRightInd/>
        <w:snapToGrid/>
        <w:spacing w:line="560" w:lineRule="exact"/>
        <w:ind w:right="0"/>
        <w:jc w:val="both"/>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文件，但未在规定时间内进行解密的，响应无效。</w:t>
      </w:r>
    </w:p>
    <w:p w14:paraId="4D667485">
      <w:pPr>
        <w:keepNext w:val="0"/>
        <w:keepLines w:val="0"/>
        <w:pageBreakBefore w:val="0"/>
        <w:widowControl w:val="0"/>
        <w:kinsoku/>
        <w:wordWrap/>
        <w:overflowPunct/>
        <w:topLinePunct w:val="0"/>
        <w:autoSpaceDE/>
        <w:autoSpaceDN/>
        <w:bidi w:val="0"/>
        <w:adjustRightInd/>
        <w:snapToGrid/>
        <w:spacing w:line="560" w:lineRule="exact"/>
        <w:ind w:left="0" w:right="0" w:firstLine="480" w:firstLineChars="200"/>
        <w:jc w:val="both"/>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3.3 征集人有权按本征集文件的规定，延迟响应文件提交截止时间。在此情况下， 征集人、采购代理机构和供应商受响应文件提交截止时间制约的所有权利和义务均应</w:t>
      </w:r>
    </w:p>
    <w:p w14:paraId="11601798">
      <w:pPr>
        <w:keepNext w:val="0"/>
        <w:keepLines w:val="0"/>
        <w:pageBreakBefore w:val="0"/>
        <w:widowControl w:val="0"/>
        <w:kinsoku/>
        <w:wordWrap/>
        <w:overflowPunct/>
        <w:topLinePunct w:val="0"/>
        <w:autoSpaceDE/>
        <w:autoSpaceDN/>
        <w:bidi w:val="0"/>
        <w:adjustRightInd/>
        <w:snapToGrid/>
        <w:spacing w:line="560" w:lineRule="exact"/>
        <w:ind w:right="0"/>
        <w:jc w:val="both"/>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延长至新的截止时间。</w:t>
      </w:r>
    </w:p>
    <w:p w14:paraId="2A350B88">
      <w:pPr>
        <w:pStyle w:val="10"/>
        <w:spacing w:before="280" w:line="219" w:lineRule="auto"/>
        <w:ind w:left="503"/>
        <w:outlineLvl w:val="6"/>
        <w:rPr>
          <w:rFonts w:hint="eastAsia" w:ascii="宋体" w:hAnsi="宋体" w:eastAsia="宋体" w:cs="宋体"/>
          <w:color w:val="auto"/>
          <w:sz w:val="24"/>
          <w:szCs w:val="24"/>
          <w:highlight w:val="none"/>
        </w:rPr>
      </w:pPr>
      <w:r>
        <w:rPr>
          <w:rFonts w:hint="eastAsia" w:ascii="宋体" w:hAnsi="宋体" w:eastAsia="宋体" w:cs="宋体"/>
          <w:b/>
          <w:bCs/>
          <w:color w:val="auto"/>
          <w:spacing w:val="-8"/>
          <w:sz w:val="24"/>
          <w:szCs w:val="24"/>
          <w:highlight w:val="none"/>
        </w:rPr>
        <w:t>4.响应文件开启</w:t>
      </w:r>
    </w:p>
    <w:p w14:paraId="49B68006">
      <w:pPr>
        <w:keepNext w:val="0"/>
        <w:keepLines w:val="0"/>
        <w:pageBreakBefore w:val="0"/>
        <w:widowControl w:val="0"/>
        <w:kinsoku/>
        <w:wordWrap/>
        <w:overflowPunct/>
        <w:topLinePunct w:val="0"/>
        <w:autoSpaceDE/>
        <w:autoSpaceDN/>
        <w:bidi w:val="0"/>
        <w:adjustRightInd/>
        <w:snapToGrid/>
        <w:spacing w:line="560" w:lineRule="exact"/>
        <w:ind w:left="0" w:right="0" w:firstLine="480" w:firstLineChars="200"/>
        <w:jc w:val="both"/>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4.1提交截止时间及开启时间：202</w:t>
      </w:r>
      <w:r>
        <w:rPr>
          <w:rFonts w:hint="eastAsia" w:ascii="宋体" w:hAnsi="宋体" w:eastAsia="宋体" w:cs="宋体"/>
          <w:color w:val="auto"/>
          <w:spacing w:val="0"/>
          <w:position w:val="0"/>
          <w:sz w:val="24"/>
          <w:szCs w:val="24"/>
          <w:highlight w:val="none"/>
          <w:lang w:val="en-US" w:eastAsia="zh-CN"/>
        </w:rPr>
        <w:t>6</w:t>
      </w:r>
      <w:r>
        <w:rPr>
          <w:rFonts w:hint="eastAsia" w:ascii="宋体" w:hAnsi="宋体" w:eastAsia="宋体" w:cs="宋体"/>
          <w:color w:val="auto"/>
          <w:spacing w:val="0"/>
          <w:position w:val="0"/>
          <w:sz w:val="24"/>
          <w:szCs w:val="24"/>
          <w:highlight w:val="none"/>
        </w:rPr>
        <w:t>年</w:t>
      </w:r>
      <w:r>
        <w:rPr>
          <w:rFonts w:hint="eastAsia" w:ascii="宋体" w:hAnsi="宋体" w:eastAsia="宋体" w:cs="宋体"/>
          <w:color w:val="auto"/>
          <w:spacing w:val="0"/>
          <w:position w:val="0"/>
          <w:sz w:val="24"/>
          <w:szCs w:val="24"/>
          <w:highlight w:val="none"/>
          <w:lang w:val="en-US" w:eastAsia="zh-CN"/>
        </w:rPr>
        <w:t>9</w:t>
      </w:r>
      <w:r>
        <w:rPr>
          <w:rFonts w:hint="eastAsia" w:ascii="宋体" w:hAnsi="宋体" w:eastAsia="宋体" w:cs="宋体"/>
          <w:color w:val="auto"/>
          <w:spacing w:val="0"/>
          <w:position w:val="0"/>
          <w:sz w:val="24"/>
          <w:szCs w:val="24"/>
          <w:highlight w:val="none"/>
        </w:rPr>
        <w:t>月</w:t>
      </w:r>
      <w:r>
        <w:rPr>
          <w:rFonts w:hint="eastAsia" w:ascii="宋体" w:hAnsi="宋体" w:eastAsia="宋体" w:cs="宋体"/>
          <w:color w:val="auto"/>
          <w:spacing w:val="0"/>
          <w:position w:val="0"/>
          <w:sz w:val="24"/>
          <w:szCs w:val="24"/>
          <w:highlight w:val="none"/>
          <w:lang w:val="en-US" w:eastAsia="zh-CN"/>
        </w:rPr>
        <w:t>4</w:t>
      </w:r>
      <w:r>
        <w:rPr>
          <w:rFonts w:hint="eastAsia" w:ascii="宋体" w:hAnsi="宋体" w:eastAsia="宋体" w:cs="宋体"/>
          <w:color w:val="auto"/>
          <w:spacing w:val="0"/>
          <w:position w:val="0"/>
          <w:sz w:val="24"/>
          <w:szCs w:val="24"/>
          <w:highlight w:val="none"/>
        </w:rPr>
        <w:t>日上午09:00整；</w:t>
      </w:r>
    </w:p>
    <w:p w14:paraId="772FBA2C">
      <w:pPr>
        <w:keepNext w:val="0"/>
        <w:keepLines w:val="0"/>
        <w:pageBreakBefore w:val="0"/>
        <w:widowControl w:val="0"/>
        <w:kinsoku/>
        <w:wordWrap/>
        <w:overflowPunct/>
        <w:topLinePunct w:val="0"/>
        <w:autoSpaceDE/>
        <w:autoSpaceDN/>
        <w:bidi w:val="0"/>
        <w:adjustRightInd/>
        <w:snapToGrid/>
        <w:spacing w:line="560" w:lineRule="exact"/>
        <w:ind w:left="0" w:right="0" w:firstLine="480" w:firstLineChars="200"/>
        <w:jc w:val="both"/>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4.2响应文件提交地点(网址):请登录“徽采云”投标客户端投标；</w:t>
      </w:r>
    </w:p>
    <w:p w14:paraId="5729EE18">
      <w:pPr>
        <w:keepNext w:val="0"/>
        <w:keepLines w:val="0"/>
        <w:pageBreakBefore w:val="0"/>
        <w:widowControl w:val="0"/>
        <w:kinsoku/>
        <w:wordWrap/>
        <w:overflowPunct/>
        <w:topLinePunct w:val="0"/>
        <w:autoSpaceDE/>
        <w:autoSpaceDN/>
        <w:bidi w:val="0"/>
        <w:adjustRightInd/>
        <w:snapToGrid/>
        <w:spacing w:line="560" w:lineRule="exact"/>
        <w:ind w:left="0" w:right="0" w:firstLine="480" w:firstLineChars="200"/>
        <w:jc w:val="both"/>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4.3响应文件开启地点：</w:t>
      </w:r>
      <w:r>
        <w:rPr>
          <w:rFonts w:hint="eastAsia" w:ascii="宋体" w:hAnsi="宋体" w:eastAsia="宋体" w:cs="宋体"/>
          <w:color w:val="auto"/>
          <w:spacing w:val="0"/>
          <w:position w:val="0"/>
          <w:sz w:val="24"/>
          <w:szCs w:val="24"/>
          <w:highlight w:val="none"/>
          <w:lang w:val="en-US" w:eastAsia="zh-CN"/>
        </w:rPr>
        <w:t>霍山县公共资源交易中心评标室</w:t>
      </w:r>
      <w:r>
        <w:rPr>
          <w:rFonts w:hint="eastAsia" w:ascii="宋体" w:hAnsi="宋体" w:eastAsia="宋体" w:cs="宋体"/>
          <w:color w:val="auto"/>
          <w:spacing w:val="0"/>
          <w:position w:val="0"/>
          <w:sz w:val="24"/>
          <w:szCs w:val="24"/>
          <w:highlight w:val="none"/>
        </w:rPr>
        <w:t>。</w:t>
      </w:r>
    </w:p>
    <w:p w14:paraId="51630A0D">
      <w:pPr>
        <w:keepNext w:val="0"/>
        <w:keepLines w:val="0"/>
        <w:pageBreakBefore w:val="0"/>
        <w:widowControl w:val="0"/>
        <w:kinsoku/>
        <w:wordWrap/>
        <w:overflowPunct/>
        <w:topLinePunct w:val="0"/>
        <w:autoSpaceDE/>
        <w:autoSpaceDN/>
        <w:bidi w:val="0"/>
        <w:adjustRightInd/>
        <w:snapToGrid/>
        <w:spacing w:line="560" w:lineRule="exact"/>
        <w:ind w:left="0" w:right="0" w:firstLine="480" w:firstLineChars="200"/>
        <w:jc w:val="both"/>
        <w:textAlignment w:val="auto"/>
        <w:rPr>
          <w:rFonts w:hint="eastAsia" w:ascii="宋体" w:hAnsi="宋体" w:eastAsia="宋体" w:cs="宋体"/>
          <w:color w:val="auto"/>
          <w:spacing w:val="0"/>
          <w:position w:val="0"/>
          <w:sz w:val="24"/>
          <w:szCs w:val="24"/>
          <w:highlight w:val="none"/>
          <w:lang w:val="en-US" w:eastAsia="zh-CN"/>
        </w:rPr>
      </w:pPr>
      <w:r>
        <w:rPr>
          <w:rFonts w:hint="eastAsia" w:ascii="宋体" w:hAnsi="宋体" w:eastAsia="宋体" w:cs="宋体"/>
          <w:color w:val="auto"/>
          <w:spacing w:val="0"/>
          <w:position w:val="0"/>
          <w:sz w:val="24"/>
          <w:szCs w:val="24"/>
          <w:highlight w:val="none"/>
          <w:lang w:val="en-US" w:eastAsia="zh-CN"/>
        </w:rPr>
        <w:t>4.4代理费收费标准：定额收取，每家3000元。</w:t>
      </w:r>
    </w:p>
    <w:p w14:paraId="142CBCBF">
      <w:pPr>
        <w:keepNext w:val="0"/>
        <w:keepLines w:val="0"/>
        <w:pageBreakBefore w:val="0"/>
        <w:widowControl w:val="0"/>
        <w:kinsoku/>
        <w:wordWrap/>
        <w:overflowPunct/>
        <w:topLinePunct w:val="0"/>
        <w:autoSpaceDE/>
        <w:autoSpaceDN/>
        <w:bidi w:val="0"/>
        <w:adjustRightInd/>
        <w:snapToGrid/>
        <w:spacing w:line="560" w:lineRule="exact"/>
        <w:ind w:left="0" w:right="0" w:firstLine="480" w:firstLineChars="200"/>
        <w:jc w:val="both"/>
        <w:textAlignment w:val="auto"/>
        <w:rPr>
          <w:rFonts w:hint="eastAsia" w:ascii="宋体" w:hAnsi="宋体" w:eastAsia="宋体" w:cs="宋体"/>
          <w:color w:val="auto"/>
          <w:spacing w:val="0"/>
          <w:position w:val="0"/>
          <w:sz w:val="24"/>
          <w:szCs w:val="24"/>
          <w:highlight w:val="none"/>
        </w:rPr>
      </w:pPr>
    </w:p>
    <w:p w14:paraId="28EEBEA0">
      <w:pPr>
        <w:keepNext w:val="0"/>
        <w:keepLines w:val="0"/>
        <w:pageBreakBefore w:val="0"/>
        <w:widowControl w:val="0"/>
        <w:kinsoku/>
        <w:wordWrap/>
        <w:overflowPunct/>
        <w:topLinePunct w:val="0"/>
        <w:autoSpaceDE/>
        <w:autoSpaceDN/>
        <w:bidi w:val="0"/>
        <w:adjustRightInd/>
        <w:snapToGrid/>
        <w:spacing w:line="560" w:lineRule="exact"/>
        <w:ind w:left="0" w:right="0" w:firstLine="480" w:firstLineChars="200"/>
        <w:jc w:val="both"/>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4"/>
          <w:szCs w:val="24"/>
          <w:highlight w:val="none"/>
        </w:rPr>
        <w:t>(特别说明：供应商如对响应文件编制及提交有操作疑问，可自行访问“安徽省</w:t>
      </w:r>
    </w:p>
    <w:p w14:paraId="77661974">
      <w:pPr>
        <w:keepNext w:val="0"/>
        <w:keepLines w:val="0"/>
        <w:pageBreakBefore w:val="0"/>
        <w:widowControl w:val="0"/>
        <w:kinsoku/>
        <w:wordWrap/>
        <w:overflowPunct/>
        <w:topLinePunct w:val="0"/>
        <w:autoSpaceDE/>
        <w:autoSpaceDN/>
        <w:bidi w:val="0"/>
        <w:adjustRightInd/>
        <w:snapToGrid/>
        <w:spacing w:line="560" w:lineRule="exact"/>
        <w:ind w:left="0" w:right="0" w:firstLine="480" w:firstLineChars="200"/>
        <w:jc w:val="both"/>
        <w:textAlignment w:val="auto"/>
        <w:rPr>
          <w:rFonts w:hint="eastAsia" w:ascii="宋体" w:hAnsi="宋体" w:eastAsia="宋体" w:cs="宋体"/>
          <w:color w:val="auto"/>
          <w:spacing w:val="0"/>
          <w:position w:val="0"/>
          <w:sz w:val="24"/>
          <w:szCs w:val="24"/>
          <w:highlight w:val="none"/>
        </w:rPr>
        <w:sectPr>
          <w:headerReference r:id="rId5" w:type="default"/>
          <w:footerReference r:id="rId6" w:type="default"/>
          <w:pgSz w:w="11910" w:h="16840"/>
          <w:pgMar w:top="1088" w:right="1365" w:bottom="1230" w:left="1430" w:header="848" w:footer="945" w:gutter="0"/>
          <w:pgNumType w:fmt="decimal"/>
          <w:cols w:space="720" w:num="1"/>
        </w:sectPr>
      </w:pPr>
      <w:r>
        <w:rPr>
          <w:rFonts w:hint="eastAsia" w:ascii="宋体" w:hAnsi="宋体" w:eastAsia="宋体" w:cs="宋体"/>
          <w:color w:val="auto"/>
          <w:spacing w:val="0"/>
          <w:position w:val="0"/>
          <w:sz w:val="24"/>
          <w:szCs w:val="24"/>
          <w:highlight w:val="none"/>
        </w:rPr>
        <w:t>政府采购网” (</w:t>
      </w:r>
      <w:r>
        <w:rPr>
          <w:rFonts w:hint="eastAsia" w:ascii="宋体" w:hAnsi="宋体" w:eastAsia="宋体" w:cs="宋体"/>
          <w:color w:val="auto"/>
          <w:spacing w:val="0"/>
          <w:position w:val="0"/>
          <w:sz w:val="24"/>
          <w:szCs w:val="24"/>
          <w:highlight w:val="none"/>
        </w:rPr>
        <w:fldChar w:fldCharType="begin"/>
      </w:r>
      <w:r>
        <w:rPr>
          <w:rFonts w:hint="eastAsia" w:ascii="宋体" w:hAnsi="宋体" w:eastAsia="宋体" w:cs="宋体"/>
          <w:color w:val="auto"/>
          <w:spacing w:val="0"/>
          <w:position w:val="0"/>
          <w:sz w:val="24"/>
          <w:szCs w:val="24"/>
          <w:highlight w:val="none"/>
        </w:rPr>
        <w:instrText xml:space="preserve"> HYPERLINK "https://www.ccgp-anhui.gov.cn" </w:instrText>
      </w:r>
      <w:r>
        <w:rPr>
          <w:rFonts w:hint="eastAsia" w:ascii="宋体" w:hAnsi="宋体" w:eastAsia="宋体" w:cs="宋体"/>
          <w:color w:val="auto"/>
          <w:spacing w:val="0"/>
          <w:position w:val="0"/>
          <w:sz w:val="24"/>
          <w:szCs w:val="24"/>
          <w:highlight w:val="none"/>
        </w:rPr>
        <w:fldChar w:fldCharType="separate"/>
      </w:r>
      <w:r>
        <w:rPr>
          <w:rFonts w:hint="eastAsia" w:ascii="宋体" w:hAnsi="宋体" w:eastAsia="宋体" w:cs="宋体"/>
          <w:color w:val="auto"/>
          <w:spacing w:val="0"/>
          <w:position w:val="0"/>
          <w:sz w:val="24"/>
          <w:szCs w:val="24"/>
          <w:highlight w:val="none"/>
        </w:rPr>
        <w:t>https://www.ccgp-anhui.gov.cn</w:t>
      </w:r>
      <w:r>
        <w:rPr>
          <w:rFonts w:hint="eastAsia" w:ascii="宋体" w:hAnsi="宋体" w:eastAsia="宋体" w:cs="宋体"/>
          <w:color w:val="auto"/>
          <w:spacing w:val="0"/>
          <w:position w:val="0"/>
          <w:sz w:val="24"/>
          <w:szCs w:val="24"/>
          <w:highlight w:val="none"/>
        </w:rPr>
        <w:fldChar w:fldCharType="end"/>
      </w:r>
      <w:r>
        <w:rPr>
          <w:rFonts w:hint="eastAsia" w:ascii="宋体" w:hAnsi="宋体" w:eastAsia="宋体" w:cs="宋体"/>
          <w:color w:val="auto"/>
          <w:spacing w:val="0"/>
          <w:position w:val="0"/>
          <w:sz w:val="24"/>
          <w:szCs w:val="24"/>
          <w:highlight w:val="none"/>
        </w:rPr>
        <w:t>) 并登录后，首页点击“徽采学院”-“框架协议”-“供应商”- “徽采云框架协议供应商操作培训”,在线观看或下载相关培训视频进行学习)</w:t>
      </w:r>
    </w:p>
    <w:p w14:paraId="07996DD7">
      <w:pPr>
        <w:pageBreakBefore w:val="0"/>
        <w:widowControl w:val="0"/>
        <w:kinsoku/>
        <w:wordWrap/>
        <w:overflowPunct/>
        <w:topLinePunct w:val="0"/>
        <w:autoSpaceDE/>
        <w:autoSpaceDN/>
        <w:bidi w:val="0"/>
        <w:adjustRightInd/>
        <w:snapToGrid/>
        <w:spacing w:line="500" w:lineRule="exact"/>
        <w:ind w:firstLine="0" w:firstLineChars="0"/>
        <w:jc w:val="both"/>
        <w:textAlignment w:val="auto"/>
        <w:outlineLvl w:val="1"/>
        <w:rPr>
          <w:rFonts w:hint="eastAsia" w:ascii="黑体" w:hAnsi="黑体" w:eastAsia="黑体" w:cs="黑体"/>
          <w:b w:val="0"/>
          <w:bCs/>
          <w:color w:val="auto"/>
          <w:sz w:val="32"/>
          <w:szCs w:val="32"/>
          <w:highlight w:val="none"/>
          <w:lang w:val="en-US" w:eastAsia="zh-CN"/>
        </w:rPr>
      </w:pPr>
    </w:p>
    <w:p w14:paraId="259733CB">
      <w:pPr>
        <w:pageBreakBefore w:val="0"/>
        <w:widowControl w:val="0"/>
        <w:kinsoku/>
        <w:wordWrap/>
        <w:overflowPunct/>
        <w:topLinePunct w:val="0"/>
        <w:autoSpaceDE/>
        <w:autoSpaceDN/>
        <w:bidi w:val="0"/>
        <w:adjustRightInd/>
        <w:snapToGrid/>
        <w:spacing w:line="500" w:lineRule="exact"/>
        <w:ind w:firstLine="0" w:firstLineChars="0"/>
        <w:jc w:val="center"/>
        <w:textAlignment w:val="auto"/>
        <w:outlineLvl w:val="1"/>
        <w:rPr>
          <w:rFonts w:hint="eastAsia" w:ascii="黑体" w:hAnsi="黑体" w:eastAsia="黑体" w:cs="黑体"/>
          <w:b w:val="0"/>
          <w:bCs/>
          <w:color w:val="auto"/>
          <w:sz w:val="32"/>
          <w:szCs w:val="32"/>
          <w:highlight w:val="none"/>
          <w:lang w:eastAsia="zh-CN"/>
        </w:rPr>
      </w:pPr>
      <w:bookmarkStart w:id="12" w:name="_Toc28185"/>
      <w:r>
        <w:rPr>
          <w:rFonts w:hint="eastAsia" w:ascii="黑体" w:hAnsi="黑体" w:eastAsia="黑体" w:cs="黑体"/>
          <w:b w:val="0"/>
          <w:bCs/>
          <w:color w:val="auto"/>
          <w:sz w:val="32"/>
          <w:szCs w:val="32"/>
          <w:highlight w:val="none"/>
          <w:lang w:val="en-US" w:eastAsia="zh-CN"/>
        </w:rPr>
        <w:t>第十二章 响应文件（格式）</w:t>
      </w:r>
      <w:bookmarkEnd w:id="12"/>
    </w:p>
    <w:p w14:paraId="563E7EBA">
      <w:pPr>
        <w:pageBreakBefore w:val="0"/>
        <w:widowControl w:val="0"/>
        <w:kinsoku/>
        <w:wordWrap/>
        <w:overflowPunct/>
        <w:topLinePunct w:val="0"/>
        <w:autoSpaceDE/>
        <w:autoSpaceDN/>
        <w:bidi w:val="0"/>
        <w:adjustRightInd/>
        <w:snapToGrid/>
        <w:spacing w:line="500" w:lineRule="exact"/>
        <w:ind w:firstLine="0" w:firstLineChars="0"/>
        <w:jc w:val="center"/>
        <w:textAlignment w:val="auto"/>
        <w:outlineLvl w:val="1"/>
        <w:rPr>
          <w:rFonts w:hint="eastAsia" w:ascii="黑体" w:hAnsi="黑体" w:eastAsia="黑体" w:cs="黑体"/>
          <w:b w:val="0"/>
          <w:bCs/>
          <w:color w:val="auto"/>
          <w:sz w:val="32"/>
          <w:szCs w:val="32"/>
          <w:highlight w:val="none"/>
          <w:lang w:eastAsia="zh-CN"/>
        </w:rPr>
      </w:pPr>
      <w:r>
        <w:rPr>
          <w:rFonts w:hint="eastAsia" w:ascii="黑体" w:hAnsi="黑体" w:eastAsia="黑体" w:cs="黑体"/>
          <w:b w:val="0"/>
          <w:bCs/>
          <w:color w:val="auto"/>
          <w:sz w:val="30"/>
          <w:szCs w:val="30"/>
          <w:highlight w:val="none"/>
          <w:lang w:eastAsia="zh-CN"/>
        </w:rPr>
        <w:t xml:space="preserve"> </w:t>
      </w:r>
      <w:r>
        <w:rPr>
          <w:rFonts w:hint="eastAsia" w:ascii="黑体" w:hAnsi="黑体" w:eastAsia="黑体" w:cs="黑体"/>
          <w:b w:val="0"/>
          <w:bCs/>
          <w:color w:val="auto"/>
          <w:sz w:val="32"/>
          <w:szCs w:val="32"/>
          <w:highlight w:val="none"/>
          <w:lang w:eastAsia="zh-CN"/>
        </w:rPr>
        <w:t>霍山县机关事务管理服务中心2026年-2028年公务用车定点维修服务单位框架协议采购项目（二次）</w:t>
      </w:r>
    </w:p>
    <w:p w14:paraId="3BB5AAB4">
      <w:pPr>
        <w:pStyle w:val="18"/>
        <w:rPr>
          <w:rFonts w:hint="eastAsia"/>
          <w:color w:val="auto"/>
          <w:highlight w:val="none"/>
          <w:lang w:eastAsia="zh-CN"/>
        </w:rPr>
      </w:pPr>
    </w:p>
    <w:p w14:paraId="0568EB6C">
      <w:pPr>
        <w:pStyle w:val="2"/>
        <w:pageBreakBefore w:val="0"/>
        <w:widowControl w:val="0"/>
        <w:kinsoku/>
        <w:wordWrap/>
        <w:overflowPunct/>
        <w:topLinePunct w:val="0"/>
        <w:autoSpaceDE/>
        <w:autoSpaceDN/>
        <w:bidi w:val="0"/>
        <w:adjustRightInd/>
        <w:snapToGrid/>
        <w:ind w:firstLine="0" w:firstLineChars="0"/>
        <w:jc w:val="center"/>
        <w:textAlignment w:val="auto"/>
        <w:rPr>
          <w:rFonts w:hint="default" w:ascii="黑体" w:hAnsi="黑体" w:eastAsia="黑体" w:cs="黑体"/>
          <w:b w:val="0"/>
          <w:bCs/>
          <w:color w:val="auto"/>
          <w:sz w:val="32"/>
          <w:szCs w:val="32"/>
          <w:highlight w:val="none"/>
          <w:lang w:val="en-US" w:eastAsia="zh-CN"/>
        </w:rPr>
      </w:pPr>
      <w:r>
        <w:rPr>
          <w:rFonts w:hint="eastAsia" w:ascii="黑体" w:hAnsi="黑体" w:eastAsia="黑体" w:cs="黑体"/>
          <w:b w:val="0"/>
          <w:bCs/>
          <w:color w:val="auto"/>
          <w:sz w:val="32"/>
          <w:szCs w:val="32"/>
          <w:highlight w:val="none"/>
          <w:lang w:val="en-US" w:eastAsia="zh-CN"/>
        </w:rPr>
        <w:t xml:space="preserve"> </w:t>
      </w:r>
    </w:p>
    <w:p w14:paraId="50C02868">
      <w:pPr>
        <w:rPr>
          <w:color w:val="auto"/>
          <w:highlight w:val="none"/>
        </w:rPr>
      </w:pPr>
    </w:p>
    <w:p w14:paraId="265054D8">
      <w:pPr>
        <w:pageBreakBefore w:val="0"/>
        <w:widowControl w:val="0"/>
        <w:kinsoku/>
        <w:wordWrap/>
        <w:overflowPunct/>
        <w:topLinePunct w:val="0"/>
        <w:autoSpaceDE/>
        <w:autoSpaceDN/>
        <w:bidi w:val="0"/>
        <w:adjustRightInd/>
        <w:snapToGrid/>
        <w:spacing w:line="900" w:lineRule="exact"/>
        <w:ind w:firstLine="0" w:firstLineChars="0"/>
        <w:jc w:val="center"/>
        <w:textAlignment w:val="auto"/>
        <w:outlineLvl w:val="2"/>
        <w:rPr>
          <w:rFonts w:hint="default" w:asciiTheme="minorEastAsia" w:hAnsiTheme="minorEastAsia" w:eastAsiaTheme="minorEastAsia"/>
          <w:b/>
          <w:color w:val="auto"/>
          <w:sz w:val="72"/>
          <w:highlight w:val="none"/>
          <w:lang w:val="en-US" w:eastAsia="zh-CN"/>
        </w:rPr>
      </w:pPr>
      <w:r>
        <w:rPr>
          <w:rFonts w:hint="eastAsia" w:asciiTheme="minorEastAsia" w:hAnsiTheme="minorEastAsia"/>
          <w:b/>
          <w:color w:val="auto"/>
          <w:sz w:val="72"/>
          <w:highlight w:val="none"/>
          <w:lang w:val="en-US" w:eastAsia="zh-CN"/>
        </w:rPr>
        <w:t>响</w:t>
      </w:r>
    </w:p>
    <w:p w14:paraId="03D73AAC">
      <w:pPr>
        <w:pageBreakBefore w:val="0"/>
        <w:widowControl w:val="0"/>
        <w:kinsoku/>
        <w:wordWrap/>
        <w:overflowPunct/>
        <w:topLinePunct w:val="0"/>
        <w:autoSpaceDE/>
        <w:autoSpaceDN/>
        <w:bidi w:val="0"/>
        <w:adjustRightInd/>
        <w:snapToGrid/>
        <w:spacing w:line="900" w:lineRule="exact"/>
        <w:ind w:firstLine="0" w:firstLineChars="0"/>
        <w:jc w:val="center"/>
        <w:textAlignment w:val="auto"/>
        <w:rPr>
          <w:rFonts w:asciiTheme="minorEastAsia" w:hAnsiTheme="minorEastAsia" w:eastAsiaTheme="minorEastAsia"/>
          <w:b/>
          <w:color w:val="auto"/>
          <w:sz w:val="72"/>
          <w:highlight w:val="none"/>
        </w:rPr>
      </w:pPr>
    </w:p>
    <w:p w14:paraId="72A81040">
      <w:pPr>
        <w:pageBreakBefore w:val="0"/>
        <w:widowControl w:val="0"/>
        <w:kinsoku/>
        <w:wordWrap/>
        <w:overflowPunct/>
        <w:topLinePunct w:val="0"/>
        <w:autoSpaceDE/>
        <w:autoSpaceDN/>
        <w:bidi w:val="0"/>
        <w:adjustRightInd/>
        <w:snapToGrid/>
        <w:spacing w:line="900" w:lineRule="exact"/>
        <w:ind w:firstLine="0" w:firstLineChars="0"/>
        <w:jc w:val="center"/>
        <w:textAlignment w:val="auto"/>
        <w:outlineLvl w:val="2"/>
        <w:rPr>
          <w:rFonts w:hint="default" w:asciiTheme="minorEastAsia" w:hAnsiTheme="minorEastAsia" w:eastAsiaTheme="minorEastAsia"/>
          <w:b/>
          <w:color w:val="auto"/>
          <w:sz w:val="72"/>
          <w:highlight w:val="none"/>
          <w:lang w:val="en-US" w:eastAsia="zh-CN"/>
        </w:rPr>
      </w:pPr>
      <w:r>
        <w:rPr>
          <w:rFonts w:hint="eastAsia" w:asciiTheme="minorEastAsia" w:hAnsiTheme="minorEastAsia"/>
          <w:b/>
          <w:color w:val="auto"/>
          <w:sz w:val="72"/>
          <w:highlight w:val="none"/>
          <w:lang w:val="en-US" w:eastAsia="zh-CN"/>
        </w:rPr>
        <w:t>应</w:t>
      </w:r>
    </w:p>
    <w:p w14:paraId="5E5EA7FD">
      <w:pPr>
        <w:pageBreakBefore w:val="0"/>
        <w:widowControl w:val="0"/>
        <w:kinsoku/>
        <w:wordWrap/>
        <w:overflowPunct/>
        <w:topLinePunct w:val="0"/>
        <w:autoSpaceDE/>
        <w:autoSpaceDN/>
        <w:bidi w:val="0"/>
        <w:adjustRightInd/>
        <w:snapToGrid/>
        <w:spacing w:line="900" w:lineRule="exact"/>
        <w:ind w:firstLine="0" w:firstLineChars="0"/>
        <w:jc w:val="center"/>
        <w:textAlignment w:val="auto"/>
        <w:rPr>
          <w:rFonts w:asciiTheme="minorEastAsia" w:hAnsiTheme="minorEastAsia" w:eastAsiaTheme="minorEastAsia"/>
          <w:b/>
          <w:color w:val="auto"/>
          <w:sz w:val="72"/>
          <w:highlight w:val="none"/>
        </w:rPr>
      </w:pPr>
    </w:p>
    <w:p w14:paraId="3BE6BB9C">
      <w:pPr>
        <w:pageBreakBefore w:val="0"/>
        <w:widowControl w:val="0"/>
        <w:kinsoku/>
        <w:wordWrap/>
        <w:overflowPunct/>
        <w:topLinePunct w:val="0"/>
        <w:autoSpaceDE/>
        <w:autoSpaceDN/>
        <w:bidi w:val="0"/>
        <w:adjustRightInd/>
        <w:snapToGrid/>
        <w:spacing w:line="900" w:lineRule="exact"/>
        <w:ind w:firstLine="0" w:firstLineChars="0"/>
        <w:jc w:val="center"/>
        <w:textAlignment w:val="auto"/>
        <w:outlineLvl w:val="2"/>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文</w:t>
      </w:r>
    </w:p>
    <w:p w14:paraId="3EC8761F">
      <w:pPr>
        <w:pageBreakBefore w:val="0"/>
        <w:widowControl w:val="0"/>
        <w:kinsoku/>
        <w:wordWrap/>
        <w:overflowPunct/>
        <w:topLinePunct w:val="0"/>
        <w:autoSpaceDE/>
        <w:autoSpaceDN/>
        <w:bidi w:val="0"/>
        <w:adjustRightInd/>
        <w:snapToGrid/>
        <w:spacing w:line="900" w:lineRule="exact"/>
        <w:ind w:firstLine="0" w:firstLineChars="0"/>
        <w:jc w:val="center"/>
        <w:textAlignment w:val="auto"/>
        <w:rPr>
          <w:rFonts w:asciiTheme="minorEastAsia" w:hAnsiTheme="minorEastAsia" w:eastAsiaTheme="minorEastAsia"/>
          <w:b/>
          <w:color w:val="auto"/>
          <w:sz w:val="72"/>
          <w:highlight w:val="none"/>
        </w:rPr>
      </w:pPr>
    </w:p>
    <w:p w14:paraId="43B2B573">
      <w:pPr>
        <w:pageBreakBefore w:val="0"/>
        <w:widowControl w:val="0"/>
        <w:kinsoku/>
        <w:wordWrap/>
        <w:overflowPunct/>
        <w:topLinePunct w:val="0"/>
        <w:autoSpaceDE/>
        <w:autoSpaceDN/>
        <w:bidi w:val="0"/>
        <w:adjustRightInd/>
        <w:snapToGrid/>
        <w:ind w:firstLine="0" w:firstLineChars="0"/>
        <w:jc w:val="center"/>
        <w:textAlignment w:val="auto"/>
        <w:outlineLvl w:val="2"/>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件</w:t>
      </w:r>
    </w:p>
    <w:p w14:paraId="60746B1B">
      <w:pPr>
        <w:keepNext w:val="0"/>
        <w:keepLines w:val="0"/>
        <w:pageBreakBefore w:val="0"/>
        <w:widowControl w:val="0"/>
        <w:kinsoku/>
        <w:wordWrap/>
        <w:overflowPunct/>
        <w:topLinePunct w:val="0"/>
        <w:autoSpaceDE/>
        <w:autoSpaceDN/>
        <w:bidi w:val="0"/>
        <w:adjustRightInd/>
        <w:snapToGrid/>
        <w:spacing w:before="157" w:beforeLines="50" w:after="156" w:afterLines="50"/>
        <w:ind w:firstLine="0" w:firstLineChars="0"/>
        <w:jc w:val="center"/>
        <w:textAlignment w:val="auto"/>
        <w:rPr>
          <w:rFonts w:hint="eastAsia" w:asciiTheme="minorEastAsia" w:hAnsiTheme="minorEastAsia" w:eastAsiaTheme="minorEastAsia"/>
          <w:b w:val="0"/>
          <w:bCs/>
          <w:color w:val="auto"/>
          <w:sz w:val="32"/>
          <w:szCs w:val="13"/>
          <w:highlight w:val="none"/>
          <w:lang w:eastAsia="zh-CN"/>
        </w:rPr>
      </w:pPr>
      <w:r>
        <w:rPr>
          <w:rFonts w:hint="eastAsia" w:asciiTheme="minorEastAsia" w:hAnsiTheme="minorEastAsia"/>
          <w:b w:val="0"/>
          <w:bCs/>
          <w:color w:val="auto"/>
          <w:sz w:val="32"/>
          <w:szCs w:val="13"/>
          <w:highlight w:val="none"/>
          <w:lang w:eastAsia="zh-CN"/>
        </w:rPr>
        <w:t>（</w:t>
      </w:r>
      <w:r>
        <w:rPr>
          <w:rFonts w:hint="eastAsia" w:asciiTheme="minorEastAsia" w:hAnsiTheme="minorEastAsia"/>
          <w:b w:val="0"/>
          <w:bCs/>
          <w:color w:val="auto"/>
          <w:sz w:val="32"/>
          <w:szCs w:val="13"/>
          <w:highlight w:val="none"/>
          <w:lang w:val="en-US" w:eastAsia="zh-CN"/>
        </w:rPr>
        <w:t>封 面</w:t>
      </w:r>
      <w:r>
        <w:rPr>
          <w:rFonts w:hint="eastAsia" w:asciiTheme="minorEastAsia" w:hAnsiTheme="minorEastAsia"/>
          <w:b w:val="0"/>
          <w:bCs/>
          <w:color w:val="auto"/>
          <w:sz w:val="32"/>
          <w:szCs w:val="13"/>
          <w:highlight w:val="none"/>
          <w:lang w:eastAsia="zh-CN"/>
        </w:rPr>
        <w:t>）</w:t>
      </w:r>
    </w:p>
    <w:p w14:paraId="49D1F2CA">
      <w:pPr>
        <w:spacing w:after="120" w:afterLines="50" w:line="500" w:lineRule="exact"/>
        <w:ind w:firstLine="3096" w:firstLineChars="1285"/>
        <w:rPr>
          <w:rFonts w:hint="eastAsia" w:ascii="宋体" w:hAnsi="宋体"/>
          <w:b/>
          <w:color w:val="auto"/>
          <w:sz w:val="24"/>
          <w:szCs w:val="24"/>
          <w:highlight w:val="none"/>
        </w:rPr>
      </w:pPr>
      <w:bookmarkStart w:id="13" w:name="_Toc27705"/>
      <w:bookmarkStart w:id="14" w:name="_Toc13288"/>
      <w:bookmarkStart w:id="15" w:name="_Toc32728"/>
    </w:p>
    <w:p w14:paraId="1F9C7AFE">
      <w:pPr>
        <w:spacing w:after="120" w:afterLines="50" w:line="500" w:lineRule="exact"/>
        <w:ind w:firstLine="2800" w:firstLineChars="1000"/>
        <w:rPr>
          <w:rFonts w:hint="default" w:ascii="黑体" w:hAnsi="黑体" w:eastAsia="黑体" w:cs="黑体"/>
          <w:b w:val="0"/>
          <w:bCs/>
          <w:color w:val="auto"/>
          <w:sz w:val="28"/>
          <w:szCs w:val="28"/>
          <w:highlight w:val="none"/>
          <w:u w:val="single"/>
          <w:lang w:val="en-US" w:eastAsia="zh-CN"/>
        </w:rPr>
      </w:pPr>
      <w:r>
        <w:rPr>
          <w:rFonts w:hint="eastAsia" w:ascii="黑体" w:hAnsi="黑体" w:eastAsia="黑体" w:cs="黑体"/>
          <w:b w:val="0"/>
          <w:bCs/>
          <w:color w:val="auto"/>
          <w:sz w:val="28"/>
          <w:szCs w:val="28"/>
          <w:highlight w:val="none"/>
        </w:rPr>
        <w:t>供应商：</w:t>
      </w:r>
      <w:r>
        <w:rPr>
          <w:rFonts w:hint="eastAsia" w:ascii="黑体" w:hAnsi="黑体" w:eastAsia="黑体" w:cs="黑体"/>
          <w:b w:val="0"/>
          <w:bCs/>
          <w:color w:val="auto"/>
          <w:sz w:val="28"/>
          <w:szCs w:val="28"/>
          <w:highlight w:val="none"/>
          <w:u w:val="single"/>
        </w:rPr>
        <w:t xml:space="preserve">               </w:t>
      </w:r>
      <w:r>
        <w:rPr>
          <w:rFonts w:hint="eastAsia" w:ascii="黑体" w:hAnsi="黑体" w:eastAsia="黑体" w:cs="黑体"/>
          <w:b w:val="0"/>
          <w:bCs/>
          <w:color w:val="auto"/>
          <w:sz w:val="28"/>
          <w:szCs w:val="28"/>
          <w:highlight w:val="none"/>
          <w:u w:val="single"/>
          <w:lang w:val="en-US" w:eastAsia="zh-CN"/>
        </w:rPr>
        <w:t xml:space="preserve">   </w:t>
      </w:r>
    </w:p>
    <w:p w14:paraId="0A41C4D0">
      <w:pPr>
        <w:spacing w:after="120" w:afterLines="50" w:line="500" w:lineRule="exact"/>
        <w:jc w:val="center"/>
        <w:rPr>
          <w:rFonts w:hint="eastAsia" w:ascii="黑体" w:hAnsi="黑体" w:eastAsia="黑体" w:cs="黑体"/>
          <w:b w:val="0"/>
          <w:bCs/>
          <w:color w:val="auto"/>
          <w:sz w:val="28"/>
          <w:szCs w:val="28"/>
          <w:highlight w:val="none"/>
        </w:rPr>
      </w:pPr>
      <w:r>
        <w:rPr>
          <w:rFonts w:hint="eastAsia" w:ascii="黑体" w:hAnsi="黑体" w:eastAsia="黑体" w:cs="黑体"/>
          <w:b w:val="0"/>
          <w:bCs/>
          <w:color w:val="auto"/>
          <w:sz w:val="28"/>
          <w:szCs w:val="28"/>
          <w:highlight w:val="none"/>
          <w:lang w:val="en-US" w:eastAsia="zh-CN"/>
        </w:rPr>
        <w:t xml:space="preserve">  日  期：2026</w:t>
      </w:r>
      <w:r>
        <w:rPr>
          <w:rFonts w:hint="eastAsia" w:ascii="黑体" w:hAnsi="黑体" w:eastAsia="黑体" w:cs="黑体"/>
          <w:b w:val="0"/>
          <w:bCs/>
          <w:color w:val="auto"/>
          <w:sz w:val="28"/>
          <w:szCs w:val="28"/>
          <w:highlight w:val="none"/>
        </w:rPr>
        <w:t>年</w:t>
      </w:r>
      <w:r>
        <w:rPr>
          <w:rFonts w:hint="eastAsia" w:ascii="黑体" w:hAnsi="黑体" w:eastAsia="黑体" w:cs="黑体"/>
          <w:b w:val="0"/>
          <w:bCs/>
          <w:color w:val="auto"/>
          <w:sz w:val="28"/>
          <w:szCs w:val="28"/>
          <w:highlight w:val="none"/>
          <w:u w:val="single"/>
        </w:rPr>
        <w:t xml:space="preserve">    </w:t>
      </w:r>
      <w:r>
        <w:rPr>
          <w:rFonts w:hint="eastAsia" w:ascii="黑体" w:hAnsi="黑体" w:eastAsia="黑体" w:cs="黑体"/>
          <w:b w:val="0"/>
          <w:bCs/>
          <w:color w:val="auto"/>
          <w:sz w:val="28"/>
          <w:szCs w:val="28"/>
          <w:highlight w:val="none"/>
        </w:rPr>
        <w:t>月</w:t>
      </w:r>
      <w:r>
        <w:rPr>
          <w:rFonts w:hint="eastAsia" w:ascii="黑体" w:hAnsi="黑体" w:eastAsia="黑体" w:cs="黑体"/>
          <w:b w:val="0"/>
          <w:bCs/>
          <w:color w:val="auto"/>
          <w:sz w:val="28"/>
          <w:szCs w:val="28"/>
          <w:highlight w:val="none"/>
          <w:u w:val="single"/>
        </w:rPr>
        <w:t xml:space="preserve">    </w:t>
      </w:r>
      <w:r>
        <w:rPr>
          <w:rFonts w:hint="eastAsia" w:ascii="黑体" w:hAnsi="黑体" w:eastAsia="黑体" w:cs="黑体"/>
          <w:b w:val="0"/>
          <w:bCs/>
          <w:color w:val="auto"/>
          <w:sz w:val="28"/>
          <w:szCs w:val="28"/>
          <w:highlight w:val="none"/>
        </w:rPr>
        <w:t>日</w:t>
      </w:r>
    </w:p>
    <w:p w14:paraId="2267C255">
      <w:pPr>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br w:type="page"/>
      </w:r>
    </w:p>
    <w:p w14:paraId="2306DF14">
      <w:pPr>
        <w:pStyle w:val="6"/>
        <w:bidi w:val="0"/>
        <w:rPr>
          <w:rFonts w:hint="default"/>
          <w:color w:val="auto"/>
          <w:highlight w:val="none"/>
          <w:lang w:val="en-US"/>
        </w:rPr>
      </w:pPr>
      <w:bookmarkStart w:id="16" w:name="_Toc4557"/>
      <w:r>
        <w:rPr>
          <w:rFonts w:hint="eastAsia"/>
          <w:color w:val="auto"/>
          <w:highlight w:val="none"/>
        </w:rPr>
        <w:t>一、</w:t>
      </w:r>
      <w:r>
        <w:rPr>
          <w:rFonts w:hint="eastAsia"/>
          <w:color w:val="auto"/>
          <w:highlight w:val="none"/>
          <w:lang w:val="en-US" w:eastAsia="zh-CN"/>
        </w:rPr>
        <w:t>营业执照（或事业单位法人登记证书）和税务登记证</w:t>
      </w:r>
      <w:bookmarkEnd w:id="13"/>
      <w:bookmarkEnd w:id="14"/>
      <w:bookmarkEnd w:id="15"/>
      <w:bookmarkEnd w:id="16"/>
    </w:p>
    <w:p w14:paraId="6507BF17">
      <w:pPr>
        <w:spacing w:line="360" w:lineRule="auto"/>
        <w:rPr>
          <w:rFonts w:hint="eastAsia" w:asciiTheme="minorEastAsia" w:hAnsiTheme="minorEastAsia" w:eastAsiaTheme="minorEastAsia"/>
          <w:color w:val="auto"/>
          <w:sz w:val="24"/>
          <w:highlight w:val="none"/>
          <w:lang w:eastAsia="zh-CN"/>
        </w:rPr>
      </w:pPr>
    </w:p>
    <w:p w14:paraId="0212C669">
      <w:pPr>
        <w:spacing w:line="360" w:lineRule="auto"/>
        <w:rPr>
          <w:rFonts w:hint="eastAsia" w:asciiTheme="minorEastAsia" w:hAnsiTheme="minorEastAsia" w:eastAsiaTheme="minorEastAsia"/>
          <w:color w:val="auto"/>
          <w:sz w:val="24"/>
          <w:highlight w:val="none"/>
          <w:lang w:eastAsia="zh-CN"/>
        </w:rPr>
      </w:pPr>
    </w:p>
    <w:p w14:paraId="376236F7">
      <w:pPr>
        <w:spacing w:line="360" w:lineRule="auto"/>
        <w:rPr>
          <w:rFonts w:hint="eastAsia" w:asciiTheme="minorEastAsia" w:hAnsiTheme="minorEastAsia" w:eastAsiaTheme="minorEastAsia"/>
          <w:color w:val="auto"/>
          <w:sz w:val="24"/>
          <w:highlight w:val="none"/>
          <w:lang w:eastAsia="zh-CN"/>
        </w:rPr>
      </w:pPr>
    </w:p>
    <w:p w14:paraId="31638FE9">
      <w:pPr>
        <w:pStyle w:val="2"/>
        <w:ind w:left="0" w:leftChars="0" w:firstLine="0" w:firstLineChars="0"/>
        <w:rPr>
          <w:rFonts w:hint="default" w:asciiTheme="minorEastAsia" w:hAnsiTheme="minorEastAsia" w:eastAsiaTheme="minorEastAsia"/>
          <w:color w:val="auto"/>
          <w:sz w:val="24"/>
          <w:highlight w:val="none"/>
          <w:lang w:val="en-US" w:eastAsia="zh-CN"/>
        </w:rPr>
      </w:pPr>
    </w:p>
    <w:p w14:paraId="5B18B096">
      <w:pPr>
        <w:rPr>
          <w:rFonts w:hint="eastAsia" w:asciiTheme="minorEastAsia" w:hAnsiTheme="minorEastAsia" w:eastAsiaTheme="minorEastAsia"/>
          <w:color w:val="auto"/>
          <w:sz w:val="24"/>
          <w:highlight w:val="none"/>
          <w:lang w:eastAsia="zh-CN"/>
        </w:rPr>
      </w:pPr>
    </w:p>
    <w:p w14:paraId="102D15B6">
      <w:pPr>
        <w:pStyle w:val="2"/>
        <w:rPr>
          <w:rFonts w:hint="eastAsia" w:asciiTheme="minorEastAsia" w:hAnsiTheme="minorEastAsia" w:eastAsiaTheme="minorEastAsia"/>
          <w:color w:val="auto"/>
          <w:sz w:val="24"/>
          <w:highlight w:val="none"/>
          <w:lang w:eastAsia="zh-CN"/>
        </w:rPr>
      </w:pPr>
    </w:p>
    <w:p w14:paraId="1B08890F">
      <w:pPr>
        <w:rPr>
          <w:rFonts w:hint="eastAsia" w:asciiTheme="minorEastAsia" w:hAnsiTheme="minorEastAsia" w:eastAsiaTheme="minorEastAsia"/>
          <w:color w:val="auto"/>
          <w:sz w:val="24"/>
          <w:highlight w:val="none"/>
          <w:lang w:eastAsia="zh-CN"/>
        </w:rPr>
      </w:pPr>
    </w:p>
    <w:p w14:paraId="1C9AB586">
      <w:pPr>
        <w:pStyle w:val="2"/>
        <w:rPr>
          <w:rFonts w:hint="eastAsia" w:asciiTheme="minorEastAsia" w:hAnsiTheme="minorEastAsia" w:eastAsiaTheme="minorEastAsia"/>
          <w:color w:val="auto"/>
          <w:sz w:val="24"/>
          <w:highlight w:val="none"/>
          <w:lang w:eastAsia="zh-CN"/>
        </w:rPr>
      </w:pPr>
    </w:p>
    <w:p w14:paraId="40C2E486">
      <w:pPr>
        <w:rPr>
          <w:rFonts w:hint="eastAsia"/>
          <w:color w:val="auto"/>
          <w:highlight w:val="none"/>
          <w:lang w:eastAsia="zh-CN"/>
        </w:rPr>
      </w:pPr>
    </w:p>
    <w:p w14:paraId="73EB2CC9">
      <w:pPr>
        <w:spacing w:line="360" w:lineRule="auto"/>
        <w:rPr>
          <w:rFonts w:hint="default" w:ascii="宋体" w:hAnsi="宋体" w:eastAsia="宋体" w:cs="宋体"/>
          <w:b/>
          <w:bCs/>
          <w:color w:val="auto"/>
          <w:sz w:val="24"/>
          <w:highlight w:val="none"/>
          <w:u w:val="none"/>
          <w:lang w:val="en-US" w:eastAsia="zh-CN"/>
        </w:rPr>
      </w:pPr>
      <w:r>
        <w:rPr>
          <w:rFonts w:hint="eastAsia" w:ascii="宋体" w:hAnsi="宋体" w:eastAsia="宋体" w:cs="宋体"/>
          <w:b/>
          <w:bCs/>
          <w:color w:val="auto"/>
          <w:sz w:val="24"/>
          <w:highlight w:val="none"/>
          <w:lang w:val="en-US" w:eastAsia="zh-CN"/>
        </w:rPr>
        <w:t>供应商名称（盖章）：</w:t>
      </w:r>
      <w:r>
        <w:rPr>
          <w:rFonts w:hint="eastAsia" w:ascii="宋体" w:hAnsi="宋体" w:eastAsia="宋体" w:cs="宋体"/>
          <w:b/>
          <w:bCs/>
          <w:color w:val="auto"/>
          <w:sz w:val="24"/>
          <w:highlight w:val="none"/>
          <w:u w:val="single"/>
          <w:lang w:val="en-US" w:eastAsia="zh-CN"/>
        </w:rPr>
        <w:t xml:space="preserve">           </w:t>
      </w:r>
    </w:p>
    <w:p w14:paraId="1A4AB564">
      <w:pPr>
        <w:pStyle w:val="18"/>
        <w:rPr>
          <w:rFonts w:hint="eastAsia"/>
          <w:color w:val="auto"/>
          <w:highlight w:val="none"/>
        </w:rPr>
      </w:pPr>
    </w:p>
    <w:p w14:paraId="4C0EB14B">
      <w:pPr>
        <w:spacing w:line="360" w:lineRule="auto"/>
        <w:rPr>
          <w:rFonts w:hint="eastAsia" w:asciiTheme="minorEastAsia" w:hAnsiTheme="minorEastAsia" w:eastAsiaTheme="minorEastAsia"/>
          <w:color w:val="auto"/>
          <w:sz w:val="24"/>
          <w:highlight w:val="none"/>
        </w:rPr>
      </w:pPr>
      <w:r>
        <w:rPr>
          <w:rFonts w:hint="eastAsia" w:asciiTheme="minorEastAsia" w:hAnsiTheme="minorEastAsia" w:eastAsiaTheme="minorEastAsia"/>
          <w:b/>
          <w:color w:val="auto"/>
          <w:sz w:val="24"/>
          <w:highlight w:val="none"/>
        </w:rPr>
        <w:t>备注：</w:t>
      </w:r>
      <w:r>
        <w:rPr>
          <w:rFonts w:hint="eastAsia" w:asciiTheme="minorEastAsia" w:hAnsiTheme="minorEastAsia" w:eastAsiaTheme="minorEastAsia"/>
          <w:color w:val="auto"/>
          <w:sz w:val="24"/>
          <w:highlight w:val="none"/>
        </w:rPr>
        <w:t>提供有效的</w:t>
      </w:r>
      <w:r>
        <w:rPr>
          <w:rFonts w:hint="eastAsia" w:asciiTheme="minorEastAsia" w:hAnsiTheme="minorEastAsia" w:eastAsiaTheme="minorEastAsia"/>
          <w:color w:val="auto"/>
          <w:sz w:val="24"/>
          <w:highlight w:val="none"/>
          <w:lang w:eastAsia="zh-CN"/>
        </w:rPr>
        <w:t>供应商</w:t>
      </w:r>
      <w:r>
        <w:rPr>
          <w:rFonts w:hint="eastAsia" w:asciiTheme="minorEastAsia" w:hAnsiTheme="minorEastAsia" w:eastAsiaTheme="minorEastAsia"/>
          <w:color w:val="auto"/>
          <w:sz w:val="24"/>
          <w:highlight w:val="none"/>
        </w:rPr>
        <w:t>营业执照（或事业单位法人登记证书）和税务登记证的</w:t>
      </w:r>
      <w:r>
        <w:rPr>
          <w:rFonts w:hint="eastAsia" w:asciiTheme="minorEastAsia" w:hAnsiTheme="minorEastAsia"/>
          <w:color w:val="auto"/>
          <w:sz w:val="24"/>
          <w:highlight w:val="none"/>
          <w:lang w:val="en-US" w:eastAsia="zh-CN"/>
        </w:rPr>
        <w:t>扫描件</w:t>
      </w:r>
      <w:r>
        <w:rPr>
          <w:rFonts w:hint="eastAsia" w:asciiTheme="minorEastAsia" w:hAnsiTheme="minorEastAsia" w:eastAsiaTheme="minorEastAsia"/>
          <w:color w:val="auto"/>
          <w:sz w:val="24"/>
          <w:highlight w:val="none"/>
        </w:rPr>
        <w:t>，应完整的体现出营业执照（或事业单位法人登记证书）和税务登记证的全部内容。已办理“三证合一”登记的，</w:t>
      </w:r>
      <w:r>
        <w:rPr>
          <w:rFonts w:hint="eastAsia" w:asciiTheme="minorEastAsia" w:hAnsiTheme="minorEastAsia"/>
          <w:color w:val="auto"/>
          <w:sz w:val="24"/>
          <w:highlight w:val="none"/>
          <w:lang w:val="en-US" w:eastAsia="zh-CN"/>
        </w:rPr>
        <w:t>响应文件</w:t>
      </w:r>
      <w:r>
        <w:rPr>
          <w:rFonts w:hint="eastAsia" w:asciiTheme="minorEastAsia" w:hAnsiTheme="minorEastAsia" w:eastAsiaTheme="minorEastAsia"/>
          <w:color w:val="auto"/>
          <w:sz w:val="24"/>
          <w:highlight w:val="none"/>
        </w:rPr>
        <w:t>中提供营业执照（或事业单位法人登记证书）</w:t>
      </w:r>
      <w:r>
        <w:rPr>
          <w:rFonts w:hint="eastAsia" w:asciiTheme="minorEastAsia" w:hAnsiTheme="minorEastAsia"/>
          <w:color w:val="auto"/>
          <w:sz w:val="24"/>
          <w:highlight w:val="none"/>
          <w:lang w:val="en-US" w:eastAsia="zh-CN"/>
        </w:rPr>
        <w:t>扫描件</w:t>
      </w:r>
      <w:r>
        <w:rPr>
          <w:rFonts w:hint="eastAsia" w:asciiTheme="minorEastAsia" w:hAnsiTheme="minorEastAsia" w:eastAsiaTheme="minorEastAsia"/>
          <w:color w:val="auto"/>
          <w:sz w:val="24"/>
          <w:highlight w:val="none"/>
        </w:rPr>
        <w:t>即可。</w:t>
      </w:r>
    </w:p>
    <w:p w14:paraId="1D3A292D">
      <w:pPr>
        <w:rPr>
          <w:rFonts w:hint="eastAsia" w:asciiTheme="minorEastAsia" w:hAnsiTheme="minorEastAsia"/>
          <w:b/>
          <w:color w:val="auto"/>
          <w:sz w:val="24"/>
          <w:highlight w:val="none"/>
          <w:lang w:eastAsia="zh-CN"/>
        </w:rPr>
      </w:pPr>
      <w:bookmarkStart w:id="17" w:name="_Toc28438"/>
      <w:bookmarkStart w:id="18" w:name="_Toc15097"/>
      <w:bookmarkStart w:id="19" w:name="_Toc31361"/>
    </w:p>
    <w:p w14:paraId="43FC344D">
      <w:pPr>
        <w:pStyle w:val="7"/>
        <w:spacing w:before="120" w:after="120" w:line="560" w:lineRule="exact"/>
        <w:ind w:firstLine="0"/>
        <w:rPr>
          <w:rFonts w:hint="eastAsia" w:ascii="宋体" w:hAnsi="宋体" w:eastAsia="宋体" w:cs="宋体"/>
          <w:color w:val="auto"/>
          <w:sz w:val="24"/>
          <w:szCs w:val="24"/>
          <w:highlight w:val="none"/>
        </w:rPr>
      </w:pPr>
      <w:r>
        <w:rPr>
          <w:rFonts w:hint="eastAsia" w:asciiTheme="minorEastAsia" w:hAnsiTheme="minorEastAsia" w:eastAsiaTheme="minorEastAsia"/>
          <w:b/>
          <w:color w:val="auto"/>
          <w:sz w:val="24"/>
          <w:highlight w:val="none"/>
          <w:lang w:val="en-US" w:eastAsia="zh-CN"/>
        </w:rPr>
        <w:br w:type="page"/>
      </w:r>
      <w:bookmarkStart w:id="20" w:name="_Toc14929"/>
      <w:r>
        <w:rPr>
          <w:rStyle w:val="25"/>
          <w:rFonts w:hint="eastAsia" w:ascii="宋体" w:hAnsi="宋体" w:eastAsia="宋体" w:cs="宋体"/>
          <w:b/>
          <w:bCs/>
          <w:color w:val="auto"/>
          <w:highlight w:val="none"/>
          <w:lang w:val="en-US" w:eastAsia="zh-CN"/>
        </w:rPr>
        <w:t>二、响应授权书</w:t>
      </w:r>
      <w:bookmarkEnd w:id="20"/>
    </w:p>
    <w:p w14:paraId="5F053AD4">
      <w:pPr>
        <w:pStyle w:val="11"/>
        <w:keepNext w:val="0"/>
        <w:keepLines w:val="0"/>
        <w:pageBreakBefore w:val="0"/>
        <w:widowControl w:val="0"/>
        <w:kinsoku/>
        <w:wordWrap/>
        <w:overflowPunct/>
        <w:topLinePunct w:val="0"/>
        <w:autoSpaceDE/>
        <w:autoSpaceDN/>
        <w:bidi w:val="0"/>
        <w:adjustRightInd/>
        <w:snapToGrid w:val="0"/>
        <w:spacing w:line="56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xml:space="preserve"> （供应商名称） </w:t>
      </w:r>
      <w:r>
        <w:rPr>
          <w:rFonts w:hint="eastAsia" w:ascii="宋体" w:hAnsi="宋体" w:eastAsia="宋体" w:cs="宋体"/>
          <w:color w:val="auto"/>
          <w:sz w:val="24"/>
          <w:szCs w:val="24"/>
          <w:highlight w:val="none"/>
        </w:rPr>
        <w:t>授权本公司</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（供应商授权代表姓名、职务）代表本公司参加</w:t>
      </w:r>
      <w:r>
        <w:rPr>
          <w:rFonts w:hint="eastAsia" w:hAnsi="宋体" w:eastAsia="宋体" w:cs="宋体"/>
          <w:color w:val="auto"/>
          <w:sz w:val="24"/>
          <w:szCs w:val="24"/>
          <w:highlight w:val="none"/>
          <w:u w:val="single"/>
          <w:lang w:eastAsia="zh-CN"/>
        </w:rPr>
        <w:t xml:space="preserve"> 霍山县机关事务管理服务中心公务用车定点维修服务单位框架协议采购项目（</w:t>
      </w:r>
      <w:r>
        <w:rPr>
          <w:rFonts w:hint="eastAsia" w:hAnsi="宋体" w:eastAsia="宋体" w:cs="宋体"/>
          <w:color w:val="auto"/>
          <w:sz w:val="24"/>
          <w:szCs w:val="24"/>
          <w:highlight w:val="none"/>
          <w:u w:val="single"/>
          <w:lang w:val="en-US" w:eastAsia="zh-CN"/>
        </w:rPr>
        <w:t>二次</w:t>
      </w:r>
      <w:r>
        <w:rPr>
          <w:rFonts w:hint="eastAsia"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征集</w:t>
      </w:r>
      <w:r>
        <w:rPr>
          <w:rFonts w:hint="eastAsia" w:ascii="宋体" w:hAnsi="宋体" w:eastAsia="宋体" w:cs="宋体"/>
          <w:color w:val="auto"/>
          <w:sz w:val="24"/>
          <w:szCs w:val="24"/>
          <w:highlight w:val="none"/>
        </w:rPr>
        <w:t>活动（项目编号：</w:t>
      </w:r>
      <w:r>
        <w:rPr>
          <w:rFonts w:hint="eastAsia"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），全权代表本公司处理</w:t>
      </w:r>
      <w:r>
        <w:rPr>
          <w:rFonts w:hint="eastAsia" w:ascii="宋体" w:hAnsi="宋体" w:eastAsia="宋体" w:cs="宋体"/>
          <w:color w:val="auto"/>
          <w:sz w:val="24"/>
          <w:szCs w:val="24"/>
          <w:highlight w:val="none"/>
          <w:lang w:val="en-US" w:eastAsia="zh-CN"/>
        </w:rPr>
        <w:t>征集</w:t>
      </w:r>
      <w:r>
        <w:rPr>
          <w:rFonts w:hint="eastAsia" w:ascii="宋体" w:hAnsi="宋体" w:eastAsia="宋体" w:cs="宋体"/>
          <w:color w:val="auto"/>
          <w:sz w:val="24"/>
          <w:szCs w:val="24"/>
          <w:highlight w:val="none"/>
        </w:rPr>
        <w:t>过程的一切事宜，包括但不限于：</w:t>
      </w:r>
      <w:r>
        <w:rPr>
          <w:rFonts w:hint="eastAsia" w:ascii="宋体" w:hAnsi="宋体" w:eastAsia="宋体" w:cs="宋体"/>
          <w:color w:val="auto"/>
          <w:sz w:val="24"/>
          <w:szCs w:val="24"/>
          <w:highlight w:val="none"/>
          <w:lang w:val="en-US" w:eastAsia="zh-CN"/>
        </w:rPr>
        <w:t>参加征集</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签订协议</w:t>
      </w:r>
      <w:r>
        <w:rPr>
          <w:rFonts w:hint="eastAsia" w:ascii="宋体" w:hAnsi="宋体" w:eastAsia="宋体" w:cs="宋体"/>
          <w:color w:val="auto"/>
          <w:sz w:val="24"/>
          <w:szCs w:val="24"/>
          <w:highlight w:val="none"/>
        </w:rPr>
        <w:t>以及</w:t>
      </w:r>
      <w:r>
        <w:rPr>
          <w:rFonts w:hint="eastAsia" w:ascii="宋体" w:hAnsi="宋体" w:eastAsia="宋体" w:cs="宋体"/>
          <w:color w:val="auto"/>
          <w:sz w:val="24"/>
          <w:szCs w:val="24"/>
          <w:highlight w:val="none"/>
          <w:lang w:val="en-US" w:eastAsia="zh-CN"/>
        </w:rPr>
        <w:t>协议</w:t>
      </w:r>
      <w:r>
        <w:rPr>
          <w:rFonts w:hint="eastAsia" w:ascii="宋体" w:hAnsi="宋体" w:eastAsia="宋体" w:cs="宋体"/>
          <w:color w:val="auto"/>
          <w:sz w:val="24"/>
          <w:szCs w:val="24"/>
          <w:highlight w:val="none"/>
        </w:rPr>
        <w:t>执行</w:t>
      </w:r>
      <w:r>
        <w:rPr>
          <w:rFonts w:hint="eastAsia" w:ascii="宋体" w:hAnsi="宋体" w:eastAsia="宋体" w:cs="宋体"/>
          <w:color w:val="auto"/>
          <w:sz w:val="24"/>
          <w:szCs w:val="24"/>
          <w:highlight w:val="none"/>
          <w:lang w:val="en-US" w:eastAsia="zh-CN"/>
        </w:rPr>
        <w:t>等</w:t>
      </w:r>
      <w:r>
        <w:rPr>
          <w:rFonts w:hint="eastAsia" w:ascii="宋体" w:hAnsi="宋体" w:eastAsia="宋体" w:cs="宋体"/>
          <w:color w:val="auto"/>
          <w:sz w:val="24"/>
          <w:szCs w:val="24"/>
          <w:highlight w:val="none"/>
        </w:rPr>
        <w:t>。供应商授权代表在</w:t>
      </w:r>
      <w:r>
        <w:rPr>
          <w:rFonts w:hint="eastAsia" w:ascii="宋体" w:hAnsi="宋体" w:eastAsia="宋体" w:cs="宋体"/>
          <w:color w:val="auto"/>
          <w:sz w:val="24"/>
          <w:szCs w:val="24"/>
          <w:highlight w:val="none"/>
          <w:lang w:val="en-US" w:eastAsia="zh-CN"/>
        </w:rPr>
        <w:t>征集</w:t>
      </w:r>
      <w:r>
        <w:rPr>
          <w:rFonts w:hint="eastAsia" w:ascii="宋体" w:hAnsi="宋体" w:eastAsia="宋体" w:cs="宋体"/>
          <w:color w:val="auto"/>
          <w:sz w:val="24"/>
          <w:szCs w:val="24"/>
          <w:highlight w:val="none"/>
        </w:rPr>
        <w:t>过程中所签署的一切文件和处理与之有关的一切事务，本公司均予以认可并对此承担责任。供应商授权代表无转委托权。</w:t>
      </w:r>
    </w:p>
    <w:p w14:paraId="053C7559">
      <w:pPr>
        <w:pStyle w:val="11"/>
        <w:keepNext w:val="0"/>
        <w:keepLines w:val="0"/>
        <w:pageBreakBefore w:val="0"/>
        <w:widowControl w:val="0"/>
        <w:kinsoku/>
        <w:wordWrap/>
        <w:overflowPunct/>
        <w:topLinePunct w:val="0"/>
        <w:autoSpaceDE/>
        <w:autoSpaceDN/>
        <w:bidi w:val="0"/>
        <w:adjustRightInd/>
        <w:snapToGrid w:val="0"/>
        <w:spacing w:line="56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特此授权。</w:t>
      </w:r>
    </w:p>
    <w:p w14:paraId="100D39F8">
      <w:pPr>
        <w:pStyle w:val="11"/>
        <w:keepNext w:val="0"/>
        <w:keepLines w:val="0"/>
        <w:pageBreakBefore w:val="0"/>
        <w:widowControl w:val="0"/>
        <w:kinsoku/>
        <w:wordWrap/>
        <w:overflowPunct/>
        <w:topLinePunct w:val="0"/>
        <w:autoSpaceDE/>
        <w:autoSpaceDN/>
        <w:bidi w:val="0"/>
        <w:adjustRightInd/>
        <w:snapToGrid w:val="0"/>
        <w:spacing w:line="56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本授权书自出具之日起生效。</w:t>
      </w:r>
    </w:p>
    <w:p w14:paraId="67FD566F">
      <w:pPr>
        <w:spacing w:line="360" w:lineRule="auto"/>
        <w:rPr>
          <w:rFonts w:hint="eastAsia" w:ascii="宋体" w:hAnsi="宋体"/>
          <w:color w:val="auto"/>
          <w:sz w:val="24"/>
          <w:szCs w:val="28"/>
          <w:highlight w:val="none"/>
        </w:rPr>
      </w:pPr>
    </w:p>
    <w:p w14:paraId="30AD0318">
      <w:pPr>
        <w:spacing w:line="360" w:lineRule="auto"/>
        <w:rPr>
          <w:rFonts w:hint="eastAsia" w:ascii="宋体" w:hAnsi="宋体"/>
          <w:b/>
          <w:bCs/>
          <w:color w:val="auto"/>
          <w:sz w:val="24"/>
          <w:szCs w:val="28"/>
          <w:highlight w:val="none"/>
        </w:rPr>
      </w:pPr>
      <w:r>
        <w:rPr>
          <w:rFonts w:hint="eastAsia" w:ascii="宋体" w:hAnsi="宋体"/>
          <w:b/>
          <w:bCs/>
          <w:color w:val="auto"/>
          <w:sz w:val="24"/>
          <w:szCs w:val="28"/>
          <w:highlight w:val="none"/>
        </w:rPr>
        <w:t>授权代表（或法定代表人）身份证明扫描件或影印件：</w:t>
      </w:r>
    </w:p>
    <w:p w14:paraId="5FFE894E">
      <w:pPr>
        <w:spacing w:line="360" w:lineRule="auto"/>
        <w:rPr>
          <w:rFonts w:hint="eastAsia" w:ascii="宋体" w:hAnsi="宋体"/>
          <w:color w:val="auto"/>
          <w:sz w:val="24"/>
          <w:szCs w:val="28"/>
          <w:highlight w:val="none"/>
        </w:rPr>
      </w:pPr>
    </w:p>
    <w:p w14:paraId="70043CDF">
      <w:pPr>
        <w:spacing w:line="360" w:lineRule="auto"/>
        <w:rPr>
          <w:rFonts w:hint="eastAsia" w:ascii="宋体" w:hAnsi="宋体"/>
          <w:color w:val="auto"/>
          <w:sz w:val="24"/>
          <w:szCs w:val="28"/>
          <w:highlight w:val="none"/>
        </w:rPr>
      </w:pPr>
    </w:p>
    <w:p w14:paraId="61217D1D">
      <w:pPr>
        <w:pStyle w:val="18"/>
        <w:ind w:right="-21" w:firstLine="540"/>
        <w:rPr>
          <w:rFonts w:hint="eastAsia"/>
          <w:color w:val="auto"/>
          <w:highlight w:val="none"/>
        </w:rPr>
      </w:pPr>
    </w:p>
    <w:p w14:paraId="5FD79BEE">
      <w:pPr>
        <w:spacing w:line="360" w:lineRule="auto"/>
        <w:rPr>
          <w:rFonts w:hint="eastAsia" w:ascii="宋体" w:hAnsi="宋体"/>
          <w:color w:val="auto"/>
          <w:sz w:val="24"/>
          <w:szCs w:val="28"/>
          <w:highlight w:val="none"/>
        </w:rPr>
      </w:pPr>
      <w:r>
        <w:rPr>
          <w:rFonts w:hint="eastAsia" w:ascii="宋体" w:hAnsi="宋体"/>
          <w:b/>
          <w:bCs/>
          <w:color w:val="auto"/>
          <w:sz w:val="24"/>
          <w:szCs w:val="28"/>
          <w:highlight w:val="none"/>
        </w:rPr>
        <w:t>授权代表（或法定代表人）联系方式：</w:t>
      </w:r>
      <w:r>
        <w:rPr>
          <w:rFonts w:hint="eastAsia" w:ascii="宋体" w:hAnsi="宋体"/>
          <w:color w:val="auto"/>
          <w:sz w:val="24"/>
          <w:szCs w:val="28"/>
          <w:highlight w:val="none"/>
          <w:u w:val="single"/>
        </w:rPr>
        <w:t xml:space="preserve">           </w:t>
      </w:r>
      <w:r>
        <w:rPr>
          <w:rFonts w:hint="eastAsia" w:ascii="宋体" w:hAnsi="宋体"/>
          <w:color w:val="auto"/>
          <w:sz w:val="24"/>
          <w:szCs w:val="28"/>
          <w:highlight w:val="none"/>
        </w:rPr>
        <w:t>（请填写手机号码）</w:t>
      </w:r>
    </w:p>
    <w:p w14:paraId="2D2DB9B9">
      <w:pPr>
        <w:spacing w:line="360" w:lineRule="auto"/>
        <w:ind w:firstLine="645"/>
        <w:rPr>
          <w:rFonts w:hint="eastAsia" w:ascii="宋体" w:hAnsi="宋体"/>
          <w:color w:val="auto"/>
          <w:sz w:val="24"/>
          <w:szCs w:val="28"/>
          <w:highlight w:val="none"/>
        </w:rPr>
      </w:pPr>
    </w:p>
    <w:p w14:paraId="0925C3A6">
      <w:pPr>
        <w:spacing w:line="360" w:lineRule="auto"/>
        <w:rPr>
          <w:rFonts w:hint="eastAsia" w:ascii="宋体" w:hAnsi="宋体"/>
          <w:color w:val="auto"/>
          <w:sz w:val="24"/>
          <w:szCs w:val="28"/>
          <w:highlight w:val="none"/>
        </w:rPr>
      </w:pPr>
    </w:p>
    <w:p w14:paraId="4D701B21">
      <w:pPr>
        <w:pStyle w:val="18"/>
        <w:ind w:right="-21" w:firstLine="540"/>
        <w:rPr>
          <w:rFonts w:hint="eastAsia"/>
          <w:color w:val="auto"/>
          <w:highlight w:val="none"/>
        </w:rPr>
      </w:pPr>
    </w:p>
    <w:p w14:paraId="5F52CB4D">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 xml:space="preserve">供应商名称（盖章）：            </w:t>
      </w:r>
    </w:p>
    <w:p w14:paraId="4BD1EBA3">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宋体" w:hAnsi="宋体"/>
          <w:color w:val="auto"/>
          <w:sz w:val="28"/>
          <w:szCs w:val="28"/>
          <w:highlight w:val="none"/>
        </w:rPr>
      </w:pPr>
      <w:r>
        <w:rPr>
          <w:rFonts w:hint="eastAsia" w:ascii="宋体" w:hAnsi="宋体" w:eastAsia="宋体" w:cs="宋体"/>
          <w:b/>
          <w:bCs/>
          <w:color w:val="auto"/>
          <w:sz w:val="24"/>
          <w:highlight w:val="none"/>
          <w:lang w:val="en-US" w:eastAsia="zh-CN"/>
        </w:rPr>
        <w:t>日    期：2026年   月   日</w:t>
      </w:r>
    </w:p>
    <w:p w14:paraId="4EB44333">
      <w:pPr>
        <w:rPr>
          <w:rFonts w:hint="eastAsia" w:ascii="宋体" w:hAnsi="宋体"/>
          <w:color w:val="auto"/>
          <w:sz w:val="28"/>
          <w:szCs w:val="28"/>
          <w:highlight w:val="none"/>
        </w:rPr>
      </w:pPr>
    </w:p>
    <w:p w14:paraId="070CD236">
      <w:pPr>
        <w:pStyle w:val="11"/>
        <w:keepNext w:val="0"/>
        <w:keepLines w:val="0"/>
        <w:pageBreakBefore w:val="0"/>
        <w:widowControl w:val="0"/>
        <w:kinsoku/>
        <w:wordWrap/>
        <w:overflowPunct/>
        <w:topLinePunct w:val="0"/>
        <w:autoSpaceDE/>
        <w:autoSpaceDN/>
        <w:bidi w:val="0"/>
        <w:adjustRightInd/>
        <w:snapToGrid w:val="0"/>
        <w:spacing w:line="560" w:lineRule="exact"/>
        <w:jc w:val="left"/>
        <w:textAlignment w:val="auto"/>
        <w:rPr>
          <w:rFonts w:hint="eastAsia" w:ascii="宋体" w:hAnsi="宋体" w:eastAsia="宋体" w:cs="宋体"/>
          <w:b/>
          <w:color w:val="auto"/>
          <w:sz w:val="24"/>
          <w:highlight w:val="none"/>
          <w:lang w:val="en-US" w:eastAsia="zh-CN"/>
        </w:rPr>
      </w:pPr>
      <w:r>
        <w:rPr>
          <w:rFonts w:hint="eastAsia" w:ascii="宋体" w:hAnsi="宋体" w:eastAsia="宋体" w:cs="宋体"/>
          <w:bCs/>
          <w:color w:val="auto"/>
          <w:sz w:val="24"/>
          <w:szCs w:val="28"/>
          <w:highlight w:val="none"/>
        </w:rPr>
        <w:t>注：本项目只允许有唯一的供应商授权代表</w:t>
      </w:r>
      <w:r>
        <w:rPr>
          <w:rFonts w:hint="eastAsia" w:hAnsi="宋体" w:eastAsia="宋体" w:cs="宋体"/>
          <w:bCs/>
          <w:color w:val="auto"/>
          <w:sz w:val="24"/>
          <w:szCs w:val="28"/>
          <w:highlight w:val="none"/>
          <w:lang w:eastAsia="zh-CN"/>
        </w:rPr>
        <w:t>。</w:t>
      </w:r>
      <w:r>
        <w:rPr>
          <w:rFonts w:hint="eastAsia" w:ascii="宋体" w:hAnsi="宋体" w:eastAsia="宋体" w:cs="宋体"/>
          <w:bCs/>
          <w:color w:val="auto"/>
          <w:sz w:val="24"/>
          <w:szCs w:val="28"/>
          <w:highlight w:val="none"/>
        </w:rPr>
        <w:t>法定代表人参加投标的无需提供</w:t>
      </w:r>
      <w:r>
        <w:rPr>
          <w:rFonts w:hint="eastAsia" w:hAnsi="宋体" w:eastAsia="宋体" w:cs="宋体"/>
          <w:bCs/>
          <w:color w:val="auto"/>
          <w:sz w:val="24"/>
          <w:szCs w:val="28"/>
          <w:highlight w:val="none"/>
          <w:lang w:val="en-US" w:eastAsia="zh-CN"/>
        </w:rPr>
        <w:t>响应</w:t>
      </w:r>
      <w:r>
        <w:rPr>
          <w:rFonts w:hint="eastAsia" w:ascii="宋体" w:hAnsi="宋体" w:eastAsia="宋体" w:cs="宋体"/>
          <w:bCs/>
          <w:color w:val="auto"/>
          <w:sz w:val="24"/>
          <w:szCs w:val="28"/>
          <w:highlight w:val="none"/>
        </w:rPr>
        <w:t>授权书，仅提供身份证明扫描件或影印件及联系方式即可。</w:t>
      </w:r>
    </w:p>
    <w:p w14:paraId="68DC7537">
      <w:pPr>
        <w:rPr>
          <w:rFonts w:hint="eastAsia" w:asciiTheme="minorEastAsia" w:hAnsiTheme="minorEastAsia" w:eastAsiaTheme="minorEastAsia"/>
          <w:b/>
          <w:color w:val="auto"/>
          <w:sz w:val="28"/>
          <w:szCs w:val="28"/>
          <w:highlight w:val="none"/>
          <w:lang w:val="en-US" w:eastAsia="zh-CN"/>
        </w:rPr>
      </w:pPr>
      <w:r>
        <w:rPr>
          <w:rFonts w:hint="eastAsia" w:asciiTheme="minorEastAsia" w:hAnsiTheme="minorEastAsia" w:eastAsiaTheme="minorEastAsia"/>
          <w:b/>
          <w:color w:val="auto"/>
          <w:sz w:val="28"/>
          <w:szCs w:val="28"/>
          <w:highlight w:val="none"/>
          <w:lang w:val="en-US" w:eastAsia="zh-CN"/>
        </w:rPr>
        <w:br w:type="page"/>
      </w:r>
    </w:p>
    <w:p w14:paraId="0D8F3F54">
      <w:pPr>
        <w:pStyle w:val="6"/>
        <w:bidi w:val="0"/>
        <w:rPr>
          <w:rFonts w:hint="eastAsia"/>
          <w:color w:val="auto"/>
          <w:highlight w:val="none"/>
          <w:lang w:val="en-US" w:eastAsia="zh-CN"/>
        </w:rPr>
      </w:pPr>
      <w:bookmarkStart w:id="21" w:name="_Toc23574"/>
      <w:r>
        <w:rPr>
          <w:rFonts w:hint="eastAsia"/>
          <w:color w:val="auto"/>
          <w:highlight w:val="none"/>
          <w:lang w:val="en-US" w:eastAsia="zh-CN"/>
        </w:rPr>
        <w:t>三、无重大违法记录声明函、无不良信用记录声明函</w:t>
      </w:r>
      <w:bookmarkEnd w:id="17"/>
      <w:bookmarkEnd w:id="18"/>
      <w:bookmarkEnd w:id="19"/>
      <w:bookmarkEnd w:id="21"/>
    </w:p>
    <w:p w14:paraId="731A7705">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highlight w:val="none"/>
        </w:rPr>
      </w:pPr>
      <w:bookmarkStart w:id="22" w:name="_Hlk16464098"/>
      <w:r>
        <w:rPr>
          <w:rFonts w:hint="eastAsia" w:ascii="宋体" w:hAnsi="宋体" w:eastAsia="宋体" w:cs="宋体"/>
          <w:color w:val="auto"/>
          <w:sz w:val="24"/>
          <w:highlight w:val="none"/>
        </w:rPr>
        <w:t>1.本单位郑重声明，根据《中华人民共和国政府采购法》及《中华人民共和国政府采购法实施条例》的规定，参加政府采购活动前三年内，本单位在经营活动中没有重大违法记录，没有因违法经营受到刑事处罚或者责令停产停业、吊销许可证或者执照、较大数额罚款等行政处罚，且未在被禁止参加政府采购活动的处罚期限内。</w:t>
      </w:r>
    </w:p>
    <w:p w14:paraId="0405BFE7">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2.本单位郑重声明，我单位无以下不良信用记录情形：</w:t>
      </w:r>
    </w:p>
    <w:p w14:paraId="2C02F7AF">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（1）被人民法院列入失信被执行人；</w:t>
      </w:r>
    </w:p>
    <w:p w14:paraId="7C257742">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（2）被市场监督管理部门列入严重违法失信企业名录；</w:t>
      </w:r>
    </w:p>
    <w:p w14:paraId="3AE7AB1A">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（3）被税务部门列入重大税收违法案件当事人名单的；</w:t>
      </w:r>
    </w:p>
    <w:p w14:paraId="0CC5B2E3">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（4）被政府采购监管部门列入政府采购严重违法失信行为记录名单。</w:t>
      </w:r>
    </w:p>
    <w:p w14:paraId="59FE1160">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本单位对上述声明的真实性负责。如有虚假，将依法承担相应责任。</w:t>
      </w:r>
    </w:p>
    <w:p w14:paraId="6C6479FC">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3.经我单位自行查询中国政府采购网（www.ccgp.gov.cn）、“信用中国”网站（www.creditchina.gov.cn）、国家企业信用信息公示系统（www.gsxt.gov.cn），我单位承诺不存在不良信用记录。</w:t>
      </w:r>
    </w:p>
    <w:bookmarkEnd w:id="22"/>
    <w:p w14:paraId="42414C9C">
      <w:pPr>
        <w:keepNext w:val="0"/>
        <w:keepLines w:val="0"/>
        <w:pageBreakBefore w:val="0"/>
        <w:widowControl w:val="0"/>
        <w:kinsoku/>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highlight w:val="none"/>
          <w:lang w:val="en-US" w:eastAsia="zh-CN"/>
        </w:rPr>
      </w:pPr>
    </w:p>
    <w:p w14:paraId="4D43989A">
      <w:pPr>
        <w:keepNext w:val="0"/>
        <w:keepLines w:val="0"/>
        <w:pageBreakBefore w:val="0"/>
        <w:widowControl w:val="0"/>
        <w:kinsoku/>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 xml:space="preserve">供应商名称（盖章）：            </w:t>
      </w:r>
    </w:p>
    <w:p w14:paraId="0B84132D">
      <w:pPr>
        <w:keepNext w:val="0"/>
        <w:keepLines w:val="0"/>
        <w:pageBreakBefore w:val="0"/>
        <w:widowControl w:val="0"/>
        <w:kinsoku/>
        <w:overflowPunct/>
        <w:topLinePunct w:val="0"/>
        <w:autoSpaceDE/>
        <w:autoSpaceDN/>
        <w:bidi w:val="0"/>
        <w:adjustRightInd/>
        <w:snapToGrid/>
        <w:spacing w:line="560" w:lineRule="exact"/>
        <w:ind w:firstLine="482" w:firstLineChars="200"/>
        <w:textAlignment w:val="auto"/>
        <w:rPr>
          <w:rFonts w:hint="default"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日    期：</w:t>
      </w:r>
      <w:r>
        <w:rPr>
          <w:rFonts w:hint="default" w:ascii="宋体" w:hAnsi="宋体" w:eastAsia="宋体" w:cs="宋体"/>
          <w:b/>
          <w:bCs/>
          <w:color w:val="auto"/>
          <w:sz w:val="24"/>
          <w:highlight w:val="none"/>
          <w:lang w:val="en" w:eastAsia="zh-CN"/>
        </w:rPr>
        <w:t>202</w:t>
      </w:r>
      <w:r>
        <w:rPr>
          <w:rFonts w:hint="eastAsia" w:ascii="宋体" w:hAnsi="宋体" w:eastAsia="宋体" w:cs="宋体"/>
          <w:b/>
          <w:bCs/>
          <w:color w:val="auto"/>
          <w:sz w:val="24"/>
          <w:highlight w:val="none"/>
          <w:lang w:val="en-US" w:eastAsia="zh-CN"/>
        </w:rPr>
        <w:t>6年   月   日</w:t>
      </w:r>
    </w:p>
    <w:p w14:paraId="712DC462">
      <w:pPr>
        <w:pStyle w:val="2"/>
        <w:rPr>
          <w:color w:val="auto"/>
          <w:highlight w:val="none"/>
        </w:rPr>
      </w:pPr>
    </w:p>
    <w:p w14:paraId="5399267F">
      <w:pPr>
        <w:rPr>
          <w:color w:val="auto"/>
          <w:highlight w:val="none"/>
        </w:rPr>
      </w:pPr>
    </w:p>
    <w:p w14:paraId="3F97E591">
      <w:pPr>
        <w:pStyle w:val="2"/>
        <w:rPr>
          <w:color w:val="auto"/>
          <w:highlight w:val="none"/>
        </w:rPr>
      </w:pPr>
    </w:p>
    <w:p w14:paraId="423A0364">
      <w:pPr>
        <w:spacing w:line="360" w:lineRule="auto"/>
        <w:jc w:val="both"/>
        <w:outlineLvl w:val="0"/>
        <w:rPr>
          <w:rFonts w:hint="eastAsia" w:asciiTheme="minorEastAsia" w:hAnsiTheme="minorEastAsia" w:eastAsiaTheme="minorEastAsia"/>
          <w:b/>
          <w:color w:val="auto"/>
          <w:sz w:val="24"/>
          <w:highlight w:val="none"/>
          <w:lang w:val="en-US" w:eastAsia="zh-CN"/>
        </w:rPr>
      </w:pPr>
      <w:bookmarkStart w:id="23" w:name="_Toc27984"/>
      <w:bookmarkStart w:id="24" w:name="_Toc10183"/>
      <w:bookmarkStart w:id="25" w:name="_Toc3611"/>
    </w:p>
    <w:p w14:paraId="55D70E41">
      <w:pPr>
        <w:spacing w:line="360" w:lineRule="auto"/>
        <w:jc w:val="center"/>
        <w:outlineLvl w:val="1"/>
        <w:rPr>
          <w:rFonts w:hint="eastAsia" w:ascii="宋体" w:hAnsi="宋体" w:eastAsia="宋体" w:cs="宋体"/>
          <w:b/>
          <w:color w:val="auto"/>
          <w:sz w:val="24"/>
          <w:szCs w:val="20"/>
          <w:highlight w:val="none"/>
          <w:lang w:val="en-US" w:eastAsia="zh-CN"/>
        </w:rPr>
      </w:pPr>
      <w:r>
        <w:rPr>
          <w:rFonts w:hint="eastAsia" w:asciiTheme="minorEastAsia" w:hAnsiTheme="minorEastAsia" w:eastAsiaTheme="minorEastAsia"/>
          <w:b/>
          <w:color w:val="auto"/>
          <w:sz w:val="24"/>
          <w:highlight w:val="none"/>
          <w:lang w:val="en-US" w:eastAsia="zh-CN"/>
        </w:rPr>
        <w:br w:type="page"/>
      </w:r>
      <w:bookmarkStart w:id="26" w:name="_Toc23068"/>
      <w:r>
        <w:rPr>
          <w:rFonts w:hint="eastAsia" w:asciiTheme="minorEastAsia" w:hAnsiTheme="minorEastAsia"/>
          <w:b/>
          <w:color w:val="auto"/>
          <w:sz w:val="24"/>
          <w:highlight w:val="none"/>
          <w:lang w:val="en-US" w:eastAsia="zh-CN"/>
        </w:rPr>
        <w:t>四</w:t>
      </w:r>
      <w:r>
        <w:rPr>
          <w:rFonts w:hint="eastAsia" w:ascii="宋体" w:hAnsi="宋体" w:eastAsia="宋体" w:cs="宋体"/>
          <w:b/>
          <w:color w:val="auto"/>
          <w:sz w:val="24"/>
          <w:szCs w:val="20"/>
          <w:highlight w:val="none"/>
          <w:lang w:val="en-US" w:eastAsia="zh-CN"/>
        </w:rPr>
        <w:t>、中小企业声明函</w:t>
      </w:r>
      <w:bookmarkEnd w:id="26"/>
    </w:p>
    <w:p w14:paraId="6E5184CD">
      <w:pPr>
        <w:widowControl w:val="0"/>
        <w:spacing w:after="120"/>
        <w:jc w:val="center"/>
        <w:rPr>
          <w:rFonts w:hint="eastAsia" w:ascii="宋体" w:hAnsi="宋体" w:eastAsia="宋体" w:cs="宋体"/>
          <w:b w:val="0"/>
          <w:i w:val="0"/>
          <w:iCs/>
          <w:color w:val="auto"/>
          <w:kern w:val="2"/>
          <w:sz w:val="24"/>
          <w:szCs w:val="24"/>
          <w:highlight w:val="none"/>
          <w:lang w:val="en-US" w:eastAsia="zh-CN" w:bidi="ar-SA"/>
        </w:rPr>
      </w:pPr>
      <w:r>
        <w:rPr>
          <w:rFonts w:hint="eastAsia" w:ascii="宋体" w:hAnsi="宋体" w:eastAsia="宋体" w:cs="宋体"/>
          <w:b w:val="0"/>
          <w:i w:val="0"/>
          <w:iCs/>
          <w:color w:val="auto"/>
          <w:kern w:val="2"/>
          <w:sz w:val="24"/>
          <w:szCs w:val="24"/>
          <w:highlight w:val="none"/>
          <w:lang w:val="en-US" w:eastAsia="zh-CN" w:bidi="ar-SA"/>
        </w:rPr>
        <w:t>（</w:t>
      </w:r>
      <w:r>
        <w:rPr>
          <w:rFonts w:hint="eastAsia" w:ascii="宋体" w:hAnsi="宋体" w:eastAsia="宋体" w:cs="宋体"/>
          <w:b w:val="0"/>
          <w:i w:val="0"/>
          <w:iCs/>
          <w:color w:val="auto"/>
          <w:kern w:val="2"/>
          <w:sz w:val="24"/>
          <w:szCs w:val="24"/>
          <w:highlight w:val="none"/>
          <w:lang w:val="zh-CN" w:eastAsia="zh-CN" w:bidi="ar-SA"/>
        </w:rPr>
        <w:t>非中小企业投标</w:t>
      </w:r>
      <w:r>
        <w:rPr>
          <w:rFonts w:hint="eastAsia" w:ascii="宋体" w:hAnsi="宋体" w:eastAsia="宋体" w:cs="宋体"/>
          <w:b w:val="0"/>
          <w:i w:val="0"/>
          <w:iCs/>
          <w:color w:val="auto"/>
          <w:kern w:val="2"/>
          <w:sz w:val="24"/>
          <w:szCs w:val="24"/>
          <w:highlight w:val="none"/>
          <w:lang w:val="en-US" w:eastAsia="zh-CN" w:bidi="ar-SA"/>
        </w:rPr>
        <w:t>不需此件）</w:t>
      </w:r>
    </w:p>
    <w:p w14:paraId="2843BF9B">
      <w:pPr>
        <w:rPr>
          <w:rFonts w:hint="eastAsia" w:ascii="宋体" w:hAnsi="宋体" w:eastAsia="宋体" w:cs="宋体"/>
          <w:color w:val="auto"/>
          <w:sz w:val="24"/>
          <w:szCs w:val="24"/>
          <w:highlight w:val="none"/>
        </w:rPr>
      </w:pPr>
    </w:p>
    <w:p w14:paraId="700F9251">
      <w:pPr>
        <w:spacing w:line="360" w:lineRule="auto"/>
        <w:ind w:firstLine="435"/>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本公司（联合体）郑重声明，根据《政府采购促进中小企业发展管理办法》（财库﹝2020﹞46号）的规定，本公司（联合体）参加（</w:t>
      </w:r>
      <w:r>
        <w:rPr>
          <w:rFonts w:hint="eastAsia" w:ascii="宋体" w:hAnsi="宋体" w:eastAsia="宋体" w:cs="宋体"/>
          <w:color w:val="auto"/>
          <w:sz w:val="24"/>
          <w:szCs w:val="24"/>
          <w:highlight w:val="none"/>
          <w:u w:val="single"/>
          <w:lang w:val="zh-CN"/>
        </w:rPr>
        <w:t>单位</w:t>
      </w:r>
      <w:r>
        <w:rPr>
          <w:rFonts w:hint="eastAsia" w:ascii="宋体" w:hAnsi="宋体" w:eastAsia="宋体" w:cs="宋体"/>
          <w:color w:val="auto"/>
          <w:sz w:val="24"/>
          <w:szCs w:val="24"/>
          <w:highlight w:val="none"/>
          <w:u w:val="single"/>
          <w:lang w:val="en-US" w:eastAsia="zh-CN"/>
        </w:rPr>
        <w:t>名称</w:t>
      </w:r>
      <w:r>
        <w:rPr>
          <w:rFonts w:hint="eastAsia" w:ascii="宋体" w:hAnsi="宋体" w:eastAsia="宋体" w:cs="宋体"/>
          <w:color w:val="auto"/>
          <w:sz w:val="24"/>
          <w:szCs w:val="24"/>
          <w:highlight w:val="none"/>
          <w:lang w:val="zh-CN"/>
        </w:rPr>
        <w:t>）的（</w:t>
      </w:r>
      <w:r>
        <w:rPr>
          <w:rFonts w:hint="eastAsia" w:ascii="宋体" w:hAnsi="宋体" w:eastAsia="宋体" w:cs="宋体"/>
          <w:color w:val="auto"/>
          <w:sz w:val="24"/>
          <w:szCs w:val="24"/>
          <w:highlight w:val="none"/>
          <w:u w:val="single"/>
          <w:lang w:val="zh-CN"/>
        </w:rPr>
        <w:t>项目</w:t>
      </w:r>
      <w:r>
        <w:rPr>
          <w:rFonts w:hint="eastAsia" w:ascii="宋体" w:hAnsi="宋体" w:eastAsia="宋体" w:cs="宋体"/>
          <w:color w:val="auto"/>
          <w:sz w:val="24"/>
          <w:szCs w:val="24"/>
          <w:highlight w:val="none"/>
          <w:u w:val="single"/>
          <w:lang w:val="en-US" w:eastAsia="zh-CN"/>
        </w:rPr>
        <w:t>名称</w:t>
      </w:r>
      <w:r>
        <w:rPr>
          <w:rFonts w:hint="eastAsia" w:ascii="宋体" w:hAnsi="宋体" w:eastAsia="宋体" w:cs="宋体"/>
          <w:color w:val="auto"/>
          <w:sz w:val="24"/>
          <w:szCs w:val="24"/>
          <w:highlight w:val="none"/>
          <w:lang w:val="zh-CN"/>
        </w:rPr>
        <w:t xml:space="preserve">）采购活动，服务全部由符合政策要求的中小企业承接。相关企业（含联合体中的中小企业、签订分包意向协议的中小企业）的具体情况如下： </w:t>
      </w:r>
    </w:p>
    <w:p w14:paraId="3F05CA87">
      <w:pPr>
        <w:spacing w:line="360" w:lineRule="auto"/>
        <w:ind w:firstLine="435"/>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w:t>
      </w:r>
      <w:r>
        <w:rPr>
          <w:rFonts w:hint="eastAsia" w:ascii="宋体" w:hAnsi="宋体" w:eastAsia="宋体" w:cs="宋体"/>
          <w:color w:val="auto"/>
          <w:sz w:val="24"/>
          <w:szCs w:val="24"/>
          <w:highlight w:val="none"/>
          <w:u w:val="single"/>
          <w:lang w:val="zh-CN"/>
        </w:rPr>
        <w:t xml:space="preserve"> 霍山县机关事务管理服务中心2026年-2028年公务用车定点维修服务单位框架协议采购项目（二次） </w:t>
      </w:r>
      <w:r>
        <w:rPr>
          <w:rFonts w:hint="eastAsia" w:ascii="宋体" w:hAnsi="宋体" w:eastAsia="宋体" w:cs="宋体"/>
          <w:color w:val="auto"/>
          <w:sz w:val="24"/>
          <w:szCs w:val="24"/>
          <w:highlight w:val="none"/>
          <w:lang w:val="zh-CN"/>
        </w:rPr>
        <w:t>，属于</w:t>
      </w:r>
      <w:r>
        <w:rPr>
          <w:rFonts w:hint="eastAsia" w:ascii="宋体" w:hAnsi="宋体" w:eastAsia="宋体" w:cs="宋体"/>
          <w:color w:val="auto"/>
          <w:sz w:val="24"/>
          <w:szCs w:val="24"/>
          <w:highlight w:val="none"/>
          <w:u w:val="single"/>
          <w:lang w:val="zh-CN"/>
        </w:rPr>
        <w:t>其他未列明行业</w:t>
      </w:r>
      <w:r>
        <w:rPr>
          <w:rFonts w:hint="eastAsia" w:ascii="宋体" w:hAnsi="宋体" w:eastAsia="宋体" w:cs="宋体"/>
          <w:color w:val="auto"/>
          <w:sz w:val="24"/>
          <w:szCs w:val="24"/>
          <w:highlight w:val="none"/>
          <w:lang w:val="zh-CN"/>
        </w:rPr>
        <w:t>行业；承接企业为</w:t>
      </w:r>
      <w:r>
        <w:rPr>
          <w:rFonts w:hint="eastAsia" w:ascii="宋体" w:hAnsi="宋体" w:eastAsia="宋体" w:cs="宋体"/>
          <w:color w:val="auto"/>
          <w:sz w:val="24"/>
          <w:szCs w:val="24"/>
          <w:highlight w:val="none"/>
          <w:u w:val="single"/>
          <w:lang w:val="zh-CN"/>
        </w:rPr>
        <w:t>（企业名称）</w:t>
      </w:r>
      <w:r>
        <w:rPr>
          <w:rFonts w:hint="eastAsia" w:ascii="宋体" w:hAnsi="宋体" w:eastAsia="宋体" w:cs="宋体"/>
          <w:color w:val="auto"/>
          <w:sz w:val="24"/>
          <w:szCs w:val="24"/>
          <w:highlight w:val="none"/>
          <w:lang w:val="zh-CN"/>
        </w:rPr>
        <w:t>，从业人员</w:t>
      </w:r>
      <w:r>
        <w:rPr>
          <w:rFonts w:hint="eastAsia" w:ascii="宋体" w:hAnsi="宋体" w:eastAsia="宋体" w:cs="宋体"/>
          <w:color w:val="auto"/>
          <w:sz w:val="24"/>
          <w:szCs w:val="24"/>
          <w:highlight w:val="none"/>
          <w:u w:val="single"/>
          <w:lang w:val="zh-CN"/>
        </w:rPr>
        <w:t xml:space="preserve">     </w:t>
      </w:r>
      <w:r>
        <w:rPr>
          <w:rFonts w:hint="eastAsia" w:ascii="宋体" w:hAnsi="宋体" w:eastAsia="宋体" w:cs="宋体"/>
          <w:color w:val="auto"/>
          <w:sz w:val="24"/>
          <w:szCs w:val="24"/>
          <w:highlight w:val="none"/>
          <w:lang w:val="zh-CN"/>
        </w:rPr>
        <w:t>人，营业收入为</w:t>
      </w:r>
      <w:r>
        <w:rPr>
          <w:rFonts w:hint="eastAsia" w:ascii="宋体" w:hAnsi="宋体" w:eastAsia="宋体" w:cs="宋体"/>
          <w:color w:val="auto"/>
          <w:sz w:val="24"/>
          <w:szCs w:val="24"/>
          <w:highlight w:val="none"/>
          <w:u w:val="single"/>
          <w:lang w:val="zh-CN"/>
        </w:rPr>
        <w:t xml:space="preserve">     </w:t>
      </w:r>
      <w:r>
        <w:rPr>
          <w:rFonts w:hint="eastAsia" w:ascii="宋体" w:hAnsi="宋体" w:eastAsia="宋体" w:cs="宋体"/>
          <w:color w:val="auto"/>
          <w:sz w:val="24"/>
          <w:szCs w:val="24"/>
          <w:highlight w:val="none"/>
          <w:lang w:val="zh-CN"/>
        </w:rPr>
        <w:t>万元，资产总额为</w:t>
      </w:r>
      <w:r>
        <w:rPr>
          <w:rFonts w:hint="eastAsia" w:ascii="宋体" w:hAnsi="宋体" w:eastAsia="宋体" w:cs="宋体"/>
          <w:color w:val="auto"/>
          <w:sz w:val="24"/>
          <w:szCs w:val="24"/>
          <w:highlight w:val="none"/>
          <w:u w:val="single"/>
          <w:lang w:val="zh-CN"/>
        </w:rPr>
        <w:t xml:space="preserve">     </w:t>
      </w:r>
      <w:r>
        <w:rPr>
          <w:rFonts w:hint="eastAsia" w:ascii="宋体" w:hAnsi="宋体" w:eastAsia="宋体" w:cs="宋体"/>
          <w:color w:val="auto"/>
          <w:sz w:val="24"/>
          <w:szCs w:val="24"/>
          <w:highlight w:val="none"/>
          <w:lang w:val="zh-CN"/>
        </w:rPr>
        <w:t>万元，属于</w:t>
      </w:r>
      <w:r>
        <w:rPr>
          <w:rFonts w:hint="eastAsia" w:ascii="宋体" w:hAnsi="宋体" w:eastAsia="宋体" w:cs="宋体"/>
          <w:color w:val="auto"/>
          <w:sz w:val="24"/>
          <w:szCs w:val="24"/>
          <w:highlight w:val="none"/>
          <w:u w:val="single"/>
          <w:lang w:val="zh-CN"/>
        </w:rPr>
        <w:t>（中型企业</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lang w:val="zh-CN"/>
        </w:rPr>
        <w:t>小型企业</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lang w:val="zh-CN"/>
        </w:rPr>
        <w:t>微型企业）</w:t>
      </w:r>
      <w:r>
        <w:rPr>
          <w:rFonts w:hint="eastAsia" w:ascii="宋体" w:hAnsi="宋体" w:eastAsia="宋体" w:cs="宋体"/>
          <w:color w:val="auto"/>
          <w:sz w:val="24"/>
          <w:szCs w:val="24"/>
          <w:highlight w:val="none"/>
          <w:lang w:val="zh-CN"/>
        </w:rPr>
        <w:t xml:space="preserve">； </w:t>
      </w:r>
    </w:p>
    <w:p w14:paraId="2CD5ADE3">
      <w:pPr>
        <w:spacing w:line="360" w:lineRule="auto"/>
        <w:ind w:firstLine="435"/>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w:t>
      </w:r>
      <w:r>
        <w:rPr>
          <w:rFonts w:hint="eastAsia" w:ascii="宋体" w:hAnsi="宋体" w:eastAsia="宋体" w:cs="宋体"/>
          <w:color w:val="auto"/>
          <w:sz w:val="24"/>
          <w:szCs w:val="24"/>
          <w:highlight w:val="none"/>
          <w:u w:val="single"/>
          <w:lang w:val="zh-CN"/>
        </w:rPr>
        <w:t xml:space="preserve"> （标的名称） </w:t>
      </w:r>
      <w:r>
        <w:rPr>
          <w:rFonts w:hint="eastAsia" w:ascii="宋体" w:hAnsi="宋体" w:eastAsia="宋体" w:cs="宋体"/>
          <w:color w:val="auto"/>
          <w:sz w:val="24"/>
          <w:szCs w:val="24"/>
          <w:highlight w:val="none"/>
          <w:lang w:val="zh-CN"/>
        </w:rPr>
        <w:t>，属于</w:t>
      </w:r>
      <w:r>
        <w:rPr>
          <w:rFonts w:hint="eastAsia" w:ascii="宋体" w:hAnsi="宋体" w:eastAsia="宋体" w:cs="宋体"/>
          <w:color w:val="auto"/>
          <w:sz w:val="24"/>
          <w:szCs w:val="24"/>
          <w:highlight w:val="none"/>
          <w:u w:val="single"/>
          <w:lang w:val="zh-CN"/>
        </w:rPr>
        <w:t>（采购文件中明确的所属行业）</w:t>
      </w:r>
      <w:r>
        <w:rPr>
          <w:rFonts w:hint="eastAsia" w:ascii="宋体" w:hAnsi="宋体" w:eastAsia="宋体" w:cs="宋体"/>
          <w:color w:val="auto"/>
          <w:sz w:val="24"/>
          <w:szCs w:val="24"/>
          <w:highlight w:val="none"/>
          <w:lang w:val="zh-CN"/>
        </w:rPr>
        <w:t>行业；承接企业为</w:t>
      </w:r>
      <w:r>
        <w:rPr>
          <w:rFonts w:hint="eastAsia" w:ascii="宋体" w:hAnsi="宋体" w:eastAsia="宋体" w:cs="宋体"/>
          <w:color w:val="auto"/>
          <w:sz w:val="24"/>
          <w:szCs w:val="24"/>
          <w:highlight w:val="none"/>
          <w:u w:val="single"/>
          <w:lang w:val="zh-CN"/>
        </w:rPr>
        <w:t>（企业名称）</w:t>
      </w:r>
      <w:r>
        <w:rPr>
          <w:rFonts w:hint="eastAsia" w:ascii="宋体" w:hAnsi="宋体" w:eastAsia="宋体" w:cs="宋体"/>
          <w:color w:val="auto"/>
          <w:sz w:val="24"/>
          <w:szCs w:val="24"/>
          <w:highlight w:val="none"/>
          <w:lang w:val="zh-CN"/>
        </w:rPr>
        <w:t>，从业人员</w:t>
      </w:r>
      <w:r>
        <w:rPr>
          <w:rFonts w:hint="eastAsia" w:ascii="宋体" w:hAnsi="宋体" w:eastAsia="宋体" w:cs="宋体"/>
          <w:color w:val="auto"/>
          <w:sz w:val="24"/>
          <w:szCs w:val="24"/>
          <w:highlight w:val="none"/>
          <w:u w:val="single"/>
          <w:lang w:val="zh-CN"/>
        </w:rPr>
        <w:t xml:space="preserve">     </w:t>
      </w:r>
      <w:r>
        <w:rPr>
          <w:rFonts w:hint="eastAsia" w:ascii="宋体" w:hAnsi="宋体" w:eastAsia="宋体" w:cs="宋体"/>
          <w:color w:val="auto"/>
          <w:sz w:val="24"/>
          <w:szCs w:val="24"/>
          <w:highlight w:val="none"/>
          <w:lang w:val="zh-CN"/>
        </w:rPr>
        <w:t>人，营业收入为</w:t>
      </w:r>
      <w:r>
        <w:rPr>
          <w:rFonts w:hint="eastAsia" w:ascii="宋体" w:hAnsi="宋体" w:eastAsia="宋体" w:cs="宋体"/>
          <w:color w:val="auto"/>
          <w:sz w:val="24"/>
          <w:szCs w:val="24"/>
          <w:highlight w:val="none"/>
          <w:u w:val="single"/>
          <w:lang w:val="zh-CN"/>
        </w:rPr>
        <w:t xml:space="preserve">     </w:t>
      </w:r>
      <w:r>
        <w:rPr>
          <w:rFonts w:hint="eastAsia" w:ascii="宋体" w:hAnsi="宋体" w:eastAsia="宋体" w:cs="宋体"/>
          <w:color w:val="auto"/>
          <w:sz w:val="24"/>
          <w:szCs w:val="24"/>
          <w:highlight w:val="none"/>
          <w:lang w:val="zh-CN"/>
        </w:rPr>
        <w:t>万元，资产总额为</w:t>
      </w:r>
      <w:r>
        <w:rPr>
          <w:rFonts w:hint="eastAsia" w:ascii="宋体" w:hAnsi="宋体" w:eastAsia="宋体" w:cs="宋体"/>
          <w:color w:val="auto"/>
          <w:sz w:val="24"/>
          <w:szCs w:val="24"/>
          <w:highlight w:val="none"/>
          <w:u w:val="single"/>
          <w:lang w:val="zh-CN"/>
        </w:rPr>
        <w:t xml:space="preserve">     </w:t>
      </w:r>
      <w:r>
        <w:rPr>
          <w:rFonts w:hint="eastAsia" w:ascii="宋体" w:hAnsi="宋体" w:eastAsia="宋体" w:cs="宋体"/>
          <w:color w:val="auto"/>
          <w:sz w:val="24"/>
          <w:szCs w:val="24"/>
          <w:highlight w:val="none"/>
          <w:lang w:val="zh-CN"/>
        </w:rPr>
        <w:t>万元，属于</w:t>
      </w:r>
      <w:r>
        <w:rPr>
          <w:rFonts w:hint="eastAsia" w:ascii="宋体" w:hAnsi="宋体" w:eastAsia="宋体" w:cs="宋体"/>
          <w:color w:val="auto"/>
          <w:sz w:val="24"/>
          <w:szCs w:val="24"/>
          <w:highlight w:val="none"/>
          <w:u w:val="single"/>
          <w:lang w:val="zh-CN"/>
        </w:rPr>
        <w:t>（中型企业</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lang w:val="zh-CN"/>
        </w:rPr>
        <w:t>小型企业</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lang w:val="zh-CN"/>
        </w:rPr>
        <w:t>微型企业）</w:t>
      </w:r>
      <w:r>
        <w:rPr>
          <w:rFonts w:hint="eastAsia" w:ascii="宋体" w:hAnsi="宋体" w:eastAsia="宋体" w:cs="宋体"/>
          <w:color w:val="auto"/>
          <w:sz w:val="24"/>
          <w:szCs w:val="24"/>
          <w:highlight w:val="none"/>
          <w:lang w:val="zh-CN"/>
        </w:rPr>
        <w:t xml:space="preserve">； </w:t>
      </w:r>
    </w:p>
    <w:p w14:paraId="2B7D5AAD">
      <w:pPr>
        <w:spacing w:line="360" w:lineRule="auto"/>
        <w:ind w:firstLine="435"/>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w:t>
      </w:r>
    </w:p>
    <w:p w14:paraId="0CFD5506">
      <w:pPr>
        <w:spacing w:line="360" w:lineRule="auto"/>
        <w:ind w:firstLine="435"/>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以上企业，不属于大企业的分支机构，不存在控股股东为大企业的情形，也不存在与大企业的负责人为同一人的情形。</w:t>
      </w:r>
    </w:p>
    <w:p w14:paraId="0360AC7E">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 xml:space="preserve">本企业对上述声明内容的真实性负责。如有虚假，将依法承担相应责任。 </w:t>
      </w:r>
    </w:p>
    <w:p w14:paraId="00838CCA">
      <w:pPr>
        <w:spacing w:line="360" w:lineRule="auto"/>
        <w:ind w:firstLine="435"/>
        <w:rPr>
          <w:rFonts w:hint="eastAsia" w:ascii="宋体" w:hAnsi="宋体" w:eastAsia="宋体" w:cs="宋体"/>
          <w:color w:val="auto"/>
          <w:sz w:val="24"/>
          <w:szCs w:val="24"/>
          <w:highlight w:val="none"/>
        </w:rPr>
      </w:pPr>
    </w:p>
    <w:p w14:paraId="168F810F">
      <w:pPr>
        <w:spacing w:line="360" w:lineRule="auto"/>
        <w:ind w:firstLine="4228" w:firstLineChars="1762"/>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投标人电子签章：</w:t>
      </w:r>
      <w:r>
        <w:rPr>
          <w:rFonts w:hint="eastAsia" w:ascii="宋体" w:hAnsi="宋体" w:eastAsia="宋体" w:cs="宋体"/>
          <w:color w:val="auto"/>
          <w:sz w:val="24"/>
          <w:szCs w:val="24"/>
          <w:highlight w:val="none"/>
          <w:u w:val="single"/>
        </w:rPr>
        <w:t xml:space="preserve">             </w:t>
      </w:r>
    </w:p>
    <w:p w14:paraId="062B534D">
      <w:pPr>
        <w:tabs>
          <w:tab w:val="left" w:pos="4620"/>
        </w:tabs>
        <w:spacing w:line="360" w:lineRule="auto"/>
        <w:ind w:firstLine="4252" w:firstLineChars="1772"/>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日          期：</w:t>
      </w:r>
      <w:r>
        <w:rPr>
          <w:rFonts w:hint="eastAsia" w:ascii="宋体" w:hAnsi="宋体" w:eastAsia="宋体" w:cs="宋体"/>
          <w:color w:val="auto"/>
          <w:sz w:val="24"/>
          <w:szCs w:val="24"/>
          <w:highlight w:val="none"/>
          <w:u w:val="single"/>
        </w:rPr>
        <w:t xml:space="preserve">             </w:t>
      </w:r>
    </w:p>
    <w:p w14:paraId="0827CB1E">
      <w:pPr>
        <w:tabs>
          <w:tab w:val="left" w:pos="4620"/>
        </w:tabs>
        <w:spacing w:line="360" w:lineRule="auto"/>
        <w:jc w:val="left"/>
        <w:rPr>
          <w:rFonts w:hint="eastAsia" w:ascii="宋体" w:hAnsi="宋体" w:eastAsia="宋体" w:cs="宋体"/>
          <w:color w:val="auto"/>
          <w:sz w:val="24"/>
          <w:szCs w:val="24"/>
          <w:highlight w:val="none"/>
        </w:rPr>
      </w:pPr>
    </w:p>
    <w:p w14:paraId="4017C028">
      <w:pPr>
        <w:tabs>
          <w:tab w:val="left" w:pos="4620"/>
        </w:tabs>
        <w:spacing w:line="360" w:lineRule="auto"/>
        <w:jc w:val="both"/>
        <w:outlineLvl w:val="9"/>
        <w:rPr>
          <w:rFonts w:hint="eastAsia" w:ascii="宋体" w:hAnsi="宋体" w:eastAsia="宋体" w:cs="宋体"/>
          <w:b/>
          <w:color w:val="auto"/>
          <w:sz w:val="24"/>
          <w:szCs w:val="32"/>
          <w:highlight w:val="none"/>
          <w:lang w:eastAsia="zh-CN"/>
        </w:rPr>
      </w:pPr>
      <w:r>
        <w:rPr>
          <w:rFonts w:hint="eastAsia" w:ascii="宋体" w:hAnsi="宋体" w:eastAsia="宋体" w:cs="宋体"/>
          <w:b/>
          <w:color w:val="auto"/>
          <w:sz w:val="24"/>
          <w:szCs w:val="32"/>
          <w:highlight w:val="none"/>
          <w:lang w:eastAsia="zh-CN"/>
        </w:rPr>
        <w:t>注：</w:t>
      </w:r>
    </w:p>
    <w:p w14:paraId="4218C1DC">
      <w:pPr>
        <w:tabs>
          <w:tab w:val="left" w:pos="4620"/>
        </w:tabs>
        <w:spacing w:line="360" w:lineRule="auto"/>
        <w:jc w:val="both"/>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1.从业人员、营业收入、资产总额填报上一年数据，无上一年数据的新成立企业可不填报。</w:t>
      </w:r>
    </w:p>
    <w:p w14:paraId="76DB995E">
      <w:pPr>
        <w:tabs>
          <w:tab w:val="left" w:pos="4620"/>
        </w:tabs>
        <w:spacing w:line="360" w:lineRule="auto"/>
        <w:jc w:val="both"/>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2．投标人应根据《政府采购促进中小企业发展管理办法》（财库﹝2020﹞46号）和《关于印发中小企业划型标准规定的通知》(工信部联企业〔2011〕300号)相关规定，如实填写中小企业声明函。</w:t>
      </w:r>
      <w:r>
        <w:rPr>
          <w:rFonts w:hint="eastAsia" w:ascii="宋体" w:hAnsi="宋体" w:eastAsia="宋体" w:cs="宋体"/>
          <w:b w:val="0"/>
          <w:bCs w:val="0"/>
          <w:color w:val="auto"/>
          <w:sz w:val="24"/>
          <w:szCs w:val="24"/>
          <w:highlight w:val="none"/>
          <w:lang w:val="zh-CN"/>
        </w:rPr>
        <w:t>如有虚假，将依法承担相应责任。</w:t>
      </w:r>
      <w:r>
        <w:rPr>
          <w:rFonts w:hint="eastAsia" w:ascii="宋体" w:hAnsi="宋体" w:eastAsia="宋体" w:cs="宋体"/>
          <w:b w:val="0"/>
          <w:bCs w:val="0"/>
          <w:color w:val="auto"/>
          <w:sz w:val="24"/>
          <w:szCs w:val="24"/>
          <w:highlight w:val="none"/>
        </w:rPr>
        <w:t>投标人</w:t>
      </w:r>
      <w:r>
        <w:rPr>
          <w:rFonts w:hint="eastAsia" w:ascii="宋体" w:hAnsi="宋体" w:eastAsia="宋体" w:cs="宋体"/>
          <w:b w:val="0"/>
          <w:bCs w:val="0"/>
          <w:color w:val="auto"/>
          <w:sz w:val="24"/>
          <w:szCs w:val="24"/>
          <w:highlight w:val="none"/>
          <w:lang w:val="en-US" w:eastAsia="zh-CN"/>
        </w:rPr>
        <w:t>可</w:t>
      </w:r>
      <w:r>
        <w:rPr>
          <w:rFonts w:hint="eastAsia" w:ascii="宋体" w:hAnsi="宋体" w:eastAsia="宋体" w:cs="宋体"/>
          <w:b w:val="0"/>
          <w:bCs w:val="0"/>
          <w:color w:val="auto"/>
          <w:sz w:val="24"/>
          <w:szCs w:val="24"/>
          <w:highlight w:val="none"/>
        </w:rPr>
        <w:t>自行登录工业和信息化部官网（查询网址https://www.miit.gov.cn）进行中小企业规模类型自测。</w:t>
      </w:r>
    </w:p>
    <w:p w14:paraId="40B69894">
      <w:pPr>
        <w:rPr>
          <w:rFonts w:hint="eastAsia" w:asciiTheme="minorEastAsia" w:hAnsiTheme="minorEastAsia" w:eastAsiaTheme="minorEastAsia"/>
          <w:b/>
          <w:color w:val="auto"/>
          <w:sz w:val="24"/>
          <w:highlight w:val="none"/>
          <w:lang w:val="en-US" w:eastAsia="zh-CN"/>
        </w:rPr>
      </w:pPr>
    </w:p>
    <w:bookmarkEnd w:id="23"/>
    <w:bookmarkEnd w:id="24"/>
    <w:bookmarkEnd w:id="25"/>
    <w:p w14:paraId="02F4DCB3">
      <w:pPr>
        <w:spacing w:line="360" w:lineRule="auto"/>
        <w:jc w:val="center"/>
        <w:outlineLvl w:val="1"/>
        <w:rPr>
          <w:rFonts w:hint="eastAsia" w:ascii="宋体" w:hAnsi="宋体" w:eastAsia="宋体" w:cs="宋体"/>
          <w:b/>
          <w:color w:val="auto"/>
          <w:sz w:val="24"/>
          <w:szCs w:val="20"/>
          <w:highlight w:val="none"/>
          <w:lang w:val="en-US" w:eastAsia="zh-CN"/>
        </w:rPr>
      </w:pPr>
      <w:bookmarkStart w:id="27" w:name="_Toc25582"/>
      <w:bookmarkStart w:id="28" w:name="_Toc23286"/>
      <w:bookmarkStart w:id="29" w:name="_Hlk11531103"/>
      <w:bookmarkStart w:id="30" w:name="_Toc20524"/>
      <w:bookmarkStart w:id="31" w:name="_Toc25158"/>
    </w:p>
    <w:p w14:paraId="40C8A933">
      <w:pPr>
        <w:spacing w:line="360" w:lineRule="auto"/>
        <w:jc w:val="center"/>
        <w:outlineLvl w:val="1"/>
        <w:rPr>
          <w:rFonts w:hint="eastAsia" w:ascii="宋体" w:hAnsi="宋体" w:eastAsia="宋体" w:cs="宋体"/>
          <w:b/>
          <w:color w:val="auto"/>
          <w:sz w:val="24"/>
          <w:szCs w:val="20"/>
          <w:highlight w:val="none"/>
          <w:lang w:val="en-US" w:eastAsia="zh-CN"/>
        </w:rPr>
      </w:pPr>
      <w:r>
        <w:rPr>
          <w:rFonts w:hint="eastAsia" w:ascii="宋体" w:hAnsi="宋体" w:eastAsia="宋体" w:cs="宋体"/>
          <w:b/>
          <w:color w:val="auto"/>
          <w:sz w:val="24"/>
          <w:szCs w:val="20"/>
          <w:highlight w:val="none"/>
          <w:lang w:val="en-US" w:eastAsia="zh-CN"/>
        </w:rPr>
        <w:t>残疾人福利性单位声明函</w:t>
      </w:r>
    </w:p>
    <w:p w14:paraId="5849A52F">
      <w:pPr>
        <w:widowControl w:val="0"/>
        <w:spacing w:after="120"/>
        <w:jc w:val="center"/>
        <w:rPr>
          <w:rFonts w:hint="eastAsia" w:ascii="宋体" w:hAnsi="宋体" w:eastAsia="宋体" w:cs="宋体"/>
          <w:b w:val="0"/>
          <w:i w:val="0"/>
          <w:iCs/>
          <w:color w:val="auto"/>
          <w:kern w:val="2"/>
          <w:sz w:val="24"/>
          <w:szCs w:val="24"/>
          <w:highlight w:val="none"/>
          <w:lang w:val="en-US" w:eastAsia="zh-CN" w:bidi="ar-SA"/>
        </w:rPr>
      </w:pPr>
      <w:r>
        <w:rPr>
          <w:rFonts w:hint="eastAsia" w:ascii="宋体" w:hAnsi="宋体" w:eastAsia="宋体" w:cs="宋体"/>
          <w:b w:val="0"/>
          <w:i w:val="0"/>
          <w:iCs/>
          <w:color w:val="auto"/>
          <w:kern w:val="2"/>
          <w:sz w:val="24"/>
          <w:szCs w:val="24"/>
          <w:highlight w:val="none"/>
          <w:lang w:val="en-US" w:eastAsia="zh-CN" w:bidi="ar-SA"/>
        </w:rPr>
        <w:t>（非残疾人福利性单位投标不需此件）</w:t>
      </w:r>
    </w:p>
    <w:p w14:paraId="64E770F9">
      <w:pPr>
        <w:spacing w:line="360" w:lineRule="auto"/>
        <w:ind w:firstLine="435"/>
        <w:rPr>
          <w:rFonts w:hint="eastAsia" w:ascii="宋体" w:hAnsi="宋体" w:eastAsia="宋体" w:cs="宋体"/>
          <w:color w:val="auto"/>
          <w:spacing w:val="6"/>
          <w:sz w:val="24"/>
          <w:szCs w:val="24"/>
          <w:highlight w:val="none"/>
        </w:rPr>
      </w:pPr>
    </w:p>
    <w:p w14:paraId="23977F26">
      <w:pPr>
        <w:spacing w:line="360" w:lineRule="auto"/>
        <w:ind w:firstLine="435"/>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本单位</w:t>
      </w:r>
      <w:r>
        <w:rPr>
          <w:rFonts w:hint="eastAsia" w:ascii="宋体" w:hAnsi="宋体" w:eastAsia="宋体" w:cs="宋体"/>
          <w:color w:val="auto"/>
          <w:sz w:val="24"/>
          <w:szCs w:val="20"/>
          <w:highlight w:val="none"/>
        </w:rPr>
        <w:t>郑重</w:t>
      </w:r>
      <w:r>
        <w:rPr>
          <w:rFonts w:hint="eastAsia" w:ascii="宋体" w:hAnsi="宋体" w:eastAsia="宋体" w:cs="宋体"/>
          <w:color w:val="auto"/>
          <w:spacing w:val="6"/>
          <w:sz w:val="24"/>
          <w:szCs w:val="24"/>
          <w:highlight w:val="none"/>
        </w:rPr>
        <w:t>声明，根据《财政部 民政部 中国残疾人联合会关于促进残疾人就业政府采购政策的通知》（财库</w:t>
      </w:r>
      <w:r>
        <w:rPr>
          <w:rFonts w:hint="eastAsia" w:ascii="宋体" w:hAnsi="宋体" w:eastAsia="宋体" w:cs="宋体"/>
          <w:color w:val="auto"/>
          <w:sz w:val="24"/>
          <w:szCs w:val="24"/>
          <w:highlight w:val="none"/>
        </w:rPr>
        <w:t>〔2017〕141</w:t>
      </w:r>
      <w:r>
        <w:rPr>
          <w:rFonts w:hint="eastAsia" w:ascii="宋体" w:hAnsi="宋体" w:eastAsia="宋体" w:cs="宋体"/>
          <w:color w:val="auto"/>
          <w:spacing w:val="6"/>
          <w:sz w:val="24"/>
          <w:szCs w:val="24"/>
          <w:highlight w:val="none"/>
        </w:rPr>
        <w:t>号）的规定，本单位为</w:t>
      </w:r>
      <w:r>
        <w:rPr>
          <w:rFonts w:hint="eastAsia" w:ascii="宋体" w:hAnsi="宋体" w:eastAsia="宋体" w:cs="宋体"/>
          <w:bCs/>
          <w:color w:val="auto"/>
          <w:sz w:val="24"/>
          <w:szCs w:val="24"/>
          <w:highlight w:val="none"/>
        </w:rPr>
        <w:t>符合</w:t>
      </w:r>
      <w:r>
        <w:rPr>
          <w:rFonts w:hint="eastAsia" w:ascii="宋体" w:hAnsi="宋体" w:eastAsia="宋体" w:cs="宋体"/>
          <w:color w:val="auto"/>
          <w:spacing w:val="6"/>
          <w:sz w:val="24"/>
          <w:szCs w:val="24"/>
          <w:highlight w:val="none"/>
        </w:rPr>
        <w:t>条件的残疾人福利性单位，且本单位参加</w:t>
      </w:r>
      <w:r>
        <w:rPr>
          <w:rFonts w:hint="eastAsia" w:ascii="宋体" w:hAnsi="宋体" w:eastAsia="宋体" w:cs="宋体"/>
          <w:color w:val="auto"/>
          <w:spacing w:val="6"/>
          <w:sz w:val="24"/>
          <w:szCs w:val="24"/>
          <w:highlight w:val="none"/>
          <w:u w:val="single"/>
        </w:rPr>
        <w:t xml:space="preserve">      </w:t>
      </w:r>
      <w:r>
        <w:rPr>
          <w:rFonts w:hint="eastAsia" w:ascii="宋体" w:hAnsi="宋体" w:eastAsia="宋体" w:cs="宋体"/>
          <w:color w:val="auto"/>
          <w:spacing w:val="6"/>
          <w:sz w:val="24"/>
          <w:szCs w:val="24"/>
          <w:highlight w:val="none"/>
        </w:rPr>
        <w:t>单位的</w:t>
      </w:r>
      <w:r>
        <w:rPr>
          <w:rFonts w:hint="eastAsia" w:ascii="宋体" w:hAnsi="宋体" w:eastAsia="宋体" w:cs="宋体"/>
          <w:color w:val="auto"/>
          <w:spacing w:val="6"/>
          <w:sz w:val="24"/>
          <w:szCs w:val="24"/>
          <w:highlight w:val="none"/>
          <w:u w:val="single"/>
        </w:rPr>
        <w:t xml:space="preserve">      </w:t>
      </w:r>
      <w:r>
        <w:rPr>
          <w:rFonts w:hint="eastAsia" w:ascii="宋体" w:hAnsi="宋体" w:eastAsia="宋体" w:cs="宋体"/>
          <w:color w:val="auto"/>
          <w:spacing w:val="6"/>
          <w:sz w:val="24"/>
          <w:szCs w:val="24"/>
          <w:highlight w:val="none"/>
        </w:rPr>
        <w:t>项目采购活动</w:t>
      </w:r>
      <w:r>
        <w:rPr>
          <w:rFonts w:hint="eastAsia" w:ascii="宋体" w:hAnsi="宋体" w:eastAsia="宋体" w:cs="宋体"/>
          <w:color w:val="auto"/>
          <w:spacing w:val="6"/>
          <w:sz w:val="24"/>
          <w:szCs w:val="24"/>
          <w:highlight w:val="none"/>
          <w:lang w:val="en-US" w:eastAsia="zh-CN"/>
        </w:rPr>
        <w:t>由本单位提供服务</w:t>
      </w:r>
      <w:r>
        <w:rPr>
          <w:rFonts w:hint="eastAsia" w:ascii="宋体" w:hAnsi="宋体" w:eastAsia="宋体" w:cs="宋体"/>
          <w:color w:val="auto"/>
          <w:spacing w:val="6"/>
          <w:sz w:val="24"/>
          <w:szCs w:val="24"/>
          <w:highlight w:val="none"/>
        </w:rPr>
        <w:t>，或者</w:t>
      </w:r>
      <w:r>
        <w:rPr>
          <w:rFonts w:hint="eastAsia" w:ascii="宋体" w:hAnsi="宋体" w:eastAsia="宋体" w:cs="宋体"/>
          <w:color w:val="auto"/>
          <w:spacing w:val="6"/>
          <w:sz w:val="24"/>
          <w:szCs w:val="24"/>
          <w:highlight w:val="none"/>
          <w:lang w:val="en-US" w:eastAsia="zh-CN"/>
        </w:rPr>
        <w:t>由</w:t>
      </w:r>
      <w:r>
        <w:rPr>
          <w:rFonts w:hint="eastAsia" w:ascii="宋体" w:hAnsi="宋体" w:eastAsia="宋体" w:cs="宋体"/>
          <w:color w:val="auto"/>
          <w:spacing w:val="6"/>
          <w:sz w:val="24"/>
          <w:szCs w:val="24"/>
          <w:highlight w:val="none"/>
        </w:rPr>
        <w:t>其他残疾人福利性单位</w:t>
      </w:r>
      <w:r>
        <w:rPr>
          <w:rFonts w:hint="eastAsia" w:ascii="宋体" w:hAnsi="宋体" w:eastAsia="宋体" w:cs="宋体"/>
          <w:color w:val="auto"/>
          <w:spacing w:val="6"/>
          <w:sz w:val="24"/>
          <w:szCs w:val="24"/>
          <w:highlight w:val="none"/>
          <w:lang w:val="en-US" w:eastAsia="zh-CN"/>
        </w:rPr>
        <w:t>提供服务</w:t>
      </w:r>
      <w:r>
        <w:rPr>
          <w:rFonts w:hint="eastAsia" w:ascii="宋体" w:hAnsi="宋体" w:eastAsia="宋体" w:cs="宋体"/>
          <w:color w:val="auto"/>
          <w:spacing w:val="6"/>
          <w:sz w:val="24"/>
          <w:szCs w:val="24"/>
          <w:highlight w:val="none"/>
        </w:rPr>
        <w:t>。</w:t>
      </w:r>
    </w:p>
    <w:p w14:paraId="53CF47F3">
      <w:pPr>
        <w:spacing w:line="360" w:lineRule="auto"/>
        <w:ind w:firstLine="435"/>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本单位对上述声明的真实性负责。如有虚假，将依法承担相应责任。</w:t>
      </w:r>
    </w:p>
    <w:p w14:paraId="7ABC0195">
      <w:pPr>
        <w:spacing w:line="360" w:lineRule="auto"/>
        <w:ind w:firstLine="4228" w:firstLineChars="1762"/>
        <w:rPr>
          <w:rFonts w:hint="eastAsia" w:ascii="宋体" w:hAnsi="宋体" w:eastAsia="宋体" w:cs="宋体"/>
          <w:color w:val="auto"/>
          <w:sz w:val="24"/>
          <w:szCs w:val="24"/>
          <w:highlight w:val="none"/>
        </w:rPr>
      </w:pPr>
    </w:p>
    <w:p w14:paraId="6FA82C15">
      <w:pPr>
        <w:spacing w:line="360" w:lineRule="auto"/>
        <w:ind w:firstLine="4228" w:firstLineChars="1762"/>
        <w:rPr>
          <w:rFonts w:hint="eastAsia" w:ascii="宋体" w:hAnsi="宋体" w:eastAsia="宋体" w:cs="宋体"/>
          <w:color w:val="auto"/>
          <w:sz w:val="24"/>
          <w:szCs w:val="24"/>
          <w:highlight w:val="none"/>
        </w:rPr>
      </w:pPr>
    </w:p>
    <w:p w14:paraId="48171B54">
      <w:pPr>
        <w:spacing w:line="360" w:lineRule="auto"/>
        <w:ind w:firstLine="4228" w:firstLineChars="1762"/>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投标人电子签章：</w:t>
      </w:r>
      <w:r>
        <w:rPr>
          <w:rFonts w:hint="eastAsia" w:ascii="宋体" w:hAnsi="宋体" w:eastAsia="宋体" w:cs="宋体"/>
          <w:color w:val="auto"/>
          <w:sz w:val="24"/>
          <w:szCs w:val="24"/>
          <w:highlight w:val="none"/>
          <w:u w:val="single"/>
        </w:rPr>
        <w:t xml:space="preserve">             </w:t>
      </w:r>
    </w:p>
    <w:p w14:paraId="1EF39193">
      <w:pPr>
        <w:tabs>
          <w:tab w:val="left" w:pos="4620"/>
        </w:tabs>
        <w:spacing w:line="360" w:lineRule="auto"/>
        <w:ind w:firstLine="4252" w:firstLineChars="1772"/>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日          期：</w:t>
      </w:r>
      <w:r>
        <w:rPr>
          <w:rFonts w:hint="eastAsia" w:ascii="宋体" w:hAnsi="宋体" w:eastAsia="宋体" w:cs="宋体"/>
          <w:color w:val="auto"/>
          <w:sz w:val="24"/>
          <w:szCs w:val="24"/>
          <w:highlight w:val="none"/>
          <w:u w:val="single"/>
        </w:rPr>
        <w:t xml:space="preserve">             </w:t>
      </w:r>
    </w:p>
    <w:p w14:paraId="065CD81F">
      <w:pPr>
        <w:pStyle w:val="6"/>
        <w:bidi w:val="0"/>
        <w:rPr>
          <w:rFonts w:hint="eastAsia"/>
          <w:color w:val="auto"/>
          <w:highlight w:val="none"/>
          <w:lang w:val="en-US" w:eastAsia="zh-CN"/>
        </w:rPr>
      </w:pPr>
    </w:p>
    <w:p w14:paraId="6D51D58D">
      <w:pPr>
        <w:rPr>
          <w:rFonts w:hint="eastAsia"/>
          <w:color w:val="auto"/>
          <w:highlight w:val="none"/>
          <w:lang w:val="en-US" w:eastAsia="zh-CN"/>
        </w:rPr>
      </w:pPr>
    </w:p>
    <w:p w14:paraId="376EE4DD">
      <w:pPr>
        <w:pStyle w:val="18"/>
        <w:rPr>
          <w:rFonts w:hint="eastAsia"/>
          <w:color w:val="auto"/>
          <w:highlight w:val="none"/>
          <w:lang w:val="en-US" w:eastAsia="zh-CN"/>
        </w:rPr>
      </w:pPr>
    </w:p>
    <w:p w14:paraId="0A1A9334">
      <w:pPr>
        <w:pStyle w:val="6"/>
        <w:bidi w:val="0"/>
        <w:rPr>
          <w:rFonts w:hint="eastAsia"/>
          <w:color w:val="auto"/>
          <w:highlight w:val="none"/>
          <w:lang w:val="en-US" w:eastAsia="zh-CN"/>
        </w:rPr>
      </w:pPr>
    </w:p>
    <w:p w14:paraId="07AB3890">
      <w:pPr>
        <w:pStyle w:val="6"/>
        <w:bidi w:val="0"/>
        <w:rPr>
          <w:rFonts w:hint="eastAsia"/>
          <w:color w:val="auto"/>
          <w:highlight w:val="none"/>
          <w:lang w:val="en-US" w:eastAsia="zh-CN"/>
        </w:rPr>
      </w:pPr>
    </w:p>
    <w:p w14:paraId="3C54FE9D">
      <w:pPr>
        <w:pStyle w:val="6"/>
        <w:bidi w:val="0"/>
        <w:rPr>
          <w:rFonts w:hint="eastAsia"/>
          <w:color w:val="auto"/>
          <w:highlight w:val="none"/>
          <w:lang w:val="en-US" w:eastAsia="zh-CN"/>
        </w:rPr>
      </w:pPr>
    </w:p>
    <w:p w14:paraId="4E82DBDF">
      <w:pPr>
        <w:rPr>
          <w:rFonts w:hint="eastAsia"/>
          <w:color w:val="auto"/>
          <w:highlight w:val="none"/>
          <w:lang w:val="en-US" w:eastAsia="zh-CN"/>
        </w:rPr>
      </w:pPr>
    </w:p>
    <w:p w14:paraId="4F766E2C">
      <w:pPr>
        <w:pStyle w:val="18"/>
        <w:rPr>
          <w:rFonts w:hint="eastAsia"/>
          <w:color w:val="auto"/>
          <w:highlight w:val="none"/>
          <w:lang w:val="en-US" w:eastAsia="zh-CN"/>
        </w:rPr>
      </w:pPr>
    </w:p>
    <w:p w14:paraId="098BED3F">
      <w:pPr>
        <w:pStyle w:val="18"/>
        <w:rPr>
          <w:rFonts w:hint="eastAsia"/>
          <w:color w:val="auto"/>
          <w:highlight w:val="none"/>
          <w:lang w:val="en-US" w:eastAsia="zh-CN"/>
        </w:rPr>
      </w:pPr>
    </w:p>
    <w:p w14:paraId="7D090A59">
      <w:pPr>
        <w:pStyle w:val="18"/>
        <w:rPr>
          <w:rFonts w:hint="eastAsia"/>
          <w:color w:val="auto"/>
          <w:highlight w:val="none"/>
          <w:lang w:val="en-US" w:eastAsia="zh-CN"/>
        </w:rPr>
      </w:pPr>
    </w:p>
    <w:p w14:paraId="56420440">
      <w:pPr>
        <w:pStyle w:val="18"/>
        <w:rPr>
          <w:rFonts w:hint="eastAsia"/>
          <w:color w:val="auto"/>
          <w:highlight w:val="none"/>
          <w:lang w:val="en-US" w:eastAsia="zh-CN"/>
        </w:rPr>
      </w:pPr>
    </w:p>
    <w:p w14:paraId="2DD65F2C">
      <w:pPr>
        <w:pStyle w:val="18"/>
        <w:rPr>
          <w:rFonts w:hint="eastAsia"/>
          <w:color w:val="auto"/>
          <w:highlight w:val="none"/>
          <w:lang w:val="en-US" w:eastAsia="zh-CN"/>
        </w:rPr>
      </w:pPr>
    </w:p>
    <w:p w14:paraId="5255C640">
      <w:pPr>
        <w:pStyle w:val="6"/>
        <w:bidi w:val="0"/>
        <w:spacing w:before="0" w:after="0" w:line="240" w:lineRule="auto"/>
        <w:jc w:val="both"/>
        <w:rPr>
          <w:rFonts w:hint="eastAsia"/>
          <w:color w:val="auto"/>
          <w:highlight w:val="none"/>
          <w:lang w:val="en-US" w:eastAsia="zh-CN"/>
        </w:rPr>
      </w:pPr>
    </w:p>
    <w:p w14:paraId="670B3C24">
      <w:pPr>
        <w:pStyle w:val="6"/>
        <w:bidi w:val="0"/>
        <w:spacing w:before="0" w:after="0" w:line="240" w:lineRule="auto"/>
        <w:jc w:val="center"/>
        <w:rPr>
          <w:rFonts w:hint="eastAsia"/>
          <w:color w:val="auto"/>
          <w:highlight w:val="none"/>
          <w:lang w:eastAsia="zh-CN"/>
        </w:rPr>
      </w:pPr>
      <w:r>
        <w:rPr>
          <w:rFonts w:hint="eastAsia"/>
          <w:color w:val="auto"/>
          <w:highlight w:val="none"/>
          <w:lang w:val="en-US" w:eastAsia="zh-CN"/>
        </w:rPr>
        <w:t xml:space="preserve"> 五</w:t>
      </w:r>
      <w:r>
        <w:rPr>
          <w:rFonts w:hint="eastAsia"/>
          <w:color w:val="auto"/>
          <w:highlight w:val="none"/>
        </w:rPr>
        <w:t>、</w:t>
      </w:r>
      <w:bookmarkEnd w:id="27"/>
      <w:bookmarkEnd w:id="28"/>
      <w:bookmarkEnd w:id="29"/>
      <w:bookmarkEnd w:id="30"/>
      <w:bookmarkStart w:id="32" w:name="_Toc17776"/>
      <w:bookmarkStart w:id="33" w:name="_Toc20406"/>
      <w:bookmarkStart w:id="34" w:name="_Toc6331"/>
      <w:r>
        <w:rPr>
          <w:rFonts w:hint="eastAsia"/>
          <w:color w:val="auto"/>
          <w:highlight w:val="none"/>
          <w:lang w:eastAsia="zh-CN"/>
        </w:rPr>
        <w:t>响应函</w:t>
      </w:r>
      <w:bookmarkEnd w:id="31"/>
      <w:bookmarkEnd w:id="32"/>
      <w:bookmarkEnd w:id="33"/>
      <w:bookmarkEnd w:id="34"/>
    </w:p>
    <w:p w14:paraId="7961E842">
      <w:pPr>
        <w:pStyle w:val="1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b/>
          <w:color w:val="auto"/>
          <w:kern w:val="2"/>
          <w:sz w:val="24"/>
          <w:szCs w:val="20"/>
          <w:highlight w:val="none"/>
          <w:u w:val="single"/>
          <w:lang w:val="en-US" w:eastAsia="zh-CN" w:bidi="ar-SA"/>
        </w:rPr>
      </w:pPr>
      <w:r>
        <w:rPr>
          <w:rFonts w:hint="eastAsia" w:ascii="宋体" w:hAnsi="宋体" w:eastAsia="宋体" w:cs="宋体"/>
          <w:color w:val="auto"/>
          <w:sz w:val="24"/>
          <w:highlight w:val="none"/>
        </w:rPr>
        <w:t>致：</w:t>
      </w:r>
      <w:r>
        <w:rPr>
          <w:rFonts w:hint="eastAsia" w:ascii="宋体" w:hAnsi="宋体" w:cs="宋体"/>
          <w:color w:val="auto"/>
          <w:sz w:val="24"/>
          <w:highlight w:val="none"/>
          <w:u w:val="single"/>
          <w:lang w:val="en" w:eastAsia="zh-CN"/>
        </w:rPr>
        <w:t>霍山县机关事务管理服务中心</w:t>
      </w:r>
      <w:r>
        <w:rPr>
          <w:rFonts w:hint="eastAsia" w:ascii="宋体" w:hAnsi="宋体" w:cs="宋体"/>
          <w:color w:val="auto"/>
          <w:sz w:val="24"/>
          <w:highlight w:val="none"/>
          <w:u w:val="single"/>
          <w:lang w:eastAsia="zh-CN"/>
        </w:rPr>
        <w:t>、</w:t>
      </w:r>
      <w:r>
        <w:rPr>
          <w:rFonts w:hint="eastAsia" w:ascii="宋体" w:hAnsi="宋体" w:cs="宋体"/>
          <w:b/>
          <w:color w:val="auto"/>
          <w:kern w:val="2"/>
          <w:sz w:val="24"/>
          <w:szCs w:val="20"/>
          <w:highlight w:val="none"/>
          <w:u w:val="single"/>
          <w:lang w:val="en-US" w:eastAsia="zh-CN" w:bidi="ar-SA"/>
        </w:rPr>
        <w:t>安徽大别山工程咨询有限公司</w:t>
      </w:r>
    </w:p>
    <w:p w14:paraId="35654854">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根据贵方的</w:t>
      </w:r>
      <w:r>
        <w:rPr>
          <w:rFonts w:hint="eastAsia" w:ascii="宋体" w:hAnsi="宋体" w:eastAsia="宋体" w:cs="宋体"/>
          <w:color w:val="auto"/>
          <w:sz w:val="24"/>
          <w:highlight w:val="none"/>
          <w:lang w:eastAsia="zh-CN"/>
        </w:rPr>
        <w:t>征集公告</w:t>
      </w:r>
      <w:r>
        <w:rPr>
          <w:rFonts w:hint="eastAsia" w:ascii="宋体" w:hAnsi="宋体" w:eastAsia="宋体" w:cs="宋体"/>
          <w:color w:val="auto"/>
          <w:sz w:val="24"/>
          <w:highlight w:val="none"/>
        </w:rPr>
        <w:t>和</w:t>
      </w:r>
      <w:r>
        <w:rPr>
          <w:rFonts w:hint="eastAsia" w:ascii="宋体" w:hAnsi="宋体" w:eastAsia="宋体" w:cs="宋体"/>
          <w:color w:val="auto"/>
          <w:sz w:val="24"/>
          <w:highlight w:val="none"/>
          <w:lang w:eastAsia="zh-CN"/>
        </w:rPr>
        <w:t>征集邀请</w:t>
      </w:r>
      <w:r>
        <w:rPr>
          <w:rFonts w:hint="eastAsia" w:ascii="宋体" w:hAnsi="宋体" w:eastAsia="宋体" w:cs="宋体"/>
          <w:color w:val="auto"/>
          <w:sz w:val="24"/>
          <w:highlight w:val="none"/>
        </w:rPr>
        <w:t>，我方兹宣布同意如下：</w:t>
      </w:r>
    </w:p>
    <w:p w14:paraId="098562A9">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1.按</w:t>
      </w:r>
      <w:r>
        <w:rPr>
          <w:rFonts w:hint="eastAsia" w:ascii="宋体" w:hAnsi="宋体" w:eastAsia="宋体" w:cs="宋体"/>
          <w:color w:val="auto"/>
          <w:sz w:val="24"/>
          <w:highlight w:val="none"/>
          <w:lang w:val="en-US" w:eastAsia="zh-CN"/>
        </w:rPr>
        <w:t>本征集项目的</w:t>
      </w:r>
      <w:r>
        <w:rPr>
          <w:rFonts w:hint="eastAsia" w:ascii="宋体" w:hAnsi="宋体" w:eastAsia="宋体" w:cs="宋体"/>
          <w:color w:val="auto"/>
          <w:sz w:val="24"/>
          <w:highlight w:val="none"/>
        </w:rPr>
        <w:t>详细说明和要求规定提供的</w:t>
      </w:r>
      <w:r>
        <w:rPr>
          <w:rFonts w:hint="eastAsia" w:ascii="宋体" w:hAnsi="宋体" w:eastAsia="宋体" w:cs="宋体"/>
          <w:color w:val="auto"/>
          <w:sz w:val="24"/>
          <w:highlight w:val="none"/>
          <w:lang w:eastAsia="zh-CN"/>
        </w:rPr>
        <w:t>全部采购标的</w:t>
      </w:r>
      <w:r>
        <w:rPr>
          <w:rFonts w:hint="eastAsia" w:ascii="宋体" w:hAnsi="宋体" w:eastAsia="宋体" w:cs="宋体"/>
          <w:color w:val="auto"/>
          <w:sz w:val="24"/>
          <w:highlight w:val="none"/>
        </w:rPr>
        <w:t>的</w:t>
      </w:r>
      <w:r>
        <w:rPr>
          <w:rFonts w:hint="eastAsia" w:ascii="宋体" w:hAnsi="宋体" w:eastAsia="宋体" w:cs="宋体"/>
          <w:color w:val="auto"/>
          <w:sz w:val="24"/>
          <w:highlight w:val="none"/>
          <w:lang w:eastAsia="zh-CN"/>
        </w:rPr>
        <w:t>报价</w:t>
      </w:r>
      <w:r>
        <w:rPr>
          <w:rFonts w:hint="eastAsia" w:ascii="宋体" w:hAnsi="宋体" w:eastAsia="宋体" w:cs="宋体"/>
          <w:color w:val="auto"/>
          <w:sz w:val="24"/>
          <w:highlight w:val="none"/>
          <w:lang w:val="en-US" w:eastAsia="zh-CN"/>
        </w:rPr>
        <w:t>进行完全响应</w:t>
      </w:r>
      <w:r>
        <w:rPr>
          <w:rFonts w:hint="eastAsia" w:ascii="宋体" w:hAnsi="宋体" w:eastAsia="宋体" w:cs="宋体"/>
          <w:color w:val="auto"/>
          <w:sz w:val="24"/>
          <w:highlight w:val="none"/>
        </w:rPr>
        <w:t>。</w:t>
      </w:r>
    </w:p>
    <w:p w14:paraId="4FCEE5F7">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2.我方根据</w:t>
      </w:r>
      <w:r>
        <w:rPr>
          <w:rFonts w:hint="eastAsia" w:ascii="宋体" w:hAnsi="宋体" w:eastAsia="宋体" w:cs="宋体"/>
          <w:color w:val="auto"/>
          <w:sz w:val="24"/>
          <w:highlight w:val="none"/>
          <w:lang w:val="en-US" w:eastAsia="zh-CN"/>
        </w:rPr>
        <w:t>本征集项目的</w:t>
      </w:r>
      <w:r>
        <w:rPr>
          <w:rFonts w:hint="eastAsia" w:ascii="宋体" w:hAnsi="宋体" w:eastAsia="宋体" w:cs="宋体"/>
          <w:color w:val="auto"/>
          <w:sz w:val="24"/>
          <w:highlight w:val="none"/>
        </w:rPr>
        <w:t>详细说明和要求的规定，严格履行合同的责任和义务,并保证于买方要求的日期内完成</w:t>
      </w:r>
      <w:r>
        <w:rPr>
          <w:rFonts w:hint="eastAsia" w:ascii="宋体" w:hAnsi="宋体" w:eastAsia="宋体" w:cs="宋体"/>
          <w:color w:val="auto"/>
          <w:sz w:val="24"/>
          <w:highlight w:val="none"/>
          <w:lang w:eastAsia="zh-CN"/>
        </w:rPr>
        <w:t>履约</w:t>
      </w:r>
      <w:r>
        <w:rPr>
          <w:rFonts w:hint="eastAsia" w:ascii="宋体" w:hAnsi="宋体" w:eastAsia="宋体" w:cs="宋体"/>
          <w:color w:val="auto"/>
          <w:sz w:val="24"/>
          <w:highlight w:val="none"/>
        </w:rPr>
        <w:t>，并通过买方验收。</w:t>
      </w:r>
    </w:p>
    <w:p w14:paraId="45654597">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.我方已详细审核全部</w:t>
      </w:r>
      <w:r>
        <w:rPr>
          <w:rFonts w:hint="eastAsia" w:ascii="宋体" w:hAnsi="宋体" w:eastAsia="宋体" w:cs="宋体"/>
          <w:color w:val="auto"/>
          <w:sz w:val="24"/>
          <w:highlight w:val="none"/>
          <w:lang w:val="en-US" w:eastAsia="zh-CN"/>
        </w:rPr>
        <w:t>征集项目的</w:t>
      </w:r>
      <w:r>
        <w:rPr>
          <w:rFonts w:hint="eastAsia" w:ascii="宋体" w:hAnsi="宋体" w:eastAsia="宋体" w:cs="宋体"/>
          <w:color w:val="auto"/>
          <w:sz w:val="24"/>
          <w:highlight w:val="none"/>
        </w:rPr>
        <w:t>详细说明和要求，包括</w:t>
      </w:r>
      <w:r>
        <w:rPr>
          <w:rFonts w:hint="eastAsia" w:ascii="宋体" w:hAnsi="宋体" w:eastAsia="宋体" w:cs="宋体"/>
          <w:color w:val="auto"/>
          <w:sz w:val="24"/>
          <w:highlight w:val="none"/>
          <w:lang w:val="en-US" w:eastAsia="zh-CN"/>
        </w:rPr>
        <w:t>本征集项目的</w:t>
      </w:r>
      <w:r>
        <w:rPr>
          <w:rFonts w:hint="eastAsia" w:ascii="宋体" w:hAnsi="宋体" w:eastAsia="宋体" w:cs="宋体"/>
          <w:color w:val="auto"/>
          <w:sz w:val="24"/>
          <w:highlight w:val="none"/>
        </w:rPr>
        <w:t>详细说明和要求的澄清或修改（如有），参考资料及有关附件，我方正式认可并遵守本次</w:t>
      </w:r>
      <w:r>
        <w:rPr>
          <w:rFonts w:hint="eastAsia" w:ascii="宋体" w:hAnsi="宋体" w:eastAsia="宋体" w:cs="宋体"/>
          <w:color w:val="auto"/>
          <w:sz w:val="24"/>
          <w:highlight w:val="none"/>
          <w:lang w:val="en-US" w:eastAsia="zh-CN"/>
        </w:rPr>
        <w:t>征集项目的</w:t>
      </w:r>
      <w:r>
        <w:rPr>
          <w:rFonts w:hint="eastAsia" w:ascii="宋体" w:hAnsi="宋体" w:eastAsia="宋体" w:cs="宋体"/>
          <w:color w:val="auto"/>
          <w:sz w:val="24"/>
          <w:highlight w:val="none"/>
        </w:rPr>
        <w:t>详细说明和要求，并对</w:t>
      </w:r>
      <w:r>
        <w:rPr>
          <w:rFonts w:hint="eastAsia" w:ascii="宋体" w:hAnsi="宋体" w:eastAsia="宋体" w:cs="宋体"/>
          <w:color w:val="auto"/>
          <w:sz w:val="24"/>
          <w:highlight w:val="none"/>
          <w:lang w:val="en-US" w:eastAsia="zh-CN"/>
        </w:rPr>
        <w:t>此项目</w:t>
      </w:r>
      <w:r>
        <w:rPr>
          <w:rFonts w:hint="eastAsia" w:ascii="宋体" w:hAnsi="宋体" w:eastAsia="宋体" w:cs="宋体"/>
          <w:color w:val="auto"/>
          <w:sz w:val="24"/>
          <w:highlight w:val="none"/>
        </w:rPr>
        <w:t>各项条款、规定及要求均无异议。我方知道必须放弃提出含糊不清或误解问题的权利。</w:t>
      </w:r>
    </w:p>
    <w:p w14:paraId="3866521A">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.我方同意从</w:t>
      </w:r>
      <w:r>
        <w:rPr>
          <w:rFonts w:hint="eastAsia" w:ascii="宋体" w:hAnsi="宋体" w:eastAsia="宋体" w:cs="宋体"/>
          <w:color w:val="auto"/>
          <w:sz w:val="24"/>
          <w:highlight w:val="none"/>
          <w:lang w:val="en-US" w:eastAsia="zh-CN"/>
        </w:rPr>
        <w:t>本征集项目的</w:t>
      </w:r>
      <w:r>
        <w:rPr>
          <w:rFonts w:hint="eastAsia" w:ascii="宋体" w:hAnsi="宋体" w:eastAsia="宋体" w:cs="宋体"/>
          <w:color w:val="auto"/>
          <w:sz w:val="24"/>
          <w:highlight w:val="none"/>
        </w:rPr>
        <w:t>详细说明和要求规定的</w:t>
      </w:r>
      <w:r>
        <w:rPr>
          <w:rFonts w:hint="eastAsia" w:ascii="宋体" w:hAnsi="宋体" w:eastAsia="宋体" w:cs="宋体"/>
          <w:color w:val="auto"/>
          <w:sz w:val="24"/>
          <w:highlight w:val="none"/>
          <w:lang w:val="en-US" w:eastAsia="zh-CN"/>
        </w:rPr>
        <w:t>响应文件</w:t>
      </w:r>
      <w:r>
        <w:rPr>
          <w:rFonts w:hint="eastAsia" w:ascii="宋体" w:hAnsi="宋体" w:eastAsia="宋体" w:cs="宋体"/>
          <w:color w:val="auto"/>
          <w:sz w:val="24"/>
          <w:highlight w:val="none"/>
          <w:lang w:eastAsia="zh-CN"/>
        </w:rPr>
        <w:t>开启</w:t>
      </w:r>
      <w:r>
        <w:rPr>
          <w:rFonts w:hint="eastAsia" w:ascii="宋体" w:hAnsi="宋体" w:eastAsia="宋体" w:cs="宋体"/>
          <w:color w:val="auto"/>
          <w:sz w:val="24"/>
          <w:highlight w:val="none"/>
        </w:rPr>
        <w:t>日期起遵循本</w:t>
      </w:r>
      <w:r>
        <w:rPr>
          <w:rFonts w:hint="eastAsia" w:ascii="宋体" w:hAnsi="宋体" w:eastAsia="宋体" w:cs="宋体"/>
          <w:color w:val="auto"/>
          <w:sz w:val="24"/>
          <w:highlight w:val="none"/>
          <w:lang w:eastAsia="zh-CN"/>
        </w:rPr>
        <w:t>文件</w:t>
      </w:r>
      <w:r>
        <w:rPr>
          <w:rFonts w:hint="eastAsia" w:ascii="宋体" w:hAnsi="宋体" w:eastAsia="宋体" w:cs="宋体"/>
          <w:color w:val="auto"/>
          <w:sz w:val="24"/>
          <w:highlight w:val="none"/>
        </w:rPr>
        <w:t>，并在</w:t>
      </w:r>
      <w:r>
        <w:rPr>
          <w:rFonts w:hint="eastAsia" w:ascii="宋体" w:hAnsi="宋体" w:eastAsia="宋体" w:cs="宋体"/>
          <w:color w:val="auto"/>
          <w:sz w:val="24"/>
          <w:highlight w:val="none"/>
          <w:lang w:val="en-US" w:eastAsia="zh-CN"/>
        </w:rPr>
        <w:t>本</w:t>
      </w:r>
      <w:r>
        <w:rPr>
          <w:rFonts w:hint="eastAsia" w:ascii="宋体" w:hAnsi="宋体" w:eastAsia="宋体" w:cs="宋体"/>
          <w:color w:val="auto"/>
          <w:sz w:val="24"/>
          <w:highlight w:val="none"/>
          <w:lang w:eastAsia="zh-CN"/>
        </w:rPr>
        <w:t>文件</w:t>
      </w:r>
      <w:r>
        <w:rPr>
          <w:rFonts w:hint="eastAsia" w:ascii="宋体" w:hAnsi="宋体" w:eastAsia="宋体" w:cs="宋体"/>
          <w:color w:val="auto"/>
          <w:sz w:val="24"/>
          <w:highlight w:val="none"/>
        </w:rPr>
        <w:t>规定的</w:t>
      </w:r>
      <w:r>
        <w:rPr>
          <w:rFonts w:hint="eastAsia" w:ascii="宋体" w:hAnsi="宋体" w:eastAsia="宋体" w:cs="宋体"/>
          <w:color w:val="auto"/>
          <w:sz w:val="24"/>
          <w:highlight w:val="none"/>
          <w:lang w:val="en-US" w:eastAsia="zh-CN"/>
        </w:rPr>
        <w:t>响应文件</w:t>
      </w:r>
      <w:r>
        <w:rPr>
          <w:rFonts w:hint="eastAsia" w:ascii="宋体" w:hAnsi="宋体" w:eastAsia="宋体" w:cs="宋体"/>
          <w:color w:val="auto"/>
          <w:sz w:val="24"/>
          <w:highlight w:val="none"/>
          <w:lang w:eastAsia="zh-CN"/>
        </w:rPr>
        <w:t>有效期</w:t>
      </w:r>
      <w:r>
        <w:rPr>
          <w:rFonts w:hint="eastAsia" w:ascii="宋体" w:hAnsi="宋体" w:eastAsia="宋体" w:cs="宋体"/>
          <w:color w:val="auto"/>
          <w:sz w:val="24"/>
          <w:highlight w:val="none"/>
        </w:rPr>
        <w:t>之前均具有约束力。</w:t>
      </w:r>
    </w:p>
    <w:p w14:paraId="41595DD1">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highlight w:val="none"/>
        </w:rPr>
      </w:pPr>
      <w:bookmarkStart w:id="35" w:name="_Hlk26474705"/>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w:t>
      </w:r>
      <w:bookmarkEnd w:id="35"/>
      <w:r>
        <w:rPr>
          <w:rFonts w:hint="eastAsia" w:ascii="宋体" w:hAnsi="宋体" w:eastAsia="宋体" w:cs="宋体"/>
          <w:color w:val="auto"/>
          <w:sz w:val="24"/>
          <w:highlight w:val="none"/>
        </w:rPr>
        <w:t>我方声明</w:t>
      </w:r>
      <w:r>
        <w:rPr>
          <w:rFonts w:hint="eastAsia" w:ascii="宋体" w:hAnsi="宋体" w:eastAsia="宋体" w:cs="宋体"/>
          <w:color w:val="auto"/>
          <w:sz w:val="24"/>
          <w:highlight w:val="none"/>
          <w:lang w:val="en-US" w:eastAsia="zh-CN"/>
        </w:rPr>
        <w:t>响应文件</w:t>
      </w:r>
      <w:r>
        <w:rPr>
          <w:rFonts w:hint="eastAsia" w:ascii="宋体" w:hAnsi="宋体" w:eastAsia="宋体" w:cs="宋体"/>
          <w:color w:val="auto"/>
          <w:sz w:val="24"/>
          <w:highlight w:val="none"/>
        </w:rPr>
        <w:t>所提供的一切资料均真实无误、及时、有效，企业运营正常。由于我方提供资料不实而造成的责任和后果由我方承担。我方同意按照贵方提出的要求，提供与</w:t>
      </w:r>
      <w:r>
        <w:rPr>
          <w:rFonts w:hint="eastAsia" w:ascii="宋体" w:hAnsi="宋体" w:eastAsia="宋体" w:cs="宋体"/>
          <w:color w:val="auto"/>
          <w:sz w:val="24"/>
          <w:highlight w:val="none"/>
          <w:lang w:val="en-US" w:eastAsia="zh-CN"/>
        </w:rPr>
        <w:t>申请</w:t>
      </w:r>
      <w:r>
        <w:rPr>
          <w:rFonts w:hint="eastAsia" w:ascii="宋体" w:hAnsi="宋体" w:eastAsia="宋体" w:cs="宋体"/>
          <w:color w:val="auto"/>
          <w:sz w:val="24"/>
          <w:highlight w:val="none"/>
        </w:rPr>
        <w:t>有关的任何证据、数据或资料。</w:t>
      </w:r>
    </w:p>
    <w:p w14:paraId="13E326A3">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.我方接受</w:t>
      </w:r>
      <w:r>
        <w:rPr>
          <w:rFonts w:hint="eastAsia" w:ascii="宋体" w:hAnsi="宋体" w:eastAsia="宋体" w:cs="宋体"/>
          <w:color w:val="auto"/>
          <w:sz w:val="24"/>
          <w:highlight w:val="none"/>
          <w:lang w:val="en-US" w:eastAsia="zh-CN"/>
        </w:rPr>
        <w:t>本征集项目的</w:t>
      </w:r>
      <w:r>
        <w:rPr>
          <w:rFonts w:hint="eastAsia" w:ascii="宋体" w:hAnsi="宋体" w:eastAsia="宋体" w:cs="宋体"/>
          <w:color w:val="auto"/>
          <w:sz w:val="24"/>
          <w:highlight w:val="none"/>
        </w:rPr>
        <w:t>详细说明和要求规定的</w:t>
      </w:r>
      <w:r>
        <w:rPr>
          <w:rFonts w:hint="eastAsia" w:ascii="宋体" w:hAnsi="宋体" w:eastAsia="宋体" w:cs="宋体"/>
          <w:color w:val="auto"/>
          <w:sz w:val="24"/>
          <w:highlight w:val="none"/>
          <w:lang w:val="en-US" w:eastAsia="zh-CN"/>
        </w:rPr>
        <w:t>采购需求、费用结算及支付方式</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用户反馈和评价机制</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入围供应商的清退机制等相关</w:t>
      </w:r>
      <w:r>
        <w:rPr>
          <w:rFonts w:hint="eastAsia" w:ascii="宋体" w:hAnsi="宋体" w:eastAsia="宋体" w:cs="宋体"/>
          <w:color w:val="auto"/>
          <w:sz w:val="24"/>
          <w:highlight w:val="none"/>
        </w:rPr>
        <w:t>要求。</w:t>
      </w:r>
    </w:p>
    <w:p w14:paraId="3E6E50B2">
      <w:pPr>
        <w:spacing w:before="184" w:line="359" w:lineRule="auto"/>
        <w:ind w:left="1" w:right="48" w:firstLine="486"/>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7.</w:t>
      </w:r>
      <w:r>
        <w:rPr>
          <w:rFonts w:ascii="宋体" w:hAnsi="宋体" w:eastAsia="宋体" w:cs="宋体"/>
          <w:color w:val="auto"/>
          <w:spacing w:val="-5"/>
          <w:sz w:val="24"/>
          <w:szCs w:val="24"/>
          <w:highlight w:val="none"/>
        </w:rPr>
        <w:t>我方愿意按照征集文件规定的各项要求，以</w:t>
      </w:r>
      <w:r>
        <w:rPr>
          <w:rFonts w:ascii="宋体" w:hAnsi="宋体" w:eastAsia="宋体" w:cs="宋体"/>
          <w:b w:val="0"/>
          <w:bCs w:val="0"/>
          <w:color w:val="auto"/>
          <w:spacing w:val="-5"/>
          <w:sz w:val="23"/>
          <w:szCs w:val="23"/>
          <w:highlight w:val="none"/>
          <w:u w:val="single" w:color="000000"/>
          <w14:textOutline w14:w="4180" w14:cap="flat" w14:cmpd="sng">
            <w14:solidFill>
              <w14:srgbClr w14:val="000000"/>
            </w14:solidFill>
            <w14:prstDash w14:val="solid"/>
            <w14:miter w14:val="0"/>
          </w14:textOutline>
        </w:rPr>
        <w:t>工时费率按2020年《安徽省汽车维</w:t>
      </w:r>
      <w:r>
        <w:rPr>
          <w:rFonts w:ascii="宋体" w:hAnsi="宋体" w:eastAsia="宋体" w:cs="宋体"/>
          <w:b w:val="0"/>
          <w:bCs w:val="0"/>
          <w:color w:val="auto"/>
          <w:sz w:val="23"/>
          <w:szCs w:val="23"/>
          <w:highlight w:val="none"/>
        </w:rPr>
        <w:t xml:space="preserve"> </w:t>
      </w:r>
      <w:r>
        <w:rPr>
          <w:rFonts w:ascii="宋体" w:hAnsi="宋体" w:eastAsia="宋体" w:cs="宋体"/>
          <w:b w:val="0"/>
          <w:bCs w:val="0"/>
          <w:color w:val="auto"/>
          <w:spacing w:val="3"/>
          <w:sz w:val="23"/>
          <w:szCs w:val="23"/>
          <w:highlight w:val="none"/>
          <w:u w:val="single" w:color="000000"/>
          <w14:textOutline w14:w="4180" w14:cap="flat" w14:cmpd="sng">
            <w14:solidFill>
              <w14:srgbClr w14:val="000000"/>
            </w14:solidFill>
            <w14:prstDash w14:val="solid"/>
            <w14:miter w14:val="0"/>
          </w14:textOutline>
        </w:rPr>
        <w:t>修行业工时定额》规定标准的</w:t>
      </w:r>
      <w:r>
        <w:rPr>
          <w:rFonts w:ascii="宋体" w:hAnsi="宋体" w:eastAsia="宋体" w:cs="宋体"/>
          <w:b w:val="0"/>
          <w:bCs w:val="0"/>
          <w:color w:val="auto"/>
          <w:spacing w:val="3"/>
          <w:sz w:val="23"/>
          <w:szCs w:val="23"/>
          <w:highlight w:val="none"/>
          <w:u w:val="single" w:color="auto"/>
        </w:rPr>
        <w:t xml:space="preserve"> </w:t>
      </w:r>
      <w:r>
        <w:rPr>
          <w:rFonts w:hint="eastAsia" w:ascii="宋体" w:hAnsi="宋体" w:eastAsia="宋体" w:cs="宋体"/>
          <w:b w:val="0"/>
          <w:bCs w:val="0"/>
          <w:color w:val="auto"/>
          <w:spacing w:val="3"/>
          <w:sz w:val="23"/>
          <w:szCs w:val="23"/>
          <w:highlight w:val="none"/>
          <w:u w:val="single" w:color="000000"/>
          <w:lang w:val="en-US" w:eastAsia="zh-CN"/>
          <w14:textOutline w14:w="4180" w14:cap="flat" w14:cmpd="sng">
            <w14:solidFill>
              <w14:srgbClr w14:val="000000"/>
            </w14:solidFill>
            <w14:prstDash w14:val="solid"/>
            <w14:miter w14:val="0"/>
          </w14:textOutline>
        </w:rPr>
        <w:t xml:space="preserve">  %</w:t>
      </w:r>
      <w:r>
        <w:rPr>
          <w:rFonts w:ascii="宋体" w:hAnsi="宋体" w:eastAsia="宋体" w:cs="宋体"/>
          <w:b w:val="0"/>
          <w:bCs w:val="0"/>
          <w:color w:val="auto"/>
          <w:spacing w:val="3"/>
          <w:sz w:val="23"/>
          <w:szCs w:val="23"/>
          <w:highlight w:val="none"/>
          <w:u w:val="single" w:color="000000"/>
          <w14:textOutline w14:w="4180" w14:cap="flat" w14:cmpd="sng">
            <w14:solidFill>
              <w14:srgbClr w14:val="000000"/>
            </w14:solidFill>
            <w14:prstDash w14:val="solid"/>
            <w14:miter w14:val="0"/>
          </w14:textOutline>
        </w:rPr>
        <w:t>取费；材料费率按维修企业市场售价的</w:t>
      </w:r>
      <w:r>
        <w:rPr>
          <w:rFonts w:ascii="宋体" w:hAnsi="宋体" w:eastAsia="宋体" w:cs="宋体"/>
          <w:b w:val="0"/>
          <w:bCs w:val="0"/>
          <w:color w:val="auto"/>
          <w:spacing w:val="-22"/>
          <w:sz w:val="23"/>
          <w:szCs w:val="23"/>
          <w:highlight w:val="none"/>
          <w:u w:val="single" w:color="auto"/>
        </w:rPr>
        <w:t xml:space="preserve"> </w:t>
      </w:r>
      <w:r>
        <w:rPr>
          <w:rFonts w:hint="eastAsia" w:ascii="宋体" w:hAnsi="宋体" w:eastAsia="宋体" w:cs="宋体"/>
          <w:b w:val="0"/>
          <w:bCs w:val="0"/>
          <w:color w:val="auto"/>
          <w:spacing w:val="-22"/>
          <w:sz w:val="23"/>
          <w:szCs w:val="23"/>
          <w:highlight w:val="none"/>
          <w:u w:val="single" w:color="auto"/>
          <w:lang w:val="en-US" w:eastAsia="zh-CN"/>
        </w:rPr>
        <w:t xml:space="preserve">  </w:t>
      </w:r>
      <w:r>
        <w:rPr>
          <w:rFonts w:ascii="宋体" w:hAnsi="宋体" w:eastAsia="宋体" w:cs="宋体"/>
          <w:b w:val="0"/>
          <w:bCs w:val="0"/>
          <w:color w:val="auto"/>
          <w:spacing w:val="2"/>
          <w:sz w:val="23"/>
          <w:szCs w:val="23"/>
          <w:highlight w:val="none"/>
          <w:u w:val="single" w:color="000000"/>
          <w14:textOutline w14:w="4180" w14:cap="flat" w14:cmpd="sng">
            <w14:solidFill>
              <w14:srgbClr w14:val="000000"/>
            </w14:solidFill>
            <w14:prstDash w14:val="solid"/>
            <w14:miter w14:val="0"/>
          </w14:textOutline>
        </w:rPr>
        <w:t>%取费</w:t>
      </w:r>
      <w:r>
        <w:rPr>
          <w:rFonts w:ascii="宋体" w:hAnsi="宋体" w:eastAsia="宋体" w:cs="宋体"/>
          <w:b w:val="0"/>
          <w:bCs w:val="0"/>
          <w:color w:val="auto"/>
          <w:spacing w:val="56"/>
          <w:sz w:val="23"/>
          <w:szCs w:val="23"/>
          <w:highlight w:val="none"/>
          <w:u w:val="single" w:color="auto"/>
        </w:rPr>
        <w:t xml:space="preserve"> </w:t>
      </w:r>
      <w:r>
        <w:rPr>
          <w:rFonts w:ascii="宋体" w:hAnsi="宋体" w:eastAsia="宋体" w:cs="宋体"/>
          <w:b w:val="0"/>
          <w:bCs w:val="0"/>
          <w:color w:val="auto"/>
          <w:spacing w:val="2"/>
          <w:sz w:val="24"/>
          <w:szCs w:val="24"/>
          <w:highlight w:val="none"/>
        </w:rPr>
        <w:t>向</w:t>
      </w:r>
      <w:r>
        <w:rPr>
          <w:rFonts w:ascii="宋体" w:hAnsi="宋体" w:eastAsia="宋体" w:cs="宋体"/>
          <w:color w:val="auto"/>
          <w:spacing w:val="2"/>
          <w:sz w:val="24"/>
          <w:szCs w:val="24"/>
          <w:highlight w:val="none"/>
        </w:rPr>
        <w:t>采</w:t>
      </w:r>
    </w:p>
    <w:p w14:paraId="318E47C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color w:val="auto"/>
          <w:spacing w:val="-4"/>
          <w:sz w:val="24"/>
          <w:szCs w:val="24"/>
          <w:highlight w:val="none"/>
          <w:lang w:eastAsia="zh-CN"/>
        </w:rPr>
      </w:pPr>
      <w:r>
        <w:rPr>
          <w:rFonts w:ascii="宋体" w:hAnsi="宋体" w:eastAsia="宋体" w:cs="宋体"/>
          <w:color w:val="auto"/>
          <w:spacing w:val="-4"/>
          <w:sz w:val="24"/>
          <w:szCs w:val="24"/>
          <w:highlight w:val="none"/>
        </w:rPr>
        <w:t>购方提供所需的服务</w:t>
      </w:r>
      <w:r>
        <w:rPr>
          <w:rFonts w:hint="eastAsia" w:ascii="宋体" w:hAnsi="宋体" w:eastAsia="宋体" w:cs="宋体"/>
          <w:color w:val="auto"/>
          <w:spacing w:val="-4"/>
          <w:sz w:val="24"/>
          <w:szCs w:val="24"/>
          <w:highlight w:val="none"/>
          <w:lang w:eastAsia="zh-CN"/>
        </w:rPr>
        <w:t>。</w:t>
      </w:r>
    </w:p>
    <w:p w14:paraId="1D0BC8DE">
      <w:pPr>
        <w:keepNext w:val="0"/>
        <w:keepLines w:val="0"/>
        <w:pageBreakBefore w:val="0"/>
        <w:widowControl w:val="0"/>
        <w:kinsoku/>
        <w:wordWrap/>
        <w:overflowPunct/>
        <w:topLinePunct w:val="0"/>
        <w:autoSpaceDE/>
        <w:autoSpaceDN/>
        <w:bidi w:val="0"/>
        <w:adjustRightInd/>
        <w:snapToGrid/>
        <w:spacing w:line="560" w:lineRule="exact"/>
        <w:ind w:firstLine="464"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pacing w:val="-4"/>
          <w:sz w:val="24"/>
          <w:szCs w:val="24"/>
          <w:highlight w:val="none"/>
          <w:lang w:val="en-US" w:eastAsia="zh-CN"/>
        </w:rPr>
        <w:t>8.</w:t>
      </w:r>
      <w:r>
        <w:rPr>
          <w:rFonts w:hint="eastAsia" w:ascii="宋体" w:hAnsi="宋体" w:eastAsia="宋体" w:cs="宋体"/>
          <w:color w:val="auto"/>
          <w:sz w:val="24"/>
          <w:highlight w:val="none"/>
          <w:lang w:val="en-US" w:eastAsia="zh-CN"/>
        </w:rPr>
        <w:t>我方承诺不会出现以下情形：</w:t>
      </w:r>
    </w:p>
    <w:p w14:paraId="65F6765F">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（1）未按照征集项目的详细说明和要求确定的事项进行履约；</w:t>
      </w:r>
    </w:p>
    <w:p w14:paraId="2176DB5E">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（2）将政府采购合同转包；</w:t>
      </w:r>
    </w:p>
    <w:p w14:paraId="633AB3D1">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（3）提供假冒伪劣产品；</w:t>
      </w:r>
    </w:p>
    <w:p w14:paraId="6EDFC010">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（4）擅自变更、中止或者终止框架协议和政府采购合同。</w:t>
      </w:r>
    </w:p>
    <w:p w14:paraId="527C9026">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bCs/>
          <w:color w:val="auto"/>
          <w:sz w:val="24"/>
          <w:highlight w:val="none"/>
          <w:lang w:val="en-US" w:eastAsia="zh-CN"/>
        </w:rPr>
      </w:pPr>
      <w:bookmarkStart w:id="36" w:name="_Toc13022"/>
      <w:bookmarkStart w:id="37" w:name="_Toc520299348"/>
      <w:bookmarkStart w:id="38" w:name="_Toc457768004"/>
      <w:bookmarkStart w:id="39" w:name="_Toc3773"/>
      <w:bookmarkStart w:id="40" w:name="_Hlk11701496"/>
      <w:bookmarkStart w:id="41" w:name="_Toc18279"/>
      <w:bookmarkStart w:id="42" w:name="_Toc300210382"/>
    </w:p>
    <w:p w14:paraId="3E708C90">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 xml:space="preserve">供应商名称（盖章）：            </w:t>
      </w:r>
    </w:p>
    <w:p w14:paraId="7384C196">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default"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日    期：</w:t>
      </w:r>
      <w:r>
        <w:rPr>
          <w:rFonts w:hint="default" w:ascii="宋体" w:hAnsi="宋体" w:eastAsia="宋体" w:cs="宋体"/>
          <w:b/>
          <w:bCs/>
          <w:color w:val="auto"/>
          <w:sz w:val="24"/>
          <w:highlight w:val="none"/>
          <w:lang w:val="en" w:eastAsia="zh-CN"/>
        </w:rPr>
        <w:t>202</w:t>
      </w:r>
      <w:r>
        <w:rPr>
          <w:rFonts w:hint="eastAsia" w:ascii="宋体" w:hAnsi="宋体" w:eastAsia="宋体" w:cs="宋体"/>
          <w:b/>
          <w:bCs/>
          <w:color w:val="auto"/>
          <w:sz w:val="24"/>
          <w:highlight w:val="none"/>
          <w:lang w:val="en-US" w:eastAsia="zh-CN"/>
        </w:rPr>
        <w:t>6年   月   日</w:t>
      </w:r>
    </w:p>
    <w:p w14:paraId="45525C2F">
      <w:pPr>
        <w:jc w:val="center"/>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br w:type="page"/>
      </w:r>
      <w:bookmarkStart w:id="43" w:name="_Toc5355"/>
      <w:r>
        <w:rPr>
          <w:rStyle w:val="25"/>
          <w:rFonts w:hint="eastAsia"/>
          <w:color w:val="auto"/>
          <w:highlight w:val="none"/>
          <w:lang w:val="en-US" w:eastAsia="zh-CN"/>
        </w:rPr>
        <w:t>六</w:t>
      </w:r>
      <w:r>
        <w:rPr>
          <w:rStyle w:val="25"/>
          <w:rFonts w:hint="eastAsia"/>
          <w:color w:val="auto"/>
          <w:highlight w:val="none"/>
        </w:rPr>
        <w:t>、</w:t>
      </w:r>
      <w:r>
        <w:rPr>
          <w:rStyle w:val="25"/>
          <w:rFonts w:hint="eastAsia"/>
          <w:color w:val="auto"/>
          <w:highlight w:val="none"/>
          <w:lang w:val="en-US" w:eastAsia="zh-CN"/>
        </w:rPr>
        <w:t>供应商资格证明材料</w:t>
      </w:r>
      <w:bookmarkEnd w:id="43"/>
    </w:p>
    <w:p w14:paraId="1CF6DF8C">
      <w:pPr>
        <w:spacing w:line="360" w:lineRule="auto"/>
        <w:ind w:firstLine="437"/>
        <w:rPr>
          <w:rFonts w:hint="eastAsia" w:asciiTheme="minorEastAsia" w:hAnsiTheme="minorEastAsia" w:eastAsiaTheme="minorEastAsia"/>
          <w:color w:val="auto"/>
          <w:sz w:val="24"/>
          <w:highlight w:val="none"/>
          <w:lang w:val="en-US" w:eastAsia="zh-CN"/>
        </w:rPr>
      </w:pPr>
    </w:p>
    <w:p w14:paraId="503AEA18">
      <w:pPr>
        <w:spacing w:before="78" w:line="462" w:lineRule="auto"/>
        <w:ind w:left="8" w:firstLine="750"/>
        <w:jc w:val="both"/>
        <w:rPr>
          <w:rFonts w:hint="eastAsia" w:ascii="宋体" w:hAnsi="宋体" w:eastAsia="宋体" w:cs="宋体"/>
          <w:b/>
          <w:bCs/>
          <w:color w:val="auto"/>
          <w:spacing w:val="3"/>
          <w:sz w:val="24"/>
          <w:szCs w:val="24"/>
          <w:highlight w:val="none"/>
        </w:rPr>
      </w:pPr>
      <w:r>
        <w:rPr>
          <w:rFonts w:hint="eastAsia" w:ascii="宋体" w:hAnsi="宋体" w:eastAsia="宋体" w:cs="宋体"/>
          <w:color w:val="auto"/>
          <w:spacing w:val="3"/>
          <w:sz w:val="24"/>
          <w:szCs w:val="24"/>
          <w:highlight w:val="none"/>
        </w:rPr>
        <w:t>1.满足《中华人民共和国政府采购法》第二十二条规定</w:t>
      </w:r>
      <w:r>
        <w:rPr>
          <w:rFonts w:hint="eastAsia" w:ascii="宋体" w:hAnsi="宋体" w:eastAsia="宋体" w:cs="宋体"/>
          <w:b/>
          <w:bCs/>
          <w:color w:val="auto"/>
          <w:spacing w:val="3"/>
          <w:sz w:val="24"/>
          <w:szCs w:val="24"/>
          <w:highlight w:val="none"/>
        </w:rPr>
        <w:t xml:space="preserve"> (响应文件中须提 供有效期内的营业执照 (或事业单位法人登记证书) 的清晰影印件或扫描件，否则申请无效) ；</w:t>
      </w:r>
    </w:p>
    <w:p w14:paraId="38414CF1">
      <w:pPr>
        <w:spacing w:before="78" w:line="462" w:lineRule="auto"/>
        <w:ind w:left="8" w:firstLine="750"/>
        <w:jc w:val="both"/>
        <w:rPr>
          <w:rFonts w:ascii="宋体" w:hAnsi="宋体" w:eastAsia="宋体" w:cs="宋体"/>
          <w:b/>
          <w:bCs/>
          <w:color w:val="auto"/>
          <w:sz w:val="24"/>
          <w:szCs w:val="24"/>
          <w:highlight w:val="none"/>
        </w:rPr>
      </w:pPr>
      <w:r>
        <w:rPr>
          <w:rFonts w:hint="eastAsia" w:ascii="宋体" w:hAnsi="宋体" w:eastAsia="宋体" w:cs="宋体"/>
          <w:color w:val="auto"/>
          <w:spacing w:val="3"/>
          <w:sz w:val="24"/>
          <w:szCs w:val="24"/>
          <w:highlight w:val="none"/>
        </w:rPr>
        <w:t xml:space="preserve">2.具有综合二类及以上维修资质 </w:t>
      </w:r>
      <w:r>
        <w:rPr>
          <w:rFonts w:hint="eastAsia" w:ascii="宋体" w:hAnsi="宋体" w:eastAsia="宋体" w:cs="宋体"/>
          <w:b/>
          <w:bCs/>
          <w:color w:val="auto"/>
          <w:spacing w:val="3"/>
          <w:sz w:val="24"/>
          <w:szCs w:val="24"/>
          <w:highlight w:val="none"/>
        </w:rPr>
        <w:t>(响应文件中须提供维修资质证书的清晰影印件或扫描件，否则申请无效)；</w:t>
      </w:r>
    </w:p>
    <w:p w14:paraId="2C319CA9">
      <w:pPr>
        <w:pStyle w:val="2"/>
        <w:rPr>
          <w:rFonts w:hint="eastAsia" w:asciiTheme="minorEastAsia" w:hAnsiTheme="minorEastAsia"/>
          <w:b w:val="0"/>
          <w:bCs/>
          <w:color w:val="auto"/>
          <w:sz w:val="24"/>
          <w:highlight w:val="none"/>
          <w:lang w:val="en-US" w:eastAsia="zh-CN"/>
        </w:rPr>
      </w:pPr>
    </w:p>
    <w:p w14:paraId="39C1980D">
      <w:pPr>
        <w:rPr>
          <w:rFonts w:hint="eastAsia"/>
          <w:color w:val="auto"/>
          <w:highlight w:val="none"/>
          <w:lang w:val="en-US" w:eastAsia="zh-CN"/>
        </w:rPr>
      </w:pPr>
    </w:p>
    <w:p w14:paraId="5360D80D">
      <w:pPr>
        <w:pStyle w:val="2"/>
        <w:rPr>
          <w:rFonts w:hint="eastAsia" w:asciiTheme="minorEastAsia" w:hAnsiTheme="minorEastAsia"/>
          <w:b w:val="0"/>
          <w:bCs/>
          <w:color w:val="auto"/>
          <w:sz w:val="24"/>
          <w:highlight w:val="none"/>
          <w:lang w:val="en-US" w:eastAsia="zh-CN"/>
        </w:rPr>
      </w:pPr>
    </w:p>
    <w:p w14:paraId="781F9B1B">
      <w:pPr>
        <w:pStyle w:val="2"/>
        <w:rPr>
          <w:rFonts w:hint="default" w:asciiTheme="minorEastAsia" w:hAnsiTheme="minorEastAsia" w:eastAsiaTheme="minorEastAsia"/>
          <w:b w:val="0"/>
          <w:bCs/>
          <w:color w:val="auto"/>
          <w:sz w:val="24"/>
          <w:highlight w:val="none"/>
          <w:lang w:val="en-US" w:eastAsia="zh-CN"/>
        </w:rPr>
      </w:pPr>
      <w:r>
        <w:rPr>
          <w:rFonts w:hint="eastAsia" w:asciiTheme="minorEastAsia" w:hAnsiTheme="minorEastAsia"/>
          <w:b w:val="0"/>
          <w:bCs/>
          <w:color w:val="auto"/>
          <w:sz w:val="24"/>
          <w:highlight w:val="none"/>
          <w:lang w:val="en-US" w:eastAsia="zh-CN"/>
        </w:rPr>
        <w:t>...</w:t>
      </w:r>
    </w:p>
    <w:p w14:paraId="1763F2FD">
      <w:pPr>
        <w:pStyle w:val="18"/>
        <w:numPr>
          <w:ilvl w:val="0"/>
          <w:numId w:val="0"/>
        </w:numPr>
        <w:ind w:right="-21" w:rightChars="-10"/>
        <w:rPr>
          <w:rFonts w:hint="default"/>
          <w:color w:val="auto"/>
          <w:highlight w:val="none"/>
          <w:lang w:val="en-US" w:eastAsia="zh-CN"/>
        </w:rPr>
      </w:pPr>
    </w:p>
    <w:p w14:paraId="2D75CFE3">
      <w:pPr>
        <w:spacing w:line="360" w:lineRule="auto"/>
        <w:rPr>
          <w:rFonts w:hint="eastAsia" w:asciiTheme="minorEastAsia" w:hAnsiTheme="minorEastAsia" w:eastAsiaTheme="minorEastAsia"/>
          <w:color w:val="auto"/>
          <w:sz w:val="24"/>
          <w:highlight w:val="none"/>
          <w:lang w:val="en-US" w:eastAsia="zh-CN"/>
        </w:rPr>
      </w:pPr>
    </w:p>
    <w:p w14:paraId="2AB317F4">
      <w:pPr>
        <w:rPr>
          <w:rFonts w:hint="eastAsia"/>
          <w:color w:val="auto"/>
          <w:highlight w:val="none"/>
          <w:lang w:val="en-US" w:eastAsia="zh-CN"/>
        </w:rPr>
      </w:pPr>
    </w:p>
    <w:p w14:paraId="046ABE90">
      <w:pPr>
        <w:pStyle w:val="18"/>
        <w:rPr>
          <w:rFonts w:hint="eastAsia"/>
          <w:color w:val="auto"/>
          <w:highlight w:val="none"/>
          <w:lang w:val="en-US" w:eastAsia="zh-CN"/>
        </w:rPr>
      </w:pPr>
    </w:p>
    <w:p w14:paraId="762139E7">
      <w:pPr>
        <w:pStyle w:val="18"/>
        <w:rPr>
          <w:rFonts w:hint="eastAsia"/>
          <w:color w:val="auto"/>
          <w:highlight w:val="none"/>
          <w:lang w:val="en-US" w:eastAsia="zh-CN"/>
        </w:rPr>
      </w:pPr>
    </w:p>
    <w:p w14:paraId="226778D3">
      <w:pPr>
        <w:keepNext w:val="0"/>
        <w:keepLines w:val="0"/>
        <w:pageBreakBefore w:val="0"/>
        <w:widowControl w:val="0"/>
        <w:kinsoku/>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 xml:space="preserve">供应商名称（盖章）：            </w:t>
      </w:r>
    </w:p>
    <w:p w14:paraId="778164C6">
      <w:pPr>
        <w:keepNext w:val="0"/>
        <w:keepLines w:val="0"/>
        <w:pageBreakBefore w:val="0"/>
        <w:widowControl w:val="0"/>
        <w:kinsoku/>
        <w:overflowPunct/>
        <w:topLinePunct w:val="0"/>
        <w:autoSpaceDE/>
        <w:autoSpaceDN/>
        <w:bidi w:val="0"/>
        <w:adjustRightInd/>
        <w:snapToGrid/>
        <w:spacing w:line="560" w:lineRule="exact"/>
        <w:ind w:firstLine="482" w:firstLineChars="200"/>
        <w:textAlignment w:val="auto"/>
        <w:rPr>
          <w:rFonts w:hint="default"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日    期：</w:t>
      </w:r>
      <w:r>
        <w:rPr>
          <w:rFonts w:hint="default" w:ascii="宋体" w:hAnsi="宋体" w:eastAsia="宋体" w:cs="宋体"/>
          <w:b/>
          <w:bCs/>
          <w:color w:val="auto"/>
          <w:sz w:val="24"/>
          <w:highlight w:val="none"/>
          <w:lang w:val="en" w:eastAsia="zh-CN"/>
        </w:rPr>
        <w:t>202</w:t>
      </w:r>
      <w:r>
        <w:rPr>
          <w:rFonts w:hint="eastAsia" w:ascii="宋体" w:hAnsi="宋体" w:eastAsia="宋体" w:cs="宋体"/>
          <w:b/>
          <w:bCs/>
          <w:color w:val="auto"/>
          <w:sz w:val="24"/>
          <w:highlight w:val="none"/>
          <w:lang w:val="en-US" w:eastAsia="zh-CN"/>
        </w:rPr>
        <w:t>6年   月   日</w:t>
      </w:r>
    </w:p>
    <w:p w14:paraId="5B61C5BD">
      <w:pPr>
        <w:rPr>
          <w:rFonts w:hint="eastAsia" w:asciiTheme="minorEastAsia" w:hAnsiTheme="minorEastAsia" w:eastAsiaTheme="minorEastAsia"/>
          <w:b/>
          <w:color w:val="auto"/>
          <w:sz w:val="28"/>
          <w:szCs w:val="28"/>
          <w:highlight w:val="none"/>
          <w:lang w:val="en-US" w:eastAsia="zh-CN"/>
        </w:rPr>
      </w:pPr>
    </w:p>
    <w:p w14:paraId="573FF11A">
      <w:pPr>
        <w:rPr>
          <w:rFonts w:hint="eastAsia" w:asciiTheme="minorEastAsia" w:hAnsiTheme="minorEastAsia" w:eastAsiaTheme="minorEastAsia"/>
          <w:b/>
          <w:color w:val="auto"/>
          <w:sz w:val="28"/>
          <w:szCs w:val="28"/>
          <w:highlight w:val="none"/>
          <w:lang w:val="en-US" w:eastAsia="zh-CN"/>
        </w:rPr>
      </w:pPr>
      <w:r>
        <w:rPr>
          <w:rFonts w:hint="eastAsia" w:asciiTheme="minorEastAsia" w:hAnsiTheme="minorEastAsia" w:eastAsiaTheme="minorEastAsia"/>
          <w:b/>
          <w:color w:val="auto"/>
          <w:sz w:val="28"/>
          <w:szCs w:val="28"/>
          <w:highlight w:val="none"/>
          <w:lang w:val="en-US" w:eastAsia="zh-CN"/>
        </w:rPr>
        <w:br w:type="page"/>
      </w:r>
    </w:p>
    <w:p w14:paraId="1DFE1E45">
      <w:pPr>
        <w:pStyle w:val="6"/>
        <w:bidi w:val="0"/>
        <w:rPr>
          <w:rFonts w:hint="default"/>
          <w:color w:val="auto"/>
          <w:highlight w:val="none"/>
          <w:lang w:val="en-US" w:eastAsia="zh-CN"/>
        </w:rPr>
      </w:pPr>
      <w:bookmarkStart w:id="44" w:name="_Toc22094"/>
      <w:r>
        <w:rPr>
          <w:rFonts w:hint="eastAsia"/>
          <w:color w:val="auto"/>
          <w:highlight w:val="none"/>
          <w:lang w:val="en-US" w:eastAsia="zh-CN"/>
        </w:rPr>
        <w:t>七</w:t>
      </w:r>
      <w:r>
        <w:rPr>
          <w:rFonts w:hint="eastAsia"/>
          <w:color w:val="auto"/>
          <w:highlight w:val="none"/>
        </w:rPr>
        <w:t>、</w:t>
      </w:r>
      <w:bookmarkEnd w:id="36"/>
      <w:bookmarkEnd w:id="37"/>
      <w:bookmarkEnd w:id="38"/>
      <w:bookmarkEnd w:id="39"/>
      <w:bookmarkEnd w:id="40"/>
      <w:bookmarkEnd w:id="41"/>
      <w:bookmarkEnd w:id="42"/>
      <w:r>
        <w:rPr>
          <w:rFonts w:hint="eastAsia"/>
          <w:color w:val="auto"/>
          <w:highlight w:val="none"/>
          <w:lang w:val="en-US" w:eastAsia="zh-CN"/>
        </w:rPr>
        <w:t>入围评审证明材料</w:t>
      </w:r>
      <w:bookmarkEnd w:id="44"/>
    </w:p>
    <w:p w14:paraId="5CFF071B">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color w:val="auto"/>
          <w:sz w:val="24"/>
          <w:highlight w:val="none"/>
          <w:lang w:val="en-US" w:eastAsia="zh-CN"/>
        </w:rPr>
      </w:pPr>
      <w:r>
        <w:rPr>
          <w:rFonts w:hint="eastAsia" w:asciiTheme="minorEastAsia" w:hAnsiTheme="minorEastAsia" w:eastAsiaTheme="minorEastAsia"/>
          <w:color w:val="auto"/>
          <w:sz w:val="24"/>
          <w:highlight w:val="none"/>
        </w:rPr>
        <w:t>提供符合</w:t>
      </w:r>
      <w:r>
        <w:rPr>
          <w:rFonts w:hint="eastAsia" w:asciiTheme="minorEastAsia" w:hAnsiTheme="minorEastAsia"/>
          <w:color w:val="auto"/>
          <w:sz w:val="24"/>
          <w:highlight w:val="none"/>
          <w:lang w:val="en-US" w:eastAsia="zh-CN"/>
        </w:rPr>
        <w:t>本</w:t>
      </w:r>
      <w:r>
        <w:rPr>
          <w:rFonts w:hint="eastAsia" w:asciiTheme="minorEastAsia" w:hAnsiTheme="minorEastAsia" w:eastAsiaTheme="minorEastAsia"/>
          <w:color w:val="auto"/>
          <w:sz w:val="24"/>
          <w:highlight w:val="none"/>
          <w:lang w:eastAsia="zh-CN"/>
        </w:rPr>
        <w:t>征集</w:t>
      </w:r>
      <w:r>
        <w:rPr>
          <w:rFonts w:hint="eastAsia" w:asciiTheme="minorEastAsia" w:hAnsiTheme="minorEastAsia"/>
          <w:color w:val="auto"/>
          <w:sz w:val="24"/>
          <w:highlight w:val="none"/>
          <w:lang w:val="en-US" w:eastAsia="zh-CN"/>
        </w:rPr>
        <w:t>文件第一阶段入围评审办法-评审细则中要求的各项</w:t>
      </w:r>
      <w:r>
        <w:rPr>
          <w:rFonts w:asciiTheme="minorEastAsia" w:hAnsiTheme="minorEastAsia" w:eastAsiaTheme="minorEastAsia"/>
          <w:color w:val="auto"/>
          <w:sz w:val="24"/>
          <w:highlight w:val="none"/>
        </w:rPr>
        <w:t>证明</w:t>
      </w:r>
      <w:r>
        <w:rPr>
          <w:rFonts w:hint="eastAsia" w:asciiTheme="minorEastAsia" w:hAnsiTheme="minorEastAsia"/>
          <w:color w:val="auto"/>
          <w:sz w:val="24"/>
          <w:highlight w:val="none"/>
          <w:lang w:val="en-US" w:eastAsia="zh-CN"/>
        </w:rPr>
        <w:t>材料，按照投标文件制作工具上传栏目分别提交。</w:t>
      </w:r>
    </w:p>
    <w:p w14:paraId="1E8CD143">
      <w:pPr>
        <w:rPr>
          <w:rFonts w:hint="eastAsia" w:asciiTheme="minorEastAsia" w:hAnsiTheme="minorEastAsia"/>
          <w:color w:val="auto"/>
          <w:sz w:val="24"/>
          <w:highlight w:val="none"/>
          <w:lang w:val="en-US" w:eastAsia="zh-CN"/>
        </w:rPr>
      </w:pPr>
      <w:r>
        <w:rPr>
          <w:rFonts w:hint="eastAsia" w:asciiTheme="minorEastAsia" w:hAnsiTheme="minorEastAsia"/>
          <w:color w:val="auto"/>
          <w:sz w:val="24"/>
          <w:highlight w:val="none"/>
          <w:lang w:val="en-US" w:eastAsia="zh-CN"/>
        </w:rPr>
        <w:br w:type="page"/>
      </w:r>
    </w:p>
    <w:p w14:paraId="6E64A69A">
      <w:pPr>
        <w:pStyle w:val="6"/>
        <w:bidi w:val="0"/>
        <w:rPr>
          <w:rFonts w:hint="eastAsia"/>
          <w:color w:val="auto"/>
          <w:highlight w:val="none"/>
        </w:rPr>
      </w:pPr>
      <w:bookmarkStart w:id="45" w:name="_Toc19301"/>
      <w:r>
        <w:rPr>
          <w:rFonts w:hint="eastAsia"/>
          <w:color w:val="auto"/>
          <w:highlight w:val="none"/>
          <w:lang w:val="en-US" w:eastAsia="zh-CN"/>
        </w:rPr>
        <w:t>八</w:t>
      </w:r>
      <w:r>
        <w:rPr>
          <w:rFonts w:hint="eastAsia"/>
          <w:color w:val="auto"/>
          <w:highlight w:val="none"/>
        </w:rPr>
        <w:t>、其他相关材料</w:t>
      </w:r>
      <w:bookmarkEnd w:id="45"/>
    </w:p>
    <w:p w14:paraId="540D88FA">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color w:val="auto"/>
          <w:sz w:val="24"/>
          <w:highlight w:val="none"/>
          <w:lang w:val="en-US" w:eastAsia="zh-CN"/>
        </w:rPr>
      </w:pPr>
      <w:r>
        <w:rPr>
          <w:rFonts w:hint="eastAsia" w:asciiTheme="minorEastAsia" w:hAnsiTheme="minorEastAsia"/>
          <w:color w:val="auto"/>
          <w:sz w:val="24"/>
          <w:highlight w:val="none"/>
          <w:lang w:val="en-US" w:eastAsia="zh-CN"/>
        </w:rPr>
        <w:t>自行上传供应商认为需要上传的与本项目相关的其他</w:t>
      </w:r>
      <w:r>
        <w:rPr>
          <w:rFonts w:asciiTheme="minorEastAsia" w:hAnsiTheme="minorEastAsia" w:eastAsiaTheme="minorEastAsia"/>
          <w:color w:val="auto"/>
          <w:sz w:val="24"/>
          <w:highlight w:val="none"/>
        </w:rPr>
        <w:t>资料</w:t>
      </w:r>
      <w:r>
        <w:rPr>
          <w:rFonts w:hint="eastAsia" w:asciiTheme="minorEastAsia" w:hAnsiTheme="minorEastAsia"/>
          <w:color w:val="auto"/>
          <w:sz w:val="24"/>
          <w:highlight w:val="none"/>
          <w:lang w:val="en-US" w:eastAsia="zh-CN"/>
        </w:rPr>
        <w:t>。</w:t>
      </w:r>
    </w:p>
    <w:p w14:paraId="367B2C32">
      <w:pPr>
        <w:pStyle w:val="18"/>
        <w:rPr>
          <w:rFonts w:hint="eastAsia"/>
          <w:color w:val="auto"/>
          <w:highlight w:val="none"/>
          <w:lang w:val="en-US" w:eastAsia="zh-CN"/>
        </w:rPr>
      </w:pPr>
    </w:p>
    <w:p w14:paraId="6C106483">
      <w:pPr>
        <w:rPr>
          <w:rFonts w:ascii="宋体" w:hAnsi="宋体" w:eastAsia="宋体"/>
          <w:bCs/>
          <w:color w:val="auto"/>
          <w:sz w:val="24"/>
          <w:highlight w:val="none"/>
        </w:rPr>
      </w:pPr>
    </w:p>
    <w:p w14:paraId="4953170F">
      <w:pPr>
        <w:rPr>
          <w:color w:val="auto"/>
          <w:highlight w:val="none"/>
        </w:rPr>
      </w:pPr>
    </w:p>
    <w:sectPr>
      <w:headerReference r:id="rId7" w:type="default"/>
      <w:footerReference r:id="rId8" w:type="default"/>
      <w:pgSz w:w="11906" w:h="16838"/>
      <w:pgMar w:top="1440" w:right="1463" w:bottom="1440" w:left="1463"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A7FF7666-BA64-4C89-9AE4-0D952DE6DD04}"/>
  </w:font>
  <w:font w:name="Arial">
    <w:panose1 w:val="020B0604020202020204"/>
    <w:charset w:val="01"/>
    <w:family w:val="swiss"/>
    <w:pitch w:val="default"/>
    <w:sig w:usb0="E0002EFF" w:usb1="C000785B" w:usb2="00000009" w:usb3="00000000" w:csb0="400001FF" w:csb1="FFFF0000"/>
    <w:embedRegular r:id="rId2" w:fontKey="{5D45387F-2797-415B-893C-6EEDE9C9FED2}"/>
  </w:font>
  <w:font w:name="黑体">
    <w:panose1 w:val="02010609060101010101"/>
    <w:charset w:val="86"/>
    <w:family w:val="auto"/>
    <w:pitch w:val="default"/>
    <w:sig w:usb0="800002BF" w:usb1="38CF7CFA" w:usb2="00000016" w:usb3="00000000" w:csb0="00040001" w:csb1="00000000"/>
    <w:embedRegular r:id="rId3" w:fontKey="{3128DA0F-9625-4E91-B5E6-5B6F3BEC431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4" w:fontKey="{AA944B07-7A08-4FC7-8CCD-0F8C5C41EFEE}"/>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embedRegular r:id="rId5" w:fontKey="{32A1583C-922D-4364-AE21-37A9630B3478}"/>
  </w:font>
  <w:font w:name="WPSEMBED1">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2B78DC">
    <w:pPr>
      <w:spacing w:line="218" w:lineRule="auto"/>
      <w:ind w:left="3662"/>
      <w:rPr>
        <w:rFonts w:ascii="宋体" w:hAnsi="宋体" w:eastAsia="宋体" w:cs="宋体"/>
        <w:sz w:val="19"/>
        <w:szCs w:val="19"/>
      </w:rPr>
    </w:pPr>
    <w:r>
      <w:rPr>
        <w:sz w:val="19"/>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A31BC5">
                          <w:pPr>
                            <w:pStyle w:val="1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7A31BC5">
                    <w:pPr>
                      <w:pStyle w:val="1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22</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3762D7">
    <w:pPr>
      <w:pStyle w:val="10"/>
      <w:spacing w:line="211" w:lineRule="auto"/>
      <w:ind w:left="3629"/>
      <w:rPr>
        <w:sz w:val="24"/>
        <w:szCs w:val="24"/>
      </w:rPr>
    </w:pPr>
    <w:r>
      <w:rPr>
        <w:sz w:val="24"/>
      </w:rPr>
      <mc:AlternateContent>
        <mc:Choice Requires="wps">
          <w:drawing>
            <wp:anchor distT="0" distB="0" distL="114300" distR="114300" simplePos="0" relativeHeight="251660288" behindDoc="0" locked="0" layoutInCell="1" allowOverlap="1">
              <wp:simplePos x="0" y="0"/>
              <wp:positionH relativeFrom="margin">
                <wp:posOffset>2589530</wp:posOffset>
              </wp:positionH>
              <wp:positionV relativeFrom="paragraph">
                <wp:posOffset>7620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C9311A">
                          <w:pPr>
                            <w:pStyle w:val="13"/>
                          </w:pPr>
                          <w:r>
                            <w:t xml:space="preserve">第 </w:t>
                          </w:r>
                          <w:r>
                            <w:fldChar w:fldCharType="begin"/>
                          </w:r>
                          <w:r>
                            <w:instrText xml:space="preserve"> PAGE  \* MERGEFORMAT </w:instrText>
                          </w:r>
                          <w:r>
                            <w:fldChar w:fldCharType="separate"/>
                          </w:r>
                          <w:r>
                            <w:t>11</w:t>
                          </w:r>
                          <w:r>
                            <w:fldChar w:fldCharType="end"/>
                          </w:r>
                          <w:r>
                            <w:t xml:space="preserve"> 页 共 </w:t>
                          </w:r>
                          <w:r>
                            <w:fldChar w:fldCharType="begin"/>
                          </w:r>
                          <w:r>
                            <w:instrText xml:space="preserve"> NUMPAGES  \* MERGEFORMAT </w:instrText>
                          </w:r>
                          <w:r>
                            <w:fldChar w:fldCharType="separate"/>
                          </w:r>
                          <w:r>
                            <w:t>22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3.9pt;margin-top:0.6pt;height:144pt;width:144pt;mso-position-horizontal-relative:margin;mso-wrap-style:none;z-index:251660288;mso-width-relative:page;mso-height-relative:page;" filled="f" stroked="f" coordsize="21600,21600" o:gfxdata="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IE1gHvWAAAACQEAAA8AAAAAAAAAAQAgAAAAIgAAAGRycy9kb3ducmV2LnhtbFBL&#10;AQIUABQAAAAIAIdO4kAkgka0MQIAAGEEAAAOAAAAAAAAAAEAIAAAACUBAABkcnMvZTJvRG9jLnht&#10;bFBLBQYAAAAABgAGAFkBAADIBQAAAAA=&#10;">
              <v:fill on="f" focussize="0,0"/>
              <v:stroke on="f" weight="0.5pt"/>
              <v:imagedata o:title=""/>
              <o:lock v:ext="edit" aspectratio="f"/>
              <v:textbox inset="0mm,0mm,0mm,0mm" style="mso-fit-shape-to-text:t;">
                <w:txbxContent>
                  <w:p w14:paraId="3AC9311A">
                    <w:pPr>
                      <w:pStyle w:val="13"/>
                    </w:pPr>
                    <w:r>
                      <w:t xml:space="preserve">第 </w:t>
                    </w:r>
                    <w:r>
                      <w:fldChar w:fldCharType="begin"/>
                    </w:r>
                    <w:r>
                      <w:instrText xml:space="preserve"> PAGE  \* MERGEFORMAT </w:instrText>
                    </w:r>
                    <w:r>
                      <w:fldChar w:fldCharType="separate"/>
                    </w:r>
                    <w:r>
                      <w:t>11</w:t>
                    </w:r>
                    <w:r>
                      <w:fldChar w:fldCharType="end"/>
                    </w:r>
                    <w:r>
                      <w:t xml:space="preserve"> 页 共 </w:t>
                    </w:r>
                    <w:r>
                      <w:fldChar w:fldCharType="begin"/>
                    </w:r>
                    <w:r>
                      <w:instrText xml:space="preserve"> NUMPAGES  \* MERGEFORMAT </w:instrText>
                    </w:r>
                    <w:r>
                      <w:fldChar w:fldCharType="separate"/>
                    </w:r>
                    <w:r>
                      <w:t>22</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4620D">
    <w:pPr>
      <w:pStyle w:val="1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4FBCB5">
                          <w:pPr>
                            <w:pStyle w:val="13"/>
                          </w:pPr>
                          <w:r>
                            <w:t xml:space="preserve">第 </w:t>
                          </w:r>
                          <w:r>
                            <w:fldChar w:fldCharType="begin"/>
                          </w:r>
                          <w:r>
                            <w:instrText xml:space="preserve"> PAGE  \* MERGEFORMAT </w:instrText>
                          </w:r>
                          <w:r>
                            <w:fldChar w:fldCharType="separate"/>
                          </w:r>
                          <w:r>
                            <w:t>14</w:t>
                          </w:r>
                          <w:r>
                            <w:fldChar w:fldCharType="end"/>
                          </w:r>
                          <w:r>
                            <w:t xml:space="preserve"> 页 共 </w:t>
                          </w:r>
                          <w:r>
                            <w:fldChar w:fldCharType="begin"/>
                          </w:r>
                          <w:r>
                            <w:instrText xml:space="preserve"> NUMPAGES  \* MERGEFORMAT </w:instrText>
                          </w:r>
                          <w:r>
                            <w:fldChar w:fldCharType="separate"/>
                          </w:r>
                          <w:r>
                            <w:t>22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34FBCB5">
                    <w:pPr>
                      <w:pStyle w:val="13"/>
                    </w:pPr>
                    <w:r>
                      <w:t xml:space="preserve">第 </w:t>
                    </w:r>
                    <w:r>
                      <w:fldChar w:fldCharType="begin"/>
                    </w:r>
                    <w:r>
                      <w:instrText xml:space="preserve"> PAGE  \* MERGEFORMAT </w:instrText>
                    </w:r>
                    <w:r>
                      <w:fldChar w:fldCharType="separate"/>
                    </w:r>
                    <w:r>
                      <w:t>14</w:t>
                    </w:r>
                    <w:r>
                      <w:fldChar w:fldCharType="end"/>
                    </w:r>
                    <w:r>
                      <w:t xml:space="preserve"> 页 共 </w:t>
                    </w:r>
                    <w:r>
                      <w:fldChar w:fldCharType="begin"/>
                    </w:r>
                    <w:r>
                      <w:instrText xml:space="preserve"> NUMPAGES  \* MERGEFORMAT </w:instrText>
                    </w:r>
                    <w:r>
                      <w:fldChar w:fldCharType="separate"/>
                    </w:r>
                    <w:r>
                      <w:t>22</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DBC6B5">
    <w:pPr>
      <w:pStyle w:val="14"/>
      <w:rPr>
        <w:rFonts w:hint="default" w:eastAsiaTheme="minorEastAsia"/>
        <w:sz w:val="18"/>
        <w:szCs w:val="18"/>
        <w:lang w:val="en-US" w:eastAsia="zh-CN"/>
      </w:rPr>
    </w:pPr>
    <w:r>
      <w:rPr>
        <w:rFonts w:hint="eastAsia"/>
        <w:sz w:val="18"/>
        <w:szCs w:val="18"/>
        <w:lang w:val="en-US" w:eastAsia="zh-CN"/>
      </w:rPr>
      <w:t xml:space="preserve"> 霍山县机关事务管理服务中心2026年-2028年公务用车定点维修服务单位框架协议采购项目（二次）征集文件</w:t>
    </w:r>
  </w:p>
  <w:p w14:paraId="687C65C1">
    <w:pPr>
      <w:tabs>
        <w:tab w:val="left" w:pos="2932"/>
      </w:tabs>
      <w:spacing w:line="183" w:lineRule="auto"/>
      <w:rPr>
        <w:rFonts w:ascii="宋体" w:hAnsi="宋体" w:eastAsia="宋体" w:cs="宋体"/>
        <w:sz w:val="19"/>
        <w:szCs w:val="19"/>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AFFD60">
    <w:pPr>
      <w:pStyle w:val="14"/>
      <w:rPr>
        <w:sz w:val="24"/>
        <w:szCs w:val="24"/>
      </w:rPr>
    </w:pPr>
    <w:r>
      <w:rPr>
        <w:rFonts w:hint="eastAsia"/>
        <w:sz w:val="18"/>
        <w:szCs w:val="18"/>
        <w:lang w:val="en-US" w:eastAsia="zh-CN"/>
      </w:rPr>
      <w:t xml:space="preserve"> 霍山县机关事务管理服务中心2026年-2028年公务用车定点维修服务单位框架协议采购项目（二次）征集文件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AC4488">
    <w:pPr>
      <w:pStyle w:val="14"/>
      <w:rPr>
        <w:rFonts w:hint="default" w:eastAsiaTheme="minorEastAsia"/>
        <w:sz w:val="18"/>
        <w:szCs w:val="18"/>
        <w:lang w:val="en-US" w:eastAsia="zh-CN"/>
      </w:rPr>
    </w:pPr>
    <w:r>
      <w:rPr>
        <w:rFonts w:hint="eastAsia"/>
        <w:sz w:val="18"/>
        <w:szCs w:val="18"/>
        <w:lang w:val="en-US" w:eastAsia="zh-CN"/>
      </w:rPr>
      <w:t xml:space="preserve"> 霍山县机关事务管理服务中心2026年-2028年公务用车定点维修服务单位框架协议采购项目（二次）征集文件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74A156"/>
    <w:multiLevelType w:val="singleLevel"/>
    <w:tmpl w:val="A674A156"/>
    <w:lvl w:ilvl="0" w:tentative="0">
      <w:start w:val="1"/>
      <w:numFmt w:val="decimal"/>
      <w:suff w:val="nothing"/>
      <w:lvlText w:val="%1、"/>
      <w:lvlJc w:val="left"/>
    </w:lvl>
  </w:abstractNum>
  <w:abstractNum w:abstractNumId="1">
    <w:nsid w:val="B9256B26"/>
    <w:multiLevelType w:val="singleLevel"/>
    <w:tmpl w:val="B9256B26"/>
    <w:lvl w:ilvl="0" w:tentative="0">
      <w:start w:val="2"/>
      <w:numFmt w:val="decimal"/>
      <w:suff w:val="nothing"/>
      <w:lvlText w:val="%1、"/>
      <w:lvlJc w:val="left"/>
    </w:lvl>
  </w:abstractNum>
  <w:abstractNum w:abstractNumId="2">
    <w:nsid w:val="D6382033"/>
    <w:multiLevelType w:val="singleLevel"/>
    <w:tmpl w:val="D6382033"/>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ViNWIzNWJiY2U0MDZhMTlkMGU0N2UwNjlmOTcxOTUifQ=="/>
  </w:docVars>
  <w:rsids>
    <w:rsidRoot w:val="00000000"/>
    <w:rsid w:val="0185143C"/>
    <w:rsid w:val="02BA3F8E"/>
    <w:rsid w:val="03BF4DFA"/>
    <w:rsid w:val="03C739A9"/>
    <w:rsid w:val="049A5E25"/>
    <w:rsid w:val="058D7C16"/>
    <w:rsid w:val="0595389B"/>
    <w:rsid w:val="063412A3"/>
    <w:rsid w:val="06606E3A"/>
    <w:rsid w:val="06DE368B"/>
    <w:rsid w:val="07921AE0"/>
    <w:rsid w:val="07E87FEB"/>
    <w:rsid w:val="08760957"/>
    <w:rsid w:val="09125741"/>
    <w:rsid w:val="095D2DF9"/>
    <w:rsid w:val="09F45FD8"/>
    <w:rsid w:val="0A4703B1"/>
    <w:rsid w:val="0B242D41"/>
    <w:rsid w:val="0B522A01"/>
    <w:rsid w:val="0C0969F3"/>
    <w:rsid w:val="0C0B6463"/>
    <w:rsid w:val="0D7D62E4"/>
    <w:rsid w:val="0D9D24E2"/>
    <w:rsid w:val="0E6A61DD"/>
    <w:rsid w:val="0E7C7A2D"/>
    <w:rsid w:val="0E7E6264"/>
    <w:rsid w:val="0E85182B"/>
    <w:rsid w:val="0EC87A33"/>
    <w:rsid w:val="0F204303"/>
    <w:rsid w:val="0F2E6AF9"/>
    <w:rsid w:val="0FAF8199"/>
    <w:rsid w:val="10291224"/>
    <w:rsid w:val="10945E81"/>
    <w:rsid w:val="114809B7"/>
    <w:rsid w:val="11936E1B"/>
    <w:rsid w:val="13572D93"/>
    <w:rsid w:val="13B66265"/>
    <w:rsid w:val="15B0743B"/>
    <w:rsid w:val="15B25EA5"/>
    <w:rsid w:val="16125C6E"/>
    <w:rsid w:val="16B02176"/>
    <w:rsid w:val="176D1177"/>
    <w:rsid w:val="17A0154D"/>
    <w:rsid w:val="17A52DD3"/>
    <w:rsid w:val="1A3D4031"/>
    <w:rsid w:val="1CEB326A"/>
    <w:rsid w:val="1D04432C"/>
    <w:rsid w:val="1D67664B"/>
    <w:rsid w:val="1EE00300"/>
    <w:rsid w:val="1F0028D1"/>
    <w:rsid w:val="1F503858"/>
    <w:rsid w:val="1FD55B0C"/>
    <w:rsid w:val="20743577"/>
    <w:rsid w:val="20C90D2B"/>
    <w:rsid w:val="218B6CDA"/>
    <w:rsid w:val="22E90452"/>
    <w:rsid w:val="23072040"/>
    <w:rsid w:val="25482934"/>
    <w:rsid w:val="25F660D7"/>
    <w:rsid w:val="26E86000"/>
    <w:rsid w:val="26F279F8"/>
    <w:rsid w:val="284C045D"/>
    <w:rsid w:val="287311B0"/>
    <w:rsid w:val="28E57B75"/>
    <w:rsid w:val="2B0258FB"/>
    <w:rsid w:val="2B7E34FB"/>
    <w:rsid w:val="2BE677DE"/>
    <w:rsid w:val="2BEF4BB2"/>
    <w:rsid w:val="2D073D1B"/>
    <w:rsid w:val="2D2D6F87"/>
    <w:rsid w:val="2D541EEA"/>
    <w:rsid w:val="2D9C5EBB"/>
    <w:rsid w:val="2E300E0A"/>
    <w:rsid w:val="2ED0406E"/>
    <w:rsid w:val="2FB9210C"/>
    <w:rsid w:val="30197C97"/>
    <w:rsid w:val="306F78B6"/>
    <w:rsid w:val="31012C04"/>
    <w:rsid w:val="31610D0C"/>
    <w:rsid w:val="329E499A"/>
    <w:rsid w:val="32AC094E"/>
    <w:rsid w:val="33614907"/>
    <w:rsid w:val="33BF1EDB"/>
    <w:rsid w:val="346E583D"/>
    <w:rsid w:val="3480604D"/>
    <w:rsid w:val="34864516"/>
    <w:rsid w:val="34C379BA"/>
    <w:rsid w:val="351A0E7C"/>
    <w:rsid w:val="35DA74A5"/>
    <w:rsid w:val="377970EB"/>
    <w:rsid w:val="39276F80"/>
    <w:rsid w:val="39FB59AC"/>
    <w:rsid w:val="3A2E4DC8"/>
    <w:rsid w:val="3B3F4A55"/>
    <w:rsid w:val="3BBA3572"/>
    <w:rsid w:val="3BFFC25C"/>
    <w:rsid w:val="3C455852"/>
    <w:rsid w:val="3C914873"/>
    <w:rsid w:val="3CBC7FD9"/>
    <w:rsid w:val="3D8F3346"/>
    <w:rsid w:val="3DEC7F5E"/>
    <w:rsid w:val="3E1026D9"/>
    <w:rsid w:val="3E135688"/>
    <w:rsid w:val="3E374E7B"/>
    <w:rsid w:val="3E6E5520"/>
    <w:rsid w:val="40623574"/>
    <w:rsid w:val="41614FF9"/>
    <w:rsid w:val="417C4AE8"/>
    <w:rsid w:val="42663439"/>
    <w:rsid w:val="432702BD"/>
    <w:rsid w:val="464C3512"/>
    <w:rsid w:val="465D0485"/>
    <w:rsid w:val="472D5450"/>
    <w:rsid w:val="47EC15BE"/>
    <w:rsid w:val="48E77BEA"/>
    <w:rsid w:val="4A51546A"/>
    <w:rsid w:val="4A772E17"/>
    <w:rsid w:val="4A9C168F"/>
    <w:rsid w:val="4AA7053B"/>
    <w:rsid w:val="4ADA1E20"/>
    <w:rsid w:val="4B3044D5"/>
    <w:rsid w:val="4B3E1DFC"/>
    <w:rsid w:val="4B4D32FF"/>
    <w:rsid w:val="4BB97E25"/>
    <w:rsid w:val="4CF11927"/>
    <w:rsid w:val="4D423F31"/>
    <w:rsid w:val="4DC94652"/>
    <w:rsid w:val="4E901C45"/>
    <w:rsid w:val="4EC17BFE"/>
    <w:rsid w:val="4ED13B8A"/>
    <w:rsid w:val="4FC26BC9"/>
    <w:rsid w:val="50BF2F0A"/>
    <w:rsid w:val="5266011F"/>
    <w:rsid w:val="52B92EE7"/>
    <w:rsid w:val="541A0F4D"/>
    <w:rsid w:val="544B441C"/>
    <w:rsid w:val="54B576DE"/>
    <w:rsid w:val="56981066"/>
    <w:rsid w:val="57536629"/>
    <w:rsid w:val="5765363E"/>
    <w:rsid w:val="57B35D3A"/>
    <w:rsid w:val="580C5867"/>
    <w:rsid w:val="58E366D7"/>
    <w:rsid w:val="59E356F8"/>
    <w:rsid w:val="5A17517F"/>
    <w:rsid w:val="5A254E59"/>
    <w:rsid w:val="5A513A05"/>
    <w:rsid w:val="5B4D0671"/>
    <w:rsid w:val="5BA2287A"/>
    <w:rsid w:val="5BCF06A9"/>
    <w:rsid w:val="5C360147"/>
    <w:rsid w:val="5C5907FE"/>
    <w:rsid w:val="5CE72297"/>
    <w:rsid w:val="5D86767D"/>
    <w:rsid w:val="5E1604F6"/>
    <w:rsid w:val="5F9745B0"/>
    <w:rsid w:val="5FFC4413"/>
    <w:rsid w:val="608C5797"/>
    <w:rsid w:val="6115578D"/>
    <w:rsid w:val="61446072"/>
    <w:rsid w:val="61903065"/>
    <w:rsid w:val="61E07F14"/>
    <w:rsid w:val="62467BC8"/>
    <w:rsid w:val="63AA7892"/>
    <w:rsid w:val="63EF8FAD"/>
    <w:rsid w:val="654523B9"/>
    <w:rsid w:val="65AB70A8"/>
    <w:rsid w:val="65C64609"/>
    <w:rsid w:val="65D379C4"/>
    <w:rsid w:val="65D57BE0"/>
    <w:rsid w:val="6636249B"/>
    <w:rsid w:val="67212E7F"/>
    <w:rsid w:val="67AE2F9A"/>
    <w:rsid w:val="67F7191D"/>
    <w:rsid w:val="690006D4"/>
    <w:rsid w:val="69092380"/>
    <w:rsid w:val="69CB37D4"/>
    <w:rsid w:val="6A815C41"/>
    <w:rsid w:val="6AC40C9E"/>
    <w:rsid w:val="6AF29D2B"/>
    <w:rsid w:val="6B1538BA"/>
    <w:rsid w:val="6B6C069F"/>
    <w:rsid w:val="6C6D73FD"/>
    <w:rsid w:val="6CAB51F7"/>
    <w:rsid w:val="6CE20DFE"/>
    <w:rsid w:val="6D9B526C"/>
    <w:rsid w:val="6E593C44"/>
    <w:rsid w:val="6E985C4F"/>
    <w:rsid w:val="6FD131C7"/>
    <w:rsid w:val="70A97C9F"/>
    <w:rsid w:val="723F1FDF"/>
    <w:rsid w:val="735E1215"/>
    <w:rsid w:val="73845B12"/>
    <w:rsid w:val="73C42870"/>
    <w:rsid w:val="73CD1EF7"/>
    <w:rsid w:val="74BA56D1"/>
    <w:rsid w:val="74E27046"/>
    <w:rsid w:val="753541F8"/>
    <w:rsid w:val="77195BE7"/>
    <w:rsid w:val="777F08B1"/>
    <w:rsid w:val="77AF2594"/>
    <w:rsid w:val="78C94AA4"/>
    <w:rsid w:val="79FE57F9"/>
    <w:rsid w:val="7C1C3A1B"/>
    <w:rsid w:val="7C567546"/>
    <w:rsid w:val="7C701FB9"/>
    <w:rsid w:val="7C7421B7"/>
    <w:rsid w:val="7CD267D0"/>
    <w:rsid w:val="7D3021ED"/>
    <w:rsid w:val="7E27146E"/>
    <w:rsid w:val="7E7C227A"/>
    <w:rsid w:val="7ED7AC13"/>
    <w:rsid w:val="7ED7D335"/>
    <w:rsid w:val="7EE822DB"/>
    <w:rsid w:val="7FDEB1A1"/>
    <w:rsid w:val="A3FFDB32"/>
    <w:rsid w:val="B089A07A"/>
    <w:rsid w:val="BFDEDF33"/>
    <w:rsid w:val="BFEDC8D9"/>
    <w:rsid w:val="CD5F6747"/>
    <w:rsid w:val="CD9D2C18"/>
    <w:rsid w:val="CF79DF37"/>
    <w:rsid w:val="CFFFEECA"/>
    <w:rsid w:val="D7BEAF2E"/>
    <w:rsid w:val="DB6F453B"/>
    <w:rsid w:val="DCB90A4F"/>
    <w:rsid w:val="DDAC586E"/>
    <w:rsid w:val="DEDF7662"/>
    <w:rsid w:val="F3BFDCDB"/>
    <w:rsid w:val="F3F7581A"/>
    <w:rsid w:val="F8CD855A"/>
    <w:rsid w:val="FDFF51CA"/>
    <w:rsid w:val="FF7B79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iPriority="39"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6">
    <w:name w:val="heading 1"/>
    <w:basedOn w:val="1"/>
    <w:next w:val="1"/>
    <w:link w:val="25"/>
    <w:autoRedefine/>
    <w:qFormat/>
    <w:uiPriority w:val="0"/>
    <w:pPr>
      <w:keepNext/>
      <w:keepLines/>
      <w:spacing w:before="120" w:beforeLines="0" w:beforeAutospacing="0" w:after="120" w:afterLines="0" w:afterAutospacing="0" w:line="560" w:lineRule="exact"/>
      <w:jc w:val="center"/>
      <w:outlineLvl w:val="0"/>
    </w:pPr>
    <w:rPr>
      <w:rFonts w:asciiTheme="minorAscii" w:hAnsiTheme="minorAscii"/>
      <w:b/>
      <w:kern w:val="44"/>
      <w:sz w:val="28"/>
    </w:rPr>
  </w:style>
  <w:style w:type="paragraph" w:styleId="7">
    <w:name w:val="heading 2"/>
    <w:basedOn w:val="1"/>
    <w:next w:val="1"/>
    <w:autoRedefine/>
    <w:qFormat/>
    <w:uiPriority w:val="0"/>
    <w:pPr>
      <w:keepNext/>
      <w:keepLines/>
      <w:spacing w:before="260" w:after="260" w:line="416" w:lineRule="auto"/>
      <w:ind w:firstLine="628"/>
      <w:jc w:val="center"/>
      <w:outlineLvl w:val="1"/>
    </w:pPr>
    <w:rPr>
      <w:rFonts w:ascii="Arial" w:hAnsi="Arial" w:eastAsia="黑体"/>
      <w:b/>
      <w:bCs/>
      <w:sz w:val="32"/>
      <w:szCs w:val="32"/>
    </w:rPr>
  </w:style>
  <w:style w:type="paragraph" w:styleId="8">
    <w:name w:val="heading 3"/>
    <w:basedOn w:val="1"/>
    <w:next w:val="1"/>
    <w:autoRedefine/>
    <w:qFormat/>
    <w:uiPriority w:val="0"/>
    <w:pPr>
      <w:keepNext/>
      <w:keepLines/>
      <w:spacing w:before="260" w:after="260" w:line="416" w:lineRule="auto"/>
      <w:outlineLvl w:val="2"/>
    </w:pPr>
    <w:rPr>
      <w:b/>
      <w:bCs/>
      <w:sz w:val="32"/>
      <w:szCs w:val="32"/>
    </w:rPr>
  </w:style>
  <w:style w:type="character" w:default="1" w:styleId="21">
    <w:name w:val="Default Paragraph Font"/>
    <w:autoRedefine/>
    <w:semiHidden/>
    <w:qFormat/>
    <w:uiPriority w:val="0"/>
  </w:style>
  <w:style w:type="table" w:default="1" w:styleId="19">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next w:val="1"/>
    <w:autoRedefine/>
    <w:qFormat/>
    <w:uiPriority w:val="0"/>
    <w:pPr>
      <w:ind w:firstLine="420" w:firstLineChars="200"/>
    </w:pPr>
    <w:rPr>
      <w:rFonts w:ascii="Calibri" w:hAnsi="Calibri"/>
      <w:kern w:val="0"/>
      <w:sz w:val="20"/>
      <w:szCs w:val="24"/>
    </w:rPr>
  </w:style>
  <w:style w:type="paragraph" w:styleId="3">
    <w:name w:val="Body Text Indent"/>
    <w:basedOn w:val="1"/>
    <w:next w:val="4"/>
    <w:autoRedefine/>
    <w:qFormat/>
    <w:uiPriority w:val="0"/>
    <w:pPr>
      <w:ind w:firstLine="555"/>
    </w:pPr>
  </w:style>
  <w:style w:type="paragraph" w:styleId="4">
    <w:name w:val="envelope return"/>
    <w:basedOn w:val="1"/>
    <w:next w:val="5"/>
    <w:autoRedefine/>
    <w:qFormat/>
    <w:uiPriority w:val="0"/>
    <w:pPr>
      <w:snapToGrid w:val="0"/>
    </w:pPr>
    <w:rPr>
      <w:rFonts w:ascii="Arial" w:hAnsi="Arial"/>
    </w:rPr>
  </w:style>
  <w:style w:type="paragraph" w:styleId="5">
    <w:name w:val="toc 7"/>
    <w:basedOn w:val="1"/>
    <w:next w:val="1"/>
    <w:unhideWhenUsed/>
    <w:qFormat/>
    <w:uiPriority w:val="39"/>
    <w:pPr>
      <w:ind w:left="1260"/>
      <w:jc w:val="left"/>
    </w:pPr>
    <w:rPr>
      <w:sz w:val="18"/>
      <w:szCs w:val="18"/>
    </w:rPr>
  </w:style>
  <w:style w:type="paragraph" w:styleId="9">
    <w:name w:val="annotation text"/>
    <w:basedOn w:val="1"/>
    <w:autoRedefine/>
    <w:semiHidden/>
    <w:qFormat/>
    <w:uiPriority w:val="99"/>
    <w:pPr>
      <w:jc w:val="left"/>
    </w:pPr>
  </w:style>
  <w:style w:type="paragraph" w:styleId="10">
    <w:name w:val="Body Text"/>
    <w:basedOn w:val="1"/>
    <w:autoRedefine/>
    <w:qFormat/>
    <w:uiPriority w:val="0"/>
    <w:rPr>
      <w:rFonts w:ascii="宋体" w:hAnsi="Arial"/>
      <w:sz w:val="28"/>
    </w:rPr>
  </w:style>
  <w:style w:type="paragraph" w:styleId="11">
    <w:name w:val="Plain Text"/>
    <w:basedOn w:val="1"/>
    <w:autoRedefine/>
    <w:qFormat/>
    <w:uiPriority w:val="0"/>
    <w:rPr>
      <w:rFonts w:ascii="宋体" w:hAnsi="Courier New"/>
    </w:rPr>
  </w:style>
  <w:style w:type="paragraph" w:styleId="12">
    <w:name w:val="Date"/>
    <w:basedOn w:val="1"/>
    <w:next w:val="1"/>
    <w:autoRedefine/>
    <w:qFormat/>
    <w:uiPriority w:val="0"/>
    <w:rPr>
      <w:rFonts w:ascii="Arial" w:hAnsi="Arial" w:eastAsia="宋体" w:cs="Arial"/>
      <w:b/>
      <w:sz w:val="28"/>
    </w:rPr>
  </w:style>
  <w:style w:type="paragraph" w:styleId="13">
    <w:name w:val="footer"/>
    <w:basedOn w:val="1"/>
    <w:autoRedefine/>
    <w:unhideWhenUsed/>
    <w:qFormat/>
    <w:uiPriority w:val="99"/>
    <w:pPr>
      <w:tabs>
        <w:tab w:val="center" w:pos="4153"/>
        <w:tab w:val="right" w:pos="8306"/>
      </w:tabs>
      <w:snapToGrid w:val="0"/>
      <w:jc w:val="left"/>
    </w:pPr>
    <w:rPr>
      <w:sz w:val="18"/>
      <w:szCs w:val="18"/>
    </w:rPr>
  </w:style>
  <w:style w:type="paragraph" w:styleId="14">
    <w:name w:val="header"/>
    <w:basedOn w:val="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autoRedefine/>
    <w:qFormat/>
    <w:uiPriority w:val="0"/>
  </w:style>
  <w:style w:type="paragraph" w:styleId="16">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7">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18">
    <w:name w:val="Body Text First Indent"/>
    <w:basedOn w:val="10"/>
    <w:autoRedefine/>
    <w:qFormat/>
    <w:uiPriority w:val="0"/>
    <w:pPr>
      <w:autoSpaceDE w:val="0"/>
      <w:autoSpaceDN w:val="0"/>
      <w:adjustRightInd w:val="0"/>
      <w:spacing w:line="360" w:lineRule="auto"/>
      <w:ind w:right="-24" w:rightChars="-10" w:firstLine="425" w:firstLineChars="225"/>
    </w:pPr>
    <w:rPr>
      <w:rFonts w:ascii="Arial" w:hAnsi="Arial" w:eastAsia="仿宋_GB2312" w:cs="Arial"/>
      <w:kern w:val="0"/>
      <w:sz w:val="24"/>
      <w:szCs w:val="32"/>
    </w:rPr>
  </w:style>
  <w:style w:type="table" w:styleId="20">
    <w:name w:val="Table Grid"/>
    <w:basedOn w:val="1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Hyperlink"/>
    <w:basedOn w:val="21"/>
    <w:autoRedefine/>
    <w:qFormat/>
    <w:uiPriority w:val="0"/>
    <w:rPr>
      <w:color w:val="0000FF"/>
      <w:u w:val="single"/>
    </w:rPr>
  </w:style>
  <w:style w:type="paragraph" w:customStyle="1" w:styleId="23">
    <w:name w:val="Default"/>
    <w:qFormat/>
    <w:uiPriority w:val="0"/>
    <w:pPr>
      <w:widowControl w:val="0"/>
      <w:autoSpaceDE w:val="0"/>
      <w:autoSpaceDN w:val="0"/>
      <w:adjustRightInd w:val="0"/>
    </w:pPr>
    <w:rPr>
      <w:rFonts w:ascii="黑体" w:hAnsi="Times New Roman" w:eastAsia="黑体" w:cs="Times New Roman"/>
      <w:kern w:val="0"/>
      <w:sz w:val="20"/>
      <w:szCs w:val="20"/>
      <w:lang w:val="en-US" w:eastAsia="zh-CN" w:bidi="ar-SA"/>
    </w:rPr>
  </w:style>
  <w:style w:type="paragraph" w:customStyle="1" w:styleId="24">
    <w:name w:val="列出段落1"/>
    <w:basedOn w:val="1"/>
    <w:autoRedefine/>
    <w:unhideWhenUsed/>
    <w:qFormat/>
    <w:uiPriority w:val="99"/>
    <w:pPr>
      <w:ind w:firstLine="420" w:firstLineChars="200"/>
    </w:pPr>
  </w:style>
  <w:style w:type="character" w:customStyle="1" w:styleId="25">
    <w:name w:val="标题 1 Char"/>
    <w:link w:val="6"/>
    <w:autoRedefine/>
    <w:qFormat/>
    <w:uiPriority w:val="0"/>
    <w:rPr>
      <w:rFonts w:asciiTheme="minorAscii" w:hAnsiTheme="minorAscii"/>
      <w:b/>
      <w:kern w:val="44"/>
      <w:sz w:val="28"/>
    </w:rPr>
  </w:style>
  <w:style w:type="paragraph" w:customStyle="1" w:styleId="26">
    <w:name w:val="Table Paragraph"/>
    <w:basedOn w:val="1"/>
    <w:autoRedefine/>
    <w:qFormat/>
    <w:uiPriority w:val="1"/>
    <w:rPr>
      <w:rFonts w:ascii="宋体" w:hAnsi="宋体" w:eastAsia="宋体" w:cs="宋体"/>
      <w:lang w:val="en-US" w:eastAsia="zh-CN" w:bidi="ar-SA"/>
    </w:rPr>
  </w:style>
  <w:style w:type="paragraph" w:customStyle="1" w:styleId="27">
    <w:name w:val="Table Text"/>
    <w:basedOn w:val="1"/>
    <w:autoRedefine/>
    <w:semiHidden/>
    <w:qFormat/>
    <w:uiPriority w:val="0"/>
    <w:rPr>
      <w:rFonts w:ascii="宋体" w:hAnsi="宋体" w:eastAsia="宋体" w:cs="宋体"/>
      <w:sz w:val="24"/>
      <w:szCs w:val="24"/>
      <w:lang w:val="en-US" w:eastAsia="en-US" w:bidi="ar-SA"/>
    </w:rPr>
  </w:style>
  <w:style w:type="table" w:customStyle="1" w:styleId="28">
    <w:name w:val="Table Normal"/>
    <w:autoRedefine/>
    <w:semiHidden/>
    <w:unhideWhenUsed/>
    <w:qFormat/>
    <w:uiPriority w:val="0"/>
    <w:tblPr>
      <w:tblCellMar>
        <w:top w:w="0" w:type="dxa"/>
        <w:left w:w="0" w:type="dxa"/>
        <w:bottom w:w="0" w:type="dxa"/>
        <w:right w:w="0" w:type="dxa"/>
      </w:tblCellMar>
    </w:tblPr>
  </w:style>
  <w:style w:type="paragraph" w:customStyle="1" w:styleId="29">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30">
    <w:name w:val="D&amp;L"/>
    <w:basedOn w:val="14"/>
    <w:autoRedefine/>
    <w:qFormat/>
    <w:uiPriority w:val="0"/>
    <w:pPr>
      <w:pBdr>
        <w:bottom w:val="thinThickSmallGap" w:color="auto" w:sz="18" w:space="1"/>
      </w:pBdr>
      <w:adjustRightInd w:val="0"/>
      <w:snapToGrid/>
      <w:spacing w:line="240" w:lineRule="atLeast"/>
      <w:textAlignment w:val="baseline"/>
    </w:pPr>
    <w:rPr>
      <w:kern w:val="0"/>
      <w:sz w:val="24"/>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33</Pages>
  <Words>481</Words>
  <Characters>579</Characters>
  <Lines>0</Lines>
  <Paragraphs>0</Paragraphs>
  <TotalTime>146</TotalTime>
  <ScaleCrop>false</ScaleCrop>
  <LinksUpToDate>false</LinksUpToDate>
  <CharactersWithSpaces>621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2023-01-04T18:56:00Z</dcterms:created>
  <dc:creator>Administrator</dc:creator>
  <cp:lastModifiedBy>lenovo</cp:lastModifiedBy>
  <cp:lastPrinted>2026-07-31T00:31:00Z</cp:lastPrinted>
  <dcterms:modified xsi:type="dcterms:W3CDTF">2026-08-19T04:46:28Z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E5BC501E4F734031ADF6E48F22029F1D_13</vt:lpwstr>
  </property>
  <property fmtid="{D5CDD505-2E9C-101B-9397-08002B2CF9AE}" pid="4" name="KSOTemplateDocerSaveRecord">
    <vt:lpwstr>eyJoZGlkIjoiMGUwNjZjZDUyYzQ1YzE3ZTkzMGEzMjk4NjI3YWQ4ZTUiLCJ1c2VySWQiOiIyMzUwMjA4NTQifQ==</vt:lpwstr>
  </property>
</Properties>
</file>