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C787C">
      <w:pPr>
        <w:tabs>
          <w:tab w:val="left" w:pos="315"/>
          <w:tab w:val="left" w:pos="8820"/>
        </w:tabs>
        <w:spacing w:before="240" w:beforeLines="100" w:after="120" w:afterLines="50" w:line="500" w:lineRule="exact"/>
        <w:ind w:right="254" w:rightChars="127"/>
        <w:jc w:val="center"/>
        <w:rPr>
          <w:b/>
          <w:bCs/>
          <w:color w:val="auto"/>
          <w:sz w:val="52"/>
          <w:szCs w:val="52"/>
          <w:highlight w:val="none"/>
          <w:vertAlign w:val="superscript"/>
        </w:rPr>
      </w:pPr>
    </w:p>
    <w:p w14:paraId="2305C0C2">
      <w:pPr>
        <w:tabs>
          <w:tab w:val="left" w:pos="315"/>
          <w:tab w:val="left" w:pos="8820"/>
        </w:tabs>
        <w:spacing w:before="240" w:beforeLines="100" w:after="120" w:afterLines="50" w:line="500" w:lineRule="exact"/>
        <w:ind w:right="254" w:rightChars="127"/>
        <w:jc w:val="center"/>
        <w:rPr>
          <w:b/>
          <w:bCs/>
          <w:color w:val="auto"/>
          <w:sz w:val="52"/>
          <w:szCs w:val="52"/>
          <w:highlight w:val="none"/>
        </w:rPr>
      </w:pPr>
    </w:p>
    <w:p w14:paraId="34469190">
      <w:pPr>
        <w:keepNext w:val="0"/>
        <w:keepLines w:val="0"/>
        <w:pageBreakBefore w:val="0"/>
        <w:widowControl w:val="0"/>
        <w:tabs>
          <w:tab w:val="left" w:pos="315"/>
          <w:tab w:val="left" w:pos="8820"/>
        </w:tabs>
        <w:kinsoku/>
        <w:wordWrap/>
        <w:overflowPunct/>
        <w:topLinePunct w:val="0"/>
        <w:autoSpaceDE/>
        <w:autoSpaceDN/>
        <w:bidi w:val="0"/>
        <w:adjustRightInd w:val="0"/>
        <w:snapToGrid w:val="0"/>
        <w:spacing w:line="600" w:lineRule="exact"/>
        <w:ind w:right="0" w:rightChars="0"/>
        <w:jc w:val="center"/>
        <w:textAlignment w:val="auto"/>
        <w:rPr>
          <w:rFonts w:hint="eastAsia" w:eastAsia="宋体"/>
          <w:b/>
          <w:bCs/>
          <w:color w:val="auto"/>
          <w:sz w:val="52"/>
          <w:szCs w:val="52"/>
          <w:highlight w:val="none"/>
          <w:lang w:eastAsia="zh-CN"/>
        </w:rPr>
      </w:pPr>
      <w:bookmarkStart w:id="0" w:name="_Hlk9544796"/>
      <w:r>
        <w:rPr>
          <w:rFonts w:hint="eastAsia"/>
          <w:b/>
          <w:bCs/>
          <w:color w:val="auto"/>
          <w:sz w:val="52"/>
          <w:szCs w:val="52"/>
          <w:highlight w:val="none"/>
          <w:lang w:val="en-US" w:eastAsia="zh-CN"/>
        </w:rPr>
        <w:t>水闸自动化系统汛前维修项目第2包</w:t>
      </w:r>
    </w:p>
    <w:p w14:paraId="125DFAF3">
      <w:pPr>
        <w:tabs>
          <w:tab w:val="left" w:pos="315"/>
          <w:tab w:val="left" w:pos="8820"/>
        </w:tabs>
        <w:spacing w:before="240" w:beforeLines="100" w:after="120" w:afterLines="50" w:line="500" w:lineRule="exact"/>
        <w:ind w:right="254" w:rightChars="127"/>
        <w:jc w:val="center"/>
        <w:rPr>
          <w:rFonts w:hint="eastAsia"/>
          <w:b/>
          <w:bCs/>
          <w:color w:val="auto"/>
          <w:sz w:val="52"/>
          <w:szCs w:val="52"/>
          <w:highlight w:val="none"/>
        </w:rPr>
      </w:pPr>
    </w:p>
    <w:p w14:paraId="76A45CDE">
      <w:pPr>
        <w:tabs>
          <w:tab w:val="left" w:pos="315"/>
          <w:tab w:val="left" w:pos="8820"/>
        </w:tabs>
        <w:spacing w:before="240" w:beforeLines="100" w:after="120" w:afterLines="50" w:line="500" w:lineRule="exact"/>
        <w:ind w:right="254" w:rightChars="127"/>
        <w:jc w:val="center"/>
        <w:rPr>
          <w:rFonts w:hint="eastAsia"/>
          <w:b/>
          <w:bCs/>
          <w:color w:val="auto"/>
          <w:sz w:val="52"/>
          <w:szCs w:val="52"/>
          <w:highlight w:val="none"/>
        </w:rPr>
      </w:pPr>
    </w:p>
    <w:p w14:paraId="3A29CBA5">
      <w:pPr>
        <w:tabs>
          <w:tab w:val="left" w:pos="315"/>
          <w:tab w:val="left" w:pos="8820"/>
        </w:tabs>
        <w:spacing w:before="240" w:beforeLines="100" w:after="120" w:afterLines="50" w:line="500" w:lineRule="exact"/>
        <w:ind w:right="254" w:rightChars="127"/>
        <w:jc w:val="center"/>
        <w:rPr>
          <w:rFonts w:hint="eastAsia"/>
          <w:b/>
          <w:bCs/>
          <w:color w:val="auto"/>
          <w:sz w:val="52"/>
          <w:szCs w:val="52"/>
          <w:highlight w:val="none"/>
        </w:rPr>
      </w:pPr>
      <w:r>
        <w:rPr>
          <w:rFonts w:hint="eastAsia"/>
          <w:b/>
          <w:bCs/>
          <w:color w:val="auto"/>
          <w:sz w:val="52"/>
          <w:szCs w:val="52"/>
          <w:highlight w:val="none"/>
        </w:rPr>
        <w:t>竞争性磋商文件</w:t>
      </w:r>
    </w:p>
    <w:p w14:paraId="403AD1A5">
      <w:pPr>
        <w:tabs>
          <w:tab w:val="left" w:pos="315"/>
          <w:tab w:val="left" w:pos="8820"/>
        </w:tabs>
        <w:spacing w:before="240" w:beforeLines="100" w:after="120" w:afterLines="50" w:line="500" w:lineRule="exact"/>
        <w:ind w:right="254" w:rightChars="127"/>
        <w:jc w:val="center"/>
        <w:rPr>
          <w:rFonts w:hint="eastAsia"/>
          <w:b/>
          <w:bCs/>
          <w:color w:val="auto"/>
          <w:sz w:val="52"/>
          <w:szCs w:val="52"/>
          <w:highlight w:val="none"/>
          <w:lang w:val="en-US" w:eastAsia="zh-CN"/>
        </w:rPr>
      </w:pPr>
    </w:p>
    <w:bookmarkEnd w:id="0"/>
    <w:p w14:paraId="5C780B15">
      <w:pPr>
        <w:tabs>
          <w:tab w:val="left" w:pos="315"/>
          <w:tab w:val="left" w:pos="8820"/>
        </w:tabs>
        <w:spacing w:before="240" w:beforeLines="100" w:after="120" w:afterLines="50" w:line="500" w:lineRule="exact"/>
        <w:ind w:right="254" w:rightChars="127"/>
        <w:jc w:val="center"/>
        <w:rPr>
          <w:bCs/>
          <w:color w:val="auto"/>
          <w:sz w:val="44"/>
          <w:szCs w:val="44"/>
          <w:highlight w:val="none"/>
        </w:rPr>
      </w:pPr>
    </w:p>
    <w:p w14:paraId="7416478D">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44F975A6">
      <w:pPr>
        <w:tabs>
          <w:tab w:val="left" w:pos="315"/>
          <w:tab w:val="left" w:pos="8820"/>
        </w:tabs>
        <w:spacing w:before="240" w:beforeLines="100" w:after="120" w:afterLines="50" w:line="500" w:lineRule="exact"/>
        <w:ind w:right="254" w:rightChars="127"/>
        <w:jc w:val="both"/>
        <w:rPr>
          <w:b/>
          <w:bCs/>
          <w:color w:val="auto"/>
          <w:sz w:val="44"/>
          <w:szCs w:val="44"/>
          <w:highlight w:val="none"/>
        </w:rPr>
      </w:pPr>
    </w:p>
    <w:p w14:paraId="37F05AEE">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4E761282">
      <w:pPr>
        <w:tabs>
          <w:tab w:val="left" w:pos="2410"/>
        </w:tabs>
        <w:autoSpaceDE w:val="0"/>
        <w:autoSpaceDN w:val="0"/>
        <w:adjustRightInd w:val="0"/>
        <w:snapToGrid w:val="0"/>
        <w:spacing w:line="360" w:lineRule="auto"/>
        <w:rPr>
          <w:rFonts w:hint="eastAsia" w:eastAsia="宋体"/>
          <w:b/>
          <w:color w:val="auto"/>
          <w:spacing w:val="20"/>
          <w:sz w:val="32"/>
          <w:szCs w:val="32"/>
          <w:highlight w:val="none"/>
          <w:u w:val="single"/>
          <w:lang w:eastAsia="zh-CN"/>
        </w:rPr>
      </w:pPr>
      <w:r>
        <w:rPr>
          <w:rFonts w:hint="eastAsia"/>
          <w:b/>
          <w:color w:val="auto"/>
          <w:spacing w:val="20"/>
          <w:sz w:val="32"/>
          <w:szCs w:val="32"/>
          <w:highlight w:val="none"/>
        </w:rPr>
        <w:t>项</w:t>
      </w:r>
      <w:r>
        <w:rPr>
          <w:rFonts w:hint="eastAsia"/>
          <w:b/>
          <w:color w:val="auto"/>
          <w:spacing w:val="20"/>
          <w:sz w:val="32"/>
          <w:szCs w:val="32"/>
          <w:highlight w:val="none"/>
          <w:lang w:val="en-US" w:eastAsia="zh-CN"/>
        </w:rPr>
        <w:t xml:space="preserve"> </w:t>
      </w:r>
      <w:r>
        <w:rPr>
          <w:rFonts w:hint="eastAsia"/>
          <w:b/>
          <w:color w:val="auto"/>
          <w:spacing w:val="20"/>
          <w:sz w:val="32"/>
          <w:szCs w:val="32"/>
          <w:highlight w:val="none"/>
        </w:rPr>
        <w:t>目</w:t>
      </w:r>
      <w:r>
        <w:rPr>
          <w:rFonts w:hint="eastAsia"/>
          <w:b/>
          <w:color w:val="auto"/>
          <w:spacing w:val="20"/>
          <w:sz w:val="32"/>
          <w:szCs w:val="32"/>
          <w:highlight w:val="none"/>
          <w:lang w:val="en-US" w:eastAsia="zh-CN"/>
        </w:rPr>
        <w:t xml:space="preserve"> </w:t>
      </w:r>
      <w:r>
        <w:rPr>
          <w:rFonts w:hint="eastAsia"/>
          <w:b/>
          <w:color w:val="auto"/>
          <w:spacing w:val="20"/>
          <w:sz w:val="32"/>
          <w:szCs w:val="32"/>
          <w:highlight w:val="none"/>
        </w:rPr>
        <w:t>名</w:t>
      </w:r>
      <w:r>
        <w:rPr>
          <w:rFonts w:hint="eastAsia"/>
          <w:b/>
          <w:color w:val="auto"/>
          <w:spacing w:val="20"/>
          <w:sz w:val="32"/>
          <w:szCs w:val="32"/>
          <w:highlight w:val="none"/>
          <w:lang w:val="en-US" w:eastAsia="zh-CN"/>
        </w:rPr>
        <w:t xml:space="preserve"> </w:t>
      </w:r>
      <w:r>
        <w:rPr>
          <w:rFonts w:hint="eastAsia"/>
          <w:b/>
          <w:color w:val="auto"/>
          <w:spacing w:val="20"/>
          <w:sz w:val="32"/>
          <w:szCs w:val="32"/>
          <w:highlight w:val="none"/>
        </w:rPr>
        <w:t>称：</w:t>
      </w:r>
      <w:r>
        <w:rPr>
          <w:rFonts w:hint="eastAsia"/>
          <w:b/>
          <w:bCs w:val="0"/>
          <w:color w:val="auto"/>
          <w:spacing w:val="20"/>
          <w:sz w:val="32"/>
          <w:szCs w:val="32"/>
          <w:highlight w:val="none"/>
          <w:u w:val="single"/>
          <w:lang w:val="en-US" w:eastAsia="zh-CN"/>
        </w:rPr>
        <w:t>水闸自动化系统汛前维修项目第2包</w:t>
      </w:r>
    </w:p>
    <w:p w14:paraId="7A9D076B">
      <w:pPr>
        <w:tabs>
          <w:tab w:val="left" w:pos="2410"/>
        </w:tabs>
        <w:autoSpaceDE w:val="0"/>
        <w:autoSpaceDN w:val="0"/>
        <w:adjustRightInd w:val="0"/>
        <w:snapToGrid w:val="0"/>
        <w:spacing w:line="360" w:lineRule="auto"/>
        <w:rPr>
          <w:rFonts w:hint="eastAsia"/>
          <w:b/>
          <w:bCs w:val="0"/>
          <w:color w:val="auto"/>
          <w:spacing w:val="20"/>
          <w:sz w:val="32"/>
          <w:szCs w:val="32"/>
          <w:highlight w:val="none"/>
          <w:u w:val="single"/>
          <w:lang w:val="en-US" w:eastAsia="zh-CN"/>
        </w:rPr>
      </w:pPr>
      <w:r>
        <w:rPr>
          <w:rFonts w:hint="eastAsia"/>
          <w:b/>
          <w:color w:val="auto"/>
          <w:spacing w:val="20"/>
          <w:sz w:val="32"/>
          <w:szCs w:val="32"/>
          <w:highlight w:val="none"/>
        </w:rPr>
        <w:t>项</w:t>
      </w:r>
      <w:r>
        <w:rPr>
          <w:rFonts w:hint="eastAsia"/>
          <w:b/>
          <w:color w:val="auto"/>
          <w:spacing w:val="20"/>
          <w:sz w:val="32"/>
          <w:szCs w:val="32"/>
          <w:highlight w:val="none"/>
          <w:lang w:val="en-US" w:eastAsia="zh-CN"/>
        </w:rPr>
        <w:t xml:space="preserve"> </w:t>
      </w:r>
      <w:r>
        <w:rPr>
          <w:rFonts w:hint="eastAsia"/>
          <w:b/>
          <w:color w:val="auto"/>
          <w:spacing w:val="20"/>
          <w:sz w:val="32"/>
          <w:szCs w:val="32"/>
          <w:highlight w:val="none"/>
        </w:rPr>
        <w:t>目</w:t>
      </w:r>
      <w:r>
        <w:rPr>
          <w:rFonts w:hint="eastAsia"/>
          <w:b/>
          <w:color w:val="auto"/>
          <w:spacing w:val="20"/>
          <w:sz w:val="32"/>
          <w:szCs w:val="32"/>
          <w:highlight w:val="none"/>
          <w:lang w:val="en-US" w:eastAsia="zh-CN"/>
        </w:rPr>
        <w:t xml:space="preserve"> </w:t>
      </w:r>
      <w:r>
        <w:rPr>
          <w:rFonts w:hint="eastAsia"/>
          <w:b/>
          <w:color w:val="auto"/>
          <w:spacing w:val="20"/>
          <w:sz w:val="32"/>
          <w:szCs w:val="32"/>
          <w:highlight w:val="none"/>
        </w:rPr>
        <w:t>编</w:t>
      </w:r>
      <w:r>
        <w:rPr>
          <w:rFonts w:hint="eastAsia"/>
          <w:b/>
          <w:color w:val="auto"/>
          <w:spacing w:val="20"/>
          <w:sz w:val="32"/>
          <w:szCs w:val="32"/>
          <w:highlight w:val="none"/>
          <w:lang w:val="en-US" w:eastAsia="zh-CN"/>
        </w:rPr>
        <w:t xml:space="preserve"> </w:t>
      </w:r>
      <w:r>
        <w:rPr>
          <w:rFonts w:hint="eastAsia"/>
          <w:b/>
          <w:color w:val="auto"/>
          <w:spacing w:val="20"/>
          <w:sz w:val="32"/>
          <w:szCs w:val="32"/>
          <w:highlight w:val="none"/>
        </w:rPr>
        <w:t>号：</w:t>
      </w:r>
      <w:r>
        <w:rPr>
          <w:rFonts w:hint="eastAsia"/>
          <w:b/>
          <w:bCs w:val="0"/>
          <w:color w:val="auto"/>
          <w:spacing w:val="20"/>
          <w:sz w:val="32"/>
          <w:szCs w:val="32"/>
          <w:highlight w:val="none"/>
          <w:u w:val="single"/>
          <w:lang w:val="en-US" w:eastAsia="zh-CN"/>
        </w:rPr>
        <w:t>FSSD34000120256986号</w:t>
      </w:r>
    </w:p>
    <w:p w14:paraId="1176D7CA">
      <w:pPr>
        <w:tabs>
          <w:tab w:val="left" w:pos="2410"/>
        </w:tabs>
        <w:autoSpaceDE w:val="0"/>
        <w:autoSpaceDN w:val="0"/>
        <w:adjustRightInd w:val="0"/>
        <w:snapToGrid w:val="0"/>
        <w:spacing w:line="360" w:lineRule="auto"/>
        <w:rPr>
          <w:rFonts w:hint="eastAsia" w:ascii="Times New Roman"/>
          <w:b/>
          <w:bCs/>
          <w:i w:val="0"/>
          <w:iCs w:val="0"/>
          <w:color w:val="auto"/>
          <w:sz w:val="32"/>
          <w:highlight w:val="none"/>
          <w:u w:val="single"/>
          <w:lang w:eastAsia="zh-CN"/>
        </w:rPr>
      </w:pPr>
      <w:r>
        <w:rPr>
          <w:rFonts w:hint="eastAsia"/>
          <w:b/>
          <w:color w:val="auto"/>
          <w:spacing w:val="20"/>
          <w:sz w:val="32"/>
          <w:szCs w:val="32"/>
          <w:highlight w:val="none"/>
        </w:rPr>
        <w:t xml:space="preserve">采 </w:t>
      </w:r>
      <w:r>
        <w:rPr>
          <w:rFonts w:hint="eastAsia"/>
          <w:b/>
          <w:color w:val="auto"/>
          <w:spacing w:val="20"/>
          <w:sz w:val="32"/>
          <w:szCs w:val="32"/>
          <w:highlight w:val="none"/>
          <w:lang w:val="en-US" w:eastAsia="zh-CN"/>
        </w:rPr>
        <w:t xml:space="preserve"> </w:t>
      </w:r>
      <w:r>
        <w:rPr>
          <w:rFonts w:hint="eastAsia"/>
          <w:b/>
          <w:color w:val="auto"/>
          <w:spacing w:val="20"/>
          <w:sz w:val="32"/>
          <w:szCs w:val="32"/>
          <w:highlight w:val="none"/>
        </w:rPr>
        <w:t xml:space="preserve">购 </w:t>
      </w:r>
      <w:r>
        <w:rPr>
          <w:rFonts w:hint="eastAsia"/>
          <w:b/>
          <w:color w:val="auto"/>
          <w:spacing w:val="20"/>
          <w:sz w:val="32"/>
          <w:szCs w:val="32"/>
          <w:highlight w:val="none"/>
          <w:lang w:val="en-US" w:eastAsia="zh-CN"/>
        </w:rPr>
        <w:t xml:space="preserve">  </w:t>
      </w:r>
      <w:r>
        <w:rPr>
          <w:rFonts w:hint="eastAsia"/>
          <w:b/>
          <w:color w:val="auto"/>
          <w:spacing w:val="20"/>
          <w:sz w:val="32"/>
          <w:szCs w:val="32"/>
          <w:highlight w:val="none"/>
        </w:rPr>
        <w:t>人：</w:t>
      </w:r>
      <w:r>
        <w:rPr>
          <w:rFonts w:hint="eastAsia" w:ascii="Times New Roman"/>
          <w:b/>
          <w:bCs/>
          <w:i w:val="0"/>
          <w:iCs w:val="0"/>
          <w:color w:val="auto"/>
          <w:sz w:val="32"/>
          <w:highlight w:val="none"/>
          <w:u w:val="single"/>
          <w:lang w:eastAsia="zh-CN"/>
        </w:rPr>
        <w:t>安徽省淮河河道管理局</w:t>
      </w:r>
    </w:p>
    <w:p w14:paraId="5E2088A7">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采购代理机构：</w:t>
      </w:r>
      <w:r>
        <w:rPr>
          <w:rFonts w:ascii="Times New Roman"/>
          <w:b/>
          <w:bCs/>
          <w:color w:val="auto"/>
          <w:sz w:val="32"/>
          <w:highlight w:val="none"/>
          <w:u w:val="single"/>
        </w:rPr>
        <w:t>安徽安兆工程技术咨询服务有限公司</w:t>
      </w:r>
    </w:p>
    <w:p w14:paraId="55AEC8EA">
      <w:pPr>
        <w:tabs>
          <w:tab w:val="left" w:pos="2410"/>
        </w:tabs>
        <w:autoSpaceDE w:val="0"/>
        <w:autoSpaceDN w:val="0"/>
        <w:adjustRightInd w:val="0"/>
        <w:snapToGrid w:val="0"/>
        <w:spacing w:line="360" w:lineRule="auto"/>
        <w:jc w:val="center"/>
        <w:rPr>
          <w:rFonts w:hint="eastAsia"/>
          <w:b/>
          <w:color w:val="auto"/>
          <w:sz w:val="36"/>
          <w:highlight w:val="none"/>
          <w:u w:val="none"/>
          <w:lang w:val="en-US" w:eastAsia="zh-CN"/>
        </w:rPr>
      </w:pPr>
      <w:r>
        <w:rPr>
          <w:rFonts w:hint="eastAsia"/>
          <w:b/>
          <w:color w:val="auto"/>
          <w:sz w:val="36"/>
          <w:highlight w:val="none"/>
          <w:u w:val="none"/>
          <w:lang w:val="en-US" w:eastAsia="zh-CN"/>
        </w:rPr>
        <w:t>2025年10月</w:t>
      </w:r>
    </w:p>
    <w:p w14:paraId="7B51093C">
      <w:pPr>
        <w:tabs>
          <w:tab w:val="left" w:pos="2410"/>
        </w:tabs>
        <w:autoSpaceDE w:val="0"/>
        <w:autoSpaceDN w:val="0"/>
        <w:adjustRightInd w:val="0"/>
        <w:snapToGrid w:val="0"/>
        <w:spacing w:line="360" w:lineRule="auto"/>
        <w:jc w:val="center"/>
        <w:rPr>
          <w:b/>
          <w:color w:val="auto"/>
          <w:sz w:val="36"/>
          <w:highlight w:val="none"/>
        </w:rPr>
      </w:pPr>
    </w:p>
    <w:p w14:paraId="2C6C49C1">
      <w:pPr>
        <w:tabs>
          <w:tab w:val="left" w:pos="2410"/>
        </w:tabs>
        <w:autoSpaceDE w:val="0"/>
        <w:autoSpaceDN w:val="0"/>
        <w:adjustRightInd w:val="0"/>
        <w:snapToGrid w:val="0"/>
        <w:spacing w:line="360" w:lineRule="auto"/>
        <w:jc w:val="center"/>
        <w:rPr>
          <w:b/>
          <w:color w:val="auto"/>
          <w:sz w:val="36"/>
          <w:highlight w:val="none"/>
        </w:rPr>
      </w:pPr>
      <w:r>
        <w:rPr>
          <w:b/>
          <w:color w:val="auto"/>
          <w:sz w:val="36"/>
          <w:highlight w:val="none"/>
        </w:rPr>
        <w:br w:type="page"/>
      </w:r>
    </w:p>
    <w:p w14:paraId="2929D835">
      <w:pPr>
        <w:tabs>
          <w:tab w:val="left" w:pos="2410"/>
        </w:tabs>
        <w:autoSpaceDE w:val="0"/>
        <w:autoSpaceDN w:val="0"/>
        <w:adjustRightInd w:val="0"/>
        <w:snapToGrid w:val="0"/>
        <w:spacing w:line="360" w:lineRule="auto"/>
        <w:jc w:val="center"/>
        <w:rPr>
          <w:b/>
          <w:color w:val="auto"/>
          <w:sz w:val="28"/>
          <w:highlight w:val="none"/>
        </w:rPr>
      </w:pPr>
      <w:r>
        <w:rPr>
          <w:rFonts w:hint="eastAsia"/>
          <w:b/>
          <w:color w:val="auto"/>
          <w:sz w:val="28"/>
          <w:highlight w:val="none"/>
        </w:rPr>
        <w:t>目  录</w:t>
      </w:r>
    </w:p>
    <w:p w14:paraId="233A701C">
      <w:pPr>
        <w:tabs>
          <w:tab w:val="left" w:pos="2410"/>
        </w:tabs>
        <w:autoSpaceDE w:val="0"/>
        <w:autoSpaceDN w:val="0"/>
        <w:adjustRightInd w:val="0"/>
        <w:snapToGrid w:val="0"/>
        <w:spacing w:line="360" w:lineRule="auto"/>
        <w:jc w:val="center"/>
        <w:rPr>
          <w:b/>
          <w:color w:val="auto"/>
          <w:sz w:val="28"/>
          <w:highlight w:val="none"/>
        </w:rPr>
      </w:pPr>
    </w:p>
    <w:p w14:paraId="40C35D96">
      <w:pPr>
        <w:pStyle w:val="36"/>
        <w:tabs>
          <w:tab w:val="right" w:leader="dot" w:pos="8279"/>
        </w:tabs>
        <w:rPr>
          <w:color w:val="auto"/>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_Toc11403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 xml:space="preserve">第一章 </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磋商邀请</w:t>
      </w:r>
      <w:r>
        <w:rPr>
          <w:color w:val="auto"/>
          <w:highlight w:val="none"/>
        </w:rPr>
        <w:tab/>
      </w:r>
      <w:r>
        <w:rPr>
          <w:color w:val="auto"/>
          <w:highlight w:val="none"/>
        </w:rPr>
        <w:fldChar w:fldCharType="begin"/>
      </w:r>
      <w:r>
        <w:rPr>
          <w:color w:val="auto"/>
          <w:highlight w:val="none"/>
        </w:rPr>
        <w:instrText xml:space="preserve"> PAGEREF _Toc11403 \h </w:instrText>
      </w:r>
      <w:r>
        <w:rPr>
          <w:color w:val="auto"/>
          <w:highlight w:val="none"/>
        </w:rPr>
        <w:fldChar w:fldCharType="separate"/>
      </w:r>
      <w:r>
        <w:rPr>
          <w:color w:val="auto"/>
          <w:highlight w:val="none"/>
        </w:rPr>
        <w:t>1</w:t>
      </w:r>
      <w:r>
        <w:rPr>
          <w:color w:val="auto"/>
          <w:highlight w:val="none"/>
        </w:rPr>
        <w:fldChar w:fldCharType="end"/>
      </w:r>
      <w:r>
        <w:rPr>
          <w:rFonts w:asciiTheme="minorEastAsia" w:hAnsiTheme="minorEastAsia"/>
          <w:color w:val="auto"/>
          <w:szCs w:val="24"/>
          <w:highlight w:val="none"/>
        </w:rPr>
        <w:fldChar w:fldCharType="end"/>
      </w:r>
    </w:p>
    <w:p w14:paraId="0F6579EE">
      <w:pPr>
        <w:pStyle w:val="36"/>
        <w:tabs>
          <w:tab w:val="right" w:leader="dot" w:pos="827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_Toc28080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第二章</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 xml:space="preserve"> 供应商</w:t>
      </w:r>
      <w:r>
        <w:rPr>
          <w:rFonts w:asciiTheme="minorEastAsia" w:hAnsiTheme="minorEastAsia" w:eastAsiaTheme="minorEastAsia"/>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_Toc28080 \h </w:instrText>
      </w:r>
      <w:r>
        <w:rPr>
          <w:color w:val="auto"/>
          <w:highlight w:val="none"/>
        </w:rPr>
        <w:fldChar w:fldCharType="separate"/>
      </w:r>
      <w:r>
        <w:rPr>
          <w:color w:val="auto"/>
          <w:highlight w:val="none"/>
        </w:rPr>
        <w:t>5</w:t>
      </w:r>
      <w:r>
        <w:rPr>
          <w:color w:val="auto"/>
          <w:highlight w:val="none"/>
        </w:rPr>
        <w:fldChar w:fldCharType="end"/>
      </w:r>
      <w:r>
        <w:rPr>
          <w:rFonts w:asciiTheme="minorEastAsia" w:hAnsiTheme="minorEastAsia"/>
          <w:color w:val="auto"/>
          <w:szCs w:val="24"/>
          <w:highlight w:val="none"/>
        </w:rPr>
        <w:fldChar w:fldCharType="end"/>
      </w:r>
    </w:p>
    <w:p w14:paraId="032C4426">
      <w:pPr>
        <w:pStyle w:val="36"/>
        <w:tabs>
          <w:tab w:val="right" w:leader="dot" w:pos="827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_Toc30873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_Toc30873 \h </w:instrText>
      </w:r>
      <w:r>
        <w:rPr>
          <w:color w:val="auto"/>
          <w:highlight w:val="none"/>
        </w:rPr>
        <w:fldChar w:fldCharType="separate"/>
      </w:r>
      <w:r>
        <w:rPr>
          <w:color w:val="auto"/>
          <w:highlight w:val="none"/>
        </w:rPr>
        <w:t>21</w:t>
      </w:r>
      <w:r>
        <w:rPr>
          <w:color w:val="auto"/>
          <w:highlight w:val="none"/>
        </w:rPr>
        <w:fldChar w:fldCharType="end"/>
      </w:r>
      <w:r>
        <w:rPr>
          <w:rFonts w:asciiTheme="minorEastAsia" w:hAnsiTheme="minorEastAsia"/>
          <w:color w:val="auto"/>
          <w:szCs w:val="24"/>
          <w:highlight w:val="none"/>
        </w:rPr>
        <w:fldChar w:fldCharType="end"/>
      </w:r>
    </w:p>
    <w:p w14:paraId="6D4A4A2D">
      <w:pPr>
        <w:pStyle w:val="36"/>
        <w:tabs>
          <w:tab w:val="right" w:leader="dot" w:pos="827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_Toc11353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第四章  评审方法和标准</w:t>
      </w:r>
      <w:r>
        <w:rPr>
          <w:color w:val="auto"/>
          <w:highlight w:val="none"/>
        </w:rPr>
        <w:tab/>
      </w:r>
      <w:r>
        <w:rPr>
          <w:color w:val="auto"/>
          <w:highlight w:val="none"/>
        </w:rPr>
        <w:fldChar w:fldCharType="begin"/>
      </w:r>
      <w:r>
        <w:rPr>
          <w:color w:val="auto"/>
          <w:highlight w:val="none"/>
        </w:rPr>
        <w:instrText xml:space="preserve"> PAGEREF _Toc11353 \h </w:instrText>
      </w:r>
      <w:r>
        <w:rPr>
          <w:color w:val="auto"/>
          <w:highlight w:val="none"/>
        </w:rPr>
        <w:fldChar w:fldCharType="separate"/>
      </w:r>
      <w:r>
        <w:rPr>
          <w:color w:val="auto"/>
          <w:highlight w:val="none"/>
        </w:rPr>
        <w:t>21</w:t>
      </w:r>
      <w:r>
        <w:rPr>
          <w:color w:val="auto"/>
          <w:highlight w:val="none"/>
        </w:rPr>
        <w:fldChar w:fldCharType="end"/>
      </w:r>
      <w:r>
        <w:rPr>
          <w:rFonts w:asciiTheme="minorEastAsia" w:hAnsiTheme="minorEastAsia"/>
          <w:color w:val="auto"/>
          <w:szCs w:val="24"/>
          <w:highlight w:val="none"/>
        </w:rPr>
        <w:fldChar w:fldCharType="end"/>
      </w:r>
    </w:p>
    <w:p w14:paraId="1FDAF1A5">
      <w:pPr>
        <w:pStyle w:val="36"/>
        <w:tabs>
          <w:tab w:val="right" w:leader="dot" w:pos="827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_Toc31277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 xml:space="preserve">第五章  </w:t>
      </w:r>
      <w:r>
        <w:rPr>
          <w:rFonts w:asciiTheme="minorEastAsia" w:hAnsiTheme="minorEastAsia" w:eastAsiaTheme="minorEastAsia"/>
          <w:color w:val="auto"/>
          <w:highlight w:val="none"/>
        </w:rPr>
        <w:t>政府采购合同</w:t>
      </w:r>
      <w:r>
        <w:rPr>
          <w:color w:val="auto"/>
          <w:highlight w:val="none"/>
        </w:rPr>
        <w:tab/>
      </w:r>
      <w:r>
        <w:rPr>
          <w:color w:val="auto"/>
          <w:highlight w:val="none"/>
        </w:rPr>
        <w:fldChar w:fldCharType="begin"/>
      </w:r>
      <w:r>
        <w:rPr>
          <w:color w:val="auto"/>
          <w:highlight w:val="none"/>
        </w:rPr>
        <w:instrText xml:space="preserve"> PAGEREF _Toc31277 \h </w:instrText>
      </w:r>
      <w:r>
        <w:rPr>
          <w:color w:val="auto"/>
          <w:highlight w:val="none"/>
        </w:rPr>
        <w:fldChar w:fldCharType="separate"/>
      </w:r>
      <w:r>
        <w:rPr>
          <w:color w:val="auto"/>
          <w:highlight w:val="none"/>
        </w:rPr>
        <w:t>72</w:t>
      </w:r>
      <w:r>
        <w:rPr>
          <w:color w:val="auto"/>
          <w:highlight w:val="none"/>
        </w:rPr>
        <w:fldChar w:fldCharType="end"/>
      </w:r>
      <w:r>
        <w:rPr>
          <w:rFonts w:asciiTheme="minorEastAsia" w:hAnsiTheme="minorEastAsia"/>
          <w:color w:val="auto"/>
          <w:szCs w:val="24"/>
          <w:highlight w:val="none"/>
        </w:rPr>
        <w:fldChar w:fldCharType="end"/>
      </w:r>
    </w:p>
    <w:p w14:paraId="69BDFB40">
      <w:pPr>
        <w:pStyle w:val="36"/>
        <w:tabs>
          <w:tab w:val="right" w:leader="dot" w:pos="827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_Toc22734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_Toc22734 \h </w:instrText>
      </w:r>
      <w:r>
        <w:rPr>
          <w:color w:val="auto"/>
          <w:highlight w:val="none"/>
        </w:rPr>
        <w:fldChar w:fldCharType="separate"/>
      </w:r>
      <w:r>
        <w:rPr>
          <w:color w:val="auto"/>
          <w:highlight w:val="none"/>
        </w:rPr>
        <w:t>115</w:t>
      </w:r>
      <w:r>
        <w:rPr>
          <w:color w:val="auto"/>
          <w:highlight w:val="none"/>
        </w:rPr>
        <w:fldChar w:fldCharType="end"/>
      </w:r>
      <w:r>
        <w:rPr>
          <w:rFonts w:asciiTheme="minorEastAsia" w:hAnsiTheme="minorEastAsia"/>
          <w:color w:val="auto"/>
          <w:szCs w:val="24"/>
          <w:highlight w:val="none"/>
        </w:rPr>
        <w:fldChar w:fldCharType="end"/>
      </w:r>
    </w:p>
    <w:p w14:paraId="3BA804E8">
      <w:pPr>
        <w:pStyle w:val="36"/>
        <w:tabs>
          <w:tab w:val="right" w:leader="dot" w:pos="827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_Toc24879 </w:instrText>
      </w:r>
      <w:r>
        <w:rPr>
          <w:rFonts w:asciiTheme="minorEastAsia" w:hAnsiTheme="minorEastAsia"/>
          <w:color w:val="auto"/>
          <w:szCs w:val="24"/>
          <w:highlight w:val="none"/>
        </w:rPr>
        <w:fldChar w:fldCharType="separate"/>
      </w:r>
      <w:r>
        <w:rPr>
          <w:rFonts w:hint="eastAsia"/>
          <w:bCs/>
          <w:color w:val="auto"/>
          <w:highlight w:val="none"/>
        </w:rPr>
        <w:t>第</w:t>
      </w:r>
      <w:r>
        <w:rPr>
          <w:rFonts w:hint="eastAsia"/>
          <w:bCs/>
          <w:color w:val="auto"/>
          <w:highlight w:val="none"/>
          <w:lang w:val="en-US" w:eastAsia="zh-CN"/>
        </w:rPr>
        <w:t>七</w:t>
      </w:r>
      <w:r>
        <w:rPr>
          <w:rFonts w:hint="eastAsia"/>
          <w:bCs/>
          <w:color w:val="auto"/>
          <w:highlight w:val="none"/>
        </w:rPr>
        <w:t>章  政府采购</w:t>
      </w:r>
      <w:r>
        <w:rPr>
          <w:rFonts w:hint="eastAsia" w:asciiTheme="minorEastAsia" w:hAnsiTheme="minorEastAsia" w:eastAsiaTheme="minorEastAsia"/>
          <w:color w:val="auto"/>
          <w:highlight w:val="none"/>
        </w:rPr>
        <w:t>供应</w:t>
      </w:r>
      <w:r>
        <w:rPr>
          <w:rFonts w:hint="eastAsia"/>
          <w:bCs/>
          <w:color w:val="auto"/>
          <w:highlight w:val="none"/>
        </w:rPr>
        <w:t>商询问函和质疑函范本</w:t>
      </w:r>
      <w:r>
        <w:rPr>
          <w:color w:val="auto"/>
          <w:highlight w:val="none"/>
        </w:rPr>
        <w:tab/>
      </w:r>
      <w:r>
        <w:rPr>
          <w:color w:val="auto"/>
          <w:highlight w:val="none"/>
        </w:rPr>
        <w:fldChar w:fldCharType="begin"/>
      </w:r>
      <w:r>
        <w:rPr>
          <w:color w:val="auto"/>
          <w:highlight w:val="none"/>
        </w:rPr>
        <w:instrText xml:space="preserve"> PAGEREF _Toc24879 \h </w:instrText>
      </w:r>
      <w:r>
        <w:rPr>
          <w:color w:val="auto"/>
          <w:highlight w:val="none"/>
        </w:rPr>
        <w:fldChar w:fldCharType="separate"/>
      </w:r>
      <w:r>
        <w:rPr>
          <w:color w:val="auto"/>
          <w:highlight w:val="none"/>
        </w:rPr>
        <w:t>132</w:t>
      </w:r>
      <w:r>
        <w:rPr>
          <w:color w:val="auto"/>
          <w:highlight w:val="none"/>
        </w:rPr>
        <w:fldChar w:fldCharType="end"/>
      </w:r>
      <w:r>
        <w:rPr>
          <w:rFonts w:asciiTheme="minorEastAsia" w:hAnsiTheme="minorEastAsia"/>
          <w:color w:val="auto"/>
          <w:szCs w:val="24"/>
          <w:highlight w:val="none"/>
        </w:rPr>
        <w:fldChar w:fldCharType="end"/>
      </w:r>
    </w:p>
    <w:p w14:paraId="640AE1BD">
      <w:pPr>
        <w:pStyle w:val="46"/>
        <w:tabs>
          <w:tab w:val="right" w:leader="dot" w:pos="8296"/>
        </w:tabs>
        <w:rPr>
          <w:rFonts w:asciiTheme="minorEastAsia" w:hAnsiTheme="minorEastAsia"/>
          <w:b/>
          <w:color w:val="auto"/>
          <w:szCs w:val="24"/>
          <w:highlight w:val="none"/>
        </w:rPr>
      </w:pPr>
      <w:r>
        <w:rPr>
          <w:rFonts w:asciiTheme="minorEastAsia" w:hAnsiTheme="minorEastAsia"/>
          <w:color w:val="auto"/>
          <w:szCs w:val="24"/>
          <w:highlight w:val="none"/>
        </w:rPr>
        <w:fldChar w:fldCharType="end"/>
      </w:r>
    </w:p>
    <w:p w14:paraId="6437C417">
      <w:pPr>
        <w:pStyle w:val="4"/>
        <w:rPr>
          <w:color w:val="auto"/>
          <w:highlight w:val="none"/>
        </w:rPr>
        <w:sectPr>
          <w:footerReference r:id="rId3" w:type="default"/>
          <w:pgSz w:w="11907" w:h="16840"/>
          <w:pgMar w:top="1474" w:right="1814" w:bottom="1474" w:left="1814" w:header="851" w:footer="992" w:gutter="0"/>
          <w:pgBorders>
            <w:top w:val="none" w:sz="0" w:space="0"/>
            <w:left w:val="none" w:sz="0" w:space="0"/>
            <w:bottom w:val="none" w:sz="0" w:space="0"/>
            <w:right w:val="none" w:sz="0" w:space="0"/>
          </w:pgBorders>
          <w:cols w:space="720" w:num="1"/>
          <w:docGrid w:linePitch="462" w:charSpace="0"/>
        </w:sectPr>
      </w:pPr>
    </w:p>
    <w:p w14:paraId="4FB4E87E">
      <w:pPr>
        <w:spacing w:line="360" w:lineRule="auto"/>
        <w:jc w:val="center"/>
        <w:outlineLvl w:val="0"/>
        <w:rPr>
          <w:rFonts w:asciiTheme="minorEastAsia" w:hAnsiTheme="minorEastAsia" w:eastAsiaTheme="minorEastAsia"/>
          <w:b/>
          <w:color w:val="auto"/>
          <w:sz w:val="28"/>
          <w:highlight w:val="none"/>
        </w:rPr>
      </w:pPr>
      <w:bookmarkStart w:id="1" w:name="_Toc1140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1"/>
    </w:p>
    <w:p w14:paraId="5C72FE3C">
      <w:pPr>
        <w:spacing w:line="360" w:lineRule="auto"/>
        <w:ind w:firstLine="435"/>
        <w:outlineLvl w:val="1"/>
        <w:rPr>
          <w:rFonts w:hint="eastAsia"/>
          <w:b/>
          <w:bCs/>
          <w:color w:val="auto"/>
          <w:sz w:val="24"/>
          <w:szCs w:val="18"/>
          <w:highlight w:val="none"/>
        </w:rPr>
      </w:pPr>
      <w:bookmarkStart w:id="2" w:name="_Toc8770"/>
      <w:bookmarkStart w:id="3" w:name="_Toc18492"/>
      <w:r>
        <w:rPr>
          <w:rFonts w:hint="eastAsia"/>
          <w:b/>
          <w:bCs/>
          <w:color w:val="auto"/>
          <w:sz w:val="24"/>
          <w:szCs w:val="18"/>
          <w:highlight w:val="none"/>
        </w:rPr>
        <w:t>一、</w:t>
      </w:r>
      <w:bookmarkEnd w:id="2"/>
      <w:r>
        <w:rPr>
          <w:rFonts w:hint="eastAsia"/>
          <w:b/>
          <w:bCs/>
          <w:color w:val="auto"/>
          <w:sz w:val="24"/>
          <w:szCs w:val="18"/>
          <w:highlight w:val="none"/>
        </w:rPr>
        <w:t>项目基本情况</w:t>
      </w:r>
      <w:bookmarkEnd w:id="3"/>
    </w:p>
    <w:p w14:paraId="592F63C0">
      <w:pPr>
        <w:spacing w:line="360" w:lineRule="auto"/>
        <w:ind w:firstLine="435"/>
        <w:rPr>
          <w:rFonts w:hint="eastAsia" w:eastAsiaTheme="minorEastAsia"/>
          <w:color w:val="auto"/>
          <w:sz w:val="24"/>
          <w:szCs w:val="18"/>
          <w:highlight w:val="none"/>
          <w:u w:val="none"/>
          <w:lang w:val="en-US" w:eastAsia="zh-CN"/>
        </w:rPr>
      </w:pPr>
      <w:bookmarkStart w:id="4" w:name="_Toc26628"/>
      <w:r>
        <w:rPr>
          <w:rFonts w:hint="eastAsia" w:asciiTheme="minorEastAsia" w:hAnsiTheme="minorEastAsia" w:eastAsiaTheme="minorEastAsia"/>
          <w:color w:val="auto"/>
          <w:sz w:val="24"/>
          <w:highlight w:val="none"/>
        </w:rPr>
        <w:t>1.项目编号：FSSD34000120256986号</w:t>
      </w:r>
    </w:p>
    <w:p w14:paraId="169E0A3A">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2.项目名称：</w:t>
      </w:r>
      <w:r>
        <w:rPr>
          <w:rFonts w:hint="eastAsia" w:asciiTheme="minorEastAsia" w:hAnsiTheme="minorEastAsia" w:eastAsiaTheme="minorEastAsia"/>
          <w:color w:val="auto"/>
          <w:sz w:val="24"/>
          <w:highlight w:val="none"/>
          <w:lang w:val="en-US" w:eastAsia="zh-CN"/>
        </w:rPr>
        <w:t>水闸自动化系统汛前维修项目第2包</w:t>
      </w:r>
    </w:p>
    <w:p w14:paraId="1806A3C7">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3.预算金额：</w:t>
      </w:r>
      <w:r>
        <w:rPr>
          <w:rFonts w:hint="eastAsia" w:asciiTheme="minorEastAsia" w:hAnsiTheme="minorEastAsia" w:eastAsiaTheme="minorEastAsia"/>
          <w:color w:val="auto"/>
          <w:sz w:val="24"/>
          <w:highlight w:val="none"/>
          <w:lang w:eastAsia="zh-CN"/>
        </w:rPr>
        <w:t>63万元</w:t>
      </w:r>
    </w:p>
    <w:p w14:paraId="793A4F00">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4.最高限价：</w:t>
      </w:r>
      <w:r>
        <w:rPr>
          <w:rFonts w:hint="eastAsia" w:asciiTheme="minorEastAsia" w:hAnsiTheme="minorEastAsia" w:eastAsiaTheme="minorEastAsia"/>
          <w:color w:val="auto"/>
          <w:sz w:val="24"/>
          <w:highlight w:val="none"/>
          <w:lang w:eastAsia="zh-CN"/>
        </w:rPr>
        <w:t>63万元</w:t>
      </w:r>
    </w:p>
    <w:p w14:paraId="2988D18C">
      <w:pPr>
        <w:spacing w:line="360" w:lineRule="auto"/>
        <w:ind w:firstLine="435"/>
        <w:rPr>
          <w:rFonts w:hint="eastAsia" w:ascii="宋体" w:hAnsi="宋体" w:eastAsia="宋体" w:cs="宋体"/>
          <w:b/>
          <w:bCs/>
          <w:color w:val="auto"/>
          <w:sz w:val="24"/>
          <w:szCs w:val="24"/>
          <w:highlight w:val="none"/>
          <w:lang w:val="en-US" w:eastAsia="zh-CN"/>
        </w:rPr>
      </w:pPr>
      <w:r>
        <w:rPr>
          <w:rFonts w:hint="eastAsia" w:asciiTheme="minorEastAsia" w:hAnsiTheme="minorEastAsia" w:eastAsiaTheme="minorEastAsia"/>
          <w:color w:val="auto"/>
          <w:sz w:val="24"/>
          <w:highlight w:val="none"/>
        </w:rPr>
        <w:t>5.采购需求：</w:t>
      </w:r>
      <w:r>
        <w:rPr>
          <w:rFonts w:hint="eastAsia" w:asciiTheme="minorEastAsia" w:hAnsiTheme="minorEastAsia" w:eastAsiaTheme="minorEastAsia"/>
          <w:color w:val="auto"/>
          <w:sz w:val="24"/>
          <w:highlight w:val="none"/>
          <w:lang w:val="en-US" w:eastAsia="zh-CN"/>
        </w:rPr>
        <w:t>水闸自动化系统汛前维修项目</w:t>
      </w:r>
      <w:r>
        <w:rPr>
          <w:rFonts w:hint="eastAsia" w:ascii="宋体" w:hAnsi="宋体" w:eastAsia="宋体" w:cs="宋体"/>
          <w:color w:val="auto"/>
          <w:sz w:val="24"/>
          <w:szCs w:val="24"/>
          <w:highlight w:val="none"/>
          <w:lang w:val="en-US" w:eastAsia="zh-CN"/>
        </w:rPr>
        <w:t>，共2个包别</w:t>
      </w:r>
      <w:r>
        <w:rPr>
          <w:rFonts w:hint="eastAsia" w:cs="宋体"/>
          <w:color w:val="auto"/>
          <w:sz w:val="24"/>
          <w:szCs w:val="24"/>
          <w:highlight w:val="none"/>
          <w:lang w:val="en-US" w:eastAsia="zh-CN"/>
        </w:rPr>
        <w:t>。</w:t>
      </w:r>
    </w:p>
    <w:p w14:paraId="6A5144D1">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eastAsia="zh-CN"/>
        </w:rPr>
      </w:pPr>
      <w:r>
        <w:rPr>
          <w:rFonts w:hint="eastAsia" w:cs="宋体"/>
          <w:b/>
          <w:bCs/>
          <w:color w:val="auto"/>
          <w:sz w:val="24"/>
          <w:szCs w:val="24"/>
          <w:highlight w:val="none"/>
          <w:lang w:val="en-US" w:eastAsia="zh-CN"/>
        </w:rPr>
        <w:t>本项目为</w:t>
      </w:r>
      <w:r>
        <w:rPr>
          <w:rFonts w:hint="eastAsia" w:ascii="宋体" w:hAnsi="宋体" w:eastAsia="宋体" w:cs="宋体"/>
          <w:b/>
          <w:bCs/>
          <w:color w:val="auto"/>
          <w:sz w:val="24"/>
          <w:szCs w:val="24"/>
          <w:highlight w:val="none"/>
          <w:lang w:val="en-US" w:eastAsia="zh-CN"/>
        </w:rPr>
        <w:t>水闸自动化系统汛前维修项目第2包</w:t>
      </w:r>
      <w:r>
        <w:rPr>
          <w:rFonts w:hint="eastAsia"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为统采分签项目</w:t>
      </w:r>
      <w:r>
        <w:rPr>
          <w:rFonts w:hint="eastAsia"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由安徽省淮河河道管理局作为采购人统一组织采购，成交人成交后分别</w:t>
      </w:r>
      <w:r>
        <w:rPr>
          <w:rFonts w:hint="eastAsia" w:cs="宋体"/>
          <w:b/>
          <w:bCs/>
          <w:color w:val="auto"/>
          <w:sz w:val="24"/>
          <w:szCs w:val="24"/>
          <w:highlight w:val="none"/>
          <w:lang w:val="en-US" w:eastAsia="zh-CN"/>
        </w:rPr>
        <w:t>与</w:t>
      </w:r>
      <w:r>
        <w:rPr>
          <w:rFonts w:hint="eastAsia" w:ascii="宋体" w:hAnsi="宋体" w:eastAsia="宋体" w:cs="宋体"/>
          <w:b/>
          <w:bCs/>
          <w:color w:val="auto"/>
          <w:sz w:val="24"/>
          <w:szCs w:val="24"/>
          <w:highlight w:val="none"/>
          <w:lang w:val="en-US" w:eastAsia="zh-CN"/>
        </w:rPr>
        <w:t>各个实施单位签订合同。</w:t>
      </w:r>
      <w:r>
        <w:rPr>
          <w:rFonts w:hint="eastAsia" w:asciiTheme="minorEastAsia" w:hAnsiTheme="minorEastAsia" w:eastAsiaTheme="minorEastAsia"/>
          <w:color w:val="auto"/>
          <w:sz w:val="24"/>
          <w:highlight w:val="none"/>
          <w:lang w:val="en-US" w:eastAsia="zh-CN"/>
        </w:rPr>
        <w:t>具体工作内容详见工程量清单。</w:t>
      </w:r>
    </w:p>
    <w:p w14:paraId="64FBF35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6.合同履行期限：</w:t>
      </w:r>
      <w:r>
        <w:rPr>
          <w:rFonts w:hint="eastAsia" w:asciiTheme="minorEastAsia" w:hAnsiTheme="minorEastAsia" w:eastAsiaTheme="minorEastAsia"/>
          <w:color w:val="auto"/>
          <w:sz w:val="24"/>
          <w:highlight w:val="none"/>
          <w:lang w:val="en-US" w:eastAsia="zh-CN"/>
        </w:rPr>
        <w:t>45</w:t>
      </w:r>
      <w:r>
        <w:rPr>
          <w:rFonts w:hint="eastAsia" w:asciiTheme="minorEastAsia" w:hAnsiTheme="minorEastAsia" w:eastAsiaTheme="minorEastAsia"/>
          <w:color w:val="auto"/>
          <w:sz w:val="24"/>
          <w:highlight w:val="none"/>
          <w:lang w:eastAsia="zh-CN"/>
        </w:rPr>
        <w:t>日历天</w:t>
      </w:r>
      <w:r>
        <w:rPr>
          <w:rFonts w:hint="eastAsia" w:asciiTheme="minorEastAsia" w:hAnsiTheme="minorEastAsia" w:eastAsiaTheme="minorEastAsia"/>
          <w:color w:val="auto"/>
          <w:sz w:val="24"/>
          <w:highlight w:val="none"/>
        </w:rPr>
        <w:t>。</w:t>
      </w:r>
    </w:p>
    <w:p w14:paraId="5F421CC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w:t>
      </w:r>
    </w:p>
    <w:p w14:paraId="1F3DAE2C">
      <w:pPr>
        <w:spacing w:line="360" w:lineRule="auto"/>
        <w:ind w:firstLine="435"/>
        <w:outlineLvl w:val="1"/>
        <w:rPr>
          <w:rFonts w:hint="eastAsia" w:eastAsia="宋体"/>
          <w:b/>
          <w:bCs/>
          <w:color w:val="auto"/>
          <w:sz w:val="24"/>
          <w:szCs w:val="18"/>
          <w:highlight w:val="none"/>
          <w:lang w:val="en-US" w:eastAsia="zh-CN"/>
        </w:rPr>
      </w:pPr>
      <w:bookmarkStart w:id="5" w:name="_Toc27595"/>
      <w:r>
        <w:rPr>
          <w:rFonts w:hint="eastAsia"/>
          <w:b/>
          <w:bCs/>
          <w:color w:val="auto"/>
          <w:sz w:val="24"/>
          <w:szCs w:val="18"/>
          <w:highlight w:val="none"/>
        </w:rPr>
        <w:t>二</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申请人的</w:t>
      </w:r>
      <w:r>
        <w:rPr>
          <w:rFonts w:hint="eastAsia"/>
          <w:b/>
          <w:bCs/>
          <w:color w:val="auto"/>
          <w:sz w:val="24"/>
          <w:szCs w:val="18"/>
          <w:highlight w:val="none"/>
        </w:rPr>
        <w:t>资格</w:t>
      </w:r>
      <w:bookmarkEnd w:id="4"/>
      <w:r>
        <w:rPr>
          <w:rFonts w:hint="eastAsia"/>
          <w:b/>
          <w:bCs/>
          <w:color w:val="auto"/>
          <w:sz w:val="24"/>
          <w:szCs w:val="18"/>
          <w:highlight w:val="none"/>
          <w:lang w:val="en-US" w:eastAsia="zh-CN"/>
        </w:rPr>
        <w:t>要求</w:t>
      </w:r>
      <w:bookmarkEnd w:id="5"/>
    </w:p>
    <w:p w14:paraId="18A401C8">
      <w:pPr>
        <w:adjustRightInd w:val="0"/>
        <w:snapToGrid w:val="0"/>
        <w:spacing w:line="560" w:lineRule="exact"/>
        <w:ind w:firstLine="480" w:firstLineChars="200"/>
        <w:jc w:val="left"/>
        <w:rPr>
          <w:rFonts w:ascii="宋体" w:hAnsi="宋体" w:eastAsia="宋体" w:cs="宋体"/>
          <w:color w:val="auto"/>
          <w:sz w:val="24"/>
          <w:szCs w:val="24"/>
          <w:highlight w:val="none"/>
        </w:rPr>
      </w:pPr>
      <w:bookmarkStart w:id="6" w:name="_Toc4065"/>
      <w:bookmarkStart w:id="7" w:name="_Toc2855"/>
      <w:r>
        <w:rPr>
          <w:rFonts w:hint="eastAsia" w:ascii="宋体" w:hAnsi="宋体" w:eastAsia="宋体" w:cs="宋体"/>
          <w:color w:val="auto"/>
          <w:sz w:val="24"/>
          <w:szCs w:val="24"/>
          <w:highlight w:val="none"/>
        </w:rPr>
        <w:t>1.满足《中华人民共和国政府采购法》第二十二条规定；</w:t>
      </w:r>
    </w:p>
    <w:p w14:paraId="3B0E1C8C">
      <w:pPr>
        <w:adjustRightInd w:val="0"/>
        <w:snapToGrid w:val="0"/>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p>
    <w:p w14:paraId="70133804">
      <w:pPr>
        <w:adjustRightInd w:val="0"/>
        <w:snapToGrid w:val="0"/>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2.1中小企业政策</w:t>
      </w:r>
    </w:p>
    <w:p w14:paraId="42163A40">
      <w:pPr>
        <w:adjustRightInd w:val="0"/>
        <w:snapToGrid w:val="0"/>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本项目不专门面向中小企业预留采购份额。</w:t>
      </w:r>
    </w:p>
    <w:p w14:paraId="19524369">
      <w:pPr>
        <w:adjustRightInd w:val="0"/>
        <w:snapToGrid w:val="0"/>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本项目专门面向中小企业采购。</w:t>
      </w:r>
    </w:p>
    <w:p w14:paraId="1D042554">
      <w:pPr>
        <w:adjustRightInd w:val="0"/>
        <w:snapToGrid w:val="0"/>
        <w:spacing w:line="560" w:lineRule="exact"/>
        <w:ind w:firstLine="480" w:firstLineChars="200"/>
        <w:jc w:val="left"/>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2.1.3□本项目预留部分采购项目预算专门面向中小企业采购。对于预留份额，提供的货物由符合政策要求的中小企业制造。预留份额通过以下措施进行：</w:t>
      </w:r>
      <w:r>
        <w:rPr>
          <w:rFonts w:hint="eastAsia" w:ascii="宋体" w:hAnsi="宋体" w:eastAsia="宋体" w:cs="宋体"/>
          <w:color w:val="auto"/>
          <w:sz w:val="24"/>
          <w:szCs w:val="24"/>
          <w:highlight w:val="none"/>
          <w:u w:val="single"/>
          <w:lang w:val="en-US" w:eastAsia="zh-CN"/>
        </w:rPr>
        <w:t xml:space="preserve"> </w:t>
      </w:r>
      <w:r>
        <w:rPr>
          <w:rFonts w:hint="eastAsia" w:asciiTheme="minorEastAsia" w:hAnsiTheme="minorEastAsia" w:eastAsiaTheme="minorEastAsia"/>
          <w:color w:val="auto"/>
          <w:sz w:val="24"/>
          <w:highlight w:val="none"/>
          <w:u w:val="single"/>
        </w:rPr>
        <w:t>/</w:t>
      </w:r>
      <w:r>
        <w:rPr>
          <w:rFonts w:hint="eastAsia" w:asciiTheme="minorEastAsia" w:hAnsiTheme="minorEastAsia" w:eastAsiaTheme="minorEastAsia"/>
          <w:color w:val="auto"/>
          <w:sz w:val="24"/>
          <w:highlight w:val="none"/>
          <w:lang w:eastAsia="zh-CN"/>
        </w:rPr>
        <w:t>。</w:t>
      </w:r>
    </w:p>
    <w:p w14:paraId="7F3AB86D">
      <w:pPr>
        <w:adjustRightInd w:val="0"/>
        <w:snapToGrid w:val="0"/>
        <w:spacing w:line="560" w:lineRule="exact"/>
        <w:ind w:firstLine="480" w:firstLineChars="200"/>
        <w:jc w:val="left"/>
        <w:rPr>
          <w:rFonts w:ascii="宋体" w:hAnsi="宋体" w:eastAsia="宋体" w:cs="宋体"/>
          <w:b/>
          <w:bCs/>
          <w:color w:val="auto"/>
          <w:sz w:val="24"/>
          <w:szCs w:val="24"/>
          <w:highlight w:val="none"/>
        </w:rPr>
      </w:pPr>
      <w:r>
        <w:rPr>
          <w:rFonts w:ascii="宋体" w:hAnsi="宋体" w:eastAsia="宋体" w:cs="宋体"/>
          <w:color w:val="auto"/>
          <w:sz w:val="24"/>
          <w:szCs w:val="24"/>
          <w:highlight w:val="none"/>
        </w:rPr>
        <w:t>2.2</w:t>
      </w:r>
      <w:r>
        <w:rPr>
          <w:rFonts w:hint="eastAsia" w:ascii="宋体" w:hAnsi="宋体" w:eastAsia="宋体" w:cs="宋体"/>
          <w:color w:val="auto"/>
          <w:sz w:val="24"/>
          <w:szCs w:val="24"/>
          <w:highlight w:val="none"/>
        </w:rPr>
        <w:t>其它落实政府采购政策的资格要求（如有）：</w:t>
      </w:r>
      <w:r>
        <w:rPr>
          <w:rFonts w:hint="eastAsia" w:ascii="宋体" w:hAnsi="宋体" w:eastAsia="宋体" w:cs="宋体"/>
          <w:color w:val="auto"/>
          <w:sz w:val="24"/>
          <w:szCs w:val="24"/>
          <w:highlight w:val="none"/>
          <w:u w:val="single"/>
          <w:lang w:val="en-US" w:eastAsia="zh-CN"/>
        </w:rPr>
        <w:t xml:space="preserve"> </w:t>
      </w:r>
      <w:r>
        <w:rPr>
          <w:rFonts w:hint="eastAsia" w:asciiTheme="minorEastAsia" w:hAnsiTheme="minorEastAsia" w:eastAsiaTheme="minorEastAsia"/>
          <w:color w:val="auto"/>
          <w:sz w:val="24"/>
          <w:highlight w:val="none"/>
          <w:u w:val="single"/>
        </w:rPr>
        <w:t>/</w:t>
      </w:r>
      <w:r>
        <w:rPr>
          <w:rFonts w:hint="eastAsia" w:ascii="宋体" w:hAnsi="宋体" w:eastAsia="宋体" w:cs="宋体"/>
          <w:b/>
          <w:bCs/>
          <w:color w:val="auto"/>
          <w:sz w:val="24"/>
          <w:szCs w:val="24"/>
          <w:highlight w:val="none"/>
        </w:rPr>
        <w:t>。</w:t>
      </w:r>
    </w:p>
    <w:p w14:paraId="05677BFD">
      <w:pPr>
        <w:numPr>
          <w:ilvl w:val="0"/>
          <w:numId w:val="2"/>
        </w:numPr>
        <w:adjustRightInd w:val="0"/>
        <w:snapToGrid w:val="0"/>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r>
        <w:rPr>
          <w:rFonts w:hint="eastAsia" w:cs="宋体"/>
          <w:color w:val="auto"/>
          <w:sz w:val="24"/>
          <w:szCs w:val="24"/>
          <w:highlight w:val="none"/>
          <w:lang w:eastAsia="zh-CN"/>
        </w:rPr>
        <w:t>（</w:t>
      </w:r>
      <w:r>
        <w:rPr>
          <w:rFonts w:hint="eastAsia" w:cs="宋体"/>
          <w:color w:val="auto"/>
          <w:sz w:val="24"/>
          <w:szCs w:val="24"/>
          <w:highlight w:val="none"/>
          <w:lang w:val="en-US" w:eastAsia="zh-CN"/>
        </w:rPr>
        <w:t>第2包）</w:t>
      </w:r>
      <w:r>
        <w:rPr>
          <w:rFonts w:hint="eastAsia" w:ascii="宋体" w:hAnsi="宋体" w:eastAsia="宋体" w:cs="宋体"/>
          <w:color w:val="auto"/>
          <w:sz w:val="24"/>
          <w:szCs w:val="24"/>
          <w:highlight w:val="none"/>
        </w:rPr>
        <w:t>的特定资格要求：</w:t>
      </w:r>
    </w:p>
    <w:p w14:paraId="4A8AEE61">
      <w:pPr>
        <w:numPr>
          <w:ilvl w:val="0"/>
          <w:numId w:val="0"/>
        </w:numPr>
        <w:adjustRightInd w:val="0"/>
        <w:snapToGrid w:val="0"/>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具有有效的电子与智能化工程专业承包二级及以上资质，且具有有效的安全生产许可证；</w:t>
      </w:r>
    </w:p>
    <w:p w14:paraId="0B8BF084">
      <w:pPr>
        <w:adjustRightInd w:val="0"/>
        <w:snapToGrid w:val="0"/>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bookmarkStart w:id="8" w:name="OLE_LINK3"/>
      <w:r>
        <w:rPr>
          <w:rFonts w:hint="eastAsia" w:ascii="宋体" w:hAnsi="宋体" w:eastAsia="宋体" w:cs="宋体"/>
          <w:color w:val="auto"/>
          <w:sz w:val="24"/>
          <w:szCs w:val="24"/>
          <w:highlight w:val="none"/>
        </w:rPr>
        <w:t>拟任项目经理具有有效的机电工程专业二级及以上建造师注册证书，且具有有效的</w:t>
      </w:r>
      <w:r>
        <w:rPr>
          <w:rFonts w:hint="eastAsia" w:cs="宋体"/>
          <w:color w:val="auto"/>
          <w:sz w:val="24"/>
          <w:szCs w:val="24"/>
          <w:highlight w:val="none"/>
          <w:lang w:val="en-US" w:eastAsia="zh-CN"/>
        </w:rPr>
        <w:t>相关主管部门颁发的</w:t>
      </w:r>
      <w:r>
        <w:rPr>
          <w:rFonts w:hint="eastAsia" w:ascii="宋体" w:hAnsi="宋体" w:eastAsia="宋体" w:cs="宋体"/>
          <w:color w:val="auto"/>
          <w:sz w:val="24"/>
          <w:szCs w:val="24"/>
          <w:highlight w:val="none"/>
        </w:rPr>
        <w:t>安全生产考核合格B证。</w:t>
      </w:r>
      <w:bookmarkEnd w:id="8"/>
    </w:p>
    <w:p w14:paraId="52FA5B0D">
      <w:pPr>
        <w:spacing w:line="360" w:lineRule="auto"/>
        <w:ind w:firstLine="435"/>
        <w:outlineLvl w:val="1"/>
        <w:rPr>
          <w:rFonts w:hint="eastAsia"/>
          <w:b/>
          <w:bCs/>
          <w:color w:val="auto"/>
          <w:sz w:val="24"/>
          <w:szCs w:val="18"/>
          <w:highlight w:val="none"/>
          <w:lang w:val="en-US" w:eastAsia="zh-CN"/>
        </w:rPr>
      </w:pPr>
      <w:r>
        <w:rPr>
          <w:rFonts w:hint="eastAsia"/>
          <w:b/>
          <w:bCs/>
          <w:color w:val="auto"/>
          <w:sz w:val="24"/>
          <w:szCs w:val="18"/>
          <w:highlight w:val="none"/>
          <w:lang w:val="en-US" w:eastAsia="zh-CN"/>
        </w:rPr>
        <w:t>三、</w:t>
      </w:r>
      <w:bookmarkEnd w:id="6"/>
      <w:r>
        <w:rPr>
          <w:rFonts w:hint="eastAsia"/>
          <w:b/>
          <w:bCs/>
          <w:color w:val="auto"/>
          <w:sz w:val="24"/>
          <w:szCs w:val="18"/>
          <w:highlight w:val="none"/>
          <w:lang w:val="en-US" w:eastAsia="zh-CN"/>
        </w:rPr>
        <w:t>获取采购文件</w:t>
      </w:r>
      <w:bookmarkEnd w:id="7"/>
    </w:p>
    <w:p w14:paraId="17308219">
      <w:pPr>
        <w:spacing w:line="360" w:lineRule="auto"/>
        <w:ind w:firstLine="540"/>
        <w:rPr>
          <w:rFonts w:hint="eastAsia" w:ascii="宋体" w:hAnsi="宋体" w:eastAsia="宋体" w:cs="宋体"/>
          <w:color w:val="auto"/>
          <w:sz w:val="24"/>
          <w:szCs w:val="24"/>
          <w:highlight w:val="none"/>
          <w:u w:val="none"/>
        </w:rPr>
      </w:pPr>
      <w:bookmarkStart w:id="9" w:name="_Toc16910"/>
      <w:r>
        <w:rPr>
          <w:rFonts w:hint="eastAsia" w:ascii="宋体" w:hAnsi="宋体" w:eastAsia="宋体" w:cs="宋体"/>
          <w:color w:val="auto"/>
          <w:sz w:val="24"/>
          <w:szCs w:val="24"/>
          <w:highlight w:val="none"/>
        </w:rPr>
        <w:t>时间：</w:t>
      </w:r>
      <w:r>
        <w:rPr>
          <w:rFonts w:hint="eastAsia" w:cs="宋体"/>
          <w:color w:val="auto"/>
          <w:sz w:val="24"/>
          <w:szCs w:val="24"/>
          <w:highlight w:val="none"/>
          <w:u w:val="none"/>
          <w:lang w:val="en-US" w:eastAsia="zh-CN"/>
        </w:rPr>
        <w:t>2025年10月14日</w:t>
      </w:r>
      <w:r>
        <w:rPr>
          <w:rFonts w:hint="eastAsia" w:ascii="宋体" w:hAnsi="宋体" w:eastAsia="宋体" w:cs="宋体"/>
          <w:color w:val="auto"/>
          <w:sz w:val="24"/>
          <w:szCs w:val="24"/>
          <w:highlight w:val="none"/>
          <w:u w:val="none"/>
        </w:rPr>
        <w:t>至</w:t>
      </w:r>
      <w:r>
        <w:rPr>
          <w:rFonts w:hint="eastAsia" w:cs="宋体"/>
          <w:color w:val="auto"/>
          <w:sz w:val="24"/>
          <w:szCs w:val="24"/>
          <w:highlight w:val="none"/>
          <w:u w:val="none"/>
          <w:lang w:val="en-US" w:eastAsia="zh-CN"/>
        </w:rPr>
        <w:t>2025年10月27日</w:t>
      </w:r>
      <w:r>
        <w:rPr>
          <w:rFonts w:hint="eastAsia" w:ascii="宋体" w:hAnsi="宋体" w:eastAsia="宋体" w:cs="宋体"/>
          <w:color w:val="auto"/>
          <w:sz w:val="24"/>
          <w:szCs w:val="24"/>
          <w:highlight w:val="none"/>
          <w:u w:val="none"/>
        </w:rPr>
        <w:t>，每天上午</w:t>
      </w:r>
      <w:r>
        <w:rPr>
          <w:rFonts w:hint="eastAsia" w:cs="宋体"/>
          <w:color w:val="auto"/>
          <w:sz w:val="24"/>
          <w:szCs w:val="24"/>
          <w:highlight w:val="none"/>
          <w:u w:val="none"/>
          <w:lang w:val="en-US" w:eastAsia="zh-CN"/>
        </w:rPr>
        <w:t>0：00</w:t>
      </w:r>
      <w:r>
        <w:rPr>
          <w:rFonts w:hint="eastAsia" w:ascii="宋体" w:hAnsi="宋体" w:eastAsia="宋体" w:cs="宋体"/>
          <w:color w:val="auto"/>
          <w:sz w:val="24"/>
          <w:szCs w:val="24"/>
          <w:highlight w:val="none"/>
          <w:u w:val="none"/>
        </w:rPr>
        <w:t>至</w:t>
      </w:r>
      <w:r>
        <w:rPr>
          <w:rFonts w:hint="eastAsia" w:cs="宋体"/>
          <w:color w:val="auto"/>
          <w:sz w:val="24"/>
          <w:szCs w:val="24"/>
          <w:highlight w:val="none"/>
          <w:u w:val="none"/>
          <w:lang w:val="en-US" w:eastAsia="zh-CN"/>
        </w:rPr>
        <w:t>12：00</w:t>
      </w:r>
      <w:r>
        <w:rPr>
          <w:rFonts w:hint="eastAsia" w:ascii="宋体" w:hAnsi="宋体" w:eastAsia="宋体" w:cs="宋体"/>
          <w:color w:val="auto"/>
          <w:sz w:val="24"/>
          <w:szCs w:val="24"/>
          <w:highlight w:val="none"/>
          <w:u w:val="none"/>
        </w:rPr>
        <w:t>，下午</w:t>
      </w:r>
      <w:r>
        <w:rPr>
          <w:rFonts w:hint="eastAsia" w:cs="宋体"/>
          <w:color w:val="auto"/>
          <w:sz w:val="24"/>
          <w:szCs w:val="24"/>
          <w:highlight w:val="none"/>
          <w:u w:val="none"/>
          <w:lang w:val="en-US" w:eastAsia="zh-CN"/>
        </w:rPr>
        <w:t>12：00</w:t>
      </w:r>
      <w:r>
        <w:rPr>
          <w:rFonts w:hint="eastAsia" w:ascii="宋体" w:hAnsi="宋体" w:eastAsia="宋体" w:cs="宋体"/>
          <w:color w:val="auto"/>
          <w:sz w:val="24"/>
          <w:szCs w:val="24"/>
          <w:highlight w:val="none"/>
          <w:u w:val="none"/>
        </w:rPr>
        <w:t>至</w:t>
      </w:r>
      <w:r>
        <w:rPr>
          <w:rFonts w:hint="eastAsia" w:cs="宋体"/>
          <w:color w:val="auto"/>
          <w:sz w:val="24"/>
          <w:szCs w:val="24"/>
          <w:highlight w:val="none"/>
          <w:u w:val="none"/>
          <w:lang w:val="en-US" w:eastAsia="zh-CN"/>
        </w:rPr>
        <w:t>23：59</w:t>
      </w:r>
      <w:r>
        <w:rPr>
          <w:rFonts w:hint="eastAsia" w:ascii="宋体" w:hAnsi="宋体" w:eastAsia="宋体" w:cs="宋体"/>
          <w:color w:val="auto"/>
          <w:sz w:val="24"/>
          <w:szCs w:val="24"/>
          <w:highlight w:val="none"/>
          <w:u w:val="none"/>
          <w:lang w:val="en-US" w:eastAsia="zh-CN"/>
        </w:rPr>
        <w:t xml:space="preserve">  </w:t>
      </w:r>
    </w:p>
    <w:p w14:paraId="62BFC217">
      <w:pPr>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点：“徽采云”电子交易系统</w:t>
      </w:r>
    </w:p>
    <w:p w14:paraId="5E1BA01B">
      <w:pPr>
        <w:spacing w:line="360" w:lineRule="auto"/>
        <w:ind w:firstLine="435"/>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w:t>
      </w:r>
      <w:bookmarkStart w:id="10" w:name="_Toc1322"/>
      <w:r>
        <w:rPr>
          <w:rFonts w:hint="eastAsia" w:ascii="宋体" w:hAnsi="宋体" w:eastAsia="宋体" w:cs="宋体"/>
          <w:color w:val="auto"/>
          <w:sz w:val="24"/>
          <w:szCs w:val="24"/>
          <w:highlight w:val="none"/>
        </w:rPr>
        <w:t>（潜在供应商须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5A2B0DC8">
      <w:pPr>
        <w:spacing w:line="360" w:lineRule="auto"/>
        <w:ind w:firstLine="435"/>
        <w:outlineLvl w:val="1"/>
        <w:rPr>
          <w:rFonts w:hint="eastAsia"/>
          <w:b/>
          <w:bCs/>
          <w:color w:val="auto"/>
          <w:sz w:val="24"/>
          <w:highlight w:val="none"/>
        </w:rPr>
      </w:pPr>
      <w:r>
        <w:rPr>
          <w:rFonts w:hint="eastAsia"/>
          <w:b/>
          <w:bCs/>
          <w:color w:val="auto"/>
          <w:sz w:val="24"/>
          <w:highlight w:val="none"/>
        </w:rPr>
        <w:t>四、</w:t>
      </w:r>
      <w:bookmarkEnd w:id="9"/>
      <w:r>
        <w:rPr>
          <w:rFonts w:hint="eastAsia"/>
          <w:b/>
          <w:bCs/>
          <w:color w:val="auto"/>
          <w:sz w:val="24"/>
          <w:highlight w:val="none"/>
        </w:rPr>
        <w:t>响应文件提交</w:t>
      </w:r>
      <w:bookmarkEnd w:id="10"/>
    </w:p>
    <w:p w14:paraId="60B568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u w:val="none"/>
        </w:rPr>
      </w:pPr>
      <w:bookmarkStart w:id="11" w:name="_Toc11944"/>
      <w:r>
        <w:rPr>
          <w:rFonts w:hint="eastAsia" w:asciiTheme="minorEastAsia" w:hAnsiTheme="minorEastAsia" w:eastAsiaTheme="minorEastAsia" w:cstheme="minorEastAsia"/>
          <w:color w:val="auto"/>
          <w:sz w:val="24"/>
          <w:szCs w:val="24"/>
          <w:highlight w:val="none"/>
        </w:rPr>
        <w:t>截止时间</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u w:val="none"/>
          <w:lang w:val="en-US" w:eastAsia="zh-CN"/>
        </w:rPr>
        <w:t>2025年</w:t>
      </w:r>
      <w:r>
        <w:rPr>
          <w:rFonts w:hint="eastAsia" w:cs="宋体"/>
          <w:color w:val="auto"/>
          <w:sz w:val="24"/>
          <w:szCs w:val="24"/>
          <w:highlight w:val="none"/>
          <w:u w:val="none"/>
          <w:lang w:val="en-US" w:eastAsia="zh-CN"/>
        </w:rPr>
        <w:t>10月27日</w:t>
      </w:r>
      <w:r>
        <w:rPr>
          <w:rFonts w:hint="eastAsia" w:asciiTheme="minorEastAsia" w:hAnsiTheme="minorEastAsia" w:eastAsiaTheme="minorEastAsia" w:cstheme="minorEastAsia"/>
          <w:bCs/>
          <w:color w:val="auto"/>
          <w:sz w:val="24"/>
          <w:szCs w:val="24"/>
          <w:highlight w:val="none"/>
          <w:u w:val="none"/>
          <w:lang w:val="en-US" w:eastAsia="zh-CN"/>
        </w:rPr>
        <w:t>10</w:t>
      </w:r>
      <w:r>
        <w:rPr>
          <w:rFonts w:hint="eastAsia" w:asciiTheme="minorEastAsia" w:hAnsiTheme="minorEastAsia" w:eastAsiaTheme="minorEastAsia" w:cstheme="minorEastAsia"/>
          <w:bCs/>
          <w:color w:val="auto"/>
          <w:sz w:val="24"/>
          <w:szCs w:val="24"/>
          <w:highlight w:val="none"/>
          <w:u w:val="none"/>
        </w:rPr>
        <w:t>点</w:t>
      </w:r>
      <w:r>
        <w:rPr>
          <w:rFonts w:hint="eastAsia" w:asciiTheme="minorEastAsia" w:hAnsiTheme="minorEastAsia" w:eastAsiaTheme="minorEastAsia" w:cstheme="minorEastAsia"/>
          <w:bCs/>
          <w:color w:val="auto"/>
          <w:sz w:val="24"/>
          <w:szCs w:val="24"/>
          <w:highlight w:val="none"/>
          <w:u w:val="none"/>
          <w:lang w:val="en-US" w:eastAsia="zh-CN"/>
        </w:rPr>
        <w:t>30</w:t>
      </w:r>
      <w:r>
        <w:rPr>
          <w:rFonts w:hint="eastAsia" w:asciiTheme="minorEastAsia" w:hAnsiTheme="minorEastAsia" w:eastAsiaTheme="minorEastAsia" w:cstheme="minorEastAsia"/>
          <w:bCs/>
          <w:color w:val="auto"/>
          <w:sz w:val="24"/>
          <w:szCs w:val="24"/>
          <w:highlight w:val="none"/>
          <w:u w:val="none"/>
        </w:rPr>
        <w:t>分</w:t>
      </w:r>
      <w:r>
        <w:rPr>
          <w:rFonts w:hint="eastAsia" w:asciiTheme="minorEastAsia" w:hAnsiTheme="minorEastAsia" w:eastAsiaTheme="minorEastAsia" w:cstheme="minorEastAsia"/>
          <w:bCs/>
          <w:color w:val="auto"/>
          <w:sz w:val="24"/>
          <w:szCs w:val="24"/>
          <w:highlight w:val="none"/>
        </w:rPr>
        <w:t>（北京时间）</w:t>
      </w:r>
    </w:p>
    <w:p w14:paraId="179297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18"/>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宋体" w:hAnsi="宋体" w:eastAsia="宋体" w:cs="宋体"/>
          <w:color w:val="auto"/>
          <w:sz w:val="24"/>
          <w:szCs w:val="24"/>
          <w:highlight w:val="none"/>
        </w:rPr>
        <w:t>“徽采云”电子交易系统</w:t>
      </w:r>
    </w:p>
    <w:p w14:paraId="0B798BB1">
      <w:pPr>
        <w:spacing w:line="360" w:lineRule="auto"/>
        <w:ind w:firstLine="435"/>
        <w:outlineLvl w:val="1"/>
        <w:rPr>
          <w:rFonts w:hint="eastAsia"/>
          <w:b/>
          <w:bCs/>
          <w:color w:val="auto"/>
          <w:sz w:val="24"/>
          <w:highlight w:val="none"/>
        </w:rPr>
      </w:pPr>
      <w:bookmarkStart w:id="12" w:name="_Toc35393802"/>
      <w:bookmarkStart w:id="13" w:name="_Toc35393633"/>
      <w:bookmarkStart w:id="14" w:name="_Toc28359016"/>
      <w:bookmarkStart w:id="15" w:name="_Toc27720"/>
      <w:bookmarkStart w:id="16" w:name="_Toc28359093"/>
      <w:r>
        <w:rPr>
          <w:rFonts w:hint="eastAsia"/>
          <w:b/>
          <w:bCs/>
          <w:color w:val="auto"/>
          <w:sz w:val="24"/>
          <w:highlight w:val="none"/>
        </w:rPr>
        <w:t>五、开启</w:t>
      </w:r>
      <w:bookmarkEnd w:id="12"/>
      <w:bookmarkEnd w:id="13"/>
      <w:bookmarkEnd w:id="14"/>
      <w:bookmarkEnd w:id="15"/>
      <w:bookmarkEnd w:id="16"/>
    </w:p>
    <w:p w14:paraId="5C4A6A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时间：</w:t>
      </w:r>
      <w:r>
        <w:rPr>
          <w:rFonts w:hint="eastAsia" w:asciiTheme="minorEastAsia" w:hAnsiTheme="minorEastAsia" w:eastAsiaTheme="minorEastAsia" w:cstheme="minorEastAsia"/>
          <w:bCs/>
          <w:color w:val="auto"/>
          <w:sz w:val="24"/>
          <w:szCs w:val="24"/>
          <w:highlight w:val="none"/>
          <w:u w:val="none"/>
          <w:lang w:val="en-US" w:eastAsia="zh-CN"/>
        </w:rPr>
        <w:t>2025年</w:t>
      </w:r>
      <w:r>
        <w:rPr>
          <w:rFonts w:hint="eastAsia" w:cs="宋体"/>
          <w:color w:val="auto"/>
          <w:sz w:val="24"/>
          <w:szCs w:val="24"/>
          <w:highlight w:val="none"/>
          <w:u w:val="none"/>
          <w:lang w:val="en-US" w:eastAsia="zh-CN"/>
        </w:rPr>
        <w:t>10月27日</w:t>
      </w:r>
      <w:r>
        <w:rPr>
          <w:rFonts w:hint="eastAsia" w:asciiTheme="minorEastAsia" w:hAnsiTheme="minorEastAsia" w:eastAsiaTheme="minorEastAsia" w:cstheme="minorEastAsia"/>
          <w:bCs/>
          <w:color w:val="auto"/>
          <w:sz w:val="24"/>
          <w:szCs w:val="24"/>
          <w:highlight w:val="none"/>
          <w:u w:val="none"/>
          <w:lang w:val="en-US" w:eastAsia="zh-CN"/>
        </w:rPr>
        <w:t>10</w:t>
      </w:r>
      <w:r>
        <w:rPr>
          <w:rFonts w:hint="eastAsia" w:asciiTheme="minorEastAsia" w:hAnsiTheme="minorEastAsia" w:eastAsiaTheme="minorEastAsia" w:cstheme="minorEastAsia"/>
          <w:bCs/>
          <w:color w:val="auto"/>
          <w:sz w:val="24"/>
          <w:szCs w:val="24"/>
          <w:highlight w:val="none"/>
          <w:u w:val="none"/>
        </w:rPr>
        <w:t>点</w:t>
      </w:r>
      <w:r>
        <w:rPr>
          <w:rFonts w:hint="eastAsia" w:asciiTheme="minorEastAsia" w:hAnsiTheme="minorEastAsia" w:eastAsiaTheme="minorEastAsia" w:cstheme="minorEastAsia"/>
          <w:bCs/>
          <w:color w:val="auto"/>
          <w:sz w:val="24"/>
          <w:szCs w:val="24"/>
          <w:highlight w:val="none"/>
          <w:u w:val="none"/>
          <w:lang w:val="en-US" w:eastAsia="zh-CN"/>
        </w:rPr>
        <w:t>30</w:t>
      </w:r>
      <w:r>
        <w:rPr>
          <w:rFonts w:hint="eastAsia" w:asciiTheme="minorEastAsia" w:hAnsiTheme="minorEastAsia" w:eastAsiaTheme="minorEastAsia" w:cstheme="minorEastAsia"/>
          <w:bCs/>
          <w:color w:val="auto"/>
          <w:sz w:val="24"/>
          <w:szCs w:val="24"/>
          <w:highlight w:val="none"/>
          <w:u w:val="none"/>
        </w:rPr>
        <w:t>分</w:t>
      </w:r>
      <w:r>
        <w:rPr>
          <w:rFonts w:hint="eastAsia" w:ascii="宋体" w:hAnsi="宋体" w:eastAsia="宋体" w:cs="宋体"/>
          <w:bCs/>
          <w:color w:val="auto"/>
          <w:sz w:val="24"/>
          <w:szCs w:val="24"/>
          <w:highlight w:val="none"/>
        </w:rPr>
        <w:t>（北京时间）</w:t>
      </w:r>
    </w:p>
    <w:p w14:paraId="545DFF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rPr>
      </w:pPr>
      <w:r>
        <w:rPr>
          <w:rFonts w:hint="eastAsia" w:ascii="宋体" w:hAnsi="宋体" w:eastAsia="宋体" w:cs="宋体"/>
          <w:color w:val="auto"/>
          <w:sz w:val="24"/>
          <w:szCs w:val="24"/>
          <w:highlight w:val="none"/>
        </w:rPr>
        <w:t>地点：“徽采云”电子交易系统</w:t>
      </w:r>
    </w:p>
    <w:p w14:paraId="38B8D64C">
      <w:pPr>
        <w:spacing w:line="360" w:lineRule="auto"/>
        <w:ind w:firstLine="435"/>
        <w:outlineLvl w:val="1"/>
        <w:rPr>
          <w:rFonts w:hint="eastAsia"/>
          <w:b/>
          <w:bCs/>
          <w:color w:val="auto"/>
          <w:sz w:val="24"/>
          <w:highlight w:val="none"/>
        </w:rPr>
      </w:pPr>
      <w:bookmarkStart w:id="17" w:name="_Toc24365"/>
      <w:r>
        <w:rPr>
          <w:rFonts w:hint="eastAsia"/>
          <w:b/>
          <w:bCs/>
          <w:color w:val="auto"/>
          <w:sz w:val="24"/>
          <w:highlight w:val="none"/>
          <w:lang w:val="en-US" w:eastAsia="zh-CN"/>
        </w:rPr>
        <w:t>六</w:t>
      </w:r>
      <w:r>
        <w:rPr>
          <w:rFonts w:hint="eastAsia"/>
          <w:b/>
          <w:bCs/>
          <w:color w:val="auto"/>
          <w:sz w:val="24"/>
          <w:highlight w:val="none"/>
        </w:rPr>
        <w:t>、</w:t>
      </w:r>
      <w:bookmarkEnd w:id="11"/>
      <w:r>
        <w:rPr>
          <w:rFonts w:hint="eastAsia"/>
          <w:b/>
          <w:bCs/>
          <w:color w:val="auto"/>
          <w:sz w:val="24"/>
          <w:highlight w:val="none"/>
        </w:rPr>
        <w:t>公告期限</w:t>
      </w:r>
      <w:bookmarkEnd w:id="17"/>
    </w:p>
    <w:p w14:paraId="74AB0C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bookmarkStart w:id="18" w:name="_Toc7722"/>
      <w:r>
        <w:rPr>
          <w:rFonts w:hint="eastAsia" w:ascii="宋体" w:hAnsi="宋体" w:eastAsia="宋体" w:cs="宋体"/>
          <w:color w:val="auto"/>
          <w:sz w:val="24"/>
          <w:szCs w:val="24"/>
          <w:highlight w:val="none"/>
        </w:rPr>
        <w:t>自本公告发布之日起3个工作日。</w:t>
      </w:r>
    </w:p>
    <w:p w14:paraId="095E340B">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9" w:name="_Toc35393626"/>
      <w:bookmarkStart w:id="20" w:name="_Toc35393795"/>
      <w:bookmarkStart w:id="21" w:name="_Toc22198"/>
      <w:r>
        <w:rPr>
          <w:rFonts w:hint="eastAsia"/>
          <w:b/>
          <w:bCs/>
          <w:color w:val="auto"/>
          <w:sz w:val="24"/>
          <w:szCs w:val="18"/>
          <w:highlight w:val="none"/>
          <w:lang w:val="en-US" w:eastAsia="zh-CN"/>
        </w:rPr>
        <w:t>七</w:t>
      </w:r>
      <w:r>
        <w:rPr>
          <w:rFonts w:hint="eastAsia" w:ascii="宋体" w:hAnsi="宋体" w:eastAsia="宋体"/>
          <w:b/>
          <w:bCs/>
          <w:color w:val="auto"/>
          <w:sz w:val="24"/>
          <w:szCs w:val="18"/>
          <w:highlight w:val="none"/>
        </w:rPr>
        <w:t>、其他补充事宜</w:t>
      </w:r>
      <w:bookmarkEnd w:id="19"/>
      <w:bookmarkEnd w:id="20"/>
      <w:bookmarkEnd w:id="21"/>
    </w:p>
    <w:p w14:paraId="0894BF72">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rPr>
        <w:t>项目采用全流程电子化采购方式，</w:t>
      </w:r>
      <w:r>
        <w:rPr>
          <w:rFonts w:hint="eastAsia" w:ascii="宋体" w:hAnsi="宋体" w:eastAsia="宋体"/>
          <w:b w:val="0"/>
          <w:bCs w:val="0"/>
          <w:color w:val="auto"/>
          <w:sz w:val="24"/>
          <w:szCs w:val="18"/>
          <w:highlight w:val="none"/>
          <w:lang w:val="en-US" w:eastAsia="zh-CN"/>
        </w:rPr>
        <w:t>相关操作说明如下：</w:t>
      </w:r>
    </w:p>
    <w:p w14:paraId="48FAE054">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rPr>
        <w:t>1.本项目落实节能环保、中小微型企业扶持等相关政府采购政策。</w:t>
      </w:r>
    </w:p>
    <w:p w14:paraId="03C5E033">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rPr>
        <w:t>2.本次竞争性磋商公告同时在安徽省政府采购网、</w:t>
      </w:r>
      <w:r>
        <w:rPr>
          <w:rFonts w:hint="eastAsia" w:ascii="宋体" w:hAnsi="宋体" w:eastAsia="宋体"/>
          <w:b w:val="0"/>
          <w:bCs w:val="0"/>
          <w:color w:val="auto"/>
          <w:sz w:val="24"/>
          <w:szCs w:val="18"/>
          <w:highlight w:val="none"/>
          <w:lang w:val="en-US" w:eastAsia="zh-CN"/>
        </w:rPr>
        <w:t>安徽省水利厅-安徽省淮河河道管理局网</w:t>
      </w:r>
      <w:r>
        <w:rPr>
          <w:rFonts w:hint="default" w:ascii="宋体" w:hAnsi="宋体" w:eastAsia="宋体"/>
          <w:b w:val="0"/>
          <w:bCs w:val="0"/>
          <w:color w:val="auto"/>
          <w:sz w:val="24"/>
          <w:szCs w:val="18"/>
          <w:highlight w:val="none"/>
        </w:rPr>
        <w:t>上发布。</w:t>
      </w:r>
    </w:p>
    <w:p w14:paraId="67F7EE21">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rPr>
        <w:t>3.供应商应合理安排磋商文件获取时间，特别是网络速度慢的地区防止在系统关闭前网络拥堵无法操作。如果因计算机及网络故障造成无法完成磋商文件获取，责任自负。</w:t>
      </w:r>
    </w:p>
    <w:p w14:paraId="436A1E59">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lang w:val="en-US" w:eastAsia="zh-CN"/>
        </w:rPr>
        <w:t>4</w:t>
      </w:r>
      <w:r>
        <w:rPr>
          <w:rFonts w:hint="default" w:ascii="宋体" w:hAnsi="宋体" w:eastAsia="宋体"/>
          <w:b w:val="0"/>
          <w:bCs w:val="0"/>
          <w:color w:val="auto"/>
          <w:sz w:val="24"/>
          <w:szCs w:val="18"/>
          <w:highlight w:val="none"/>
        </w:rPr>
        <w:t>.</w:t>
      </w:r>
      <w:r>
        <w:rPr>
          <w:rFonts w:hint="eastAsia" w:ascii="宋体" w:hAnsi="宋体" w:eastAsia="宋体"/>
          <w:b w:val="0"/>
          <w:bCs w:val="0"/>
          <w:color w:val="auto"/>
          <w:sz w:val="24"/>
          <w:szCs w:val="18"/>
          <w:highlight w:val="none"/>
          <w:lang w:eastAsia="zh-CN"/>
        </w:rPr>
        <w:t>响应</w:t>
      </w:r>
      <w:r>
        <w:rPr>
          <w:rFonts w:hint="default" w:ascii="宋体" w:hAnsi="宋体" w:eastAsia="宋体"/>
          <w:b w:val="0"/>
          <w:bCs w:val="0"/>
          <w:color w:val="auto"/>
          <w:sz w:val="24"/>
          <w:szCs w:val="18"/>
          <w:highlight w:val="none"/>
        </w:rPr>
        <w:t>文件的提交要求：</w:t>
      </w:r>
    </w:p>
    <w:p w14:paraId="06BC6A8B">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rPr>
        <w:t>供应商应当在</w:t>
      </w:r>
      <w:r>
        <w:rPr>
          <w:rFonts w:hint="eastAsia" w:ascii="宋体" w:hAnsi="宋体" w:eastAsia="宋体"/>
          <w:b w:val="0"/>
          <w:bCs w:val="0"/>
          <w:color w:val="auto"/>
          <w:sz w:val="24"/>
          <w:szCs w:val="18"/>
          <w:highlight w:val="none"/>
          <w:lang w:eastAsia="zh-CN"/>
        </w:rPr>
        <w:t>响应</w:t>
      </w:r>
      <w:r>
        <w:rPr>
          <w:rFonts w:hint="default" w:ascii="宋体" w:hAnsi="宋体" w:eastAsia="宋体"/>
          <w:b w:val="0"/>
          <w:bCs w:val="0"/>
          <w:color w:val="auto"/>
          <w:sz w:val="24"/>
          <w:szCs w:val="18"/>
          <w:highlight w:val="none"/>
        </w:rPr>
        <w:t>文件提交截止时间前通过“徽采云”电子交易系统上传加密的电子</w:t>
      </w:r>
      <w:r>
        <w:rPr>
          <w:rFonts w:hint="eastAsia" w:ascii="宋体" w:hAnsi="宋体" w:eastAsia="宋体"/>
          <w:b w:val="0"/>
          <w:bCs w:val="0"/>
          <w:color w:val="auto"/>
          <w:sz w:val="24"/>
          <w:szCs w:val="18"/>
          <w:highlight w:val="none"/>
          <w:lang w:eastAsia="zh-CN"/>
        </w:rPr>
        <w:t>响应</w:t>
      </w:r>
      <w:r>
        <w:rPr>
          <w:rFonts w:hint="default" w:ascii="宋体" w:hAnsi="宋体" w:eastAsia="宋体"/>
          <w:b w:val="0"/>
          <w:bCs w:val="0"/>
          <w:color w:val="auto"/>
          <w:sz w:val="24"/>
          <w:szCs w:val="18"/>
          <w:highlight w:val="none"/>
        </w:rPr>
        <w:t>文件，未在</w:t>
      </w:r>
      <w:r>
        <w:rPr>
          <w:rFonts w:hint="eastAsia" w:ascii="宋体" w:hAnsi="宋体" w:eastAsia="宋体"/>
          <w:b w:val="0"/>
          <w:bCs w:val="0"/>
          <w:color w:val="auto"/>
          <w:sz w:val="24"/>
          <w:szCs w:val="18"/>
          <w:highlight w:val="none"/>
          <w:lang w:eastAsia="zh-CN"/>
        </w:rPr>
        <w:t>响应</w:t>
      </w:r>
      <w:r>
        <w:rPr>
          <w:rFonts w:hint="default" w:ascii="宋体" w:hAnsi="宋体" w:eastAsia="宋体"/>
          <w:b w:val="0"/>
          <w:bCs w:val="0"/>
          <w:color w:val="auto"/>
          <w:sz w:val="24"/>
          <w:szCs w:val="18"/>
          <w:highlight w:val="none"/>
        </w:rPr>
        <w:t>文件提交截止时间前完成上传的，视为逾期送达，拒绝接收。</w:t>
      </w:r>
    </w:p>
    <w:p w14:paraId="3DFABEFF">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lang w:val="en-US" w:eastAsia="zh-CN"/>
        </w:rPr>
        <w:t>5</w:t>
      </w:r>
      <w:r>
        <w:rPr>
          <w:rFonts w:hint="default" w:ascii="宋体" w:hAnsi="宋体" w:eastAsia="宋体"/>
          <w:b w:val="0"/>
          <w:bCs w:val="0"/>
          <w:color w:val="auto"/>
          <w:sz w:val="24"/>
          <w:szCs w:val="18"/>
          <w:highlight w:val="none"/>
        </w:rPr>
        <w:t>.电子招</w:t>
      </w:r>
      <w:r>
        <w:rPr>
          <w:rFonts w:hint="eastAsia" w:ascii="宋体" w:hAnsi="宋体" w:eastAsia="宋体"/>
          <w:b w:val="0"/>
          <w:bCs w:val="0"/>
          <w:color w:val="auto"/>
          <w:sz w:val="24"/>
          <w:szCs w:val="18"/>
          <w:highlight w:val="none"/>
          <w:lang w:eastAsia="zh-CN"/>
        </w:rPr>
        <w:t>响应</w:t>
      </w:r>
      <w:r>
        <w:rPr>
          <w:rFonts w:hint="default" w:ascii="宋体" w:hAnsi="宋体" w:eastAsia="宋体"/>
          <w:b w:val="0"/>
          <w:bCs w:val="0"/>
          <w:color w:val="auto"/>
          <w:sz w:val="24"/>
          <w:szCs w:val="18"/>
          <w:highlight w:val="none"/>
        </w:rPr>
        <w:t>的说明</w:t>
      </w:r>
    </w:p>
    <w:p w14:paraId="57390B91">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lang w:val="en-US" w:eastAsia="zh-CN"/>
        </w:rPr>
        <w:t>5</w:t>
      </w:r>
      <w:r>
        <w:rPr>
          <w:rFonts w:hint="default" w:ascii="宋体" w:hAnsi="宋体" w:eastAsia="宋体"/>
          <w:b w:val="0"/>
          <w:bCs w:val="0"/>
          <w:color w:val="auto"/>
          <w:sz w:val="24"/>
          <w:szCs w:val="18"/>
          <w:highlight w:val="none"/>
        </w:rPr>
        <w:t>.1电子招</w:t>
      </w:r>
      <w:r>
        <w:rPr>
          <w:rFonts w:hint="eastAsia" w:ascii="宋体" w:hAnsi="宋体" w:eastAsia="宋体"/>
          <w:b w:val="0"/>
          <w:bCs w:val="0"/>
          <w:color w:val="auto"/>
          <w:sz w:val="24"/>
          <w:szCs w:val="18"/>
          <w:highlight w:val="none"/>
          <w:lang w:eastAsia="zh-CN"/>
        </w:rPr>
        <w:t>响应</w:t>
      </w:r>
      <w:r>
        <w:rPr>
          <w:rFonts w:hint="default" w:ascii="宋体" w:hAnsi="宋体" w:eastAsia="宋体"/>
          <w:b w:val="0"/>
          <w:bCs w:val="0"/>
          <w:color w:val="auto"/>
          <w:sz w:val="24"/>
          <w:szCs w:val="18"/>
          <w:highlight w:val="none"/>
        </w:rPr>
        <w:t>：本项目以数据电文形式，依托“徽采云”电子交易系统进行招</w:t>
      </w:r>
      <w:r>
        <w:rPr>
          <w:rFonts w:hint="eastAsia" w:ascii="宋体" w:hAnsi="宋体" w:eastAsia="宋体"/>
          <w:b w:val="0"/>
          <w:bCs w:val="0"/>
          <w:color w:val="auto"/>
          <w:sz w:val="24"/>
          <w:szCs w:val="18"/>
          <w:highlight w:val="none"/>
          <w:lang w:eastAsia="zh-CN"/>
        </w:rPr>
        <w:t>响应</w:t>
      </w:r>
      <w:r>
        <w:rPr>
          <w:rFonts w:hint="default" w:ascii="宋体" w:hAnsi="宋体" w:eastAsia="宋体"/>
          <w:b w:val="0"/>
          <w:bCs w:val="0"/>
          <w:color w:val="auto"/>
          <w:sz w:val="24"/>
          <w:szCs w:val="18"/>
          <w:highlight w:val="none"/>
        </w:rPr>
        <w:t>活动；</w:t>
      </w:r>
    </w:p>
    <w:p w14:paraId="197A3297">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lang w:val="en-US" w:eastAsia="zh-CN"/>
        </w:rPr>
        <w:t>5</w:t>
      </w:r>
      <w:r>
        <w:rPr>
          <w:rFonts w:hint="default" w:ascii="宋体" w:hAnsi="宋体" w:eastAsia="宋体"/>
          <w:b w:val="0"/>
          <w:bCs w:val="0"/>
          <w:color w:val="auto"/>
          <w:sz w:val="24"/>
          <w:szCs w:val="18"/>
          <w:highlight w:val="none"/>
        </w:rPr>
        <w:t>.2</w:t>
      </w:r>
      <w:r>
        <w:rPr>
          <w:rFonts w:hint="eastAsia" w:ascii="宋体" w:hAnsi="宋体" w:eastAsia="宋体"/>
          <w:b w:val="0"/>
          <w:bCs w:val="0"/>
          <w:color w:val="auto"/>
          <w:sz w:val="24"/>
          <w:szCs w:val="18"/>
          <w:highlight w:val="none"/>
          <w:lang w:eastAsia="zh-CN"/>
        </w:rPr>
        <w:t>响应</w:t>
      </w:r>
      <w:r>
        <w:rPr>
          <w:rFonts w:hint="default" w:ascii="宋体" w:hAnsi="宋体" w:eastAsia="宋体"/>
          <w:b w:val="0"/>
          <w:bCs w:val="0"/>
          <w:color w:val="auto"/>
          <w:sz w:val="24"/>
          <w:szCs w:val="18"/>
          <w:highlight w:val="none"/>
        </w:rPr>
        <w:t>准备：注册账号--详情参见“徽采云”平台供应商注册与配置手 册 “ 第 2 章 入 驻 操 作 流 程 ” （https://sitecdn.zcycdn.com/f2e-assets/a2d7b18f-adb6-47d9-8fb3-cb8632b8fffc.pdf?utm=a0017.b1884.cl28.topic.1a7c2150533811ed990f05d85dda49f6）；申领CA数字证书---申领流程详见“安徽省政府采购网-下载专区-其他-供应商CA驱动下载-安徽省各市CA办理服务指南（已有安徽CA和翔晟CA无需重复申领）；安装“徽采云”</w:t>
      </w:r>
      <w:r>
        <w:rPr>
          <w:rFonts w:hint="eastAsia" w:ascii="宋体" w:hAnsi="宋体" w:eastAsia="宋体"/>
          <w:b w:val="0"/>
          <w:bCs w:val="0"/>
          <w:color w:val="auto"/>
          <w:sz w:val="24"/>
          <w:szCs w:val="18"/>
          <w:highlight w:val="none"/>
          <w:lang w:eastAsia="zh-CN"/>
        </w:rPr>
        <w:t>响应</w:t>
      </w:r>
      <w:r>
        <w:rPr>
          <w:rFonts w:hint="default" w:ascii="宋体" w:hAnsi="宋体" w:eastAsia="宋体"/>
          <w:b w:val="0"/>
          <w:bCs w:val="0"/>
          <w:color w:val="auto"/>
          <w:sz w:val="24"/>
          <w:szCs w:val="18"/>
          <w:highlight w:val="none"/>
        </w:rPr>
        <w:t>客户端----前往“安徽省政府采购网-下载专区-电子交易系统专区”进行下载并安装（http://www.ccgp-anhui.gov.cn/anhuiCategory15/anhuiCategory119/9396667.html）；</w:t>
      </w:r>
    </w:p>
    <w:p w14:paraId="29B16950">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default" w:ascii="宋体" w:hAnsi="宋体" w:eastAsia="宋体"/>
          <w:b w:val="0"/>
          <w:bCs w:val="0"/>
          <w:color w:val="auto"/>
          <w:sz w:val="24"/>
          <w:szCs w:val="18"/>
          <w:highlight w:val="none"/>
          <w:lang w:eastAsia="zh-CN"/>
        </w:rPr>
      </w:pPr>
      <w:r>
        <w:rPr>
          <w:rFonts w:hint="default" w:ascii="宋体" w:hAnsi="宋体" w:eastAsia="宋体"/>
          <w:b w:val="0"/>
          <w:bCs w:val="0"/>
          <w:color w:val="auto"/>
          <w:sz w:val="24"/>
          <w:szCs w:val="18"/>
          <w:highlight w:val="none"/>
          <w:lang w:val="en-US" w:eastAsia="zh-CN"/>
        </w:rPr>
        <w:t>5</w:t>
      </w:r>
      <w:r>
        <w:rPr>
          <w:rFonts w:hint="default" w:ascii="宋体" w:hAnsi="宋体" w:eastAsia="宋体"/>
          <w:b w:val="0"/>
          <w:bCs w:val="0"/>
          <w:color w:val="auto"/>
          <w:sz w:val="24"/>
          <w:szCs w:val="18"/>
          <w:highlight w:val="none"/>
        </w:rPr>
        <w:t>.3招标文件的获取：使用 CA 登录“徽采云”电子交易系统；进入“项目采购”应用，在获取采购文件菜单中选择项目，获取招标文件</w:t>
      </w:r>
      <w:r>
        <w:rPr>
          <w:rFonts w:hint="default" w:ascii="宋体" w:hAnsi="宋体" w:eastAsia="宋体"/>
          <w:b w:val="0"/>
          <w:bCs w:val="0"/>
          <w:color w:val="auto"/>
          <w:sz w:val="24"/>
          <w:szCs w:val="18"/>
          <w:highlight w:val="none"/>
          <w:lang w:eastAsia="zh-CN"/>
        </w:rPr>
        <w:t>；</w:t>
      </w:r>
    </w:p>
    <w:p w14:paraId="0CC2EA39">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lang w:val="en-US" w:eastAsia="zh-CN"/>
        </w:rPr>
        <w:t>5</w:t>
      </w:r>
      <w:r>
        <w:rPr>
          <w:rFonts w:hint="default" w:ascii="宋体" w:hAnsi="宋体" w:eastAsia="宋体"/>
          <w:b w:val="0"/>
          <w:bCs w:val="0"/>
          <w:color w:val="auto"/>
          <w:sz w:val="24"/>
          <w:szCs w:val="18"/>
          <w:highlight w:val="none"/>
        </w:rPr>
        <w:t>.4</w:t>
      </w:r>
      <w:r>
        <w:rPr>
          <w:rFonts w:hint="eastAsia" w:ascii="宋体" w:hAnsi="宋体" w:eastAsia="宋体"/>
          <w:b w:val="0"/>
          <w:bCs w:val="0"/>
          <w:color w:val="auto"/>
          <w:sz w:val="24"/>
          <w:szCs w:val="18"/>
          <w:highlight w:val="none"/>
          <w:lang w:eastAsia="zh-CN"/>
        </w:rPr>
        <w:t>响应</w:t>
      </w:r>
      <w:r>
        <w:rPr>
          <w:rFonts w:hint="default" w:ascii="宋体" w:hAnsi="宋体" w:eastAsia="宋体"/>
          <w:b w:val="0"/>
          <w:bCs w:val="0"/>
          <w:color w:val="auto"/>
          <w:sz w:val="24"/>
          <w:szCs w:val="18"/>
          <w:highlight w:val="none"/>
        </w:rPr>
        <w:t>文件的制作：在“徽采云</w:t>
      </w:r>
      <w:r>
        <w:rPr>
          <w:rFonts w:hint="eastAsia" w:ascii="宋体" w:hAnsi="宋体" w:eastAsia="宋体"/>
          <w:b w:val="0"/>
          <w:bCs w:val="0"/>
          <w:color w:val="auto"/>
          <w:sz w:val="24"/>
          <w:szCs w:val="18"/>
          <w:highlight w:val="none"/>
          <w:lang w:eastAsia="zh-CN"/>
        </w:rPr>
        <w:t>响应</w:t>
      </w:r>
      <w:r>
        <w:rPr>
          <w:rFonts w:hint="default" w:ascii="宋体" w:hAnsi="宋体" w:eastAsia="宋体"/>
          <w:b w:val="0"/>
          <w:bCs w:val="0"/>
          <w:color w:val="auto"/>
          <w:sz w:val="24"/>
          <w:szCs w:val="18"/>
          <w:highlight w:val="none"/>
        </w:rPr>
        <w:t>客户端”中完成“填写基本信息”、 “制作和导入</w:t>
      </w:r>
      <w:r>
        <w:rPr>
          <w:rFonts w:hint="eastAsia" w:ascii="宋体" w:hAnsi="宋体" w:eastAsia="宋体"/>
          <w:b w:val="0"/>
          <w:bCs w:val="0"/>
          <w:color w:val="auto"/>
          <w:sz w:val="24"/>
          <w:szCs w:val="18"/>
          <w:highlight w:val="none"/>
          <w:lang w:eastAsia="zh-CN"/>
        </w:rPr>
        <w:t>响应</w:t>
      </w:r>
      <w:r>
        <w:rPr>
          <w:rFonts w:hint="default" w:ascii="宋体" w:hAnsi="宋体" w:eastAsia="宋体"/>
          <w:b w:val="0"/>
          <w:bCs w:val="0"/>
          <w:color w:val="auto"/>
          <w:sz w:val="24"/>
          <w:szCs w:val="18"/>
          <w:highlight w:val="none"/>
        </w:rPr>
        <w:t xml:space="preserve">（响应）文件”、“标书关联”、“标书检查”、“电子签名”、 “生成电子标书”等操作； </w:t>
      </w:r>
    </w:p>
    <w:p w14:paraId="3F85E7E1">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lang w:val="en-US" w:eastAsia="zh-CN"/>
        </w:rPr>
        <w:t>5</w:t>
      </w:r>
      <w:r>
        <w:rPr>
          <w:rFonts w:hint="default" w:ascii="宋体" w:hAnsi="宋体" w:eastAsia="宋体"/>
          <w:b w:val="0"/>
          <w:bCs w:val="0"/>
          <w:color w:val="auto"/>
          <w:sz w:val="24"/>
          <w:szCs w:val="18"/>
          <w:highlight w:val="none"/>
        </w:rPr>
        <w:t>.5</w:t>
      </w:r>
      <w:r>
        <w:rPr>
          <w:rFonts w:hint="eastAsia" w:ascii="宋体" w:hAnsi="宋体" w:eastAsia="宋体"/>
          <w:b w:val="0"/>
          <w:bCs w:val="0"/>
          <w:color w:val="auto"/>
          <w:sz w:val="24"/>
          <w:szCs w:val="18"/>
          <w:highlight w:val="none"/>
          <w:lang w:eastAsia="zh-CN"/>
        </w:rPr>
        <w:t>响应</w:t>
      </w:r>
      <w:r>
        <w:rPr>
          <w:rFonts w:hint="default" w:ascii="宋体" w:hAnsi="宋体" w:eastAsia="宋体"/>
          <w:b w:val="0"/>
          <w:bCs w:val="0"/>
          <w:color w:val="auto"/>
          <w:sz w:val="24"/>
          <w:szCs w:val="18"/>
          <w:highlight w:val="none"/>
        </w:rPr>
        <w:t>文件的上传：使用CA登录“徽采云”电子交易系统；进入“项目采购”应用，在</w:t>
      </w:r>
      <w:r>
        <w:rPr>
          <w:rFonts w:hint="eastAsia" w:ascii="宋体" w:hAnsi="宋体" w:eastAsia="宋体"/>
          <w:b w:val="0"/>
          <w:bCs w:val="0"/>
          <w:color w:val="auto"/>
          <w:sz w:val="24"/>
          <w:szCs w:val="18"/>
          <w:highlight w:val="none"/>
          <w:lang w:eastAsia="zh-CN"/>
        </w:rPr>
        <w:t>响应</w:t>
      </w:r>
      <w:r>
        <w:rPr>
          <w:rFonts w:hint="default" w:ascii="宋体" w:hAnsi="宋体" w:eastAsia="宋体"/>
          <w:b w:val="0"/>
          <w:bCs w:val="0"/>
          <w:color w:val="auto"/>
          <w:sz w:val="24"/>
          <w:szCs w:val="18"/>
          <w:highlight w:val="none"/>
        </w:rPr>
        <w:t>文件上传菜单中选择项目，上传加密的</w:t>
      </w:r>
      <w:r>
        <w:rPr>
          <w:rFonts w:hint="eastAsia" w:ascii="宋体" w:hAnsi="宋体" w:eastAsia="宋体"/>
          <w:b w:val="0"/>
          <w:bCs w:val="0"/>
          <w:color w:val="auto"/>
          <w:sz w:val="24"/>
          <w:szCs w:val="18"/>
          <w:highlight w:val="none"/>
          <w:lang w:eastAsia="zh-CN"/>
        </w:rPr>
        <w:t>响应</w:t>
      </w:r>
      <w:r>
        <w:rPr>
          <w:rFonts w:hint="default" w:ascii="宋体" w:hAnsi="宋体" w:eastAsia="宋体"/>
          <w:b w:val="0"/>
          <w:bCs w:val="0"/>
          <w:color w:val="auto"/>
          <w:sz w:val="24"/>
          <w:szCs w:val="18"/>
          <w:highlight w:val="none"/>
        </w:rPr>
        <w:t>文件（*.jmbs）；</w:t>
      </w:r>
    </w:p>
    <w:p w14:paraId="19385534">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lang w:val="en-US" w:eastAsia="zh-CN"/>
        </w:rPr>
        <w:t>5</w:t>
      </w:r>
      <w:r>
        <w:rPr>
          <w:rFonts w:hint="default" w:ascii="宋体" w:hAnsi="宋体" w:eastAsia="宋体"/>
          <w:b w:val="0"/>
          <w:bCs w:val="0"/>
          <w:color w:val="auto"/>
          <w:sz w:val="24"/>
          <w:szCs w:val="18"/>
          <w:highlight w:val="none"/>
        </w:rPr>
        <w:t>.6</w:t>
      </w:r>
      <w:r>
        <w:rPr>
          <w:rFonts w:hint="eastAsia" w:ascii="宋体" w:hAnsi="宋体" w:eastAsia="宋体"/>
          <w:b w:val="0"/>
          <w:bCs w:val="0"/>
          <w:color w:val="auto"/>
          <w:sz w:val="24"/>
          <w:szCs w:val="18"/>
          <w:highlight w:val="none"/>
          <w:lang w:eastAsia="zh-CN"/>
        </w:rPr>
        <w:t>响应</w:t>
      </w:r>
      <w:r>
        <w:rPr>
          <w:rFonts w:hint="default" w:ascii="宋体" w:hAnsi="宋体" w:eastAsia="宋体"/>
          <w:b w:val="0"/>
          <w:bCs w:val="0"/>
          <w:color w:val="auto"/>
          <w:sz w:val="24"/>
          <w:szCs w:val="18"/>
          <w:highlight w:val="none"/>
        </w:rPr>
        <w:t>文件的解密：</w:t>
      </w:r>
      <w:r>
        <w:rPr>
          <w:rFonts w:hint="eastAsia" w:ascii="宋体" w:hAnsi="宋体" w:eastAsia="宋体"/>
          <w:b w:val="0"/>
          <w:bCs w:val="0"/>
          <w:color w:val="auto"/>
          <w:sz w:val="24"/>
          <w:szCs w:val="18"/>
          <w:highlight w:val="none"/>
          <w:lang w:eastAsia="zh-CN"/>
        </w:rPr>
        <w:t>响应</w:t>
      </w:r>
      <w:r>
        <w:rPr>
          <w:rFonts w:hint="default" w:ascii="宋体" w:hAnsi="宋体" w:eastAsia="宋体"/>
          <w:b w:val="0"/>
          <w:bCs w:val="0"/>
          <w:color w:val="auto"/>
          <w:sz w:val="24"/>
          <w:szCs w:val="18"/>
          <w:highlight w:val="none"/>
        </w:rPr>
        <w:t xml:space="preserve">人按照系统提示和招标文件规定，在规定时间内完成在线解密； </w:t>
      </w:r>
    </w:p>
    <w:p w14:paraId="5C8007A9">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lang w:val="en-US" w:eastAsia="zh-CN"/>
        </w:rPr>
        <w:t>5</w:t>
      </w:r>
      <w:r>
        <w:rPr>
          <w:rFonts w:hint="default" w:ascii="宋体" w:hAnsi="宋体" w:eastAsia="宋体"/>
          <w:b w:val="0"/>
          <w:bCs w:val="0"/>
          <w:color w:val="auto"/>
          <w:sz w:val="24"/>
          <w:szCs w:val="18"/>
          <w:highlight w:val="none"/>
        </w:rPr>
        <w:t xml:space="preserve">.7“徽采云”电子交易系统具体操作指南：详见安徽省政府采购网-徽采学院-电子交易系统学习专题-供应商-操作手册。 </w:t>
      </w:r>
    </w:p>
    <w:p w14:paraId="023A7DE7">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default" w:ascii="宋体" w:hAnsi="宋体" w:eastAsia="宋体"/>
          <w:color w:val="auto"/>
          <w:sz w:val="24"/>
          <w:szCs w:val="18"/>
          <w:highlight w:val="none"/>
          <w:lang w:val="en-US" w:eastAsia="zh-CN"/>
        </w:rPr>
      </w:pPr>
      <w:r>
        <w:rPr>
          <w:rFonts w:hint="default" w:ascii="宋体" w:hAnsi="宋体" w:eastAsia="宋体"/>
          <w:b w:val="0"/>
          <w:bCs w:val="0"/>
          <w:color w:val="auto"/>
          <w:sz w:val="24"/>
          <w:szCs w:val="18"/>
          <w:highlight w:val="none"/>
          <w:lang w:val="en-US" w:eastAsia="zh-CN"/>
        </w:rPr>
        <w:t>5</w:t>
      </w:r>
      <w:r>
        <w:rPr>
          <w:rFonts w:hint="default" w:ascii="宋体" w:hAnsi="宋体" w:eastAsia="宋体"/>
          <w:b w:val="0"/>
          <w:bCs w:val="0"/>
          <w:color w:val="auto"/>
          <w:sz w:val="24"/>
          <w:szCs w:val="18"/>
          <w:highlight w:val="none"/>
        </w:rPr>
        <w:t>.8CA问题联系电话：安徽CA</w:t>
      </w:r>
      <w:r>
        <w:rPr>
          <w:rFonts w:hint="default" w:ascii="宋体" w:hAnsi="宋体" w:eastAsia="宋体"/>
          <w:b w:val="0"/>
          <w:bCs w:val="0"/>
          <w:color w:val="auto"/>
          <w:sz w:val="24"/>
          <w:szCs w:val="18"/>
          <w:highlight w:val="none"/>
          <w:lang w:val="en-US" w:eastAsia="zh-CN"/>
        </w:rPr>
        <w:t xml:space="preserve"> </w:t>
      </w:r>
      <w:r>
        <w:rPr>
          <w:rFonts w:hint="default" w:ascii="宋体" w:hAnsi="宋体" w:eastAsia="宋体"/>
          <w:b w:val="0"/>
          <w:bCs w:val="0"/>
          <w:color w:val="auto"/>
          <w:sz w:val="24"/>
          <w:szCs w:val="18"/>
          <w:highlight w:val="none"/>
        </w:rPr>
        <w:t>400-880-4</w:t>
      </w:r>
      <w:r>
        <w:rPr>
          <w:rFonts w:hint="eastAsia" w:ascii="宋体" w:hAnsi="宋体" w:eastAsia="宋体"/>
          <w:b w:val="0"/>
          <w:bCs w:val="0"/>
          <w:color w:val="auto"/>
          <w:sz w:val="24"/>
          <w:szCs w:val="18"/>
          <w:highlight w:val="none"/>
          <w:lang w:eastAsia="zh-CN"/>
        </w:rPr>
        <w:t>94.8462</w:t>
      </w:r>
      <w:r>
        <w:rPr>
          <w:rFonts w:hint="default" w:ascii="宋体" w:hAnsi="宋体" w:eastAsia="宋体"/>
          <w:b w:val="0"/>
          <w:bCs w:val="0"/>
          <w:color w:val="auto"/>
          <w:sz w:val="24"/>
          <w:szCs w:val="18"/>
          <w:highlight w:val="none"/>
        </w:rPr>
        <w:t>9 ；翔晟CA</w:t>
      </w:r>
      <w:r>
        <w:rPr>
          <w:rFonts w:hint="default" w:ascii="宋体" w:hAnsi="宋体" w:eastAsia="宋体"/>
          <w:b w:val="0"/>
          <w:bCs w:val="0"/>
          <w:color w:val="auto"/>
          <w:sz w:val="24"/>
          <w:szCs w:val="18"/>
          <w:highlight w:val="none"/>
          <w:lang w:val="en-US" w:eastAsia="zh-CN"/>
        </w:rPr>
        <w:t xml:space="preserve"> </w:t>
      </w:r>
      <w:r>
        <w:rPr>
          <w:rFonts w:hint="default" w:ascii="宋体" w:hAnsi="宋体" w:eastAsia="宋体"/>
          <w:b w:val="0"/>
          <w:bCs w:val="0"/>
          <w:color w:val="auto"/>
          <w:sz w:val="24"/>
          <w:szCs w:val="18"/>
          <w:highlight w:val="none"/>
        </w:rPr>
        <w:t>0551-68105136。</w:t>
      </w:r>
    </w:p>
    <w:p w14:paraId="354238F8">
      <w:pPr>
        <w:spacing w:line="360" w:lineRule="auto"/>
        <w:ind w:firstLine="437"/>
        <w:outlineLvl w:val="1"/>
        <w:rPr>
          <w:b/>
          <w:bCs/>
          <w:color w:val="auto"/>
          <w:sz w:val="24"/>
          <w:szCs w:val="18"/>
          <w:highlight w:val="none"/>
        </w:rPr>
      </w:pPr>
      <w:bookmarkStart w:id="22" w:name="_Toc25763"/>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w:t>
      </w:r>
      <w:bookmarkEnd w:id="18"/>
      <w:r>
        <w:rPr>
          <w:rFonts w:hint="eastAsia" w:ascii="宋体" w:hAnsi="宋体" w:eastAsia="宋体"/>
          <w:b/>
          <w:bCs/>
          <w:color w:val="auto"/>
          <w:sz w:val="24"/>
          <w:szCs w:val="18"/>
          <w:highlight w:val="none"/>
        </w:rPr>
        <w:t>对本次招标提出询问，请按以下方式联系</w:t>
      </w:r>
      <w:bookmarkEnd w:id="22"/>
    </w:p>
    <w:p w14:paraId="7986BF60">
      <w:pPr>
        <w:spacing w:line="360" w:lineRule="auto"/>
        <w:ind w:firstLine="437"/>
        <w:outlineLvl w:val="2"/>
        <w:rPr>
          <w:rFonts w:hint="eastAsia" w:ascii="宋体" w:hAnsi="宋体" w:eastAsia="宋体"/>
          <w:color w:val="auto"/>
          <w:sz w:val="24"/>
          <w:szCs w:val="18"/>
          <w:highlight w:val="none"/>
          <w:lang w:val="en-US" w:eastAsia="zh-CN"/>
        </w:rPr>
      </w:pPr>
      <w:bookmarkStart w:id="23" w:name="_Toc13220"/>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3DE80749">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：安徽省淮河河道管理局</w:t>
      </w:r>
    </w:p>
    <w:p w14:paraId="4FE9ADFD">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址：蚌埠市解放一路116号</w:t>
      </w:r>
    </w:p>
    <w:p w14:paraId="7D0681B5">
      <w:pPr>
        <w:spacing w:line="360" w:lineRule="auto"/>
        <w:ind w:firstLine="435"/>
        <w:rPr>
          <w:rFonts w:hint="default"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：0552-3918061</w:t>
      </w:r>
    </w:p>
    <w:p w14:paraId="6B99BB15">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51F530B2">
      <w:pPr>
        <w:spacing w:line="360" w:lineRule="auto"/>
        <w:ind w:firstLine="435"/>
        <w:rPr>
          <w:rFonts w:hint="eastAsia"/>
          <w:color w:val="auto"/>
          <w:sz w:val="24"/>
          <w:szCs w:val="18"/>
          <w:highlight w:val="none"/>
          <w:u w:val="single"/>
          <w:lang w:val="en-US" w:eastAsia="zh-CN"/>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color w:val="auto"/>
          <w:sz w:val="24"/>
          <w:szCs w:val="18"/>
          <w:highlight w:val="none"/>
          <w:u w:val="none"/>
          <w:lang w:val="en-US" w:eastAsia="zh-CN"/>
        </w:rPr>
        <w:t>安徽安兆工程技术咨询服务有限公司</w:t>
      </w:r>
    </w:p>
    <w:p w14:paraId="0301E492">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olor w:val="auto"/>
          <w:sz w:val="24"/>
          <w:szCs w:val="18"/>
          <w:highlight w:val="none"/>
        </w:rPr>
        <w:t>安徽省蚌埠市凤阳西路41号</w:t>
      </w:r>
    </w:p>
    <w:p w14:paraId="12C125C9">
      <w:pPr>
        <w:spacing w:line="360" w:lineRule="auto"/>
        <w:ind w:firstLine="435"/>
        <w:rPr>
          <w:rFonts w:hint="default"/>
          <w:color w:val="auto"/>
          <w:sz w:val="24"/>
          <w:szCs w:val="18"/>
          <w:highlight w:val="none"/>
          <w:u w:val="none"/>
          <w:lang w:val="en-US" w:eastAsia="zh-CN"/>
        </w:rPr>
      </w:pPr>
      <w:r>
        <w:rPr>
          <w:rFonts w:hint="eastAsia" w:ascii="宋体" w:hAnsi="宋体" w:eastAsia="宋体"/>
          <w:color w:val="auto"/>
          <w:sz w:val="24"/>
          <w:szCs w:val="18"/>
          <w:highlight w:val="none"/>
          <w:lang w:val="en-US" w:eastAsia="zh-CN"/>
        </w:rPr>
        <w:t>联系人：</w:t>
      </w:r>
      <w:r>
        <w:rPr>
          <w:rFonts w:hint="eastAsia"/>
          <w:color w:val="auto"/>
          <w:sz w:val="24"/>
          <w:szCs w:val="18"/>
          <w:highlight w:val="none"/>
          <w:u w:val="none"/>
          <w:lang w:val="en-US" w:eastAsia="zh-CN"/>
        </w:rPr>
        <w:t>薛工</w:t>
      </w:r>
    </w:p>
    <w:p w14:paraId="78198E17">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：0552-3092287</w:t>
      </w:r>
    </w:p>
    <w:p w14:paraId="5B210A9C">
      <w:pPr>
        <w:spacing w:line="360" w:lineRule="auto"/>
        <w:ind w:firstLine="437"/>
        <w:outlineLvl w:val="2"/>
        <w:rPr>
          <w:rFonts w:hint="eastAsia"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lang w:val="en-US" w:eastAsia="zh-CN"/>
        </w:rPr>
        <w:t>信息</w:t>
      </w:r>
    </w:p>
    <w:bookmarkEnd w:id="23"/>
    <w:p w14:paraId="5CA5B572">
      <w:pPr>
        <w:spacing w:line="360" w:lineRule="auto"/>
        <w:ind w:firstLine="435"/>
        <w:rPr>
          <w:rFonts w:hint="eastAsia"/>
          <w:color w:val="auto"/>
          <w:sz w:val="24"/>
          <w:szCs w:val="18"/>
          <w:highlight w:val="none"/>
        </w:rPr>
      </w:pPr>
      <w:r>
        <w:rPr>
          <w:rFonts w:hint="eastAsia"/>
          <w:color w:val="auto"/>
          <w:sz w:val="24"/>
          <w:szCs w:val="18"/>
          <w:highlight w:val="none"/>
        </w:rPr>
        <w:t>名  称：安徽省财政厅</w:t>
      </w:r>
    </w:p>
    <w:p w14:paraId="7494FBEA">
      <w:pPr>
        <w:spacing w:line="360" w:lineRule="auto"/>
        <w:ind w:firstLine="435"/>
        <w:rPr>
          <w:rFonts w:hint="eastAsia"/>
          <w:color w:val="auto"/>
          <w:sz w:val="24"/>
          <w:szCs w:val="18"/>
          <w:highlight w:val="none"/>
        </w:rPr>
      </w:pPr>
      <w:r>
        <w:rPr>
          <w:rFonts w:hint="eastAsia"/>
          <w:color w:val="auto"/>
          <w:sz w:val="24"/>
          <w:szCs w:val="18"/>
          <w:highlight w:val="none"/>
        </w:rPr>
        <w:t>地  址：合肥市阜南西路238号</w:t>
      </w:r>
    </w:p>
    <w:p w14:paraId="313C99A6">
      <w:pPr>
        <w:spacing w:line="360" w:lineRule="auto"/>
        <w:ind w:firstLine="435"/>
        <w:rPr>
          <w:rFonts w:hint="eastAsia"/>
          <w:color w:val="auto"/>
          <w:sz w:val="24"/>
          <w:szCs w:val="18"/>
          <w:highlight w:val="none"/>
        </w:rPr>
      </w:pPr>
      <w:r>
        <w:rPr>
          <w:rFonts w:hint="eastAsia"/>
          <w:color w:val="auto"/>
          <w:sz w:val="24"/>
          <w:szCs w:val="18"/>
          <w:highlight w:val="none"/>
        </w:rPr>
        <w:t>联系方式：0551-68150413</w:t>
      </w:r>
    </w:p>
    <w:p w14:paraId="03DAF365">
      <w:pPr>
        <w:spacing w:line="360" w:lineRule="auto"/>
        <w:ind w:firstLine="435"/>
        <w:rPr>
          <w:color w:val="auto"/>
          <w:sz w:val="24"/>
          <w:szCs w:val="18"/>
          <w:highlight w:val="none"/>
        </w:rPr>
      </w:pPr>
      <w:r>
        <w:rPr>
          <w:color w:val="auto"/>
          <w:sz w:val="24"/>
          <w:szCs w:val="18"/>
          <w:highlight w:val="none"/>
        </w:rPr>
        <w:br w:type="page"/>
      </w:r>
    </w:p>
    <w:p w14:paraId="122CA2B7">
      <w:pPr>
        <w:spacing w:line="360" w:lineRule="auto"/>
        <w:jc w:val="center"/>
        <w:outlineLvl w:val="0"/>
        <w:rPr>
          <w:rFonts w:asciiTheme="minorEastAsia" w:hAnsiTheme="minorEastAsia" w:eastAsiaTheme="minorEastAsia"/>
          <w:b/>
          <w:color w:val="auto"/>
          <w:sz w:val="28"/>
          <w:highlight w:val="none"/>
        </w:rPr>
      </w:pPr>
      <w:bookmarkStart w:id="24" w:name="_Toc28080"/>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4"/>
    </w:p>
    <w:p w14:paraId="0A2F851D">
      <w:pPr>
        <w:spacing w:line="360" w:lineRule="auto"/>
        <w:jc w:val="center"/>
        <w:outlineLvl w:val="1"/>
        <w:rPr>
          <w:rFonts w:asciiTheme="minorEastAsia" w:hAnsiTheme="minorEastAsia" w:eastAsiaTheme="minorEastAsia"/>
          <w:b/>
          <w:color w:val="auto"/>
          <w:sz w:val="24"/>
          <w:highlight w:val="none"/>
        </w:rPr>
      </w:pPr>
      <w:bookmarkStart w:id="25" w:name="_Toc18621"/>
      <w:bookmarkStart w:id="26" w:name="_Toc12027"/>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5"/>
      <w:bookmarkEnd w:id="26"/>
    </w:p>
    <w:p w14:paraId="6F976618">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5"/>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711"/>
        <w:gridCol w:w="6229"/>
      </w:tblGrid>
      <w:tr w14:paraId="2E12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5186E57D">
            <w:pPr>
              <w:pStyle w:val="68"/>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1711" w:type="dxa"/>
            <w:vAlign w:val="center"/>
          </w:tcPr>
          <w:p w14:paraId="0AB1CAFF">
            <w:pPr>
              <w:pStyle w:val="68"/>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6229" w:type="dxa"/>
            <w:vAlign w:val="center"/>
          </w:tcPr>
          <w:p w14:paraId="371954AF">
            <w:pPr>
              <w:pStyle w:val="68"/>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6FB2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614A85FE">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711" w:type="dxa"/>
            <w:vAlign w:val="center"/>
          </w:tcPr>
          <w:p w14:paraId="3DE4BE79">
            <w:pPr>
              <w:pStyle w:val="68"/>
              <w:widowControl w:val="0"/>
              <w:spacing w:before="0" w:beforeAutospacing="0" w:after="0" w:afterAutospacing="0" w:line="360" w:lineRule="auto"/>
              <w:jc w:val="left"/>
              <w:rPr>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6229" w:type="dxa"/>
            <w:vAlign w:val="center"/>
          </w:tcPr>
          <w:p w14:paraId="0F2452D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7C6AFE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6E1380A0">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bCs/>
                <w:color w:val="auto"/>
                <w:sz w:val="24"/>
                <w:highlight w:val="none"/>
                <w:u w:val="single"/>
                <w:lang w:val="en-US" w:eastAsia="zh-CN"/>
              </w:rPr>
              <w:t>/</w:t>
            </w:r>
          </w:p>
          <w:p w14:paraId="5D78F132">
            <w:pPr>
              <w:spacing w:line="360" w:lineRule="auto"/>
              <w:rPr>
                <w:rFonts w:hint="eastAsia" w:ascii="宋体" w:hAnsi="宋体" w:eastAsia="宋体"/>
                <w:bCs/>
                <w:color w:val="auto"/>
                <w:sz w:val="24"/>
                <w:highlight w:val="none"/>
                <w:u w:val="single"/>
                <w:lang w:eastAsia="zh-CN"/>
              </w:rPr>
            </w:pPr>
            <w:r>
              <w:rPr>
                <w:rFonts w:hint="eastAsia" w:ascii="宋体" w:hAnsi="宋体" w:eastAsia="宋体"/>
                <w:bCs/>
                <w:color w:val="auto"/>
                <w:sz w:val="24"/>
                <w:highlight w:val="none"/>
              </w:rPr>
              <w:t>地点：</w:t>
            </w:r>
            <w:r>
              <w:rPr>
                <w:rFonts w:hint="eastAsia"/>
                <w:bCs/>
                <w:color w:val="auto"/>
                <w:sz w:val="24"/>
                <w:highlight w:val="none"/>
                <w:u w:val="single"/>
                <w:lang w:val="en-US" w:eastAsia="zh-CN"/>
              </w:rPr>
              <w:t>/</w:t>
            </w:r>
          </w:p>
          <w:p w14:paraId="40F7AD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u w:val="single"/>
                <w:lang w:eastAsia="zh-CN"/>
              </w:rPr>
            </w:pPr>
            <w:r>
              <w:rPr>
                <w:rFonts w:hint="eastAsia" w:ascii="宋体" w:hAnsi="宋体" w:eastAsia="宋体"/>
                <w:bCs/>
                <w:color w:val="auto"/>
                <w:sz w:val="24"/>
                <w:highlight w:val="none"/>
              </w:rPr>
              <w:t>联系人及联系电话：</w:t>
            </w:r>
            <w:r>
              <w:rPr>
                <w:rFonts w:hint="eastAsia"/>
                <w:bCs/>
                <w:color w:val="auto"/>
                <w:sz w:val="24"/>
                <w:highlight w:val="none"/>
                <w:u w:val="single"/>
                <w:lang w:val="en-US" w:eastAsia="zh-CN"/>
              </w:rPr>
              <w:t>/</w:t>
            </w:r>
          </w:p>
          <w:p w14:paraId="6D8B72BD">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color w:val="auto"/>
                <w:sz w:val="24"/>
                <w:highlight w:val="none"/>
              </w:rPr>
            </w:pPr>
            <w:r>
              <w:rPr>
                <w:rFonts w:hint="eastAsia" w:ascii="宋体" w:hAnsi="宋体" w:eastAsia="宋体"/>
                <w:bCs w:val="0"/>
                <w:strike w:val="0"/>
                <w:color w:val="auto"/>
                <w:sz w:val="24"/>
                <w:highlight w:val="none"/>
                <w:lang w:eastAsia="zh-CN"/>
              </w:rPr>
              <w:t>注：</w:t>
            </w:r>
            <w:r>
              <w:rPr>
                <w:rFonts w:hint="eastAsia" w:ascii="宋体" w:hAnsi="宋体" w:eastAsia="宋体"/>
                <w:bCs w:val="0"/>
                <w:strike w:val="0"/>
                <w:color w:val="auto"/>
                <w:sz w:val="24"/>
                <w:highlight w:val="none"/>
              </w:rPr>
              <w:t>如</w:t>
            </w:r>
            <w:r>
              <w:rPr>
                <w:rFonts w:hint="eastAsia" w:ascii="宋体" w:hAnsi="宋体" w:eastAsia="宋体"/>
                <w:bCs w:val="0"/>
                <w:strike w:val="0"/>
                <w:color w:val="auto"/>
                <w:sz w:val="24"/>
                <w:highlight w:val="none"/>
                <w:lang w:val="en-US" w:eastAsia="zh-CN"/>
              </w:rPr>
              <w:t>供应商</w:t>
            </w:r>
            <w:r>
              <w:rPr>
                <w:rFonts w:hint="eastAsia" w:ascii="宋体" w:hAnsi="宋体" w:eastAsia="宋体"/>
                <w:bCs w:val="0"/>
                <w:strike w:val="0"/>
                <w:color w:val="auto"/>
                <w:sz w:val="24"/>
                <w:highlight w:val="none"/>
              </w:rPr>
              <w:t>未参加采购人统一组织的现场考察</w:t>
            </w:r>
            <w:r>
              <w:rPr>
                <w:rFonts w:hint="eastAsia" w:ascii="宋体" w:hAnsi="宋体" w:eastAsia="宋体"/>
                <w:bCs w:val="0"/>
                <w:strike w:val="0"/>
                <w:color w:val="auto"/>
                <w:sz w:val="24"/>
                <w:highlight w:val="none"/>
                <w:lang w:val="en-US" w:eastAsia="zh-CN"/>
              </w:rPr>
              <w:t>或采购人统一召开的标前答疑会</w:t>
            </w:r>
            <w:r>
              <w:rPr>
                <w:rFonts w:hint="eastAsia" w:ascii="宋体" w:hAnsi="宋体" w:eastAsia="宋体"/>
                <w:bCs w:val="0"/>
                <w:strike w:val="0"/>
                <w:color w:val="auto"/>
                <w:sz w:val="24"/>
                <w:highlight w:val="none"/>
              </w:rPr>
              <w:t>，视同放弃现场考察</w:t>
            </w:r>
            <w:r>
              <w:rPr>
                <w:rFonts w:hint="eastAsia" w:ascii="宋体" w:hAnsi="宋体" w:eastAsia="宋体"/>
                <w:bCs w:val="0"/>
                <w:strike w:val="0"/>
                <w:color w:val="auto"/>
                <w:sz w:val="24"/>
                <w:highlight w:val="none"/>
                <w:lang w:val="en-US" w:eastAsia="zh-CN"/>
              </w:rPr>
              <w:t>或标前答疑会</w:t>
            </w:r>
            <w:r>
              <w:rPr>
                <w:rFonts w:hint="eastAsia" w:ascii="宋体" w:hAnsi="宋体" w:eastAsia="宋体"/>
                <w:bCs w:val="0"/>
                <w:strike w:val="0"/>
                <w:color w:val="auto"/>
                <w:sz w:val="24"/>
                <w:highlight w:val="none"/>
              </w:rPr>
              <w:t>，由此引起的一切责任由</w:t>
            </w:r>
            <w:r>
              <w:rPr>
                <w:rFonts w:hint="eastAsia" w:ascii="宋体" w:hAnsi="宋体" w:eastAsia="宋体"/>
                <w:bCs w:val="0"/>
                <w:strike w:val="0"/>
                <w:color w:val="auto"/>
                <w:sz w:val="24"/>
                <w:highlight w:val="none"/>
                <w:lang w:val="en-US" w:eastAsia="zh-CN"/>
              </w:rPr>
              <w:t>供应商</w:t>
            </w:r>
            <w:r>
              <w:rPr>
                <w:rFonts w:hint="eastAsia" w:ascii="宋体" w:hAnsi="宋体" w:eastAsia="宋体"/>
                <w:bCs w:val="0"/>
                <w:strike w:val="0"/>
                <w:color w:val="auto"/>
                <w:sz w:val="24"/>
                <w:highlight w:val="none"/>
              </w:rPr>
              <w:t>自行承担</w:t>
            </w:r>
            <w:r>
              <w:rPr>
                <w:rFonts w:hint="eastAsia" w:ascii="宋体" w:hAnsi="宋体" w:eastAsia="宋体"/>
                <w:bCs w:val="0"/>
                <w:color w:val="auto"/>
                <w:sz w:val="24"/>
                <w:highlight w:val="none"/>
              </w:rPr>
              <w:t>。</w:t>
            </w:r>
          </w:p>
        </w:tc>
      </w:tr>
      <w:tr w14:paraId="599F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68223D6F">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6</w:t>
            </w:r>
            <w:r>
              <w:rPr>
                <w:bCs/>
                <w:color w:val="auto"/>
                <w:kern w:val="2"/>
                <w:highlight w:val="none"/>
              </w:rPr>
              <w:t>.1</w:t>
            </w:r>
          </w:p>
        </w:tc>
        <w:tc>
          <w:tcPr>
            <w:tcW w:w="1711" w:type="dxa"/>
            <w:vAlign w:val="center"/>
          </w:tcPr>
          <w:p w14:paraId="3BB06D89">
            <w:pPr>
              <w:pStyle w:val="68"/>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6229" w:type="dxa"/>
            <w:vAlign w:val="center"/>
          </w:tcPr>
          <w:p w14:paraId="3419D6B2">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2025年10月16日17</w:t>
            </w:r>
            <w:r>
              <w:rPr>
                <w:b w:val="0"/>
                <w:color w:val="auto"/>
                <w:sz w:val="24"/>
                <w:highlight w:val="none"/>
                <w:u w:val="single"/>
              </w:rPr>
              <w:t>时</w:t>
            </w:r>
            <w:r>
              <w:rPr>
                <w:rFonts w:hint="eastAsia"/>
                <w:b w:val="0"/>
                <w:color w:val="auto"/>
                <w:sz w:val="24"/>
                <w:highlight w:val="none"/>
                <w:u w:val="single"/>
                <w:lang w:val="en-US" w:eastAsia="zh-CN"/>
              </w:rPr>
              <w:t>30</w:t>
            </w:r>
            <w:r>
              <w:rPr>
                <w:rFonts w:hint="eastAsia"/>
                <w:b w:val="0"/>
                <w:color w:val="auto"/>
                <w:sz w:val="24"/>
                <w:highlight w:val="none"/>
                <w:u w:val="single"/>
              </w:rPr>
              <w:t>分</w:t>
            </w:r>
          </w:p>
        </w:tc>
      </w:tr>
      <w:tr w14:paraId="1C00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816" w:type="dxa"/>
            <w:vAlign w:val="center"/>
          </w:tcPr>
          <w:p w14:paraId="4A7AC384">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7</w:t>
            </w:r>
            <w:r>
              <w:rPr>
                <w:bCs/>
                <w:color w:val="auto"/>
                <w:kern w:val="2"/>
                <w:highlight w:val="none"/>
              </w:rPr>
              <w:t>.1</w:t>
            </w:r>
          </w:p>
        </w:tc>
        <w:tc>
          <w:tcPr>
            <w:tcW w:w="1711" w:type="dxa"/>
            <w:vAlign w:val="center"/>
          </w:tcPr>
          <w:p w14:paraId="77A636F2">
            <w:pPr>
              <w:pStyle w:val="68"/>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6229" w:type="dxa"/>
            <w:vAlign w:val="center"/>
          </w:tcPr>
          <w:p w14:paraId="0B0BDE38">
            <w:pPr>
              <w:pStyle w:val="68"/>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bCs w:val="0"/>
                <w:color w:val="auto"/>
                <w:sz w:val="24"/>
                <w:szCs w:val="24"/>
                <w:highlight w:val="none"/>
                <w:lang w:eastAsia="zh-CN"/>
              </w:rPr>
              <w:t>□</w:t>
            </w:r>
            <w:r>
              <w:rPr>
                <w:b w:val="0"/>
                <w:color w:val="auto"/>
                <w:sz w:val="24"/>
                <w:highlight w:val="none"/>
              </w:rPr>
              <w:t xml:space="preserve">不分包     </w:t>
            </w:r>
            <w:r>
              <w:rPr>
                <w:b w:val="0"/>
                <w:color w:val="auto"/>
                <w:sz w:val="24"/>
                <w:highlight w:val="none"/>
              </w:rPr>
              <w:sym w:font="Wingdings 2" w:char="0052"/>
            </w:r>
            <w:r>
              <w:rPr>
                <w:b w:val="0"/>
                <w:color w:val="auto"/>
                <w:sz w:val="24"/>
                <w:highlight w:val="none"/>
              </w:rPr>
              <w:t>分</w:t>
            </w:r>
            <w:r>
              <w:rPr>
                <w:rFonts w:hint="eastAsia"/>
                <w:b w:val="0"/>
                <w:color w:val="auto"/>
                <w:sz w:val="24"/>
                <w:highlight w:val="none"/>
                <w:lang w:val="en-US" w:eastAsia="zh-CN"/>
              </w:rPr>
              <w:t>2</w:t>
            </w:r>
            <w:r>
              <w:rPr>
                <w:b w:val="0"/>
                <w:color w:val="auto"/>
                <w:sz w:val="24"/>
                <w:highlight w:val="none"/>
              </w:rPr>
              <w:t>包</w:t>
            </w:r>
            <w:r>
              <w:rPr>
                <w:rFonts w:hint="eastAsia"/>
                <w:b w:val="0"/>
                <w:color w:val="auto"/>
                <w:sz w:val="24"/>
                <w:highlight w:val="none"/>
                <w:lang w:eastAsia="zh-CN"/>
              </w:rPr>
              <w:t>，</w:t>
            </w:r>
            <w:r>
              <w:rPr>
                <w:rFonts w:hint="eastAsia" w:asciiTheme="minorEastAsia" w:hAnsiTheme="minorEastAsia" w:eastAsiaTheme="minorEastAsia"/>
                <w:color w:val="auto"/>
                <w:sz w:val="24"/>
                <w:highlight w:val="none"/>
                <w:lang w:val="en-US" w:eastAsia="zh-CN"/>
              </w:rPr>
              <w:t>本项目为第2包</w:t>
            </w:r>
          </w:p>
          <w:p w14:paraId="4884FBE4">
            <w:pPr>
              <w:pStyle w:val="68"/>
              <w:widowControl w:val="0"/>
              <w:spacing w:before="0" w:beforeAutospacing="0" w:after="0" w:afterAutospacing="0" w:line="360" w:lineRule="auto"/>
              <w:jc w:val="both"/>
              <w:rPr>
                <w:b w:val="0"/>
                <w:color w:val="auto"/>
                <w:sz w:val="24"/>
                <w:highlight w:val="none"/>
              </w:rPr>
            </w:pPr>
            <w:r>
              <w:rPr>
                <w:rFonts w:hint="eastAsia"/>
                <w:b w:val="0"/>
                <w:bCs w:val="0"/>
                <w:color w:val="auto"/>
                <w:sz w:val="24"/>
                <w:szCs w:val="24"/>
                <w:highlight w:val="none"/>
              </w:rPr>
              <w:t>供应商参加多个包磋商的成交</w:t>
            </w:r>
            <w:r>
              <w:rPr>
                <w:b w:val="0"/>
                <w:bCs w:val="0"/>
                <w:color w:val="auto"/>
                <w:sz w:val="24"/>
                <w:szCs w:val="24"/>
                <w:highlight w:val="none"/>
              </w:rPr>
              <w:t>包</w:t>
            </w:r>
            <w:r>
              <w:rPr>
                <w:rFonts w:hint="eastAsia"/>
                <w:b w:val="0"/>
                <w:bCs w:val="0"/>
                <w:color w:val="auto"/>
                <w:sz w:val="24"/>
                <w:szCs w:val="24"/>
                <w:highlight w:val="none"/>
              </w:rPr>
              <w:t>数规定：</w:t>
            </w:r>
            <w:r>
              <w:rPr>
                <w:rFonts w:hint="eastAsia"/>
                <w:b w:val="0"/>
                <w:bCs w:val="0"/>
                <w:color w:val="auto"/>
                <w:sz w:val="24"/>
                <w:szCs w:val="18"/>
                <w:highlight w:val="none"/>
                <w:u w:val="single"/>
                <w:lang w:val="en-US" w:eastAsia="zh-CN"/>
              </w:rPr>
              <w:t>/</w:t>
            </w:r>
            <w:r>
              <w:rPr>
                <w:b w:val="0"/>
                <w:bCs w:val="0"/>
                <w:color w:val="auto"/>
                <w:sz w:val="24"/>
                <w:szCs w:val="18"/>
                <w:highlight w:val="none"/>
                <w:u w:val="single"/>
              </w:rPr>
              <w:t xml:space="preserve"> </w:t>
            </w:r>
          </w:p>
        </w:tc>
      </w:tr>
      <w:tr w14:paraId="61B3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816" w:type="dxa"/>
            <w:vAlign w:val="center"/>
          </w:tcPr>
          <w:p w14:paraId="646BBE84">
            <w:pPr>
              <w:pStyle w:val="69"/>
              <w:pBdr>
                <w:bottom w:val="none" w:color="auto" w:sz="0" w:space="0"/>
              </w:pBdr>
              <w:tabs>
                <w:tab w:val="clear" w:pos="4153"/>
                <w:tab w:val="clear" w:pos="8306"/>
              </w:tabs>
              <w:adjustRightInd/>
              <w:spacing w:line="360" w:lineRule="auto"/>
              <w:textAlignment w:val="auto"/>
              <w:rPr>
                <w:rFonts w:hint="eastAsia"/>
                <w:b/>
                <w:bCs w:val="0"/>
                <w:color w:val="FF0000"/>
                <w:kern w:val="2"/>
                <w:highlight w:val="none"/>
                <w:lang w:val="en-US" w:eastAsia="zh-CN"/>
              </w:rPr>
            </w:pPr>
            <w:r>
              <w:rPr>
                <w:rFonts w:hint="eastAsia"/>
                <w:b/>
                <w:bCs w:val="0"/>
                <w:color w:val="FF0000"/>
                <w:kern w:val="2"/>
                <w:highlight w:val="none"/>
              </w:rPr>
              <w:t>9.2</w:t>
            </w:r>
          </w:p>
        </w:tc>
        <w:tc>
          <w:tcPr>
            <w:tcW w:w="1711" w:type="dxa"/>
            <w:vAlign w:val="center"/>
          </w:tcPr>
          <w:p w14:paraId="66BCA0C3">
            <w:pPr>
              <w:pStyle w:val="68"/>
              <w:widowControl w:val="0"/>
              <w:spacing w:before="0" w:beforeAutospacing="0" w:after="0" w:afterAutospacing="0" w:line="360" w:lineRule="auto"/>
              <w:jc w:val="left"/>
              <w:rPr>
                <w:rFonts w:hint="eastAsia"/>
                <w:b/>
                <w:bCs w:val="0"/>
                <w:color w:val="FF0000"/>
                <w:sz w:val="24"/>
                <w:highlight w:val="none"/>
              </w:rPr>
            </w:pPr>
            <w:r>
              <w:rPr>
                <w:rFonts w:hint="eastAsia"/>
                <w:b/>
                <w:bCs w:val="0"/>
                <w:color w:val="FF0000"/>
                <w:sz w:val="24"/>
                <w:highlight w:val="none"/>
              </w:rPr>
              <w:t>最高限价</w:t>
            </w:r>
          </w:p>
        </w:tc>
        <w:tc>
          <w:tcPr>
            <w:tcW w:w="6229" w:type="dxa"/>
            <w:vAlign w:val="center"/>
          </w:tcPr>
          <w:p w14:paraId="395425B3">
            <w:pPr>
              <w:spacing w:line="360" w:lineRule="auto"/>
              <w:rPr>
                <w:rFonts w:hint="eastAsia"/>
                <w:b/>
                <w:bCs w:val="0"/>
                <w:color w:val="FF0000"/>
                <w:sz w:val="24"/>
                <w:szCs w:val="24"/>
                <w:highlight w:val="none"/>
                <w:lang w:val="en-US" w:eastAsia="zh-CN"/>
              </w:rPr>
            </w:pPr>
            <w:r>
              <w:rPr>
                <w:rFonts w:hint="eastAsia"/>
                <w:b/>
                <w:bCs w:val="0"/>
                <w:color w:val="FF0000"/>
                <w:sz w:val="24"/>
                <w:szCs w:val="24"/>
                <w:highlight w:val="none"/>
              </w:rPr>
              <w:t>本项目最高限价为</w:t>
            </w:r>
            <w:r>
              <w:rPr>
                <w:rFonts w:hint="eastAsia"/>
                <w:b/>
                <w:bCs w:val="0"/>
                <w:color w:val="FF0000"/>
                <w:sz w:val="24"/>
                <w:szCs w:val="24"/>
                <w:highlight w:val="none"/>
                <w:lang w:val="en-US" w:eastAsia="zh-CN"/>
              </w:rPr>
              <w:t>63万元；</w:t>
            </w:r>
          </w:p>
          <w:p w14:paraId="0E7204B9">
            <w:pPr>
              <w:spacing w:line="360" w:lineRule="auto"/>
              <w:rPr>
                <w:rFonts w:hint="default" w:eastAsia="宋体"/>
                <w:b/>
                <w:bCs w:val="0"/>
                <w:color w:val="FF0000"/>
                <w:sz w:val="24"/>
                <w:szCs w:val="24"/>
                <w:highlight w:val="none"/>
                <w:lang w:val="en-US" w:eastAsia="zh-CN"/>
              </w:rPr>
            </w:pPr>
            <w:r>
              <w:rPr>
                <w:rFonts w:hint="eastAsia"/>
                <w:b/>
                <w:bCs w:val="0"/>
                <w:color w:val="FF0000"/>
                <w:sz w:val="24"/>
                <w:szCs w:val="24"/>
                <w:highlight w:val="none"/>
                <w:lang w:val="en-US" w:eastAsia="zh-CN"/>
              </w:rPr>
              <w:t>其中凤台局（分项限价）为5万元。</w:t>
            </w:r>
          </w:p>
          <w:p w14:paraId="1D331DD0">
            <w:pPr>
              <w:spacing w:line="360" w:lineRule="auto"/>
              <w:rPr>
                <w:rFonts w:hint="eastAsia"/>
                <w:b/>
                <w:bCs w:val="0"/>
                <w:color w:val="FF0000"/>
                <w:sz w:val="24"/>
                <w:szCs w:val="24"/>
                <w:highlight w:val="none"/>
              </w:rPr>
            </w:pPr>
            <w:r>
              <w:rPr>
                <w:rFonts w:hint="eastAsia"/>
                <w:b/>
                <w:bCs w:val="0"/>
                <w:color w:val="FF0000"/>
                <w:sz w:val="24"/>
                <w:szCs w:val="24"/>
                <w:highlight w:val="none"/>
              </w:rPr>
              <w:t>供应商的</w:t>
            </w:r>
            <w:r>
              <w:rPr>
                <w:rFonts w:hint="eastAsia"/>
                <w:b/>
                <w:bCs w:val="0"/>
                <w:color w:val="FF0000"/>
                <w:sz w:val="24"/>
                <w:szCs w:val="24"/>
                <w:highlight w:val="none"/>
                <w:lang w:val="en-US" w:eastAsia="zh-CN"/>
              </w:rPr>
              <w:t>投标</w:t>
            </w:r>
            <w:r>
              <w:rPr>
                <w:rFonts w:hint="eastAsia"/>
                <w:b/>
                <w:bCs w:val="0"/>
                <w:color w:val="FF0000"/>
                <w:sz w:val="24"/>
                <w:szCs w:val="24"/>
                <w:highlight w:val="none"/>
              </w:rPr>
              <w:t>报价不得超过采购人公</w:t>
            </w:r>
            <w:r>
              <w:rPr>
                <w:b/>
                <w:bCs w:val="0"/>
                <w:color w:val="FF0000"/>
                <w:sz w:val="24"/>
                <w:szCs w:val="24"/>
                <w:highlight w:val="none"/>
              </w:rPr>
              <w:t>布的最高限价</w:t>
            </w:r>
            <w:r>
              <w:rPr>
                <w:rFonts w:hint="eastAsia"/>
                <w:b/>
                <w:bCs w:val="0"/>
                <w:color w:val="FF0000"/>
                <w:sz w:val="24"/>
                <w:szCs w:val="24"/>
                <w:highlight w:val="none"/>
                <w:lang w:val="en-US" w:eastAsia="zh-CN"/>
              </w:rPr>
              <w:t>及分项限价</w:t>
            </w:r>
            <w:r>
              <w:rPr>
                <w:b/>
                <w:bCs w:val="0"/>
                <w:color w:val="FF0000"/>
                <w:sz w:val="24"/>
                <w:szCs w:val="24"/>
                <w:highlight w:val="none"/>
              </w:rPr>
              <w:t>，否则其响应文件按照无效处理。</w:t>
            </w:r>
          </w:p>
        </w:tc>
      </w:tr>
      <w:tr w14:paraId="5158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6" w:type="dxa"/>
            <w:vAlign w:val="center"/>
          </w:tcPr>
          <w:p w14:paraId="2F40E119">
            <w:pPr>
              <w:pStyle w:val="69"/>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0</w:t>
            </w:r>
            <w:r>
              <w:rPr>
                <w:bCs/>
                <w:color w:val="auto"/>
                <w:kern w:val="2"/>
                <w:highlight w:val="none"/>
              </w:rPr>
              <w:t>.1</w:t>
            </w:r>
          </w:p>
        </w:tc>
        <w:tc>
          <w:tcPr>
            <w:tcW w:w="1711" w:type="dxa"/>
            <w:vAlign w:val="center"/>
          </w:tcPr>
          <w:p w14:paraId="4758424A">
            <w:pPr>
              <w:pStyle w:val="68"/>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磋商保证金</w:t>
            </w:r>
          </w:p>
        </w:tc>
        <w:tc>
          <w:tcPr>
            <w:tcW w:w="6229" w:type="dxa"/>
            <w:vAlign w:val="center"/>
          </w:tcPr>
          <w:p w14:paraId="641C0588">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tc>
      </w:tr>
      <w:tr w14:paraId="4341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59AEB8C3">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1</w:t>
            </w:r>
            <w:r>
              <w:rPr>
                <w:bCs/>
                <w:color w:val="auto"/>
                <w:kern w:val="2"/>
                <w:highlight w:val="none"/>
              </w:rPr>
              <w:t>.1</w:t>
            </w:r>
          </w:p>
        </w:tc>
        <w:tc>
          <w:tcPr>
            <w:tcW w:w="1711" w:type="dxa"/>
            <w:vAlign w:val="center"/>
          </w:tcPr>
          <w:p w14:paraId="04DDE8B6">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磋商有效期</w:t>
            </w:r>
          </w:p>
        </w:tc>
        <w:tc>
          <w:tcPr>
            <w:tcW w:w="6229" w:type="dxa"/>
            <w:vAlign w:val="center"/>
          </w:tcPr>
          <w:p w14:paraId="2FDC5F6F">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90</w:t>
            </w:r>
            <w:r>
              <w:rPr>
                <w:rFonts w:hint="eastAsia"/>
                <w:b w:val="0"/>
                <w:color w:val="auto"/>
                <w:sz w:val="24"/>
                <w:highlight w:val="none"/>
              </w:rPr>
              <w:t>日历日</w:t>
            </w:r>
          </w:p>
        </w:tc>
      </w:tr>
      <w:tr w14:paraId="2BEB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35C7077">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2</w:t>
            </w:r>
            <w:r>
              <w:rPr>
                <w:bCs/>
                <w:color w:val="auto"/>
                <w:kern w:val="2"/>
                <w:highlight w:val="none"/>
              </w:rPr>
              <w:t>.3</w:t>
            </w:r>
          </w:p>
        </w:tc>
        <w:tc>
          <w:tcPr>
            <w:tcW w:w="1711" w:type="dxa"/>
            <w:vAlign w:val="center"/>
          </w:tcPr>
          <w:p w14:paraId="61BE65DB">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6229" w:type="dxa"/>
            <w:vAlign w:val="center"/>
          </w:tcPr>
          <w:p w14:paraId="5037245C">
            <w:pPr>
              <w:pStyle w:val="68"/>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none"/>
              </w:rPr>
              <w:t>响应文件提交截止时间后</w:t>
            </w:r>
            <w:r>
              <w:rPr>
                <w:rFonts w:hint="eastAsia"/>
                <w:b w:val="0"/>
                <w:color w:val="auto"/>
                <w:sz w:val="24"/>
                <w:highlight w:val="none"/>
                <w:u w:val="single"/>
                <w:lang w:val="en-US" w:eastAsia="zh-CN"/>
              </w:rPr>
              <w:t xml:space="preserve"> 60 </w:t>
            </w:r>
            <w:r>
              <w:rPr>
                <w:rFonts w:hint="eastAsia"/>
                <w:b w:val="0"/>
                <w:color w:val="auto"/>
                <w:sz w:val="24"/>
                <w:highlight w:val="none"/>
                <w:u w:val="none"/>
              </w:rPr>
              <w:t>分钟内</w:t>
            </w:r>
          </w:p>
        </w:tc>
      </w:tr>
      <w:tr w14:paraId="45B7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5A276C4F">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4</w:t>
            </w:r>
            <w:r>
              <w:rPr>
                <w:rFonts w:hint="eastAsia"/>
                <w:bCs/>
                <w:color w:val="auto"/>
                <w:kern w:val="2"/>
                <w:highlight w:val="none"/>
              </w:rPr>
              <w:t>.3</w:t>
            </w:r>
          </w:p>
        </w:tc>
        <w:tc>
          <w:tcPr>
            <w:tcW w:w="1711" w:type="dxa"/>
            <w:vAlign w:val="center"/>
          </w:tcPr>
          <w:p w14:paraId="2AA2AA4D">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6229" w:type="dxa"/>
            <w:vAlign w:val="center"/>
          </w:tcPr>
          <w:p w14:paraId="53C5D3D0">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none"/>
              </w:rPr>
              <w:t>综合评分法</w:t>
            </w:r>
          </w:p>
        </w:tc>
      </w:tr>
      <w:tr w14:paraId="5FE81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68E56524">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17</w:t>
            </w:r>
            <w:r>
              <w:rPr>
                <w:bCs/>
                <w:color w:val="auto"/>
                <w:kern w:val="2"/>
                <w:highlight w:val="none"/>
              </w:rPr>
              <w:t>.</w:t>
            </w:r>
            <w:r>
              <w:rPr>
                <w:rFonts w:hint="eastAsia"/>
                <w:bCs/>
                <w:color w:val="auto"/>
                <w:kern w:val="2"/>
                <w:highlight w:val="none"/>
              </w:rPr>
              <w:t>4</w:t>
            </w:r>
          </w:p>
        </w:tc>
        <w:tc>
          <w:tcPr>
            <w:tcW w:w="1711" w:type="dxa"/>
            <w:vAlign w:val="center"/>
          </w:tcPr>
          <w:p w14:paraId="2CD6399A">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最后报价扣除</w:t>
            </w:r>
          </w:p>
          <w:p w14:paraId="472920EC">
            <w:pPr>
              <w:pStyle w:val="68"/>
              <w:widowControl w:val="0"/>
              <w:spacing w:before="0" w:beforeAutospacing="0" w:after="0" w:afterAutospacing="0" w:line="360" w:lineRule="auto"/>
              <w:jc w:val="both"/>
              <w:rPr>
                <w:b w:val="0"/>
                <w:color w:val="auto"/>
                <w:sz w:val="24"/>
                <w:highlight w:val="none"/>
              </w:rPr>
            </w:pPr>
            <w:r>
              <w:rPr>
                <w:rFonts w:hint="eastAsia"/>
                <w:b w:val="0"/>
                <w:i/>
                <w:color w:val="auto"/>
                <w:sz w:val="24"/>
                <w:highlight w:val="none"/>
              </w:rPr>
              <w:t>（非专门面向中小企业采购项目适用）</w:t>
            </w:r>
          </w:p>
        </w:tc>
        <w:tc>
          <w:tcPr>
            <w:tcW w:w="6229" w:type="dxa"/>
            <w:vAlign w:val="center"/>
          </w:tcPr>
          <w:p w14:paraId="7E622F65">
            <w:pPr>
              <w:pStyle w:val="6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b w:val="0"/>
                <w:color w:val="auto"/>
                <w:sz w:val="24"/>
                <w:highlight w:val="none"/>
                <w:u w:val="single"/>
                <w:lang w:val="en-US" w:eastAsia="zh-CN"/>
              </w:rPr>
              <w:t>3%</w:t>
            </w:r>
            <w:r>
              <w:rPr>
                <w:rFonts w:hint="eastAsia" w:ascii="宋体" w:hAnsi="宋体" w:eastAsia="宋体"/>
                <w:b w:val="0"/>
                <w:color w:val="auto"/>
                <w:sz w:val="24"/>
                <w:highlight w:val="none"/>
              </w:rPr>
              <w:t>。</w:t>
            </w:r>
          </w:p>
          <w:p w14:paraId="4113E49D">
            <w:pPr>
              <w:pStyle w:val="6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9AE5D2B">
            <w:pPr>
              <w:pStyle w:val="6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5630000C">
            <w:pPr>
              <w:pStyle w:val="6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b w:val="0"/>
                <w:color w:val="auto"/>
                <w:sz w:val="24"/>
                <w:highlight w:val="none"/>
                <w:u w:val="single"/>
                <w:lang w:val="en-US" w:eastAsia="zh-CN"/>
              </w:rPr>
              <w:t>无</w:t>
            </w:r>
            <w:r>
              <w:rPr>
                <w:rFonts w:hint="eastAsia" w:ascii="宋体" w:hAnsi="宋体" w:eastAsia="宋体"/>
                <w:b w:val="0"/>
                <w:color w:val="auto"/>
                <w:sz w:val="24"/>
                <w:highlight w:val="none"/>
              </w:rPr>
              <w:t>。</w:t>
            </w:r>
          </w:p>
          <w:p w14:paraId="62DBF43A">
            <w:pPr>
              <w:pStyle w:val="68"/>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b w:val="0"/>
                <w:color w:val="auto"/>
                <w:sz w:val="24"/>
                <w:highlight w:val="none"/>
                <w:u w:val="single"/>
                <w:lang w:val="en-US" w:eastAsia="zh-CN"/>
              </w:rPr>
              <w:t>/</w:t>
            </w:r>
            <w:r>
              <w:rPr>
                <w:rFonts w:hint="eastAsia" w:ascii="宋体" w:hAnsi="宋体" w:eastAsia="宋体"/>
                <w:b w:val="0"/>
                <w:color w:val="auto"/>
                <w:sz w:val="24"/>
                <w:highlight w:val="none"/>
              </w:rPr>
              <w:t>。</w:t>
            </w:r>
          </w:p>
        </w:tc>
      </w:tr>
      <w:tr w14:paraId="1503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Merge w:val="restart"/>
            <w:vAlign w:val="center"/>
          </w:tcPr>
          <w:p w14:paraId="35726BB1">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19</w:t>
            </w:r>
            <w:r>
              <w:rPr>
                <w:bCs/>
                <w:color w:val="auto"/>
                <w:kern w:val="2"/>
                <w:highlight w:val="none"/>
              </w:rPr>
              <w:t>.</w:t>
            </w:r>
            <w:r>
              <w:rPr>
                <w:rFonts w:hint="eastAsia"/>
                <w:bCs/>
                <w:color w:val="auto"/>
                <w:kern w:val="2"/>
                <w:highlight w:val="none"/>
              </w:rPr>
              <w:t>1</w:t>
            </w:r>
          </w:p>
        </w:tc>
        <w:tc>
          <w:tcPr>
            <w:tcW w:w="1711" w:type="dxa"/>
            <w:vMerge w:val="restart"/>
            <w:vAlign w:val="center"/>
          </w:tcPr>
          <w:p w14:paraId="3A8FBEF1">
            <w:pPr>
              <w:pStyle w:val="68"/>
              <w:widowControl w:val="0"/>
              <w:spacing w:before="0" w:beforeAutospacing="0" w:after="0" w:afterAutospacing="0" w:line="360" w:lineRule="auto"/>
              <w:jc w:val="both"/>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6229" w:type="dxa"/>
            <w:vAlign w:val="center"/>
          </w:tcPr>
          <w:p w14:paraId="77AA987B">
            <w:pPr>
              <w:pStyle w:val="68"/>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b w:val="0"/>
                <w:color w:val="auto"/>
                <w:sz w:val="24"/>
                <w:highlight w:val="none"/>
              </w:rPr>
              <w:t>磋商小组推荐成交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ascii="宋体" w:hAnsi="宋体" w:eastAsia="宋体"/>
                <w:b w:val="0"/>
                <w:color w:val="auto"/>
                <w:sz w:val="24"/>
                <w:highlight w:val="none"/>
              </w:rPr>
              <w:t>3家</w:t>
            </w:r>
            <w:r>
              <w:rPr>
                <w:rFonts w:hint="eastAsia"/>
                <w:b w:val="0"/>
                <w:color w:val="auto"/>
                <w:sz w:val="24"/>
                <w:highlight w:val="none"/>
                <w:lang w:val="en-US" w:eastAsia="zh-CN"/>
              </w:rPr>
              <w:t>及以上</w:t>
            </w:r>
          </w:p>
          <w:p w14:paraId="2BD111D1">
            <w:pPr>
              <w:pStyle w:val="68"/>
              <w:widowControl w:val="0"/>
              <w:spacing w:before="0" w:beforeAutospacing="0" w:after="0" w:afterAutospacing="0" w:line="360" w:lineRule="auto"/>
              <w:jc w:val="both"/>
              <w:rPr>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6D9A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Merge w:val="continue"/>
            <w:vAlign w:val="center"/>
          </w:tcPr>
          <w:p w14:paraId="539197FE">
            <w:pPr>
              <w:pStyle w:val="69"/>
              <w:pBdr>
                <w:bottom w:val="none" w:color="auto" w:sz="0" w:space="0"/>
              </w:pBdr>
              <w:tabs>
                <w:tab w:val="clear" w:pos="4153"/>
                <w:tab w:val="clear" w:pos="8306"/>
              </w:tabs>
              <w:adjustRightInd/>
              <w:spacing w:line="360" w:lineRule="auto"/>
              <w:textAlignment w:val="auto"/>
              <w:rPr>
                <w:bCs/>
                <w:color w:val="auto"/>
                <w:kern w:val="2"/>
                <w:highlight w:val="none"/>
              </w:rPr>
            </w:pPr>
          </w:p>
        </w:tc>
        <w:tc>
          <w:tcPr>
            <w:tcW w:w="1711" w:type="dxa"/>
            <w:vMerge w:val="continue"/>
            <w:vAlign w:val="center"/>
          </w:tcPr>
          <w:p w14:paraId="2CEFA91E">
            <w:pPr>
              <w:pStyle w:val="68"/>
              <w:widowControl w:val="0"/>
              <w:spacing w:before="0" w:beforeAutospacing="0" w:after="0" w:afterAutospacing="0" w:line="360" w:lineRule="auto"/>
              <w:jc w:val="both"/>
              <w:rPr>
                <w:b w:val="0"/>
                <w:color w:val="auto"/>
                <w:sz w:val="24"/>
                <w:highlight w:val="none"/>
              </w:rPr>
            </w:pPr>
          </w:p>
        </w:tc>
        <w:tc>
          <w:tcPr>
            <w:tcW w:w="6229" w:type="dxa"/>
            <w:vAlign w:val="center"/>
          </w:tcPr>
          <w:p w14:paraId="234469E9">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确定成交供应商：</w:t>
            </w:r>
          </w:p>
          <w:p w14:paraId="5C7374A5">
            <w:pPr>
              <w:pStyle w:val="68"/>
              <w:widowControl w:val="0"/>
              <w:spacing w:before="0" w:beforeAutospacing="0" w:after="0" w:afterAutospacing="0" w:line="360" w:lineRule="auto"/>
              <w:jc w:val="both"/>
              <w:rPr>
                <w:b w:val="0"/>
                <w:color w:val="auto"/>
                <w:sz w:val="24"/>
                <w:highlight w:val="none"/>
              </w:rPr>
            </w:pPr>
            <w:r>
              <w:rPr>
                <w:rFonts w:hint="eastAsia" w:asciiTheme="minorEastAsia" w:hAnsiTheme="minorEastAsia"/>
                <w:b w:val="0"/>
                <w:color w:val="auto"/>
                <w:sz w:val="24"/>
                <w:szCs w:val="24"/>
                <w:highlight w:val="none"/>
              </w:rPr>
              <w:sym w:font="Wingdings" w:char="00A8"/>
            </w:r>
            <w:r>
              <w:rPr>
                <w:rFonts w:hint="eastAsia"/>
                <w:b w:val="0"/>
                <w:color w:val="auto"/>
                <w:sz w:val="24"/>
                <w:highlight w:val="none"/>
              </w:rPr>
              <w:t xml:space="preserve">采购人委托磋商小组确定 </w:t>
            </w:r>
            <w:r>
              <w:rPr>
                <w:b w:val="0"/>
                <w:color w:val="auto"/>
                <w:sz w:val="24"/>
                <w:highlight w:val="none"/>
              </w:rPr>
              <w:t xml:space="preserve">   </w:t>
            </w:r>
            <w:r>
              <w:rPr>
                <w:rFonts w:hint="eastAsia"/>
                <w:b w:val="0"/>
                <w:color w:val="auto"/>
                <w:sz w:val="24"/>
                <w:highlight w:val="none"/>
              </w:rPr>
              <w:t xml:space="preserve"> </w:t>
            </w:r>
            <w:r>
              <w:rPr>
                <w:rFonts w:hint="eastAsia"/>
                <w:b w:val="0"/>
                <w:color w:val="auto"/>
                <w:sz w:val="24"/>
                <w:highlight w:val="none"/>
                <w:lang w:eastAsia="zh-CN"/>
              </w:rPr>
              <w:t>☑</w:t>
            </w:r>
            <w:r>
              <w:rPr>
                <w:rFonts w:hint="eastAsia"/>
                <w:b w:val="0"/>
                <w:color w:val="auto"/>
                <w:sz w:val="24"/>
                <w:highlight w:val="none"/>
              </w:rPr>
              <w:t>采购人确定</w:t>
            </w:r>
          </w:p>
        </w:tc>
      </w:tr>
      <w:tr w14:paraId="5415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D22AAAF">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2</w:t>
            </w:r>
            <w:r>
              <w:rPr>
                <w:rFonts w:hint="eastAsia"/>
                <w:bCs/>
                <w:color w:val="auto"/>
                <w:kern w:val="2"/>
                <w:highlight w:val="none"/>
                <w:lang w:val="en-US" w:eastAsia="zh-CN"/>
              </w:rPr>
              <w:t>2</w:t>
            </w:r>
            <w:r>
              <w:rPr>
                <w:bCs/>
                <w:color w:val="auto"/>
                <w:kern w:val="2"/>
                <w:highlight w:val="none"/>
              </w:rPr>
              <w:t>.</w:t>
            </w:r>
            <w:r>
              <w:rPr>
                <w:rFonts w:hint="eastAsia"/>
                <w:bCs/>
                <w:color w:val="auto"/>
                <w:kern w:val="2"/>
                <w:highlight w:val="none"/>
              </w:rPr>
              <w:t>2</w:t>
            </w:r>
          </w:p>
        </w:tc>
        <w:tc>
          <w:tcPr>
            <w:tcW w:w="1711" w:type="dxa"/>
            <w:vAlign w:val="center"/>
          </w:tcPr>
          <w:p w14:paraId="45085212">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随成交结果公告同时公告的内容</w:t>
            </w:r>
          </w:p>
        </w:tc>
        <w:tc>
          <w:tcPr>
            <w:tcW w:w="6229" w:type="dxa"/>
            <w:vAlign w:val="center"/>
          </w:tcPr>
          <w:p w14:paraId="0EE37CA6">
            <w:pPr>
              <w:pStyle w:val="68"/>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1BF1DF5F">
            <w:pPr>
              <w:pStyle w:val="68"/>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4D714819">
            <w:pPr>
              <w:pStyle w:val="68"/>
              <w:widowControl w:val="0"/>
              <w:spacing w:before="0" w:beforeAutospacing="0" w:after="0" w:afterAutospacing="0" w:line="360" w:lineRule="auto"/>
              <w:jc w:val="both"/>
              <w:rPr>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p>
        </w:tc>
      </w:tr>
      <w:tr w14:paraId="3E3B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7F8D5D69">
            <w:pPr>
              <w:pStyle w:val="69"/>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2</w:t>
            </w:r>
            <w:r>
              <w:rPr>
                <w:rFonts w:hint="eastAsia"/>
                <w:bCs/>
                <w:color w:val="auto"/>
                <w:kern w:val="2"/>
                <w:highlight w:val="none"/>
                <w:lang w:val="en-US" w:eastAsia="zh-CN"/>
              </w:rPr>
              <w:t>3</w:t>
            </w:r>
            <w:r>
              <w:rPr>
                <w:bCs/>
                <w:color w:val="auto"/>
                <w:kern w:val="2"/>
                <w:highlight w:val="none"/>
              </w:rPr>
              <w:t>.1</w:t>
            </w:r>
          </w:p>
        </w:tc>
        <w:tc>
          <w:tcPr>
            <w:tcW w:w="1711" w:type="dxa"/>
            <w:vAlign w:val="center"/>
          </w:tcPr>
          <w:p w14:paraId="0F79B734">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6229" w:type="dxa"/>
            <w:vAlign w:val="center"/>
          </w:tcPr>
          <w:p w14:paraId="01208E3A">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 xml:space="preserve">□书面 </w:t>
            </w:r>
            <w:r>
              <w:rPr>
                <w:b w:val="0"/>
                <w:color w:val="auto"/>
                <w:sz w:val="24"/>
                <w:highlight w:val="none"/>
              </w:rPr>
              <w:t xml:space="preserve">    </w:t>
            </w:r>
            <w:r>
              <w:rPr>
                <w:rFonts w:hint="eastAsia"/>
                <w:b w:val="0"/>
                <w:bCs w:val="0"/>
                <w:color w:val="auto"/>
                <w:sz w:val="24"/>
                <w:szCs w:val="24"/>
                <w:highlight w:val="none"/>
              </w:rPr>
              <w:sym w:font="Wingdings" w:char="00FE"/>
            </w:r>
            <w:r>
              <w:rPr>
                <w:rFonts w:hint="eastAsia"/>
                <w:b w:val="0"/>
                <w:color w:val="auto"/>
                <w:sz w:val="24"/>
                <w:highlight w:val="none"/>
              </w:rPr>
              <w:t>数据电文</w:t>
            </w:r>
          </w:p>
        </w:tc>
      </w:tr>
      <w:tr w14:paraId="1B252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60BB5C51">
            <w:pPr>
              <w:pStyle w:val="69"/>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ascii="宋体" w:hAnsi="宋体" w:eastAsia="宋体" w:cs="宋体"/>
                <w:b w:val="0"/>
                <w:bCs/>
                <w:color w:val="auto"/>
                <w:sz w:val="24"/>
                <w:szCs w:val="24"/>
                <w:highlight w:val="none"/>
                <w:lang w:val="en-US" w:eastAsia="zh-CN"/>
              </w:rPr>
              <w:t>2</w:t>
            </w:r>
            <w:r>
              <w:rPr>
                <w:rFonts w:hint="eastAsia"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.1</w:t>
            </w:r>
          </w:p>
        </w:tc>
        <w:tc>
          <w:tcPr>
            <w:tcW w:w="1711" w:type="dxa"/>
            <w:vAlign w:val="center"/>
          </w:tcPr>
          <w:p w14:paraId="5081B602">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告知磋商结果的形式</w:t>
            </w:r>
          </w:p>
        </w:tc>
        <w:tc>
          <w:tcPr>
            <w:tcW w:w="6229" w:type="dxa"/>
            <w:vAlign w:val="center"/>
          </w:tcPr>
          <w:p w14:paraId="5DB173E5">
            <w:pPr>
              <w:pStyle w:val="68"/>
              <w:widowControl w:val="0"/>
              <w:spacing w:before="0" w:beforeAutospacing="0" w:after="0" w:afterAutospacing="0" w:line="360" w:lineRule="auto"/>
              <w:jc w:val="both"/>
              <w:rPr>
                <w:b w:val="0"/>
                <w:bCs w:val="0"/>
                <w:color w:val="auto"/>
                <w:sz w:val="24"/>
                <w:szCs w:val="24"/>
                <w:highlight w:val="none"/>
              </w:rPr>
            </w:pPr>
            <w:r>
              <w:rPr>
                <w:rFonts w:hint="eastAsia" w:asciiTheme="minorEastAsia" w:hAnsiTheme="minorEastAsia"/>
                <w:b w:val="0"/>
                <w:color w:val="auto"/>
                <w:sz w:val="24"/>
                <w:szCs w:val="24"/>
                <w:highlight w:val="none"/>
              </w:rPr>
              <w:sym w:font="Wingdings" w:char="00FE"/>
            </w:r>
            <w:r>
              <w:rPr>
                <w:rFonts w:hint="eastAsia"/>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b w:val="0"/>
                <w:bCs w:val="0"/>
                <w:color w:val="auto"/>
                <w:sz w:val="24"/>
                <w:szCs w:val="24"/>
                <w:highlight w:val="none"/>
              </w:rPr>
              <w:t>系统查看</w:t>
            </w:r>
          </w:p>
          <w:p w14:paraId="627F4772">
            <w:pPr>
              <w:pStyle w:val="68"/>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rPr>
              <w:t>□磋商现场告知</w:t>
            </w:r>
          </w:p>
        </w:tc>
      </w:tr>
      <w:tr w14:paraId="4A14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302F504E">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25</w:t>
            </w:r>
            <w:r>
              <w:rPr>
                <w:bCs/>
                <w:color w:val="auto"/>
                <w:kern w:val="2"/>
                <w:highlight w:val="none"/>
              </w:rPr>
              <w:t>.1</w:t>
            </w:r>
          </w:p>
        </w:tc>
        <w:tc>
          <w:tcPr>
            <w:tcW w:w="1711" w:type="dxa"/>
            <w:vAlign w:val="center"/>
          </w:tcPr>
          <w:p w14:paraId="2B82BDC7">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6229" w:type="dxa"/>
          </w:tcPr>
          <w:p w14:paraId="2C284649">
            <w:pPr>
              <w:spacing w:line="360" w:lineRule="auto"/>
              <w:rPr>
                <w:bCs/>
                <w:color w:val="auto"/>
                <w:sz w:val="24"/>
                <w:szCs w:val="24"/>
                <w:highlight w:val="none"/>
              </w:rPr>
            </w:pPr>
            <w:r>
              <w:rPr>
                <w:rFonts w:hint="eastAsia"/>
                <w:bCs/>
                <w:color w:val="auto"/>
                <w:sz w:val="24"/>
                <w:szCs w:val="24"/>
                <w:highlight w:val="none"/>
              </w:rPr>
              <w:t>（1）金额：合同价的</w:t>
            </w:r>
            <w:r>
              <w:rPr>
                <w:rFonts w:hint="eastAsia"/>
                <w:bCs/>
                <w:color w:val="auto"/>
                <w:sz w:val="24"/>
                <w:szCs w:val="24"/>
                <w:highlight w:val="none"/>
                <w:u w:val="single"/>
                <w:lang w:val="en-US" w:eastAsia="zh-CN"/>
              </w:rPr>
              <w:t>10</w:t>
            </w:r>
            <w:r>
              <w:rPr>
                <w:bCs/>
                <w:color w:val="auto"/>
                <w:sz w:val="24"/>
                <w:szCs w:val="24"/>
                <w:highlight w:val="none"/>
              </w:rPr>
              <w:t>%</w:t>
            </w:r>
          </w:p>
          <w:p w14:paraId="730BEC33">
            <w:pPr>
              <w:spacing w:line="360" w:lineRule="auto"/>
              <w:rPr>
                <w:bCs/>
                <w:color w:val="auto"/>
                <w:sz w:val="24"/>
                <w:szCs w:val="24"/>
                <w:highlight w:val="none"/>
              </w:rPr>
            </w:pPr>
            <w:r>
              <w:rPr>
                <w:rFonts w:hint="eastAsia"/>
                <w:bCs/>
                <w:color w:val="auto"/>
                <w:sz w:val="24"/>
                <w:szCs w:val="24"/>
                <w:highlight w:val="none"/>
              </w:rPr>
              <w:t>（2）支付方式：</w:t>
            </w:r>
          </w:p>
          <w:p w14:paraId="1B2CF6A6">
            <w:pPr>
              <w:spacing w:line="360" w:lineRule="auto"/>
              <w:rPr>
                <w:bCs/>
                <w:color w:val="auto"/>
                <w:sz w:val="24"/>
                <w:szCs w:val="24"/>
                <w:highlight w:val="none"/>
              </w:rPr>
            </w:pPr>
            <w:r>
              <w:rPr>
                <w:rFonts w:hint="eastAsia"/>
                <w:bCs/>
                <w:color w:val="auto"/>
                <w:sz w:val="24"/>
                <w:szCs w:val="24"/>
                <w:highlight w:val="none"/>
              </w:rPr>
              <w:sym w:font="Wingdings" w:char="00FE"/>
            </w:r>
            <w:r>
              <w:rPr>
                <w:bCs/>
                <w:color w:val="auto"/>
                <w:sz w:val="24"/>
                <w:szCs w:val="24"/>
                <w:highlight w:val="none"/>
              </w:rPr>
              <w:t>转账/电汇</w:t>
            </w:r>
            <w:r>
              <w:rPr>
                <w:rFonts w:hint="eastAsia"/>
                <w:bCs/>
                <w:color w:val="auto"/>
                <w:sz w:val="24"/>
                <w:szCs w:val="24"/>
                <w:highlight w:val="none"/>
              </w:rPr>
              <w:t xml:space="preserve"> </w:t>
            </w:r>
            <w:r>
              <w:rPr>
                <w:rFonts w:hint="eastAsia"/>
                <w:bCs/>
                <w:color w:val="auto"/>
                <w:sz w:val="24"/>
                <w:szCs w:val="24"/>
                <w:highlight w:val="none"/>
              </w:rPr>
              <w:sym w:font="Wingdings" w:char="00FE"/>
            </w:r>
            <w:r>
              <w:rPr>
                <w:bCs/>
                <w:color w:val="auto"/>
                <w:sz w:val="24"/>
                <w:szCs w:val="24"/>
                <w:highlight w:val="none"/>
              </w:rPr>
              <w:t xml:space="preserve">支票 </w:t>
            </w:r>
            <w:r>
              <w:rPr>
                <w:rFonts w:hint="eastAsia"/>
                <w:bCs/>
                <w:color w:val="auto"/>
                <w:sz w:val="24"/>
                <w:szCs w:val="24"/>
                <w:highlight w:val="none"/>
              </w:rPr>
              <w:sym w:font="Wingdings" w:char="00FE"/>
            </w:r>
            <w:r>
              <w:rPr>
                <w:bCs/>
                <w:color w:val="auto"/>
                <w:sz w:val="24"/>
                <w:szCs w:val="24"/>
                <w:highlight w:val="none"/>
              </w:rPr>
              <w:t>汇票</w:t>
            </w:r>
            <w:r>
              <w:rPr>
                <w:rFonts w:hint="eastAsia"/>
                <w:bCs/>
                <w:color w:val="auto"/>
                <w:sz w:val="24"/>
                <w:szCs w:val="24"/>
                <w:highlight w:val="none"/>
              </w:rPr>
              <w:t xml:space="preserve"> </w:t>
            </w:r>
            <w:r>
              <w:rPr>
                <w:rFonts w:hint="eastAsia"/>
                <w:bCs/>
                <w:color w:val="auto"/>
                <w:sz w:val="24"/>
                <w:szCs w:val="24"/>
                <w:highlight w:val="none"/>
              </w:rPr>
              <w:sym w:font="Wingdings" w:char="00FE"/>
            </w:r>
            <w:r>
              <w:rPr>
                <w:rFonts w:hint="eastAsia"/>
                <w:bCs/>
                <w:color w:val="auto"/>
                <w:sz w:val="24"/>
                <w:szCs w:val="24"/>
                <w:highlight w:val="none"/>
              </w:rPr>
              <w:t xml:space="preserve">本票 </w:t>
            </w:r>
            <w:r>
              <w:rPr>
                <w:rFonts w:hint="eastAsia"/>
                <w:bCs/>
                <w:color w:val="auto"/>
                <w:sz w:val="24"/>
                <w:szCs w:val="24"/>
                <w:highlight w:val="none"/>
              </w:rPr>
              <w:sym w:font="Wingdings" w:char="00FE"/>
            </w:r>
            <w:r>
              <w:rPr>
                <w:bCs/>
                <w:color w:val="auto"/>
                <w:sz w:val="24"/>
                <w:szCs w:val="24"/>
                <w:highlight w:val="none"/>
              </w:rPr>
              <w:t>保</w:t>
            </w:r>
            <w:r>
              <w:rPr>
                <w:rFonts w:hint="eastAsia"/>
                <w:bCs/>
                <w:color w:val="auto"/>
                <w:sz w:val="24"/>
                <w:szCs w:val="24"/>
                <w:highlight w:val="none"/>
              </w:rPr>
              <w:t xml:space="preserve">险 </w:t>
            </w:r>
            <w:r>
              <w:rPr>
                <w:rFonts w:hint="eastAsia"/>
                <w:bCs/>
                <w:color w:val="auto"/>
                <w:sz w:val="24"/>
                <w:szCs w:val="24"/>
                <w:highlight w:val="none"/>
              </w:rPr>
              <w:sym w:font="Wingdings" w:char="00FE"/>
            </w:r>
            <w:r>
              <w:rPr>
                <w:rFonts w:hint="eastAsia"/>
                <w:bCs/>
                <w:color w:val="auto"/>
                <w:sz w:val="24"/>
                <w:szCs w:val="24"/>
                <w:highlight w:val="none"/>
              </w:rPr>
              <w:t>保</w:t>
            </w:r>
            <w:r>
              <w:rPr>
                <w:bCs/>
                <w:color w:val="auto"/>
                <w:sz w:val="24"/>
                <w:szCs w:val="24"/>
                <w:highlight w:val="none"/>
              </w:rPr>
              <w:t>函</w:t>
            </w:r>
          </w:p>
          <w:p w14:paraId="63110A95">
            <w:pPr>
              <w:spacing w:line="360" w:lineRule="auto"/>
              <w:rPr>
                <w:rFonts w:hint="default" w:ascii="宋体" w:hAnsi="宋体" w:eastAsia="宋体"/>
                <w:bCs/>
                <w:color w:val="auto"/>
                <w:kern w:val="0"/>
                <w:sz w:val="24"/>
                <w:szCs w:val="24"/>
                <w:highlight w:val="none"/>
                <w:u w:val="single"/>
                <w:lang w:val="en-US" w:eastAsia="zh-CN"/>
              </w:rPr>
            </w:pPr>
            <w:r>
              <w:rPr>
                <w:rFonts w:hint="eastAsia" w:ascii="宋体" w:hAnsi="宋体" w:eastAsia="宋体"/>
                <w:bCs/>
                <w:color w:val="auto"/>
                <w:kern w:val="0"/>
                <w:sz w:val="24"/>
                <w:szCs w:val="24"/>
                <w:highlight w:val="none"/>
              </w:rPr>
              <w:t>（3）收取单位：</w:t>
            </w:r>
            <w:r>
              <w:rPr>
                <w:rFonts w:hint="eastAsia"/>
                <w:bCs/>
                <w:color w:val="auto"/>
                <w:kern w:val="0"/>
                <w:sz w:val="24"/>
                <w:szCs w:val="24"/>
                <w:highlight w:val="none"/>
                <w:u w:val="single"/>
                <w:lang w:val="en-US" w:eastAsia="zh-CN"/>
              </w:rPr>
              <w:t>各合同甲方</w:t>
            </w:r>
          </w:p>
          <w:p w14:paraId="4D5590B8">
            <w:pPr>
              <w:spacing w:line="360" w:lineRule="auto"/>
              <w:rPr>
                <w:rFonts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（4）收取账号：</w:t>
            </w:r>
            <w:r>
              <w:rPr>
                <w:rFonts w:hint="eastAsia" w:ascii="宋体" w:hAnsi="宋体" w:eastAsia="宋体"/>
                <w:bCs/>
                <w:color w:val="auto"/>
                <w:kern w:val="0"/>
                <w:sz w:val="24"/>
                <w:szCs w:val="24"/>
                <w:highlight w:val="none"/>
                <w:u w:val="single"/>
              </w:rPr>
              <w:t>成交后提供</w:t>
            </w:r>
          </w:p>
          <w:p w14:paraId="685BA73A">
            <w:pPr>
              <w:spacing w:line="360" w:lineRule="auto"/>
              <w:rPr>
                <w:rFonts w:hint="eastAsia" w:ascii="Times New Roman" w:hAnsi="Times New Roman" w:eastAsia="宋体" w:cs="Times New Roman"/>
                <w:color w:val="auto"/>
                <w:sz w:val="24"/>
                <w:szCs w:val="24"/>
                <w:highlight w:val="none"/>
                <w:u w:val="single"/>
                <w:lang w:eastAsia="zh-CN"/>
              </w:rPr>
            </w:pPr>
            <w:r>
              <w:rPr>
                <w:rFonts w:hint="eastAsia" w:ascii="宋体" w:hAnsi="宋体" w:eastAsia="宋体"/>
                <w:bCs/>
                <w:color w:val="auto"/>
                <w:kern w:val="0"/>
                <w:sz w:val="24"/>
                <w:szCs w:val="24"/>
                <w:highlight w:val="none"/>
              </w:rPr>
              <w:t>（5）</w:t>
            </w:r>
            <w:r>
              <w:rPr>
                <w:rFonts w:hint="eastAsia" w:ascii="宋体" w:hAnsi="宋体" w:eastAsia="宋体"/>
                <w:color w:val="auto"/>
                <w:sz w:val="24"/>
                <w:szCs w:val="24"/>
                <w:highlight w:val="none"/>
              </w:rPr>
              <w:t>退还时间：</w:t>
            </w:r>
            <w:r>
              <w:rPr>
                <w:rFonts w:hint="eastAsia" w:ascii="Times New Roman" w:hAnsi="Times New Roman" w:cs="Times New Roman"/>
                <w:color w:val="auto"/>
                <w:sz w:val="24"/>
                <w:szCs w:val="24"/>
                <w:highlight w:val="none"/>
                <w:u w:val="single"/>
                <w:lang w:eastAsia="zh-CN"/>
              </w:rPr>
              <w:t>履约保证金在合同生效之日起至项目验收合格前一直有效，验收</w:t>
            </w:r>
            <w:r>
              <w:rPr>
                <w:rFonts w:hint="eastAsia" w:ascii="Times New Roman" w:hAnsi="Times New Roman" w:cs="Times New Roman"/>
                <w:color w:val="auto"/>
                <w:sz w:val="24"/>
                <w:szCs w:val="24"/>
                <w:highlight w:val="none"/>
                <w:u w:val="single"/>
                <w:lang w:val="en-US" w:eastAsia="zh-CN"/>
              </w:rPr>
              <w:t>合格</w:t>
            </w:r>
            <w:r>
              <w:rPr>
                <w:rFonts w:hint="eastAsia" w:ascii="Times New Roman" w:hAnsi="Times New Roman" w:cs="Times New Roman"/>
                <w:color w:val="auto"/>
                <w:sz w:val="24"/>
                <w:szCs w:val="24"/>
                <w:highlight w:val="none"/>
                <w:u w:val="single"/>
                <w:lang w:eastAsia="zh-CN"/>
              </w:rPr>
              <w:t>后经乙方申请，甲方确认后按规定及时将履约保证金款项退还给乙方或者解除履约担保。</w:t>
            </w:r>
          </w:p>
          <w:p w14:paraId="5FEE49C9">
            <w:pPr>
              <w:spacing w:line="360" w:lineRule="auto"/>
              <w:rPr>
                <w:rFonts w:ascii="宋体" w:hAnsi="宋体" w:eastAsia="宋体"/>
                <w:color w:val="auto"/>
                <w:sz w:val="24"/>
                <w:szCs w:val="24"/>
                <w:highlight w:val="none"/>
              </w:rPr>
            </w:pPr>
            <w:r>
              <w:rPr>
                <w:rFonts w:hint="eastAsia" w:ascii="宋体" w:hAnsi="宋体" w:eastAsia="宋体" w:cs="宋体"/>
                <w:b/>
                <w:color w:val="auto"/>
                <w:sz w:val="24"/>
                <w:szCs w:val="24"/>
                <w:highlight w:val="none"/>
              </w:rPr>
              <w:t>如果</w:t>
            </w:r>
            <w:r>
              <w:rPr>
                <w:rFonts w:hint="eastAsia" w:cs="宋体"/>
                <w:b/>
                <w:color w:val="auto"/>
                <w:sz w:val="24"/>
                <w:szCs w:val="24"/>
                <w:highlight w:val="none"/>
                <w:lang w:eastAsia="zh-CN"/>
              </w:rPr>
              <w:t>乙方</w:t>
            </w:r>
            <w:r>
              <w:rPr>
                <w:rFonts w:hint="eastAsia" w:ascii="宋体" w:hAnsi="宋体" w:eastAsia="宋体" w:cs="宋体"/>
                <w:b/>
                <w:color w:val="auto"/>
                <w:sz w:val="24"/>
                <w:szCs w:val="24"/>
                <w:highlight w:val="none"/>
              </w:rPr>
              <w:t>不履行合同，履约保证金不予退还；如果</w:t>
            </w:r>
            <w:r>
              <w:rPr>
                <w:rFonts w:hint="eastAsia" w:cs="宋体"/>
                <w:b/>
                <w:color w:val="auto"/>
                <w:sz w:val="24"/>
                <w:szCs w:val="24"/>
                <w:highlight w:val="none"/>
                <w:lang w:eastAsia="zh-CN"/>
              </w:rPr>
              <w:t>乙方</w:t>
            </w:r>
            <w:r>
              <w:rPr>
                <w:rFonts w:hint="eastAsia" w:ascii="宋体" w:hAnsi="宋体" w:eastAsia="宋体" w:cs="宋体"/>
                <w:b/>
                <w:color w:val="auto"/>
                <w:sz w:val="24"/>
                <w:szCs w:val="24"/>
                <w:highlight w:val="none"/>
              </w:rPr>
              <w:t>未能按合同约定全面履行义务，</w:t>
            </w:r>
            <w:r>
              <w:rPr>
                <w:rFonts w:hint="eastAsia" w:cs="宋体"/>
                <w:b/>
                <w:color w:val="auto"/>
                <w:sz w:val="24"/>
                <w:szCs w:val="24"/>
                <w:highlight w:val="none"/>
                <w:lang w:eastAsia="zh-CN"/>
              </w:rPr>
              <w:t>甲方</w:t>
            </w:r>
            <w:r>
              <w:rPr>
                <w:rFonts w:hint="eastAsia" w:ascii="宋体" w:hAnsi="宋体" w:eastAsia="宋体" w:cs="宋体"/>
                <w:b/>
                <w:color w:val="auto"/>
                <w:sz w:val="24"/>
                <w:szCs w:val="24"/>
                <w:highlight w:val="none"/>
              </w:rPr>
              <w:t>有权从履约保证金中取得补偿或赔偿，同时不影响</w:t>
            </w:r>
            <w:r>
              <w:rPr>
                <w:rFonts w:hint="eastAsia" w:cs="宋体"/>
                <w:b/>
                <w:color w:val="auto"/>
                <w:sz w:val="24"/>
                <w:szCs w:val="24"/>
                <w:highlight w:val="none"/>
                <w:lang w:eastAsia="zh-CN"/>
              </w:rPr>
              <w:t>甲方</w:t>
            </w:r>
            <w:r>
              <w:rPr>
                <w:rFonts w:hint="eastAsia" w:ascii="宋体" w:hAnsi="宋体" w:eastAsia="宋体" w:cs="宋体"/>
                <w:b/>
                <w:color w:val="auto"/>
                <w:sz w:val="24"/>
                <w:szCs w:val="24"/>
                <w:highlight w:val="none"/>
              </w:rPr>
              <w:t>要求</w:t>
            </w:r>
            <w:r>
              <w:rPr>
                <w:rFonts w:hint="eastAsia" w:cs="宋体"/>
                <w:b/>
                <w:color w:val="auto"/>
                <w:sz w:val="24"/>
                <w:szCs w:val="24"/>
                <w:highlight w:val="none"/>
                <w:lang w:eastAsia="zh-CN"/>
              </w:rPr>
              <w:t>乙方</w:t>
            </w:r>
            <w:r>
              <w:rPr>
                <w:rFonts w:hint="eastAsia" w:ascii="宋体" w:hAnsi="宋体" w:eastAsia="宋体" w:cs="宋体"/>
                <w:b/>
                <w:color w:val="auto"/>
                <w:sz w:val="24"/>
                <w:szCs w:val="24"/>
                <w:highlight w:val="none"/>
              </w:rPr>
              <w:t>承担合同约定的超过履约保证金的违约责任的权利。</w:t>
            </w:r>
          </w:p>
          <w:p w14:paraId="454237DA">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35252021">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649F73FD">
            <w:pPr>
              <w:pStyle w:val="68"/>
              <w:widowControl w:val="0"/>
              <w:spacing w:before="0" w:beforeAutospacing="0" w:after="0" w:afterAutospacing="0" w:line="360" w:lineRule="auto"/>
              <w:jc w:val="both"/>
              <w:rPr>
                <w:color w:val="auto"/>
                <w:sz w:val="24"/>
                <w:highlight w:val="none"/>
              </w:rPr>
            </w:pPr>
            <w:r>
              <w:rPr>
                <w:rFonts w:hint="eastAsia" w:ascii="宋体" w:hAnsi="宋体" w:eastAsia="宋体"/>
                <w:bCs w:val="0"/>
                <w:color w:val="auto"/>
                <w:sz w:val="24"/>
                <w:szCs w:val="24"/>
                <w:highlight w:val="none"/>
              </w:rPr>
              <w:t>（2）以担保函、保证保险形式缴纳履约保证金的，受益人和收取单位须为</w:t>
            </w:r>
            <w:r>
              <w:rPr>
                <w:rFonts w:hint="eastAsia"/>
                <w:bCs w:val="0"/>
                <w:color w:val="auto"/>
                <w:sz w:val="24"/>
                <w:szCs w:val="24"/>
                <w:highlight w:val="none"/>
                <w:lang w:eastAsia="zh-CN"/>
              </w:rPr>
              <w:t>甲方</w:t>
            </w:r>
            <w:r>
              <w:rPr>
                <w:rFonts w:hint="eastAsia" w:ascii="宋体" w:hAnsi="宋体" w:eastAsia="宋体"/>
                <w:bCs w:val="0"/>
                <w:color w:val="auto"/>
                <w:sz w:val="24"/>
                <w:szCs w:val="24"/>
                <w:highlight w:val="none"/>
              </w:rPr>
              <w:t>。</w:t>
            </w:r>
          </w:p>
        </w:tc>
      </w:tr>
      <w:tr w14:paraId="7B89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6F9C717">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26.1</w:t>
            </w:r>
          </w:p>
        </w:tc>
        <w:tc>
          <w:tcPr>
            <w:tcW w:w="1711" w:type="dxa"/>
            <w:vAlign w:val="center"/>
          </w:tcPr>
          <w:p w14:paraId="75564266">
            <w:pPr>
              <w:pStyle w:val="68"/>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lang w:val="en-US" w:eastAsia="zh-CN"/>
              </w:rPr>
              <w:t>代理费用</w:t>
            </w:r>
          </w:p>
        </w:tc>
        <w:tc>
          <w:tcPr>
            <w:tcW w:w="6229" w:type="dxa"/>
            <w:vAlign w:val="center"/>
          </w:tcPr>
          <w:p w14:paraId="7E6EFC76">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hint="eastAsia" w:cs="宋体"/>
                <w:color w:val="auto"/>
                <w:spacing w:val="14"/>
                <w:sz w:val="24"/>
                <w:szCs w:val="24"/>
                <w:highlight w:val="none"/>
                <w:lang w:val="en-US" w:eastAsia="zh-CN"/>
              </w:rPr>
              <w:t>成交供应商</w:t>
            </w:r>
          </w:p>
          <w:p w14:paraId="5133C1D8">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Times New Roman" w:hAnsi="Times New Roman" w:eastAsia="宋体" w:cs="Times New Roman"/>
                <w:b w:val="0"/>
                <w:bCs w:val="0"/>
                <w:color w:val="auto"/>
                <w:kern w:val="0"/>
                <w:sz w:val="24"/>
                <w:szCs w:val="24"/>
                <w:highlight w:val="none"/>
              </w:rPr>
              <w:t>转账/电汇</w:t>
            </w:r>
          </w:p>
          <w:p w14:paraId="034D7564">
            <w:pPr>
              <w:numPr>
                <w:ilvl w:val="0"/>
                <w:numId w:val="0"/>
              </w:numPr>
              <w:spacing w:line="360" w:lineRule="auto"/>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（3）</w:t>
            </w:r>
            <w:r>
              <w:rPr>
                <w:rFonts w:hint="default" w:ascii="宋体" w:hAnsi="宋体" w:eastAsia="宋体"/>
                <w:bCs/>
                <w:color w:val="auto"/>
                <w:sz w:val="24"/>
                <w:szCs w:val="24"/>
                <w:highlight w:val="none"/>
                <w:lang w:val="en-US" w:eastAsia="zh-CN"/>
              </w:rPr>
              <w:t>收费标准：</w:t>
            </w:r>
            <w:r>
              <w:rPr>
                <w:rFonts w:hint="eastAsia"/>
                <w:bCs/>
                <w:color w:val="auto"/>
                <w:sz w:val="24"/>
                <w:szCs w:val="24"/>
                <w:highlight w:val="none"/>
                <w:lang w:val="en-US" w:eastAsia="zh-CN"/>
              </w:rPr>
              <w:t>项目代理费分包支付，本包代理服务费为人民币陆仟叁佰元整</w:t>
            </w:r>
            <w:r>
              <w:rPr>
                <w:rFonts w:hint="eastAsia" w:ascii="宋体" w:hAnsi="宋体" w:eastAsia="宋体"/>
                <w:bCs/>
                <w:color w:val="auto"/>
                <w:sz w:val="24"/>
                <w:szCs w:val="24"/>
                <w:highlight w:val="none"/>
                <w:lang w:val="en-US" w:eastAsia="zh-CN"/>
              </w:rPr>
              <w:t>。包含在交供应商投标报价的单价与合价中，不单独列项。</w:t>
            </w:r>
          </w:p>
          <w:p w14:paraId="702C0F7F">
            <w:pPr>
              <w:numPr>
                <w:ilvl w:val="0"/>
                <w:numId w:val="0"/>
              </w:numPr>
              <w:spacing w:line="360" w:lineRule="auto"/>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（4）支付时间：各包成交供应商在领取成交通知书前一次性支付。</w:t>
            </w:r>
          </w:p>
          <w:p w14:paraId="4E56D4F4">
            <w:pPr>
              <w:numPr>
                <w:ilvl w:val="0"/>
                <w:numId w:val="0"/>
              </w:numPr>
              <w:spacing w:line="360" w:lineRule="auto"/>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（5）收取单位：安徽安兆工程技术咨询服务有限公司</w:t>
            </w:r>
          </w:p>
          <w:p w14:paraId="3C821E4D">
            <w:pPr>
              <w:numPr>
                <w:ilvl w:val="0"/>
                <w:numId w:val="0"/>
              </w:numPr>
              <w:spacing w:line="360" w:lineRule="auto"/>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纳税人识别号：913403007647962135</w:t>
            </w:r>
          </w:p>
          <w:p w14:paraId="736CCA92">
            <w:pPr>
              <w:numPr>
                <w:ilvl w:val="0"/>
                <w:numId w:val="0"/>
              </w:numPr>
              <w:spacing w:line="360" w:lineRule="auto"/>
              <w:jc w:val="left"/>
              <w:rPr>
                <w:bCs/>
                <w:color w:val="auto"/>
                <w:sz w:val="24"/>
                <w:szCs w:val="28"/>
                <w:highlight w:val="none"/>
              </w:rPr>
            </w:pPr>
            <w:r>
              <w:rPr>
                <w:rFonts w:hint="eastAsia" w:ascii="宋体" w:hAnsi="宋体" w:eastAsia="宋体"/>
                <w:bCs/>
                <w:color w:val="auto"/>
                <w:sz w:val="24"/>
                <w:szCs w:val="24"/>
                <w:highlight w:val="none"/>
                <w:lang w:val="en-US" w:eastAsia="zh-CN"/>
              </w:rPr>
              <w:t>（6）缴费账号：合肥徽商银行成都路支行520819931701000002</w:t>
            </w:r>
          </w:p>
        </w:tc>
      </w:tr>
      <w:tr w14:paraId="5462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5EC575CA">
            <w:pPr>
              <w:pStyle w:val="69"/>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27.1</w:t>
            </w:r>
          </w:p>
        </w:tc>
        <w:tc>
          <w:tcPr>
            <w:tcW w:w="1711" w:type="dxa"/>
            <w:vAlign w:val="center"/>
          </w:tcPr>
          <w:p w14:paraId="1B60E986">
            <w:pPr>
              <w:pStyle w:val="68"/>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6229" w:type="dxa"/>
            <w:vAlign w:val="center"/>
          </w:tcPr>
          <w:p w14:paraId="67A9782C">
            <w:pPr>
              <w:pStyle w:val="5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w:t>
            </w:r>
            <w:r>
              <w:rPr>
                <w:rFonts w:hint="eastAsia"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通知书之日起7个工作日内签订合同，采购合同签订之日起2个工作日内完成政府采购合同公开。</w:t>
            </w:r>
          </w:p>
          <w:p w14:paraId="3125E279">
            <w:pPr>
              <w:pStyle w:val="68"/>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2590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0079FDC4">
            <w:pPr>
              <w:pStyle w:val="69"/>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29.3</w:t>
            </w:r>
          </w:p>
        </w:tc>
        <w:tc>
          <w:tcPr>
            <w:tcW w:w="1711" w:type="dxa"/>
            <w:vAlign w:val="center"/>
          </w:tcPr>
          <w:p w14:paraId="3C1DFECB">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质疑函递交方式、接收部门、联系电话和通讯地址</w:t>
            </w:r>
          </w:p>
        </w:tc>
        <w:tc>
          <w:tcPr>
            <w:tcW w:w="6229" w:type="dxa"/>
            <w:vAlign w:val="center"/>
          </w:tcPr>
          <w:p w14:paraId="60543D77">
            <w:pPr>
              <w:pStyle w:val="6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递交方式：“徽采云”电子交易系统</w:t>
            </w:r>
          </w:p>
          <w:p w14:paraId="2BDC0159">
            <w:pPr>
              <w:pStyle w:val="6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接收部门：安徽省淮河河道管理局</w:t>
            </w:r>
          </w:p>
          <w:p w14:paraId="48F48417">
            <w:pPr>
              <w:pStyle w:val="68"/>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ascii="宋体" w:hAnsi="宋体" w:eastAsia="宋体"/>
                <w:b w:val="0"/>
                <w:color w:val="auto"/>
                <w:sz w:val="24"/>
                <w:highlight w:val="none"/>
              </w:rPr>
              <w:t>联系电话：</w:t>
            </w:r>
            <w:r>
              <w:rPr>
                <w:rFonts w:hint="eastAsia" w:ascii="宋体" w:hAnsi="宋体" w:eastAsia="宋体"/>
                <w:b w:val="0"/>
                <w:color w:val="auto"/>
                <w:sz w:val="24"/>
                <w:highlight w:val="none"/>
              </w:rPr>
              <w:t>0552-39180</w:t>
            </w:r>
            <w:r>
              <w:rPr>
                <w:rFonts w:hint="eastAsia" w:ascii="宋体" w:hAnsi="宋体" w:eastAsia="宋体"/>
                <w:b w:val="0"/>
                <w:color w:val="auto"/>
                <w:sz w:val="24"/>
                <w:highlight w:val="none"/>
                <w:lang w:val="en-US" w:eastAsia="zh-CN"/>
              </w:rPr>
              <w:t>61</w:t>
            </w:r>
          </w:p>
          <w:p w14:paraId="4C64AF75">
            <w:pPr>
              <w:pStyle w:val="68"/>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通讯地址：安徽省蚌埠市解放一路116号</w:t>
            </w:r>
          </w:p>
        </w:tc>
      </w:tr>
      <w:tr w14:paraId="1465E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7D3EE46E">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rPr>
              <w:t>3</w:t>
            </w:r>
            <w:r>
              <w:rPr>
                <w:rFonts w:hint="eastAsia"/>
                <w:bCs/>
                <w:color w:val="auto"/>
                <w:kern w:val="2"/>
                <w:highlight w:val="none"/>
                <w:lang w:val="en-US" w:eastAsia="zh-CN"/>
              </w:rPr>
              <w:t>0</w:t>
            </w:r>
          </w:p>
        </w:tc>
        <w:tc>
          <w:tcPr>
            <w:tcW w:w="1711" w:type="dxa"/>
            <w:vAlign w:val="center"/>
          </w:tcPr>
          <w:p w14:paraId="6B09B89D">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6229" w:type="dxa"/>
            <w:vAlign w:val="center"/>
          </w:tcPr>
          <w:p w14:paraId="5EF69D86">
            <w:pPr>
              <w:pStyle w:val="68"/>
              <w:widowControl w:val="0"/>
              <w:spacing w:before="0" w:beforeAutospacing="0" w:after="0" w:afterAutospacing="0" w:line="360" w:lineRule="auto"/>
              <w:jc w:val="both"/>
              <w:rPr>
                <w:b w:val="0"/>
                <w:color w:val="auto"/>
                <w:sz w:val="24"/>
                <w:highlight w:val="none"/>
              </w:rPr>
            </w:pPr>
          </w:p>
        </w:tc>
      </w:tr>
      <w:tr w14:paraId="13B4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61A6FB64">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1</w:t>
            </w:r>
          </w:p>
        </w:tc>
        <w:tc>
          <w:tcPr>
            <w:tcW w:w="1711" w:type="dxa"/>
            <w:vAlign w:val="center"/>
          </w:tcPr>
          <w:p w14:paraId="7FA5511A">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6229" w:type="dxa"/>
            <w:vAlign w:val="center"/>
          </w:tcPr>
          <w:p w14:paraId="03E32929">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 xml:space="preserve">施工总承包  </w:t>
            </w:r>
            <w:r>
              <w:rPr>
                <w:rFonts w:hint="eastAsia"/>
                <w:b w:val="0"/>
                <w:color w:val="auto"/>
                <w:sz w:val="24"/>
                <w:highlight w:val="none"/>
              </w:rPr>
              <w:sym w:font="Wingdings 2" w:char="0052"/>
            </w:r>
            <w:r>
              <w:rPr>
                <w:rFonts w:hint="eastAsia"/>
                <w:b w:val="0"/>
                <w:color w:val="auto"/>
                <w:sz w:val="24"/>
                <w:highlight w:val="none"/>
              </w:rPr>
              <w:t>专业承包</w:t>
            </w:r>
          </w:p>
        </w:tc>
      </w:tr>
      <w:tr w14:paraId="44B7A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C7715D6">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2</w:t>
            </w:r>
          </w:p>
        </w:tc>
        <w:tc>
          <w:tcPr>
            <w:tcW w:w="1711" w:type="dxa"/>
            <w:vAlign w:val="center"/>
          </w:tcPr>
          <w:p w14:paraId="2C8A86BF">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6229" w:type="dxa"/>
            <w:vAlign w:val="center"/>
          </w:tcPr>
          <w:p w14:paraId="5E040CCF">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sym w:font="Wingdings 2" w:char="00A3"/>
            </w:r>
            <w:r>
              <w:rPr>
                <w:rFonts w:hint="eastAsia"/>
                <w:b w:val="0"/>
                <w:color w:val="auto"/>
                <w:sz w:val="24"/>
                <w:highlight w:val="none"/>
              </w:rPr>
              <w:t>工程量清单综合单价报价法</w:t>
            </w:r>
          </w:p>
          <w:p w14:paraId="0B08A41B">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全费用综合单价报价法</w:t>
            </w:r>
          </w:p>
        </w:tc>
      </w:tr>
      <w:tr w14:paraId="1F6C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C6A0BCD">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3</w:t>
            </w:r>
          </w:p>
        </w:tc>
        <w:tc>
          <w:tcPr>
            <w:tcW w:w="1711" w:type="dxa"/>
            <w:vAlign w:val="center"/>
          </w:tcPr>
          <w:p w14:paraId="33EA3D81">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6229" w:type="dxa"/>
            <w:vAlign w:val="center"/>
          </w:tcPr>
          <w:p w14:paraId="23514CE7">
            <w:pPr>
              <w:pStyle w:val="68"/>
              <w:widowControl w:val="0"/>
              <w:spacing w:before="0" w:beforeAutospacing="0" w:after="0" w:afterAutospacing="0" w:line="360" w:lineRule="auto"/>
              <w:jc w:val="both"/>
              <w:rPr>
                <w:rFonts w:hint="default" w:eastAsia="宋体"/>
                <w:b w:val="0"/>
                <w:color w:val="auto"/>
                <w:sz w:val="24"/>
                <w:highlight w:val="none"/>
                <w:lang w:val="en-US" w:eastAsia="zh-CN"/>
              </w:rPr>
            </w:pPr>
            <w:r>
              <w:rPr>
                <w:rFonts w:hint="eastAsia"/>
                <w:b w:val="0"/>
                <w:color w:val="auto"/>
                <w:sz w:val="24"/>
                <w:highlight w:val="none"/>
              </w:rPr>
              <w:t>计划</w:t>
            </w:r>
            <w:r>
              <w:rPr>
                <w:b w:val="0"/>
                <w:color w:val="auto"/>
                <w:sz w:val="24"/>
                <w:highlight w:val="none"/>
              </w:rPr>
              <w:t>工期：</w:t>
            </w:r>
            <w:r>
              <w:rPr>
                <w:rFonts w:hint="eastAsia"/>
                <w:b w:val="0"/>
                <w:color w:val="auto"/>
                <w:sz w:val="24"/>
                <w:highlight w:val="none"/>
                <w:u w:val="single"/>
                <w:lang w:val="en-US" w:eastAsia="zh-CN"/>
              </w:rPr>
              <w:t>详见磋商公告</w:t>
            </w:r>
          </w:p>
          <w:p w14:paraId="4993F440">
            <w:pPr>
              <w:pStyle w:val="68"/>
              <w:widowControl w:val="0"/>
              <w:spacing w:before="0" w:beforeAutospacing="0" w:after="0" w:afterAutospacing="0" w:line="360" w:lineRule="auto"/>
              <w:jc w:val="both"/>
              <w:rPr>
                <w:b w:val="0"/>
                <w:color w:val="auto"/>
                <w:sz w:val="24"/>
                <w:highlight w:val="none"/>
              </w:rPr>
            </w:pPr>
            <w:r>
              <w:rPr>
                <w:b w:val="0"/>
                <w:color w:val="auto"/>
                <w:sz w:val="24"/>
                <w:highlight w:val="none"/>
              </w:rPr>
              <w:t>计划开工日期</w:t>
            </w:r>
            <w:r>
              <w:rPr>
                <w:rFonts w:hint="eastAsia"/>
                <w:b w:val="0"/>
                <w:color w:val="auto"/>
                <w:sz w:val="24"/>
                <w:highlight w:val="none"/>
                <w:lang w:eastAsia="zh-CN"/>
              </w:rPr>
              <w:t>：</w:t>
            </w:r>
            <w:r>
              <w:rPr>
                <w:rFonts w:hint="eastAsia"/>
                <w:b w:val="0"/>
                <w:color w:val="auto"/>
                <w:sz w:val="24"/>
                <w:highlight w:val="none"/>
                <w:u w:val="single"/>
                <w:lang w:val="en-US" w:eastAsia="zh-CN"/>
              </w:rPr>
              <w:t>/</w:t>
            </w:r>
            <w:r>
              <w:rPr>
                <w:rFonts w:hint="eastAsia"/>
                <w:b w:val="0"/>
                <w:color w:val="auto"/>
                <w:sz w:val="24"/>
                <w:highlight w:val="none"/>
              </w:rPr>
              <w:t>，</w:t>
            </w:r>
            <w:bookmarkStart w:id="27" w:name="EB2a2e1a22d449405a860670c095486ab8"/>
            <w:r>
              <w:rPr>
                <w:rFonts w:hint="eastAsia"/>
                <w:b w:val="0"/>
                <w:color w:val="auto"/>
                <w:sz w:val="24"/>
                <w:highlight w:val="none"/>
              </w:rPr>
              <w:t>具体开工时间以开工令为准。</w:t>
            </w:r>
            <w:bookmarkEnd w:id="27"/>
          </w:p>
        </w:tc>
      </w:tr>
      <w:tr w14:paraId="3A233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660D35E9">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4</w:t>
            </w:r>
          </w:p>
        </w:tc>
        <w:tc>
          <w:tcPr>
            <w:tcW w:w="1711" w:type="dxa"/>
            <w:vAlign w:val="center"/>
          </w:tcPr>
          <w:p w14:paraId="015D7477">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6229" w:type="dxa"/>
            <w:vAlign w:val="center"/>
          </w:tcPr>
          <w:p w14:paraId="7FBF8B4F">
            <w:pPr>
              <w:pStyle w:val="95"/>
              <w:tabs>
                <w:tab w:val="left" w:pos="1152"/>
              </w:tabs>
              <w:spacing w:before="0" w:beforeAutospacing="0" w:after="0" w:afterAutospacing="0" w:line="360" w:lineRule="auto"/>
              <w:rPr>
                <w:b/>
                <w:color w:val="auto"/>
                <w:highlight w:val="none"/>
              </w:rPr>
            </w:pPr>
            <w:r>
              <w:rPr>
                <w:rFonts w:hint="eastAsia" w:cs="@仿宋_GB2312"/>
                <w:bCs/>
                <w:color w:val="auto"/>
                <w:szCs w:val="28"/>
                <w:highlight w:val="none"/>
              </w:rPr>
              <w:t>质量标准：合格</w:t>
            </w:r>
          </w:p>
        </w:tc>
      </w:tr>
      <w:tr w14:paraId="0EA8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560329AB">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5</w:t>
            </w:r>
          </w:p>
        </w:tc>
        <w:tc>
          <w:tcPr>
            <w:tcW w:w="1711" w:type="dxa"/>
            <w:vAlign w:val="center"/>
          </w:tcPr>
          <w:p w14:paraId="37D73A20">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6229" w:type="dxa"/>
            <w:vAlign w:val="center"/>
          </w:tcPr>
          <w:p w14:paraId="6699DDA4">
            <w:pPr>
              <w:pStyle w:val="68"/>
              <w:widowControl w:val="0"/>
              <w:spacing w:before="0" w:beforeAutospacing="0" w:after="0" w:afterAutospacing="0" w:line="360" w:lineRule="auto"/>
              <w:jc w:val="both"/>
              <w:rPr>
                <w:b w:val="0"/>
                <w:bCs w:val="0"/>
                <w:color w:val="auto"/>
                <w:sz w:val="24"/>
                <w:highlight w:val="none"/>
              </w:rPr>
            </w:pPr>
            <w:r>
              <w:rPr>
                <w:rFonts w:hint="eastAsia"/>
                <w:b w:val="0"/>
                <w:bCs w:val="0"/>
                <w:color w:val="auto"/>
                <w:sz w:val="24"/>
                <w:highlight w:val="none"/>
              </w:rPr>
              <w:t>必须确保安全文明施工，符合国家和项目所在地现行相关规定</w:t>
            </w:r>
          </w:p>
        </w:tc>
      </w:tr>
      <w:tr w14:paraId="2841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702EBC2A">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6</w:t>
            </w:r>
          </w:p>
        </w:tc>
        <w:tc>
          <w:tcPr>
            <w:tcW w:w="1711" w:type="dxa"/>
            <w:vAlign w:val="center"/>
          </w:tcPr>
          <w:p w14:paraId="080644BC">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6229" w:type="dxa"/>
            <w:vAlign w:val="center"/>
          </w:tcPr>
          <w:p w14:paraId="73719917">
            <w:pPr>
              <w:spacing w:line="360" w:lineRule="auto"/>
              <w:rPr>
                <w:rFonts w:ascii="Calibri" w:hAnsi="Calibri" w:cs="Times New Roman"/>
                <w:b w:val="0"/>
                <w:bCs w:val="0"/>
                <w:color w:val="auto"/>
                <w:kern w:val="2"/>
                <w:sz w:val="24"/>
                <w:szCs w:val="28"/>
                <w:highlight w:val="none"/>
              </w:rPr>
            </w:pPr>
            <w:r>
              <w:rPr>
                <w:rFonts w:hint="eastAsia" w:ascii="Calibri" w:hAnsi="Calibri" w:cs="Times New Roman"/>
                <w:b w:val="0"/>
                <w:bCs w:val="0"/>
                <w:color w:val="auto"/>
                <w:kern w:val="2"/>
                <w:sz w:val="24"/>
                <w:szCs w:val="28"/>
                <w:highlight w:val="none"/>
              </w:rPr>
              <w:t>供应商不得在成交后将工程转包给其它施工单位。</w:t>
            </w:r>
          </w:p>
          <w:p w14:paraId="6EB8041B">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分包情况</w:t>
            </w:r>
          </w:p>
          <w:p w14:paraId="10053A61">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□允许专业分包，</w:t>
            </w:r>
            <w:r>
              <w:rPr>
                <w:rFonts w:hint="eastAsia" w:ascii="Calibri" w:hAnsi="Calibri" w:cs="Times New Roman"/>
                <w:b w:val="0"/>
                <w:bCs w:val="0"/>
                <w:color w:val="auto"/>
                <w:kern w:val="2"/>
                <w:sz w:val="24"/>
                <w:szCs w:val="22"/>
                <w:highlight w:val="none"/>
              </w:rPr>
              <w:t>分包项目、内容及分包商须经采购人及监理单位同意和认可</w:t>
            </w:r>
          </w:p>
          <w:p w14:paraId="221140E6">
            <w:pPr>
              <w:pStyle w:val="68"/>
              <w:widowControl w:val="0"/>
              <w:spacing w:before="0" w:beforeAutospacing="0" w:after="0" w:afterAutospacing="0" w:line="360" w:lineRule="auto"/>
              <w:jc w:val="both"/>
              <w:rPr>
                <w:b w:val="0"/>
                <w:bCs w:val="0"/>
                <w:color w:val="auto"/>
                <w:sz w:val="24"/>
                <w:highlight w:val="none"/>
              </w:rPr>
            </w:pPr>
            <w:r>
              <w:rPr>
                <w:rFonts w:hint="eastAsia" w:cs="Times New Roman"/>
                <w:b w:val="0"/>
                <w:bCs w:val="0"/>
                <w:color w:val="auto"/>
                <w:kern w:val="2"/>
                <w:sz w:val="24"/>
                <w:szCs w:val="22"/>
                <w:highlight w:val="none"/>
                <w:lang w:eastAsia="zh-CN"/>
              </w:rPr>
              <w:sym w:font="Wingdings 2" w:char="0052"/>
            </w:r>
            <w:r>
              <w:rPr>
                <w:rFonts w:hint="eastAsia" w:cs="Times New Roman"/>
                <w:b w:val="0"/>
                <w:bCs w:val="0"/>
                <w:color w:val="auto"/>
                <w:kern w:val="2"/>
                <w:sz w:val="24"/>
                <w:szCs w:val="22"/>
                <w:highlight w:val="none"/>
              </w:rPr>
              <w:t>不允许</w:t>
            </w:r>
          </w:p>
        </w:tc>
      </w:tr>
      <w:tr w14:paraId="0E21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5FAC9ECA">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7</w:t>
            </w:r>
          </w:p>
        </w:tc>
        <w:tc>
          <w:tcPr>
            <w:tcW w:w="1711" w:type="dxa"/>
            <w:vAlign w:val="center"/>
          </w:tcPr>
          <w:p w14:paraId="224E937C">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6229" w:type="dxa"/>
            <w:vAlign w:val="center"/>
          </w:tcPr>
          <w:p w14:paraId="74F91015">
            <w:pPr>
              <w:pStyle w:val="68"/>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具备开工条件</w:t>
            </w:r>
          </w:p>
        </w:tc>
      </w:tr>
      <w:tr w14:paraId="4877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24249F7">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8</w:t>
            </w:r>
          </w:p>
        </w:tc>
        <w:tc>
          <w:tcPr>
            <w:tcW w:w="1711" w:type="dxa"/>
            <w:vAlign w:val="center"/>
          </w:tcPr>
          <w:p w14:paraId="280394E4">
            <w:pPr>
              <w:pStyle w:val="68"/>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采购人提供的资料</w:t>
            </w:r>
          </w:p>
        </w:tc>
        <w:tc>
          <w:tcPr>
            <w:tcW w:w="6229" w:type="dxa"/>
            <w:vAlign w:val="center"/>
          </w:tcPr>
          <w:p w14:paraId="52683C3A">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磋商文件</w:t>
            </w:r>
          </w:p>
          <w:p w14:paraId="68F411AE">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工程量清单</w:t>
            </w:r>
          </w:p>
          <w:p w14:paraId="0B96147D">
            <w:pPr>
              <w:adjustRightInd w:val="0"/>
              <w:snapToGrid w:val="0"/>
              <w:spacing w:line="360" w:lineRule="auto"/>
              <w:jc w:val="left"/>
              <w:rPr>
                <w:bCs/>
                <w:color w:val="auto"/>
                <w:sz w:val="24"/>
                <w:szCs w:val="28"/>
                <w:highlight w:val="none"/>
              </w:rPr>
            </w:pPr>
            <w:r>
              <w:rPr>
                <w:rFonts w:hint="eastAsia"/>
                <w:bCs/>
                <w:color w:val="auto"/>
                <w:sz w:val="24"/>
                <w:szCs w:val="28"/>
                <w:highlight w:val="none"/>
              </w:rPr>
              <w:t>□最高投标限价</w:t>
            </w:r>
          </w:p>
          <w:p w14:paraId="7E447174">
            <w:pPr>
              <w:adjustRightInd w:val="0"/>
              <w:snapToGrid w:val="0"/>
              <w:spacing w:line="360" w:lineRule="auto"/>
              <w:jc w:val="left"/>
              <w:rPr>
                <w:bCs/>
                <w:color w:val="auto"/>
                <w:sz w:val="24"/>
                <w:szCs w:val="28"/>
                <w:highlight w:val="none"/>
              </w:rPr>
            </w:pPr>
            <w:r>
              <w:rPr>
                <w:rFonts w:hint="eastAsia"/>
                <w:bCs/>
                <w:color w:val="auto"/>
                <w:sz w:val="24"/>
                <w:szCs w:val="28"/>
                <w:highlight w:val="none"/>
              </w:rPr>
              <w:t>□电子版图纸</w:t>
            </w:r>
          </w:p>
          <w:p w14:paraId="762F1F14">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4FF77035">
            <w:pPr>
              <w:pStyle w:val="68"/>
              <w:widowControl w:val="0"/>
              <w:spacing w:before="0" w:beforeAutospacing="0" w:after="0" w:afterAutospacing="0" w:line="360" w:lineRule="auto"/>
              <w:jc w:val="both"/>
              <w:rPr>
                <w:b w:val="0"/>
                <w:color w:val="auto"/>
                <w:sz w:val="24"/>
                <w:highlight w:val="none"/>
              </w:rPr>
            </w:pPr>
            <w:r>
              <w:rPr>
                <w:rFonts w:hint="eastAsia"/>
                <w:color w:val="auto"/>
                <w:sz w:val="24"/>
                <w:highlight w:val="none"/>
              </w:rPr>
              <w:t>上述资料请供应商在获取磋商文件后，自行登录电子交易系统下载本项目附件。</w:t>
            </w:r>
          </w:p>
        </w:tc>
      </w:tr>
      <w:tr w14:paraId="461D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04C7248E">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lang w:val="en-US" w:eastAsia="zh-CN"/>
              </w:rPr>
              <w:t>30</w:t>
            </w:r>
            <w:r>
              <w:rPr>
                <w:bCs/>
                <w:color w:val="auto"/>
                <w:kern w:val="2"/>
                <w:highlight w:val="none"/>
              </w:rPr>
              <w:t>.</w:t>
            </w:r>
            <w:r>
              <w:rPr>
                <w:rFonts w:hint="eastAsia"/>
                <w:bCs/>
                <w:color w:val="auto"/>
                <w:kern w:val="2"/>
                <w:highlight w:val="none"/>
                <w:lang w:val="en-US" w:eastAsia="zh-CN"/>
              </w:rPr>
              <w:t>9</w:t>
            </w:r>
          </w:p>
        </w:tc>
        <w:tc>
          <w:tcPr>
            <w:tcW w:w="1711" w:type="dxa"/>
            <w:vAlign w:val="center"/>
          </w:tcPr>
          <w:p w14:paraId="7E1311F1">
            <w:pPr>
              <w:pStyle w:val="68"/>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工程量清单和最高投标限价编制费</w:t>
            </w:r>
          </w:p>
        </w:tc>
        <w:tc>
          <w:tcPr>
            <w:tcW w:w="6229" w:type="dxa"/>
            <w:vAlign w:val="center"/>
          </w:tcPr>
          <w:p w14:paraId="17F92C22">
            <w:pPr>
              <w:numPr>
                <w:ilvl w:val="0"/>
                <w:numId w:val="0"/>
              </w:numPr>
              <w:spacing w:line="360" w:lineRule="auto"/>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（1）</w:t>
            </w:r>
            <w:r>
              <w:rPr>
                <w:rFonts w:hint="default" w:ascii="宋体" w:hAnsi="宋体" w:eastAsia="宋体"/>
                <w:bCs/>
                <w:color w:val="auto"/>
                <w:sz w:val="24"/>
                <w:szCs w:val="24"/>
                <w:highlight w:val="none"/>
                <w:lang w:val="en-US" w:eastAsia="zh-CN"/>
              </w:rPr>
              <w:t>收费对象</w:t>
            </w:r>
            <w:r>
              <w:rPr>
                <w:rFonts w:hint="eastAsia" w:ascii="宋体" w:hAnsi="宋体" w:eastAsia="宋体"/>
                <w:bCs/>
                <w:color w:val="auto"/>
                <w:sz w:val="24"/>
                <w:szCs w:val="24"/>
                <w:highlight w:val="none"/>
                <w:lang w:val="en-US" w:eastAsia="zh-CN"/>
              </w:rPr>
              <w:t>：成交供应商</w:t>
            </w:r>
          </w:p>
          <w:p w14:paraId="288CDD38">
            <w:pPr>
              <w:numPr>
                <w:ilvl w:val="0"/>
                <w:numId w:val="0"/>
              </w:numPr>
              <w:spacing w:line="360" w:lineRule="auto"/>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（2）</w:t>
            </w:r>
            <w:r>
              <w:rPr>
                <w:rFonts w:hint="default" w:ascii="宋体" w:hAnsi="宋体" w:eastAsia="宋体"/>
                <w:bCs/>
                <w:color w:val="auto"/>
                <w:sz w:val="24"/>
                <w:szCs w:val="24"/>
                <w:highlight w:val="none"/>
                <w:lang w:val="en-US" w:eastAsia="zh-CN"/>
              </w:rPr>
              <w:t>收取方式</w:t>
            </w:r>
            <w:r>
              <w:rPr>
                <w:rFonts w:hint="eastAsia" w:ascii="宋体" w:hAnsi="宋体" w:eastAsia="宋体"/>
                <w:bCs/>
                <w:color w:val="auto"/>
                <w:sz w:val="24"/>
                <w:szCs w:val="24"/>
                <w:highlight w:val="none"/>
                <w:lang w:val="en-US" w:eastAsia="zh-CN"/>
              </w:rPr>
              <w:t>：转账/电汇</w:t>
            </w:r>
          </w:p>
          <w:p w14:paraId="59EE6E67">
            <w:pPr>
              <w:numPr>
                <w:ilvl w:val="0"/>
                <w:numId w:val="0"/>
              </w:numPr>
              <w:spacing w:line="360" w:lineRule="auto"/>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（3）</w:t>
            </w:r>
            <w:r>
              <w:rPr>
                <w:rFonts w:hint="default" w:ascii="宋体" w:hAnsi="宋体" w:eastAsia="宋体"/>
                <w:bCs/>
                <w:color w:val="auto"/>
                <w:sz w:val="24"/>
                <w:szCs w:val="24"/>
                <w:highlight w:val="none"/>
                <w:lang w:val="en-US" w:eastAsia="zh-CN"/>
              </w:rPr>
              <w:t>收费标准：</w:t>
            </w:r>
            <w:r>
              <w:rPr>
                <w:rFonts w:hint="eastAsia"/>
                <w:b w:val="0"/>
                <w:bCs w:val="0"/>
                <w:color w:val="auto"/>
                <w:sz w:val="24"/>
                <w:szCs w:val="24"/>
                <w:highlight w:val="none"/>
              </w:rPr>
              <w:t>工程量清单和最高投标限价编制费</w:t>
            </w:r>
            <w:r>
              <w:rPr>
                <w:rFonts w:hint="eastAsia"/>
                <w:b w:val="0"/>
                <w:bCs w:val="0"/>
                <w:color w:val="auto"/>
                <w:sz w:val="24"/>
                <w:szCs w:val="24"/>
                <w:highlight w:val="none"/>
                <w:lang w:val="en-US" w:eastAsia="zh-CN"/>
              </w:rPr>
              <w:t>为人民币肆仟伍佰元整</w:t>
            </w:r>
            <w:r>
              <w:rPr>
                <w:rFonts w:hint="eastAsia" w:ascii="宋体" w:hAnsi="宋体" w:eastAsia="宋体"/>
                <w:bCs/>
                <w:color w:val="auto"/>
                <w:sz w:val="24"/>
                <w:szCs w:val="24"/>
                <w:highlight w:val="none"/>
                <w:lang w:val="en-US" w:eastAsia="zh-CN"/>
              </w:rPr>
              <w:t>，由成交供应商支付，包含在成交供应商投标报价的单价与合价中，不单独列项。</w:t>
            </w:r>
          </w:p>
          <w:p w14:paraId="61B4A451">
            <w:pPr>
              <w:numPr>
                <w:ilvl w:val="0"/>
                <w:numId w:val="0"/>
              </w:numPr>
              <w:spacing w:line="360" w:lineRule="auto"/>
              <w:ind w:left="0" w:leftChars="0" w:firstLine="0" w:firstLineChars="0"/>
              <w:rPr>
                <w:rFonts w:hint="eastAsia"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（4）支付时间：各包成交供应商在领取成交通知书前一次性支付。</w:t>
            </w:r>
          </w:p>
          <w:p w14:paraId="210333E7">
            <w:pPr>
              <w:numPr>
                <w:ilvl w:val="0"/>
                <w:numId w:val="0"/>
              </w:numPr>
              <w:spacing w:line="360" w:lineRule="auto"/>
              <w:ind w:left="0" w:leftChars="0" w:firstLine="0" w:firstLineChars="0"/>
              <w:rPr>
                <w:rFonts w:hint="eastAsia"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（5）收取单位：安徽安兆工程技术咨询服务有限公司</w:t>
            </w:r>
          </w:p>
          <w:p w14:paraId="682B4D59">
            <w:pPr>
              <w:numPr>
                <w:ilvl w:val="0"/>
                <w:numId w:val="0"/>
              </w:numPr>
              <w:spacing w:line="360" w:lineRule="auto"/>
              <w:ind w:left="0" w:leftChars="0" w:firstLine="0" w:firstLineChars="0"/>
              <w:rPr>
                <w:rFonts w:hint="eastAsia"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纳税人识别号：913403007647962135</w:t>
            </w:r>
          </w:p>
          <w:p w14:paraId="479D0C75">
            <w:pPr>
              <w:pStyle w:val="68"/>
              <w:widowControl w:val="0"/>
              <w:spacing w:before="0" w:beforeAutospacing="0" w:after="0" w:afterAutospacing="0" w:line="360" w:lineRule="auto"/>
              <w:jc w:val="both"/>
              <w:rPr>
                <w:b w:val="0"/>
                <w:color w:val="auto"/>
                <w:sz w:val="24"/>
                <w:highlight w:val="none"/>
              </w:rPr>
            </w:pPr>
            <w:r>
              <w:rPr>
                <w:rFonts w:hint="eastAsia" w:asciiTheme="minorEastAsia" w:hAnsiTheme="minorEastAsia" w:eastAsiaTheme="minorEastAsia"/>
                <w:b w:val="0"/>
                <w:color w:val="auto"/>
                <w:sz w:val="24"/>
                <w:szCs w:val="24"/>
                <w:highlight w:val="none"/>
              </w:rPr>
              <w:t>（6）缴费账号：合肥徽商银行成都路支行520819931701000002</w:t>
            </w:r>
          </w:p>
        </w:tc>
      </w:tr>
      <w:tr w14:paraId="715B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180CA647">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0</w:t>
            </w:r>
          </w:p>
        </w:tc>
        <w:tc>
          <w:tcPr>
            <w:tcW w:w="1711" w:type="dxa"/>
            <w:vAlign w:val="center"/>
          </w:tcPr>
          <w:p w14:paraId="1D571D31">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其他补充说明</w:t>
            </w:r>
          </w:p>
        </w:tc>
        <w:tc>
          <w:tcPr>
            <w:tcW w:w="6229" w:type="dxa"/>
            <w:vAlign w:val="center"/>
          </w:tcPr>
          <w:p w14:paraId="3D71080F">
            <w:pPr>
              <w:numPr>
                <w:ilvl w:val="0"/>
                <w:numId w:val="0"/>
              </w:numPr>
              <w:spacing w:line="360" w:lineRule="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7669FA94">
            <w:pPr>
              <w:numPr>
                <w:ilvl w:val="0"/>
                <w:numId w:val="0"/>
              </w:num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52EBFD15">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667CDF1F">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82EDD6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0012E9BA">
            <w:pPr>
              <w:pStyle w:val="68"/>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p w14:paraId="21DAD53A">
            <w:pPr>
              <w:pStyle w:val="68"/>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p>
          <w:p w14:paraId="5D540EE8">
            <w:pPr>
              <w:pStyle w:val="68"/>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cstheme="minorBidi"/>
                <w:b w:val="0"/>
                <w:bCs/>
                <w:color w:val="auto"/>
                <w:sz w:val="24"/>
                <w:szCs w:val="24"/>
                <w:highlight w:val="none"/>
                <w:lang w:val="en-US" w:eastAsia="zh-CN" w:bidi="ar-SA"/>
              </w:rPr>
              <w:t>3、电子保函指引：成交供应商可访问安徽省政府采购网“融资/保函”栏目，申请办理电子保函（包括：履约保函、预付款保函）。</w:t>
            </w:r>
          </w:p>
        </w:tc>
      </w:tr>
    </w:tbl>
    <w:p w14:paraId="5913D908">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8" w:name="_Toc26858"/>
      <w:bookmarkStart w:id="29" w:name="_Toc18784"/>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8"/>
      <w:bookmarkEnd w:id="29"/>
    </w:p>
    <w:p w14:paraId="3EEE79A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6B9C3EEA">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.1采购人：是指依法开展政府采购活动的国家机关、事业单位、团体组织。</w:t>
      </w:r>
    </w:p>
    <w:p w14:paraId="63F2B5F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.3政府采购监督管理部门：</w:t>
      </w:r>
      <w:r>
        <w:rPr>
          <w:rFonts w:hint="eastAsia"/>
          <w:color w:val="auto"/>
          <w:sz w:val="24"/>
          <w:highlight w:val="none"/>
        </w:rPr>
        <w:t>各级人民政府指定的有关部门依法履行与政府采购活动有关的监督管理职责。</w:t>
      </w:r>
    </w:p>
    <w:p w14:paraId="6302178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lang w:val="en-US" w:eastAsia="zh-CN"/>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12B6EBB1">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1</w:t>
      </w:r>
      <w:r>
        <w:rPr>
          <w:color w:val="auto"/>
          <w:sz w:val="24"/>
          <w:highlight w:val="none"/>
        </w:rPr>
        <w:t>具备《中华人民共和国政府采购法》第二十二条关于供应商条件的规定，遵守本项目采购人本级和上级财政部门政府采购的有关规定。</w:t>
      </w:r>
    </w:p>
    <w:p w14:paraId="319F7FD8">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2</w:t>
      </w:r>
      <w:r>
        <w:rPr>
          <w:color w:val="auto"/>
          <w:sz w:val="24"/>
          <w:highlight w:val="none"/>
        </w:rPr>
        <w:t>以采购代理机构认可的方式获得了本项目的</w:t>
      </w:r>
      <w:r>
        <w:rPr>
          <w:rFonts w:hint="eastAsia"/>
          <w:color w:val="auto"/>
          <w:sz w:val="24"/>
          <w:highlight w:val="none"/>
        </w:rPr>
        <w:t>磋商</w:t>
      </w:r>
      <w:r>
        <w:rPr>
          <w:color w:val="auto"/>
          <w:sz w:val="24"/>
          <w:highlight w:val="none"/>
        </w:rPr>
        <w:t>文件。</w:t>
      </w:r>
    </w:p>
    <w:p w14:paraId="53AAA052">
      <w:pPr>
        <w:spacing w:line="360" w:lineRule="auto"/>
        <w:ind w:firstLine="435"/>
        <w:rPr>
          <w:color w:val="auto"/>
          <w:sz w:val="24"/>
          <w:highlight w:val="none"/>
        </w:rPr>
      </w:pPr>
      <w:r>
        <w:rPr>
          <w:rFonts w:hint="eastAsia"/>
          <w:bCs/>
          <w:color w:val="auto"/>
          <w:sz w:val="24"/>
          <w:szCs w:val="28"/>
          <w:highlight w:val="none"/>
          <w:lang w:val="en-US" w:eastAsia="zh-CN"/>
        </w:rPr>
        <w:t>1</w:t>
      </w:r>
      <w:r>
        <w:rPr>
          <w:bCs/>
          <w:color w:val="auto"/>
          <w:sz w:val="24"/>
          <w:szCs w:val="28"/>
          <w:highlight w:val="none"/>
        </w:rPr>
        <w:t>.5</w:t>
      </w:r>
      <w:r>
        <w:rPr>
          <w:rFonts w:hint="eastAsia"/>
          <w:bCs/>
          <w:color w:val="auto"/>
          <w:sz w:val="24"/>
          <w:szCs w:val="28"/>
          <w:highlight w:val="none"/>
        </w:rPr>
        <w:t>若竞争性磋商公告</w:t>
      </w:r>
      <w:r>
        <w:rPr>
          <w:bCs/>
          <w:color w:val="auto"/>
          <w:sz w:val="24"/>
          <w:szCs w:val="28"/>
          <w:highlight w:val="none"/>
        </w:rPr>
        <w:t>中允许联合体</w:t>
      </w:r>
      <w:r>
        <w:rPr>
          <w:rFonts w:hint="eastAsia"/>
          <w:bCs/>
          <w:color w:val="auto"/>
          <w:sz w:val="24"/>
          <w:szCs w:val="28"/>
          <w:highlight w:val="none"/>
        </w:rPr>
        <w:t>参加磋商</w:t>
      </w:r>
      <w:r>
        <w:rPr>
          <w:bCs/>
          <w:color w:val="auto"/>
          <w:sz w:val="24"/>
          <w:szCs w:val="28"/>
          <w:highlight w:val="none"/>
        </w:rPr>
        <w:t>，对联合体规定如下：</w:t>
      </w:r>
    </w:p>
    <w:p w14:paraId="12B27EF8">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两个以上供应商可以组成一个磋商联合体，以一个供应商的身份磋商</w:t>
      </w:r>
      <w:r>
        <w:rPr>
          <w:color w:val="auto"/>
          <w:sz w:val="24"/>
          <w:highlight w:val="none"/>
        </w:rPr>
        <w:t>。</w:t>
      </w:r>
      <w:r>
        <w:rPr>
          <w:b w:val="0"/>
          <w:color w:val="auto"/>
          <w:sz w:val="24"/>
          <w:highlight w:val="none"/>
        </w:rPr>
        <w:t>联合体参加磋商的，</w:t>
      </w:r>
      <w:r>
        <w:rPr>
          <w:rFonts w:hint="eastAsia"/>
          <w:b w:val="0"/>
          <w:color w:val="auto"/>
          <w:sz w:val="24"/>
          <w:highlight w:val="none"/>
        </w:rPr>
        <w:t>磋商文件获取</w:t>
      </w:r>
      <w:r>
        <w:rPr>
          <w:b w:val="0"/>
          <w:color w:val="auto"/>
          <w:sz w:val="24"/>
          <w:highlight w:val="none"/>
        </w:rPr>
        <w:t>手续由联合体</w:t>
      </w:r>
      <w:r>
        <w:rPr>
          <w:rFonts w:hint="eastAsia"/>
          <w:b w:val="0"/>
          <w:color w:val="auto"/>
          <w:sz w:val="24"/>
          <w:highlight w:val="none"/>
        </w:rPr>
        <w:t>中</w:t>
      </w:r>
      <w:r>
        <w:rPr>
          <w:b w:val="0"/>
          <w:color w:val="auto"/>
          <w:sz w:val="24"/>
          <w:highlight w:val="none"/>
        </w:rPr>
        <w:t>任一</w:t>
      </w:r>
      <w:r>
        <w:rPr>
          <w:rFonts w:hint="eastAsia"/>
          <w:b w:val="0"/>
          <w:color w:val="auto"/>
          <w:sz w:val="24"/>
          <w:highlight w:val="none"/>
        </w:rPr>
        <w:t>成员单位</w:t>
      </w:r>
      <w:r>
        <w:rPr>
          <w:b w:val="0"/>
          <w:color w:val="auto"/>
          <w:sz w:val="24"/>
          <w:highlight w:val="none"/>
        </w:rPr>
        <w:t>办理均可。</w:t>
      </w:r>
    </w:p>
    <w:p w14:paraId="18AE7EC9">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04B2AA5A">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566A450D">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024DA2C3">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磋商</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51A8B49B">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235FD0E1">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磋商</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3A2A43C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color w:val="auto"/>
          <w:sz w:val="24"/>
          <w:highlight w:val="none"/>
        </w:rPr>
        <w:t>。</w:t>
      </w:r>
    </w:p>
    <w:p w14:paraId="21D3EF11">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3B0F72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423BF2C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5F3FE054">
      <w:pPr>
        <w:spacing w:line="360" w:lineRule="auto"/>
        <w:ind w:firstLine="437"/>
        <w:rPr>
          <w:color w:val="auto"/>
          <w:sz w:val="24"/>
          <w:highlight w:val="none"/>
        </w:rPr>
      </w:pPr>
      <w:r>
        <w:rPr>
          <w:rFonts w:hint="eastAsia"/>
          <w:color w:val="auto"/>
          <w:sz w:val="24"/>
          <w:highlight w:val="none"/>
        </w:rPr>
        <w:t>不论磋商的结果如何，供应商应承担其所有与准备和参加磋商有关的费用。</w:t>
      </w:r>
    </w:p>
    <w:p w14:paraId="3D12C0C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15FE9C16">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3B7A3D8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4E16B441">
      <w:pPr>
        <w:spacing w:line="360" w:lineRule="auto"/>
        <w:ind w:firstLine="435"/>
        <w:rPr>
          <w:color w:val="auto"/>
          <w:sz w:val="24"/>
          <w:highlight w:val="none"/>
        </w:rPr>
      </w:pPr>
      <w:r>
        <w:rPr>
          <w:rFonts w:hint="eastAsia"/>
          <w:color w:val="auto"/>
          <w:sz w:val="24"/>
          <w:highlight w:val="none"/>
          <w:lang w:val="en-US" w:eastAsia="zh-CN"/>
        </w:rPr>
        <w:t>5</w:t>
      </w:r>
      <w:r>
        <w:rPr>
          <w:rFonts w:hint="eastAsia"/>
          <w:color w:val="auto"/>
          <w:sz w:val="24"/>
          <w:highlight w:val="none"/>
        </w:rPr>
        <w:t>.1磋商文件包括下列内容：</w:t>
      </w:r>
    </w:p>
    <w:p w14:paraId="3FD1A01D">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4E2AEC5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791D054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1F2457E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7F0C6178">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3022B48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3A6DF68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1A909F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6059233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0EB5D41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277201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128A74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30" w:name="_Hlk16458572"/>
      <w:r>
        <w:rPr>
          <w:rFonts w:hint="eastAsia"/>
          <w:color w:val="auto"/>
          <w:sz w:val="24"/>
          <w:szCs w:val="18"/>
          <w:highlight w:val="none"/>
        </w:rPr>
        <w:t>安徽省政府采购网</w:t>
      </w:r>
      <w:bookmarkEnd w:id="30"/>
      <w:r>
        <w:rPr>
          <w:rFonts w:hint="eastAsia" w:asciiTheme="minorEastAsia" w:hAnsiTheme="minorEastAsia" w:eastAsiaTheme="minorEastAsia"/>
          <w:color w:val="auto"/>
          <w:sz w:val="24"/>
          <w:highlight w:val="none"/>
        </w:rPr>
        <w:t>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26028AED">
      <w:pPr>
        <w:spacing w:line="360" w:lineRule="auto"/>
        <w:ind w:firstLine="435"/>
        <w:rPr>
          <w:color w:val="auto"/>
          <w:sz w:val="24"/>
          <w:highlight w:val="none"/>
        </w:rPr>
      </w:pPr>
      <w:r>
        <w:rPr>
          <w:rFonts w:hint="eastAsia"/>
          <w:color w:val="auto"/>
          <w:sz w:val="24"/>
          <w:highlight w:val="none"/>
          <w:lang w:val="en-US" w:eastAsia="zh-CN"/>
        </w:rPr>
        <w:t>6</w:t>
      </w:r>
      <w:r>
        <w:rPr>
          <w:rFonts w:hint="eastAsia"/>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3B5E52D3">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05802EB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1445D53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74AEEB0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无论磋商文件中是否要求，供应商所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3360CF9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44C38A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2FC1D02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6630D7CF">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.1供应商应完整地按磋商文件提供的响应文件格式及要求编写响应文件，具体内容详见第六章响应文件格式的相关内容。</w:t>
      </w:r>
    </w:p>
    <w:p w14:paraId="7636CAA7">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lang w:val="en-US" w:eastAsia="zh-CN"/>
        </w:rPr>
        <w:t>8.2</w:t>
      </w:r>
      <w:r>
        <w:rPr>
          <w:rFonts w:hint="eastAsia"/>
          <w:color w:val="auto"/>
          <w:sz w:val="24"/>
          <w:highlight w:val="none"/>
        </w:rPr>
        <w:t>供应商应提交磋商文件要求的证明文件，证明其响应内容符合磋商文件规定。该证明文件是响应文件的一部分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1" w:name="_Hlk11703583"/>
      <w:r>
        <w:rPr>
          <w:rFonts w:hint="eastAsia" w:asciiTheme="minorEastAsia" w:hAnsiTheme="minorEastAsia" w:eastAsiaTheme="minorEastAsia"/>
          <w:color w:val="auto"/>
          <w:sz w:val="24"/>
          <w:highlight w:val="none"/>
        </w:rPr>
        <w:t>。</w:t>
      </w:r>
      <w:bookmarkEnd w:id="31"/>
    </w:p>
    <w:p w14:paraId="16389B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公正，除非磋商文件另有规定或说明，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560C37B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0A2BBDC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内容。所有报价均应以人民币报价，供应商的磋商报价应遵守《中华人民共和国价格法》。</w:t>
      </w:r>
    </w:p>
    <w:p w14:paraId="679B4A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最后报价均不得高于磋商文件（公告）列明的项目预算</w:t>
      </w:r>
      <w:r>
        <w:rPr>
          <w:rFonts w:hint="eastAsia" w:asciiTheme="minorEastAsia" w:hAnsiTheme="minorEastAsia" w:eastAsiaTheme="minorEastAsia"/>
          <w:color w:val="auto"/>
          <w:sz w:val="24"/>
          <w:highlight w:val="none"/>
        </w:rPr>
        <w:t>、最高投标限价</w:t>
      </w:r>
      <w:r>
        <w:rPr>
          <w:rFonts w:asciiTheme="minorEastAsia" w:hAnsiTheme="minorEastAsia" w:eastAsiaTheme="minorEastAsia"/>
          <w:color w:val="auto"/>
          <w:sz w:val="24"/>
          <w:highlight w:val="none"/>
        </w:rPr>
        <w:t>，否则其响应文件将被认定为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6EAAC3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12834FD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4E71BDB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70921E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asciiTheme="minorEastAsia" w:hAnsiTheme="minorEastAsia" w:eastAsiaTheme="minorEastAsia"/>
          <w:color w:val="auto"/>
          <w:sz w:val="24"/>
          <w:highlight w:val="none"/>
        </w:rPr>
        <w:t>.1本项目不收取磋商保证金。</w:t>
      </w:r>
    </w:p>
    <w:p w14:paraId="608E3B0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62C882E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1756340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7EFFA07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3C17D41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73EE7DC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0C27944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68BEFA89">
      <w:pPr>
        <w:spacing w:line="360" w:lineRule="auto"/>
        <w:ind w:firstLine="435"/>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b/>
          <w:color w:val="auto"/>
          <w:sz w:val="24"/>
          <w:highlight w:val="none"/>
          <w:lang w:eastAsia="zh-CN"/>
        </w:rPr>
        <w:t>。</w:t>
      </w:r>
    </w:p>
    <w:p w14:paraId="68813EBE">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color w:val="auto"/>
          <w:sz w:val="24"/>
          <w:highlight w:val="none"/>
        </w:rPr>
        <w:t>但属于磋商小组在评审中发现的计算错误并进行核实的修改、按照磋商文件的变动情况和磋商小组的要求重新提交响应文件的，不在此列。</w:t>
      </w:r>
    </w:p>
    <w:p w14:paraId="1182356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28FF6A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.1本项目将依法组建磋商小组，磋商小组成员由3人以上单数组成，磋商小组及其成员应当依照政府采购的有关规定履行相关职责和义务。</w:t>
      </w:r>
    </w:p>
    <w:p w14:paraId="65D5D9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0CBB69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.3磋商小组应当从质量和服务均能满足磋商文件实质性响应要求的供应商中，按照评审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06043FDA">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.响应文件的评审与磋商</w:t>
      </w:r>
    </w:p>
    <w:p w14:paraId="7819C8E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3E39D23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.2竞争性磋商活动采用综合评分法评审。</w:t>
      </w:r>
    </w:p>
    <w:p w14:paraId="2BB251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69AEDC7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.3磋商小组将按照磋商文件规定的</w:t>
      </w:r>
      <w:r>
        <w:rPr>
          <w:rFonts w:asciiTheme="minorEastAsia" w:hAnsiTheme="minorEastAsia" w:eastAsiaTheme="minorEastAsia"/>
          <w:color w:val="auto"/>
          <w:sz w:val="24"/>
          <w:highlight w:val="none"/>
        </w:rPr>
        <w:t>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和标准对供应商独立进行评审。评审程序如下：</w:t>
      </w:r>
    </w:p>
    <w:p w14:paraId="1A7A9C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7A3CF34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2658FF3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06B7869B">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7890EAB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771B911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p>
    <w:p w14:paraId="2C773D4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.3.4</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0F049C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683707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.4.1为保证磋商活动顺利进行，供应商可派相关技术人员进行网上答疑；</w:t>
      </w:r>
    </w:p>
    <w:p w14:paraId="037FFA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6196BAF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.4.3</w:t>
      </w:r>
      <w:r>
        <w:rPr>
          <w:rFonts w:asciiTheme="minorEastAsia" w:hAnsiTheme="minorEastAsia" w:eastAsiaTheme="minorEastAsia"/>
          <w:b/>
          <w:bCs/>
          <w:color w:val="auto"/>
          <w:sz w:val="24"/>
          <w:highlight w:val="none"/>
        </w:rPr>
        <w:t>磋商小组发现供应商的报价或者某些分项报价明显低于其他通过初审的供应商的报价，有可能影响产品质量和不能诚信履约的，应当要求其在合理的时间内提供书面说明，必要时提交相关证明材料；</w:t>
      </w:r>
      <w:r>
        <w:rPr>
          <w:rFonts w:asciiTheme="minorEastAsia" w:hAnsiTheme="minorEastAsia" w:eastAsiaTheme="minorEastAsia"/>
          <w:color w:val="auto"/>
          <w:sz w:val="24"/>
          <w:highlight w:val="none"/>
        </w:rPr>
        <w:t>供应商不能证明其报价合理性的，其响应文件将被认定为</w:t>
      </w:r>
      <w:r>
        <w:rPr>
          <w:rFonts w:asciiTheme="minorEastAsia" w:hAnsiTheme="minorEastAsia" w:eastAsiaTheme="minorEastAsia"/>
          <w:b/>
          <w:color w:val="auto"/>
          <w:sz w:val="24"/>
          <w:highlight w:val="none"/>
        </w:rPr>
        <w:t>响应无效。</w:t>
      </w:r>
    </w:p>
    <w:p w14:paraId="78AF894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.4.4</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4EF5D14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.4.5磋商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4D50639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39EE6D0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116286D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5ECBFD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0B3FA6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3C373A5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6134B1E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6C70BFA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4231416B">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7BAE8A08">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color w:val="auto"/>
          <w:sz w:val="24"/>
          <w:highlight w:val="none"/>
          <w:lang w:eastAsia="zh-CN"/>
        </w:rPr>
        <w:t>（</w:t>
      </w:r>
      <w:r>
        <w:rPr>
          <w:rFonts w:hint="eastAsia"/>
          <w:color w:val="auto"/>
          <w:sz w:val="24"/>
          <w:highlight w:val="none"/>
          <w:lang w:val="en-US" w:eastAsia="zh-CN"/>
        </w:rPr>
        <w:t>电子签章</w:t>
      </w:r>
      <w:r>
        <w:rPr>
          <w:rFonts w:hint="eastAsia"/>
          <w:color w:val="auto"/>
          <w:sz w:val="24"/>
          <w:highlight w:val="none"/>
          <w:lang w:eastAsia="zh-CN"/>
        </w:rPr>
        <w:t>）</w:t>
      </w:r>
      <w:r>
        <w:rPr>
          <w:rFonts w:hint="eastAsia"/>
          <w:color w:val="auto"/>
          <w:sz w:val="24"/>
          <w:highlight w:val="none"/>
        </w:rPr>
        <w:t>。</w:t>
      </w:r>
    </w:p>
    <w:p w14:paraId="448F9094">
      <w:pPr>
        <w:spacing w:line="360" w:lineRule="auto"/>
        <w:ind w:firstLine="435"/>
        <w:rPr>
          <w:color w:val="auto"/>
          <w:sz w:val="24"/>
          <w:highlight w:val="none"/>
        </w:rPr>
      </w:pPr>
      <w:r>
        <w:rPr>
          <w:rFonts w:hint="eastAsia"/>
          <w:b/>
          <w:color w:val="auto"/>
          <w:sz w:val="24"/>
          <w:highlight w:val="none"/>
        </w:rPr>
        <w:t>如有询标，授权代表（或法定代表人）可通过远程登录的方式接受网上询标，也可凭本人有效身份证明参加询标。因授权代表联系不上</w:t>
      </w:r>
      <w:r>
        <w:rPr>
          <w:rFonts w:hint="eastAsia"/>
          <w:b/>
          <w:bCs/>
          <w:color w:val="auto"/>
          <w:sz w:val="24"/>
          <w:highlight w:val="none"/>
        </w:rPr>
        <w:t>、没有及时登录系统等情形</w:t>
      </w:r>
      <w:r>
        <w:rPr>
          <w:rFonts w:hint="eastAsia"/>
          <w:b/>
          <w:color w:val="auto"/>
          <w:sz w:val="24"/>
          <w:highlight w:val="none"/>
        </w:rPr>
        <w:t>而无法接受磋商小组询标的，供应商自行承担相关风险。</w:t>
      </w:r>
    </w:p>
    <w:p w14:paraId="3298B6C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7196087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5C8B14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r>
        <w:rPr>
          <w:rFonts w:hint="eastAsia" w:cs="宋体"/>
          <w:color w:val="auto"/>
          <w:sz w:val="24"/>
          <w:szCs w:val="24"/>
          <w:highlight w:val="none"/>
          <w:lang w:val="en-US" w:eastAsia="zh-CN"/>
        </w:rPr>
        <w:t>实质性响应的供应商在规定时间内对磋商小组发出的二轮（或多轮）报价要求做出答复，若未按规定时间内提交报价的且未明确表示退出磋商的，则按上一轮报价执行</w:t>
      </w:r>
      <w:r>
        <w:rPr>
          <w:rFonts w:ascii="宋体" w:hAnsi="宋体" w:eastAsia="宋体" w:cs="宋体"/>
          <w:color w:val="auto"/>
          <w:sz w:val="24"/>
          <w:szCs w:val="24"/>
          <w:highlight w:val="none"/>
        </w:rPr>
        <w:t>。</w:t>
      </w:r>
    </w:p>
    <w:p w14:paraId="26E99F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78137825">
      <w:pPr>
        <w:spacing w:line="360" w:lineRule="auto"/>
        <w:ind w:firstLine="435"/>
        <w:rPr>
          <w:rFonts w:asciiTheme="majorEastAsia" w:hAnsiTheme="majorEastAsia" w:eastAsiaTheme="majorEastAsia"/>
          <w:color w:val="auto"/>
          <w:sz w:val="24"/>
          <w:highlight w:val="none"/>
        </w:rPr>
      </w:pPr>
      <w:bookmarkStart w:id="32" w:name="_Hlk60607655"/>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hint="eastAsia" w:asciiTheme="majorEastAsia" w:hAnsiTheme="majorEastAsia" w:eastAsiaTheme="majorEastAsia"/>
          <w:b/>
          <w:bCs/>
          <w:color w:val="auto"/>
          <w:sz w:val="24"/>
          <w:highlight w:val="none"/>
        </w:rPr>
        <w:t>对于同时属于小微企业、监狱企业或残疾人福利性单位的，不重复进行最后报价扣除。</w:t>
      </w:r>
    </w:p>
    <w:p w14:paraId="14DBA6DD">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0684F821">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32"/>
    </w:p>
    <w:p w14:paraId="1CF53CB3">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17</w:t>
      </w: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供应商应当按照企业定额或项目所在地最新建设工程计价依据以及材料市场价格信息等，结合自身实力、施工经验、现场环境以及磋商文件的要求自主报价。</w:t>
      </w:r>
    </w:p>
    <w:p w14:paraId="1D641054">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rPr>
        <w:t>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2E9BB4F3">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7</w:t>
      </w:r>
      <w:r>
        <w:rPr>
          <w:rFonts w:hint="eastAsia" w:cs="@仿宋_GB2312" w:asciiTheme="minorEastAsia" w:hAnsiTheme="minorEastAsia" w:eastAsiaTheme="minorEastAsia"/>
          <w:color w:val="auto"/>
          <w:kern w:val="2"/>
          <w:sz w:val="24"/>
          <w:highlight w:val="none"/>
        </w:rPr>
        <w:t>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0F15A3D9">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8</w:t>
      </w:r>
      <w:r>
        <w:rPr>
          <w:rFonts w:hint="eastAsia" w:cs="@仿宋_GB2312" w:asciiTheme="minorEastAsia" w:hAnsiTheme="minorEastAsia" w:eastAsiaTheme="minorEastAsia"/>
          <w:color w:val="auto"/>
          <w:kern w:val="2"/>
          <w:sz w:val="24"/>
          <w:highlight w:val="none"/>
        </w:rPr>
        <w:t>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2F6B5D84">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工程造价的确定与控制</w:t>
      </w:r>
    </w:p>
    <w:p w14:paraId="503BE37D">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.1本工程确定成交供应商后，工程总造价在磋商范围内包定，除经批准的设计变更、经济签证外，其它工程造价增减均不予签证计价。</w:t>
      </w:r>
    </w:p>
    <w:p w14:paraId="59EF40DE">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7E1AA25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4EE60E43">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4</w:t>
      </w:r>
      <w:r>
        <w:rPr>
          <w:rFonts w:hint="eastAsia" w:cs="@仿宋_GB2312" w:asciiTheme="minorEastAsia" w:hAnsiTheme="minorEastAsia" w:eastAsiaTheme="minorEastAsia"/>
          <w:color w:val="auto"/>
          <w:kern w:val="2"/>
          <w:sz w:val="24"/>
          <w:highlight w:val="none"/>
        </w:rPr>
        <w:t>供应商在规定时间内未对工程量清单提出疑问的，成交后，采购人不再对工程量清单的项目和数量进行校对调整。供应商必须按其报价完成竞争性磋商文件规定范围内的设计图纸规定的所有工程项目。</w:t>
      </w:r>
    </w:p>
    <w:p w14:paraId="799CF2EC">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17.10</w:t>
      </w:r>
      <w:r>
        <w:rPr>
          <w:rFonts w:hint="eastAsia" w:cs="@仿宋_GB2312" w:asciiTheme="minorEastAsia" w:hAnsiTheme="minorEastAsia" w:eastAsiaTheme="minorEastAsia"/>
          <w:color w:val="auto"/>
          <w:kern w:val="2"/>
          <w:sz w:val="24"/>
          <w:highlight w:val="none"/>
        </w:rPr>
        <w:t>成交供应商在工程量清单报价书中所报的综合单价一律不予调整。</w:t>
      </w:r>
    </w:p>
    <w:p w14:paraId="0A67E8A0">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17.11</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5180B3D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6999E29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4B137BF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6BB637E6">
      <w:pPr>
        <w:spacing w:line="360" w:lineRule="auto"/>
        <w:ind w:firstLine="470" w:firstLineChars="196"/>
        <w:rPr>
          <w:color w:val="auto"/>
          <w:sz w:val="24"/>
          <w:highlight w:val="none"/>
        </w:rPr>
      </w:pPr>
      <w:r>
        <w:rPr>
          <w:rFonts w:hint="eastAsia"/>
          <w:color w:val="auto"/>
          <w:sz w:val="24"/>
          <w:highlight w:val="none"/>
          <w:lang w:val="en-US" w:eastAsia="zh-CN"/>
        </w:rPr>
        <w:t>19</w:t>
      </w:r>
      <w:r>
        <w:rPr>
          <w:rFonts w:hint="eastAsia"/>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00AD082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1340A9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7E4078C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70E7BEAD">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.1评审将在严格保密的情况下进行。</w:t>
      </w:r>
    </w:p>
    <w:p w14:paraId="772B6562">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5B02CEB9">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01AA675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.1为体现“公开、公平、公正”的原则，磋商结束后，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在安徽省政府采购网（www.ccgp-anhui.gov.cn）</w:t>
      </w:r>
      <w:r>
        <w:rPr>
          <w:rFonts w:hint="default" w:ascii="宋体" w:hAnsi="宋体" w:eastAsia="宋体"/>
          <w:b w:val="0"/>
          <w:bCs w:val="0"/>
          <w:color w:val="auto"/>
          <w:sz w:val="24"/>
          <w:szCs w:val="18"/>
          <w:highlight w:val="none"/>
        </w:rPr>
        <w:t>、</w:t>
      </w:r>
      <w:r>
        <w:rPr>
          <w:rFonts w:hint="eastAsia" w:ascii="宋体" w:hAnsi="宋体" w:eastAsia="宋体"/>
          <w:b w:val="0"/>
          <w:bCs w:val="0"/>
          <w:color w:val="auto"/>
          <w:sz w:val="24"/>
          <w:szCs w:val="18"/>
          <w:highlight w:val="none"/>
          <w:lang w:val="en-US" w:eastAsia="zh-CN"/>
        </w:rPr>
        <w:t>安徽省水利厅-安徽省淮河河道管理局</w:t>
      </w:r>
      <w:r>
        <w:rPr>
          <w:rFonts w:hint="eastAsia"/>
          <w:b w:val="0"/>
          <w:bCs w:val="0"/>
          <w:color w:val="auto"/>
          <w:sz w:val="24"/>
          <w:szCs w:val="18"/>
          <w:highlight w:val="none"/>
          <w:lang w:val="en-US" w:eastAsia="zh-CN"/>
        </w:rPr>
        <w:t>网站</w:t>
      </w:r>
      <w:r>
        <w:rPr>
          <w:rFonts w:hint="eastAsia"/>
          <w:color w:val="auto"/>
          <w:sz w:val="24"/>
          <w:szCs w:val="18"/>
          <w:highlight w:val="none"/>
        </w:rPr>
        <w:t>上</w:t>
      </w:r>
      <w:r>
        <w:rPr>
          <w:rFonts w:asciiTheme="minorEastAsia" w:hAnsiTheme="minorEastAsia" w:eastAsiaTheme="minorEastAsia"/>
          <w:color w:val="auto"/>
          <w:sz w:val="24"/>
          <w:highlight w:val="none"/>
        </w:rPr>
        <w:t>发布成交结果公告。</w:t>
      </w:r>
    </w:p>
    <w:p w14:paraId="2D9CE24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2ADD96D5">
      <w:pPr>
        <w:spacing w:line="360" w:lineRule="auto"/>
        <w:ind w:firstLine="437"/>
        <w:outlineLvl w:val="2"/>
        <w:rPr>
          <w:b/>
          <w:color w:val="auto"/>
          <w:sz w:val="24"/>
          <w:highlight w:val="none"/>
        </w:rPr>
      </w:pPr>
      <w:r>
        <w:rPr>
          <w:rFonts w:hint="eastAsia"/>
          <w:b/>
          <w:color w:val="auto"/>
          <w:sz w:val="24"/>
          <w:highlight w:val="none"/>
          <w:lang w:val="en-US" w:eastAsia="zh-CN"/>
        </w:rPr>
        <w:t>23</w:t>
      </w:r>
      <w:r>
        <w:rPr>
          <w:b/>
          <w:color w:val="auto"/>
          <w:sz w:val="24"/>
          <w:highlight w:val="none"/>
        </w:rPr>
        <w:t>.成交通知书</w:t>
      </w:r>
    </w:p>
    <w:p w14:paraId="1B13C453">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60293F11">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4757D8DC">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.3成交通知书是合同的组成部分。</w:t>
      </w:r>
    </w:p>
    <w:p w14:paraId="3FC9E9FF">
      <w:pPr>
        <w:spacing w:line="360" w:lineRule="auto"/>
        <w:ind w:firstLine="437"/>
        <w:outlineLvl w:val="2"/>
        <w:rPr>
          <w:b/>
          <w:color w:val="auto"/>
          <w:sz w:val="24"/>
          <w:highlight w:val="none"/>
        </w:rPr>
      </w:pPr>
      <w:r>
        <w:rPr>
          <w:rFonts w:hint="eastAsia"/>
          <w:b/>
          <w:color w:val="auto"/>
          <w:sz w:val="24"/>
          <w:highlight w:val="none"/>
        </w:rPr>
        <w:t>2</w:t>
      </w:r>
      <w:r>
        <w:rPr>
          <w:rFonts w:hint="eastAsia"/>
          <w:b/>
          <w:color w:val="auto"/>
          <w:sz w:val="24"/>
          <w:highlight w:val="none"/>
          <w:lang w:val="en-US" w:eastAsia="zh-CN"/>
        </w:rPr>
        <w:t>4</w:t>
      </w:r>
      <w:r>
        <w:rPr>
          <w:b/>
          <w:color w:val="auto"/>
          <w:sz w:val="24"/>
          <w:highlight w:val="none"/>
        </w:rPr>
        <w:t>.告知</w:t>
      </w:r>
      <w:r>
        <w:rPr>
          <w:rFonts w:hint="eastAsia" w:asciiTheme="minorEastAsia" w:hAnsiTheme="minorEastAsia" w:eastAsiaTheme="minorEastAsia"/>
          <w:b/>
          <w:color w:val="auto"/>
          <w:sz w:val="24"/>
          <w:highlight w:val="none"/>
        </w:rPr>
        <w:t>磋商</w:t>
      </w:r>
      <w:r>
        <w:rPr>
          <w:b/>
          <w:color w:val="auto"/>
          <w:sz w:val="24"/>
          <w:highlight w:val="none"/>
        </w:rPr>
        <w:t>结果</w:t>
      </w:r>
    </w:p>
    <w:p w14:paraId="6903DB01">
      <w:pPr>
        <w:spacing w:line="360" w:lineRule="auto"/>
        <w:ind w:firstLine="435"/>
        <w:rPr>
          <w:color w:val="auto"/>
          <w:sz w:val="24"/>
          <w:highlight w:val="none"/>
        </w:rPr>
      </w:pPr>
      <w:r>
        <w:rPr>
          <w:rFonts w:hint="eastAsia"/>
          <w:color w:val="auto"/>
          <w:sz w:val="24"/>
          <w:highlight w:val="none"/>
        </w:rPr>
        <w:t>2</w:t>
      </w:r>
      <w:r>
        <w:rPr>
          <w:rFonts w:hint="eastAsia"/>
          <w:color w:val="auto"/>
          <w:sz w:val="24"/>
          <w:highlight w:val="none"/>
          <w:lang w:val="en-US" w:eastAsia="zh-CN"/>
        </w:rPr>
        <w:t>4</w:t>
      </w:r>
      <w:r>
        <w:rPr>
          <w:color w:val="auto"/>
          <w:sz w:val="24"/>
          <w:highlight w:val="none"/>
        </w:rPr>
        <w:t>.1在公告</w:t>
      </w:r>
      <w:r>
        <w:rPr>
          <w:rFonts w:hint="eastAsia"/>
          <w:color w:val="auto"/>
          <w:sz w:val="24"/>
          <w:highlight w:val="none"/>
        </w:rPr>
        <w:t>成交</w:t>
      </w:r>
      <w:r>
        <w:rPr>
          <w:color w:val="auto"/>
          <w:sz w:val="24"/>
          <w:highlight w:val="none"/>
        </w:rPr>
        <w:t>结果的同时，采购代理机构同时以</w:t>
      </w:r>
      <w:r>
        <w:rPr>
          <w:rFonts w:hint="eastAsia"/>
          <w:color w:val="auto"/>
          <w:sz w:val="24"/>
          <w:highlight w:val="none"/>
          <w:u w:val="single"/>
        </w:rPr>
        <w:t>供应商</w:t>
      </w:r>
      <w:r>
        <w:rPr>
          <w:color w:val="auto"/>
          <w:sz w:val="24"/>
          <w:highlight w:val="none"/>
          <w:u w:val="single"/>
        </w:rPr>
        <w:t>须知前附表</w:t>
      </w:r>
      <w:r>
        <w:rPr>
          <w:color w:val="auto"/>
          <w:sz w:val="24"/>
          <w:highlight w:val="none"/>
        </w:rPr>
        <w:t>规定的形式告知未</w:t>
      </w:r>
      <w:r>
        <w:rPr>
          <w:rFonts w:hint="eastAsia"/>
          <w:color w:val="auto"/>
          <w:sz w:val="24"/>
          <w:highlight w:val="none"/>
        </w:rPr>
        <w:t>成交供应商</w:t>
      </w:r>
      <w:r>
        <w:rPr>
          <w:color w:val="auto"/>
          <w:sz w:val="24"/>
          <w:highlight w:val="none"/>
        </w:rPr>
        <w:t>本人的评审得分和排序。</w:t>
      </w:r>
    </w:p>
    <w:p w14:paraId="7A122E17">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lang w:val="en-US" w:eastAsia="zh-CN"/>
        </w:rPr>
        <w:t>4</w:t>
      </w:r>
      <w:r>
        <w:rPr>
          <w:color w:val="auto"/>
          <w:sz w:val="24"/>
          <w:highlight w:val="none"/>
        </w:rPr>
        <w:t>.</w:t>
      </w:r>
      <w:r>
        <w:rPr>
          <w:rFonts w:hint="eastAsia"/>
          <w:color w:val="auto"/>
          <w:sz w:val="24"/>
          <w:highlight w:val="none"/>
        </w:rPr>
        <w:t>2</w:t>
      </w:r>
      <w:r>
        <w:rPr>
          <w:color w:val="auto"/>
          <w:sz w:val="24"/>
          <w:highlight w:val="none"/>
        </w:rPr>
        <w:t>采购代理机构对未成交的供应商不做未成交原因的解释。</w:t>
      </w:r>
    </w:p>
    <w:p w14:paraId="744B7345">
      <w:pPr>
        <w:spacing w:line="360" w:lineRule="auto"/>
        <w:ind w:firstLine="437"/>
        <w:outlineLvl w:val="2"/>
        <w:rPr>
          <w:b/>
          <w:color w:val="auto"/>
          <w:sz w:val="24"/>
          <w:highlight w:val="none"/>
        </w:rPr>
      </w:pPr>
      <w:r>
        <w:rPr>
          <w:rFonts w:hint="eastAsia"/>
          <w:b/>
          <w:color w:val="auto"/>
          <w:sz w:val="24"/>
          <w:highlight w:val="none"/>
          <w:lang w:val="en-US" w:eastAsia="zh-CN"/>
        </w:rPr>
        <w:t>25</w:t>
      </w:r>
      <w:r>
        <w:rPr>
          <w:b/>
          <w:color w:val="auto"/>
          <w:sz w:val="24"/>
          <w:highlight w:val="none"/>
        </w:rPr>
        <w:t>.履约</w:t>
      </w:r>
      <w:r>
        <w:rPr>
          <w:rFonts w:asciiTheme="minorEastAsia" w:hAnsiTheme="minorEastAsia" w:eastAsiaTheme="minorEastAsia"/>
          <w:b/>
          <w:color w:val="auto"/>
          <w:sz w:val="24"/>
          <w:highlight w:val="none"/>
        </w:rPr>
        <w:t>保证金</w:t>
      </w:r>
    </w:p>
    <w:p w14:paraId="42463DCE">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45B0D715">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323C01F4">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lang w:val="en-US" w:eastAsia="zh-CN"/>
        </w:rPr>
        <w:t>26</w:t>
      </w:r>
      <w:r>
        <w:rPr>
          <w:b/>
          <w:color w:val="auto"/>
          <w:sz w:val="24"/>
          <w:highlight w:val="none"/>
        </w:rPr>
        <w:t>.</w:t>
      </w:r>
      <w:r>
        <w:rPr>
          <w:rFonts w:hint="eastAsia"/>
          <w:b/>
          <w:color w:val="auto"/>
          <w:sz w:val="24"/>
          <w:highlight w:val="none"/>
          <w:lang w:val="en-US" w:eastAsia="zh-CN"/>
        </w:rPr>
        <w:t>代理费用</w:t>
      </w:r>
    </w:p>
    <w:p w14:paraId="1C6028B2">
      <w:pPr>
        <w:spacing w:line="360" w:lineRule="auto"/>
        <w:ind w:firstLine="435"/>
        <w:rPr>
          <w:color w:val="auto"/>
          <w:sz w:val="24"/>
          <w:highlight w:val="none"/>
        </w:rPr>
      </w:pPr>
      <w:r>
        <w:rPr>
          <w:rFonts w:hint="eastAsia"/>
          <w:color w:val="auto"/>
          <w:sz w:val="24"/>
          <w:highlight w:val="none"/>
          <w:lang w:val="en-US" w:eastAsia="zh-CN"/>
        </w:rPr>
        <w:t>26</w:t>
      </w:r>
      <w:r>
        <w:rPr>
          <w:color w:val="auto"/>
          <w:sz w:val="24"/>
          <w:highlight w:val="none"/>
        </w:rPr>
        <w:t>.1本项目</w:t>
      </w:r>
      <w:r>
        <w:rPr>
          <w:rFonts w:hint="eastAsia"/>
          <w:color w:val="auto"/>
          <w:sz w:val="24"/>
          <w:highlight w:val="none"/>
          <w:lang w:val="en-US" w:eastAsia="zh-CN"/>
        </w:rPr>
        <w:t>代理费用</w:t>
      </w:r>
      <w:r>
        <w:rPr>
          <w:color w:val="auto"/>
          <w:sz w:val="24"/>
          <w:highlight w:val="none"/>
        </w:rPr>
        <w:t>的收取按</w:t>
      </w:r>
      <w:r>
        <w:rPr>
          <w:rFonts w:hint="eastAsia"/>
          <w:color w:val="auto"/>
          <w:sz w:val="24"/>
          <w:highlight w:val="none"/>
          <w:u w:val="single"/>
        </w:rPr>
        <w:t>供应商</w:t>
      </w:r>
      <w:r>
        <w:rPr>
          <w:color w:val="auto"/>
          <w:sz w:val="24"/>
          <w:highlight w:val="none"/>
          <w:u w:val="single"/>
        </w:rPr>
        <w:t>须知前附表</w:t>
      </w:r>
      <w:r>
        <w:rPr>
          <w:color w:val="auto"/>
          <w:sz w:val="24"/>
          <w:highlight w:val="none"/>
        </w:rPr>
        <w:t>的规定执行。</w:t>
      </w:r>
    </w:p>
    <w:p w14:paraId="2C834A72">
      <w:pPr>
        <w:spacing w:line="360" w:lineRule="auto"/>
        <w:ind w:firstLine="437"/>
        <w:outlineLvl w:val="2"/>
        <w:rPr>
          <w:b/>
          <w:color w:val="auto"/>
          <w:sz w:val="24"/>
          <w:highlight w:val="none"/>
        </w:rPr>
      </w:pPr>
      <w:r>
        <w:rPr>
          <w:rFonts w:hint="eastAsia"/>
          <w:b/>
          <w:color w:val="auto"/>
          <w:sz w:val="24"/>
          <w:highlight w:val="none"/>
          <w:lang w:val="en-US" w:eastAsia="zh-CN"/>
        </w:rPr>
        <w:t>27</w:t>
      </w:r>
      <w:r>
        <w:rPr>
          <w:b/>
          <w:color w:val="auto"/>
          <w:sz w:val="24"/>
          <w:highlight w:val="none"/>
        </w:rPr>
        <w:t>.签订</w:t>
      </w:r>
      <w:r>
        <w:rPr>
          <w:rFonts w:asciiTheme="minorEastAsia" w:hAnsiTheme="minorEastAsia" w:eastAsiaTheme="minorEastAsia"/>
          <w:b/>
          <w:color w:val="auto"/>
          <w:sz w:val="24"/>
          <w:highlight w:val="none"/>
        </w:rPr>
        <w:t>合同</w:t>
      </w:r>
    </w:p>
    <w:p w14:paraId="24E1AF60">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1F22F454">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.2磋商文件、成交供应商的响应文件及其澄清文件等，均为签订合同的依据。</w:t>
      </w:r>
    </w:p>
    <w:p w14:paraId="6FB3D8EE">
      <w:pPr>
        <w:spacing w:line="360" w:lineRule="auto"/>
        <w:ind w:firstLine="470" w:firstLineChars="196"/>
        <w:rPr>
          <w:color w:val="auto"/>
          <w:sz w:val="24"/>
          <w:highlight w:val="none"/>
        </w:rPr>
      </w:pPr>
      <w:r>
        <w:rPr>
          <w:rFonts w:hint="eastAsia"/>
          <w:color w:val="auto"/>
          <w:sz w:val="24"/>
          <w:highlight w:val="none"/>
          <w:lang w:val="en-US" w:eastAsia="zh-CN"/>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3BA25619">
      <w:pPr>
        <w:spacing w:line="360" w:lineRule="auto"/>
        <w:ind w:firstLine="470" w:firstLineChars="196"/>
        <w:rPr>
          <w:color w:val="auto"/>
          <w:sz w:val="24"/>
          <w:highlight w:val="none"/>
        </w:rPr>
      </w:pPr>
      <w:bookmarkStart w:id="33" w:name="_Hlk60264926"/>
      <w:r>
        <w:rPr>
          <w:rFonts w:hint="eastAsia"/>
          <w:color w:val="auto"/>
          <w:sz w:val="24"/>
          <w:highlight w:val="none"/>
          <w:lang w:val="en-US" w:eastAsia="zh-CN"/>
        </w:rPr>
        <w:t>27.4</w:t>
      </w:r>
      <w:r>
        <w:rPr>
          <w:rFonts w:hint="eastAsia"/>
          <w:color w:val="auto"/>
          <w:sz w:val="24"/>
          <w:highlight w:val="none"/>
        </w:rPr>
        <w:t>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33"/>
    </w:p>
    <w:p w14:paraId="6791DA36">
      <w:pPr>
        <w:spacing w:line="360" w:lineRule="auto"/>
        <w:ind w:firstLine="437"/>
        <w:outlineLvl w:val="2"/>
        <w:rPr>
          <w:b/>
          <w:color w:val="auto"/>
          <w:sz w:val="24"/>
          <w:highlight w:val="none"/>
        </w:rPr>
      </w:pPr>
      <w:r>
        <w:rPr>
          <w:rFonts w:hint="eastAsia"/>
          <w:b/>
          <w:color w:val="auto"/>
          <w:sz w:val="24"/>
          <w:highlight w:val="none"/>
          <w:lang w:val="en-US" w:eastAsia="zh-CN"/>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32022E70">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.1采购代理机构工作人员不得以不正当手段获取政府采购代理业务，不得与采购人、供应商恶意串通。</w:t>
      </w:r>
    </w:p>
    <w:p w14:paraId="6B84A50D">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5A7C729D">
      <w:pPr>
        <w:spacing w:line="360" w:lineRule="auto"/>
        <w:ind w:firstLine="437"/>
        <w:outlineLvl w:val="2"/>
        <w:rPr>
          <w:b/>
          <w:color w:val="auto"/>
          <w:sz w:val="24"/>
          <w:highlight w:val="none"/>
        </w:rPr>
      </w:pPr>
      <w:r>
        <w:rPr>
          <w:rFonts w:hint="eastAsia"/>
          <w:b/>
          <w:color w:val="auto"/>
          <w:sz w:val="24"/>
          <w:highlight w:val="none"/>
          <w:lang w:val="en-US" w:eastAsia="zh-CN"/>
        </w:rPr>
        <w:t>29</w:t>
      </w:r>
      <w:r>
        <w:rPr>
          <w:b/>
          <w:color w:val="auto"/>
          <w:sz w:val="24"/>
          <w:highlight w:val="none"/>
        </w:rPr>
        <w:t>.质疑的提出与接收</w:t>
      </w:r>
    </w:p>
    <w:p w14:paraId="4A6E34B3">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2134DF39">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3E330F10">
      <w:pPr>
        <w:spacing w:line="360" w:lineRule="auto"/>
        <w:ind w:firstLine="435"/>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采购代理机构质疑函接收部门、联系电话和通讯地址，见</w:t>
      </w:r>
      <w:r>
        <w:rPr>
          <w:rFonts w:hint="eastAsia"/>
          <w:color w:val="auto"/>
          <w:sz w:val="24"/>
          <w:highlight w:val="none"/>
          <w:u w:val="single"/>
        </w:rPr>
        <w:t>供应商须知前附表</w:t>
      </w:r>
      <w:r>
        <w:rPr>
          <w:rFonts w:hint="eastAsia"/>
          <w:color w:val="auto"/>
          <w:sz w:val="24"/>
          <w:highlight w:val="none"/>
        </w:rPr>
        <w:t>。</w:t>
      </w:r>
    </w:p>
    <w:p w14:paraId="38929030">
      <w:pPr>
        <w:spacing w:line="360" w:lineRule="auto"/>
        <w:ind w:firstLine="435"/>
        <w:rPr>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0374BF09">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lang w:val="en-US" w:eastAsia="zh-CN"/>
        </w:rPr>
        <w:t>0</w:t>
      </w:r>
      <w:r>
        <w:rPr>
          <w:b/>
          <w:color w:val="auto"/>
          <w:sz w:val="24"/>
          <w:highlight w:val="none"/>
        </w:rPr>
        <w:t>.需要补充的其他内容</w:t>
      </w:r>
    </w:p>
    <w:p w14:paraId="06A7F9ED">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62D52576">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1A53EF8C">
      <w:pPr>
        <w:spacing w:line="360" w:lineRule="auto"/>
        <w:jc w:val="center"/>
        <w:outlineLvl w:val="0"/>
        <w:rPr>
          <w:rFonts w:asciiTheme="minorEastAsia" w:hAnsiTheme="minorEastAsia" w:eastAsiaTheme="minorEastAsia"/>
          <w:b/>
          <w:color w:val="auto"/>
          <w:sz w:val="28"/>
          <w:highlight w:val="none"/>
        </w:rPr>
      </w:pPr>
      <w:bookmarkStart w:id="34" w:name="_Toc30873"/>
      <w:bookmarkStart w:id="35" w:name="_Toc11353"/>
      <w:r>
        <w:rPr>
          <w:rFonts w:hint="eastAsia" w:asciiTheme="minorEastAsia" w:hAnsiTheme="minorEastAsia" w:eastAsiaTheme="minorEastAsia"/>
          <w:b/>
          <w:color w:val="auto"/>
          <w:sz w:val="28"/>
          <w:highlight w:val="none"/>
        </w:rPr>
        <w:t>第三章  采购需求</w:t>
      </w:r>
      <w:bookmarkEnd w:id="34"/>
    </w:p>
    <w:tbl>
      <w:tblPr>
        <w:tblStyle w:val="9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277"/>
        <w:gridCol w:w="6287"/>
      </w:tblGrid>
      <w:tr w14:paraId="485E0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4A16245F">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1277" w:type="dxa"/>
            <w:vAlign w:val="center"/>
          </w:tcPr>
          <w:p w14:paraId="3154D175">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6287" w:type="dxa"/>
            <w:vAlign w:val="center"/>
          </w:tcPr>
          <w:p w14:paraId="54AFF179">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30284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41194096">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1277" w:type="dxa"/>
            <w:vAlign w:val="center"/>
          </w:tcPr>
          <w:p w14:paraId="651CD940">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6287" w:type="dxa"/>
            <w:vAlign w:val="center"/>
          </w:tcPr>
          <w:p w14:paraId="423D695A">
            <w:pPr>
              <w:spacing w:line="360" w:lineRule="auto"/>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（1）供应商一旦成交，磋商时所报的本项目的项目经理</w:t>
            </w:r>
            <w:r>
              <w:rPr>
                <w:rFonts w:hint="eastAsia" w:cs="宋体"/>
                <w:bCs/>
                <w:color w:val="auto"/>
                <w:kern w:val="2"/>
                <w:sz w:val="24"/>
                <w:szCs w:val="24"/>
                <w:highlight w:val="none"/>
              </w:rPr>
              <w:t>每月在施工现场的时间：驻场时间每月不少于</w:t>
            </w:r>
            <w:r>
              <w:rPr>
                <w:rFonts w:hint="eastAsia" w:cs="宋体"/>
                <w:bCs/>
                <w:color w:val="auto"/>
                <w:kern w:val="2"/>
                <w:sz w:val="24"/>
                <w:szCs w:val="24"/>
                <w:highlight w:val="none"/>
                <w:u w:val="single"/>
              </w:rPr>
              <w:t xml:space="preserve"> </w:t>
            </w:r>
            <w:r>
              <w:rPr>
                <w:rFonts w:hint="eastAsia" w:cs="宋体"/>
                <w:bCs/>
                <w:color w:val="auto"/>
                <w:kern w:val="2"/>
                <w:sz w:val="24"/>
                <w:szCs w:val="24"/>
                <w:highlight w:val="none"/>
                <w:u w:val="single"/>
                <w:lang w:val="en-US" w:eastAsia="zh-CN"/>
              </w:rPr>
              <w:t>22</w:t>
            </w:r>
            <w:r>
              <w:rPr>
                <w:rFonts w:hint="eastAsia" w:cs="宋体"/>
                <w:bCs/>
                <w:color w:val="auto"/>
                <w:kern w:val="2"/>
                <w:sz w:val="24"/>
                <w:szCs w:val="24"/>
                <w:highlight w:val="none"/>
                <w:u w:val="single"/>
              </w:rPr>
              <w:t xml:space="preserve"> </w:t>
            </w:r>
            <w:r>
              <w:rPr>
                <w:rFonts w:hint="eastAsia" w:cs="宋体"/>
                <w:bCs/>
                <w:color w:val="auto"/>
                <w:kern w:val="2"/>
                <w:sz w:val="24"/>
                <w:szCs w:val="24"/>
                <w:highlight w:val="none"/>
              </w:rPr>
              <w:t>天，每天在岗工作时间不得少于</w:t>
            </w:r>
            <w:r>
              <w:rPr>
                <w:rFonts w:hint="eastAsia" w:cs="宋体"/>
                <w:bCs/>
                <w:color w:val="auto"/>
                <w:kern w:val="2"/>
                <w:sz w:val="24"/>
                <w:szCs w:val="24"/>
                <w:highlight w:val="none"/>
                <w:u w:val="single"/>
              </w:rPr>
              <w:t xml:space="preserve"> </w:t>
            </w:r>
            <w:r>
              <w:rPr>
                <w:rFonts w:hint="eastAsia" w:cs="宋体"/>
                <w:bCs/>
                <w:color w:val="auto"/>
                <w:kern w:val="2"/>
                <w:sz w:val="24"/>
                <w:szCs w:val="24"/>
                <w:highlight w:val="none"/>
                <w:u w:val="single"/>
                <w:lang w:val="en-US" w:eastAsia="zh-CN"/>
              </w:rPr>
              <w:t>8</w:t>
            </w:r>
            <w:r>
              <w:rPr>
                <w:rFonts w:hint="eastAsia" w:cs="宋体"/>
                <w:bCs/>
                <w:color w:val="auto"/>
                <w:kern w:val="2"/>
                <w:sz w:val="24"/>
                <w:szCs w:val="24"/>
                <w:highlight w:val="none"/>
                <w:u w:val="single"/>
              </w:rPr>
              <w:t xml:space="preserve"> </w:t>
            </w:r>
            <w:r>
              <w:rPr>
                <w:rFonts w:hint="eastAsia" w:cs="宋体"/>
                <w:bCs/>
                <w:color w:val="auto"/>
                <w:kern w:val="2"/>
                <w:sz w:val="24"/>
                <w:szCs w:val="24"/>
                <w:highlight w:val="none"/>
              </w:rPr>
              <w:t>小时</w:t>
            </w:r>
            <w:r>
              <w:rPr>
                <w:rFonts w:hint="eastAsia" w:ascii="宋体" w:hAnsi="宋体" w:eastAsia="宋体" w:cs="@仿宋_GB2312"/>
                <w:color w:val="auto"/>
                <w:kern w:val="2"/>
                <w:sz w:val="24"/>
                <w:szCs w:val="24"/>
                <w:highlight w:val="none"/>
              </w:rPr>
              <w:t>，否则采购人有权终止合同。由此造成的损失，成交供应商自行承担并赔偿可能给采购人造成的损失。</w:t>
            </w:r>
          </w:p>
          <w:p w14:paraId="258CA7AC">
            <w:pPr>
              <w:spacing w:line="360" w:lineRule="auto"/>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3C2F437E">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eastAsia="宋体" w:cs="@仿宋_GB2312"/>
                <w:color w:val="auto"/>
                <w:kern w:val="2"/>
                <w:sz w:val="24"/>
                <w:szCs w:val="24"/>
                <w:highlight w:val="none"/>
              </w:rPr>
              <w:t>（3）成交供应商未能按照承诺到岗尽职的，采购人将视情况严重程度对其作出相应处理，给予警告并发出整改通知。如仍未及时整改，采购人有权责令其停工整改、直至终止合同，引进新的</w:t>
            </w:r>
            <w:r>
              <w:rPr>
                <w:rFonts w:hint="eastAsia" w:cs="@仿宋_GB2312"/>
                <w:color w:val="auto"/>
                <w:kern w:val="2"/>
                <w:sz w:val="24"/>
                <w:szCs w:val="24"/>
                <w:highlight w:val="none"/>
                <w:lang w:eastAsia="zh-CN"/>
              </w:rPr>
              <w:t>乙方</w:t>
            </w:r>
            <w:r>
              <w:rPr>
                <w:rFonts w:hint="eastAsia" w:ascii="宋体" w:hAnsi="宋体" w:eastAsia="宋体" w:cs="@仿宋_GB2312"/>
                <w:color w:val="auto"/>
                <w:kern w:val="2"/>
                <w:sz w:val="24"/>
                <w:szCs w:val="24"/>
                <w:highlight w:val="none"/>
              </w:rPr>
              <w:t>。采购人还将停止支付工程款项，扣留任何未付的工程进度款项补偿建设单位的有关损失或工期延误的损失，并就此向</w:t>
            </w:r>
            <w:r>
              <w:rPr>
                <w:rFonts w:hint="eastAsia" w:cs="@仿宋_GB2312"/>
                <w:color w:val="auto"/>
                <w:kern w:val="2"/>
                <w:sz w:val="24"/>
                <w:szCs w:val="24"/>
                <w:highlight w:val="none"/>
                <w:lang w:val="en-US" w:eastAsia="zh-CN"/>
              </w:rPr>
              <w:t>供应商</w:t>
            </w:r>
            <w:r>
              <w:rPr>
                <w:rFonts w:hint="eastAsia" w:ascii="宋体" w:hAnsi="宋体" w:eastAsia="宋体" w:cs="@仿宋_GB2312"/>
                <w:color w:val="auto"/>
                <w:kern w:val="2"/>
                <w:sz w:val="24"/>
                <w:szCs w:val="24"/>
                <w:highlight w:val="none"/>
              </w:rPr>
              <w:t>索赔。</w:t>
            </w:r>
          </w:p>
        </w:tc>
      </w:tr>
      <w:tr w14:paraId="79A5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7" w:hRule="atLeast"/>
        </w:trPr>
        <w:tc>
          <w:tcPr>
            <w:tcW w:w="958" w:type="dxa"/>
            <w:vAlign w:val="center"/>
          </w:tcPr>
          <w:p w14:paraId="384FA629">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1277" w:type="dxa"/>
            <w:vAlign w:val="center"/>
          </w:tcPr>
          <w:p w14:paraId="576712EE">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6287" w:type="dxa"/>
            <w:vAlign w:val="center"/>
          </w:tcPr>
          <w:p w14:paraId="157F49A4">
            <w:p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质量合格，满足国家和行业规范标准。</w:t>
            </w:r>
          </w:p>
          <w:p w14:paraId="45D6C9F5">
            <w:pPr>
              <w:spacing w:line="360" w:lineRule="auto"/>
              <w:rPr>
                <w:rFonts w:hint="default"/>
                <w:color w:val="auto"/>
                <w:kern w:val="2"/>
                <w:sz w:val="21"/>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注：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tc>
      </w:tr>
      <w:tr w14:paraId="03F4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08EB3709">
            <w:pPr>
              <w:spacing w:line="360" w:lineRule="auto"/>
              <w:jc w:val="center"/>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3</w:t>
            </w:r>
          </w:p>
        </w:tc>
        <w:tc>
          <w:tcPr>
            <w:tcW w:w="1277" w:type="dxa"/>
            <w:vAlign w:val="center"/>
          </w:tcPr>
          <w:p w14:paraId="12500677">
            <w:pPr>
              <w:spacing w:line="360" w:lineRule="auto"/>
              <w:rPr>
                <w:rFonts w:cs="@仿宋_GB2312" w:asciiTheme="minorEastAsia" w:hAnsiTheme="minorEastAsia" w:eastAsiaTheme="minorEastAsia"/>
                <w:color w:val="FF0000"/>
                <w:kern w:val="2"/>
                <w:sz w:val="24"/>
                <w:szCs w:val="22"/>
                <w:highlight w:val="none"/>
              </w:rPr>
            </w:pPr>
            <w:r>
              <w:rPr>
                <w:rFonts w:hint="eastAsia" w:cs="@仿宋_GB2312" w:asciiTheme="minorEastAsia" w:hAnsiTheme="minorEastAsia" w:eastAsiaTheme="minorEastAsia"/>
                <w:color w:val="FF0000"/>
                <w:kern w:val="2"/>
                <w:sz w:val="24"/>
                <w:szCs w:val="22"/>
                <w:highlight w:val="none"/>
              </w:rPr>
              <w:t>报价须知</w:t>
            </w:r>
          </w:p>
        </w:tc>
        <w:tc>
          <w:tcPr>
            <w:tcW w:w="6287" w:type="dxa"/>
            <w:vAlign w:val="center"/>
          </w:tcPr>
          <w:p w14:paraId="34031D5D">
            <w:pPr>
              <w:pStyle w:val="68"/>
              <w:keepNext w:val="0"/>
              <w:keepLines w:val="0"/>
              <w:widowControl w:val="0"/>
              <w:numPr>
                <w:ilvl w:val="0"/>
                <w:numId w:val="3"/>
              </w:numPr>
              <w:suppressLineNumbers w:val="0"/>
              <w:spacing w:before="0" w:beforeAutospacing="0" w:after="0" w:afterAutospacing="0" w:line="360" w:lineRule="auto"/>
              <w:ind w:right="0" w:rightChars="0"/>
              <w:jc w:val="both"/>
              <w:rPr>
                <w:rFonts w:hint="eastAsia" w:cs="@仿宋_GB2312" w:asciiTheme="minorEastAsia" w:hAnsiTheme="minorEastAsia" w:eastAsiaTheme="minorEastAsia"/>
                <w:color w:val="FF0000"/>
                <w:kern w:val="2"/>
                <w:sz w:val="24"/>
                <w:szCs w:val="22"/>
                <w:highlight w:val="none"/>
              </w:rPr>
            </w:pPr>
            <w:r>
              <w:rPr>
                <w:rFonts w:cs="@仿宋_GB2312" w:asciiTheme="minorEastAsia" w:hAnsiTheme="minorEastAsia" w:eastAsiaTheme="minorEastAsia"/>
                <w:bCs/>
                <w:color w:val="FF0000"/>
                <w:kern w:val="2"/>
                <w:sz w:val="24"/>
                <w:szCs w:val="28"/>
                <w:highlight w:val="none"/>
              </w:rPr>
              <w:t>供应商报价不得高于磋商文件（公告）列明的</w:t>
            </w:r>
            <w:r>
              <w:rPr>
                <w:rFonts w:hint="eastAsia" w:cs="@仿宋_GB2312" w:asciiTheme="minorEastAsia" w:hAnsiTheme="minorEastAsia" w:eastAsiaTheme="minorEastAsia"/>
                <w:bCs/>
                <w:color w:val="FF0000"/>
                <w:kern w:val="2"/>
                <w:sz w:val="24"/>
                <w:szCs w:val="28"/>
                <w:highlight w:val="none"/>
              </w:rPr>
              <w:t>最高限价</w:t>
            </w:r>
            <w:r>
              <w:rPr>
                <w:rFonts w:hint="eastAsia" w:cs="@仿宋_GB2312" w:asciiTheme="minorEastAsia" w:hAnsiTheme="minorEastAsia" w:eastAsiaTheme="minorEastAsia"/>
                <w:bCs/>
                <w:color w:val="FF0000"/>
                <w:kern w:val="2"/>
                <w:sz w:val="24"/>
                <w:szCs w:val="28"/>
                <w:highlight w:val="none"/>
                <w:lang w:val="en-US" w:eastAsia="zh-CN"/>
              </w:rPr>
              <w:t>及分项限价</w:t>
            </w:r>
            <w:r>
              <w:rPr>
                <w:rFonts w:hint="eastAsia" w:cs="宋体"/>
                <w:b/>
                <w:color w:val="FF0000"/>
                <w:kern w:val="2"/>
                <w:sz w:val="24"/>
                <w:szCs w:val="22"/>
                <w:highlight w:val="none"/>
                <w:lang w:eastAsia="zh-CN"/>
              </w:rPr>
              <w:t>，</w:t>
            </w:r>
            <w:r>
              <w:rPr>
                <w:rFonts w:cs="@仿宋_GB2312" w:asciiTheme="minorEastAsia" w:hAnsiTheme="minorEastAsia" w:eastAsiaTheme="minorEastAsia"/>
                <w:bCs/>
                <w:color w:val="FF0000"/>
                <w:kern w:val="2"/>
                <w:sz w:val="24"/>
                <w:szCs w:val="28"/>
                <w:highlight w:val="none"/>
              </w:rPr>
              <w:t>否则其响应文件将被认定为</w:t>
            </w:r>
            <w:r>
              <w:rPr>
                <w:rFonts w:cs="@仿宋_GB2312" w:asciiTheme="minorEastAsia" w:hAnsiTheme="minorEastAsia" w:eastAsiaTheme="minorEastAsia"/>
                <w:b/>
                <w:color w:val="FF0000"/>
                <w:kern w:val="2"/>
                <w:sz w:val="24"/>
                <w:szCs w:val="28"/>
                <w:highlight w:val="none"/>
              </w:rPr>
              <w:t>响应无效</w:t>
            </w:r>
            <w:r>
              <w:rPr>
                <w:rFonts w:hint="eastAsia" w:cs="@仿宋_GB2312" w:asciiTheme="minorEastAsia" w:hAnsiTheme="minorEastAsia" w:eastAsiaTheme="minorEastAsia"/>
                <w:color w:val="FF0000"/>
                <w:kern w:val="2"/>
                <w:sz w:val="24"/>
                <w:szCs w:val="22"/>
                <w:highlight w:val="none"/>
              </w:rPr>
              <w:t>。</w:t>
            </w:r>
          </w:p>
          <w:p w14:paraId="05F64609">
            <w:pPr>
              <w:pStyle w:val="68"/>
              <w:widowControl w:val="0"/>
              <w:spacing w:before="0" w:beforeAutospacing="0" w:after="0" w:afterAutospacing="0" w:line="360" w:lineRule="auto"/>
              <w:jc w:val="both"/>
              <w:rPr>
                <w:rFonts w:hint="eastAsia" w:cs="@仿宋_GB2312" w:asciiTheme="minorEastAsia" w:hAnsiTheme="minorEastAsia" w:eastAsiaTheme="minorEastAsia"/>
                <w:color w:val="FF0000"/>
                <w:kern w:val="2"/>
                <w:sz w:val="24"/>
                <w:szCs w:val="22"/>
                <w:highlight w:val="none"/>
                <w:lang w:eastAsia="zh-CN"/>
              </w:rPr>
            </w:pPr>
            <w:r>
              <w:rPr>
                <w:rFonts w:hint="eastAsia" w:cs="@仿宋_GB2312" w:asciiTheme="minorEastAsia" w:hAnsiTheme="minorEastAsia" w:eastAsiaTheme="minorEastAsia"/>
                <w:color w:val="FF0000"/>
                <w:kern w:val="2"/>
                <w:sz w:val="24"/>
                <w:szCs w:val="22"/>
                <w:highlight w:val="none"/>
              </w:rPr>
              <w:t>（</w:t>
            </w:r>
            <w:r>
              <w:rPr>
                <w:rFonts w:hint="eastAsia" w:cs="@仿宋_GB2312" w:asciiTheme="minorEastAsia" w:hAnsiTheme="minorEastAsia" w:eastAsiaTheme="minorEastAsia"/>
                <w:bCs/>
                <w:color w:val="FF0000"/>
                <w:kern w:val="2"/>
                <w:sz w:val="24"/>
                <w:szCs w:val="28"/>
                <w:highlight w:val="none"/>
              </w:rPr>
              <w:t>2）安全生产费用</w:t>
            </w:r>
            <w:r>
              <w:rPr>
                <w:rFonts w:hint="eastAsia" w:cs="@仿宋_GB2312" w:asciiTheme="minorEastAsia" w:hAnsiTheme="minorEastAsia" w:eastAsiaTheme="minorEastAsia"/>
                <w:bCs/>
                <w:color w:val="FF0000"/>
                <w:kern w:val="2"/>
                <w:sz w:val="24"/>
                <w:szCs w:val="28"/>
                <w:highlight w:val="none"/>
                <w:lang w:eastAsia="zh-CN"/>
              </w:rPr>
              <w:t>：不低于最高限价的2.5%，否则其响应文件将被认定为响应无效。</w:t>
            </w:r>
            <w:r>
              <w:rPr>
                <w:rFonts w:hint="eastAsia" w:cs="@仿宋_GB2312" w:asciiTheme="minorEastAsia" w:hAnsiTheme="minorEastAsia" w:eastAsiaTheme="minorEastAsia"/>
                <w:color w:val="FF0000"/>
                <w:kern w:val="2"/>
                <w:sz w:val="24"/>
                <w:highlight w:val="none"/>
              </w:rPr>
              <w:t>专款专用，开工前报具体的措施方案，经合同甲方审核同意后实施，据实结算</w:t>
            </w:r>
            <w:r>
              <w:rPr>
                <w:rFonts w:hint="eastAsia" w:cs="@仿宋_GB2312" w:asciiTheme="minorEastAsia" w:hAnsiTheme="minorEastAsia" w:eastAsiaTheme="minorEastAsia"/>
                <w:color w:val="FF0000"/>
                <w:kern w:val="2"/>
                <w:sz w:val="24"/>
                <w:highlight w:val="none"/>
                <w:lang w:eastAsia="zh-CN"/>
              </w:rPr>
              <w:t>。</w:t>
            </w:r>
          </w:p>
          <w:p w14:paraId="739D0B06">
            <w:pPr>
              <w:numPr>
                <w:ilvl w:val="0"/>
                <w:numId w:val="0"/>
              </w:numPr>
              <w:spacing w:line="360" w:lineRule="auto"/>
              <w:rPr>
                <w:rFonts w:hint="eastAsia" w:eastAsia="@微软简标宋"/>
                <w:color w:val="FF0000"/>
                <w:kern w:val="2"/>
                <w:sz w:val="21"/>
                <w:szCs w:val="22"/>
                <w:highlight w:val="none"/>
                <w:lang w:eastAsia="zh-CN"/>
              </w:rPr>
            </w:pPr>
            <w:r>
              <w:rPr>
                <w:rFonts w:hint="eastAsia" w:cs="Times New Roman"/>
                <w:color w:val="FF0000"/>
                <w:kern w:val="2"/>
                <w:sz w:val="24"/>
                <w:szCs w:val="22"/>
                <w:highlight w:val="none"/>
                <w:lang w:eastAsia="zh-CN"/>
              </w:rPr>
              <w:t>（</w:t>
            </w:r>
            <w:r>
              <w:rPr>
                <w:rFonts w:hint="eastAsia" w:cs="Times New Roman"/>
                <w:color w:val="FF0000"/>
                <w:kern w:val="2"/>
                <w:sz w:val="24"/>
                <w:szCs w:val="22"/>
                <w:highlight w:val="none"/>
                <w:lang w:val="en-US" w:eastAsia="zh-CN"/>
              </w:rPr>
              <w:t>3）</w:t>
            </w:r>
            <w:r>
              <w:rPr>
                <w:rFonts w:hint="eastAsia" w:cs="Times New Roman"/>
                <w:color w:val="FF0000"/>
                <w:kern w:val="2"/>
                <w:sz w:val="24"/>
                <w:szCs w:val="22"/>
                <w:highlight w:val="none"/>
              </w:rPr>
              <w:t>除</w:t>
            </w:r>
            <w:r>
              <w:rPr>
                <w:rFonts w:hint="eastAsia" w:cs="Times New Roman"/>
                <w:color w:val="FF0000"/>
                <w:kern w:val="2"/>
                <w:sz w:val="24"/>
                <w:szCs w:val="22"/>
                <w:highlight w:val="none"/>
                <w:lang w:val="en-US" w:eastAsia="zh-CN"/>
              </w:rPr>
              <w:t>磋商</w:t>
            </w:r>
            <w:r>
              <w:rPr>
                <w:rFonts w:hint="eastAsia" w:cs="Times New Roman"/>
                <w:color w:val="FF0000"/>
                <w:kern w:val="2"/>
                <w:sz w:val="24"/>
                <w:szCs w:val="22"/>
                <w:highlight w:val="none"/>
              </w:rPr>
              <w:t>文件另有规定外,</w:t>
            </w:r>
            <w:r>
              <w:rPr>
                <w:rFonts w:hint="eastAsia" w:cs="Times New Roman"/>
                <w:color w:val="FF0000"/>
                <w:kern w:val="2"/>
                <w:sz w:val="24"/>
                <w:szCs w:val="22"/>
                <w:highlight w:val="none"/>
                <w:lang w:val="en-US" w:eastAsia="zh-CN"/>
              </w:rPr>
              <w:t>供应商</w:t>
            </w:r>
            <w:r>
              <w:rPr>
                <w:rFonts w:hint="eastAsia" w:cs="Times New Roman"/>
                <w:color w:val="FF0000"/>
                <w:kern w:val="2"/>
                <w:sz w:val="24"/>
                <w:szCs w:val="22"/>
                <w:highlight w:val="none"/>
              </w:rPr>
              <w:t>不得随意增加、删除或涂改</w:t>
            </w:r>
            <w:r>
              <w:rPr>
                <w:rFonts w:hint="eastAsia" w:cs="Times New Roman"/>
                <w:color w:val="FF0000"/>
                <w:kern w:val="2"/>
                <w:sz w:val="24"/>
                <w:szCs w:val="22"/>
                <w:highlight w:val="none"/>
                <w:lang w:val="en-US" w:eastAsia="zh-CN"/>
              </w:rPr>
              <w:t>磋商</w:t>
            </w:r>
            <w:r>
              <w:rPr>
                <w:rFonts w:hint="eastAsia" w:cs="Times New Roman"/>
                <w:color w:val="FF0000"/>
                <w:kern w:val="2"/>
                <w:sz w:val="24"/>
                <w:szCs w:val="22"/>
                <w:highlight w:val="none"/>
              </w:rPr>
              <w:t>文件工程量清单中的任何内容</w:t>
            </w:r>
            <w:r>
              <w:rPr>
                <w:rFonts w:hint="eastAsia" w:cs="宋体"/>
                <w:b/>
                <w:color w:val="FF0000"/>
                <w:kern w:val="2"/>
                <w:sz w:val="24"/>
                <w:szCs w:val="22"/>
                <w:highlight w:val="none"/>
                <w:lang w:eastAsia="zh-CN"/>
              </w:rPr>
              <w:t>，</w:t>
            </w:r>
            <w:r>
              <w:rPr>
                <w:rFonts w:cs="@仿宋_GB2312" w:asciiTheme="minorEastAsia" w:hAnsiTheme="minorEastAsia" w:eastAsiaTheme="minorEastAsia"/>
                <w:bCs/>
                <w:color w:val="FF0000"/>
                <w:kern w:val="2"/>
                <w:sz w:val="24"/>
                <w:szCs w:val="28"/>
                <w:highlight w:val="none"/>
              </w:rPr>
              <w:t>否则其响应文件将被认定为</w:t>
            </w:r>
            <w:r>
              <w:rPr>
                <w:rFonts w:cs="@仿宋_GB2312" w:asciiTheme="minorEastAsia" w:hAnsiTheme="minorEastAsia" w:eastAsiaTheme="minorEastAsia"/>
                <w:b/>
                <w:color w:val="FF0000"/>
                <w:kern w:val="2"/>
                <w:sz w:val="24"/>
                <w:szCs w:val="28"/>
                <w:highlight w:val="none"/>
              </w:rPr>
              <w:t>响应无效</w:t>
            </w:r>
            <w:r>
              <w:rPr>
                <w:rFonts w:hint="eastAsia" w:cs="@仿宋_GB2312" w:asciiTheme="minorEastAsia" w:hAnsiTheme="minorEastAsia" w:eastAsiaTheme="minorEastAsia"/>
                <w:color w:val="FF0000"/>
                <w:kern w:val="2"/>
                <w:sz w:val="24"/>
                <w:szCs w:val="22"/>
                <w:highlight w:val="none"/>
              </w:rPr>
              <w:t>。</w:t>
            </w:r>
          </w:p>
        </w:tc>
      </w:tr>
      <w:tr w14:paraId="30E6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11CF8C4D">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ascii="宋体" w:hAnsi="宋体" w:eastAsia="宋体" w:cs="@仿宋_GB2312"/>
                <w:color w:val="auto"/>
                <w:kern w:val="2"/>
                <w:sz w:val="24"/>
                <w:szCs w:val="24"/>
                <w:highlight w:val="none"/>
                <w:lang w:val="en-US" w:eastAsia="zh-CN"/>
              </w:rPr>
              <w:t>4</w:t>
            </w:r>
          </w:p>
        </w:tc>
        <w:tc>
          <w:tcPr>
            <w:tcW w:w="1277" w:type="dxa"/>
            <w:vAlign w:val="center"/>
          </w:tcPr>
          <w:p w14:paraId="7751C372">
            <w:pPr>
              <w:spacing w:line="360" w:lineRule="auto"/>
              <w:rPr>
                <w:rFonts w:hint="eastAsia" w:cs="@仿宋_GB2312" w:asciiTheme="minorEastAsia" w:hAnsiTheme="minorEastAsia" w:eastAsiaTheme="minorEastAsia"/>
                <w:color w:val="FF0000"/>
                <w:kern w:val="2"/>
                <w:sz w:val="24"/>
                <w:szCs w:val="22"/>
                <w:highlight w:val="none"/>
              </w:rPr>
            </w:pPr>
            <w:r>
              <w:rPr>
                <w:rFonts w:hint="eastAsia" w:ascii="宋体" w:hAnsi="宋体" w:eastAsia="宋体" w:cs="@仿宋_GB2312"/>
                <w:color w:val="FF0000"/>
                <w:kern w:val="2"/>
                <w:sz w:val="24"/>
                <w:szCs w:val="24"/>
                <w:highlight w:val="none"/>
                <w:lang w:val="en-US" w:eastAsia="zh-CN"/>
              </w:rPr>
              <w:t>项目经理</w:t>
            </w:r>
          </w:p>
        </w:tc>
        <w:tc>
          <w:tcPr>
            <w:tcW w:w="6287" w:type="dxa"/>
            <w:vAlign w:val="center"/>
          </w:tcPr>
          <w:p w14:paraId="080C6274">
            <w:pPr>
              <w:numPr>
                <w:ilvl w:val="0"/>
                <w:numId w:val="4"/>
              </w:numPr>
              <w:spacing w:line="360" w:lineRule="auto"/>
              <w:rPr>
                <w:rFonts w:hint="eastAsia" w:ascii="宋体" w:hAnsi="宋体" w:eastAsia="宋体" w:cs="@仿宋_GB2312"/>
                <w:b/>
                <w:bCs/>
                <w:color w:val="FF0000"/>
                <w:kern w:val="2"/>
                <w:sz w:val="24"/>
                <w:szCs w:val="24"/>
                <w:highlight w:val="none"/>
                <w:lang w:val="en-US" w:eastAsia="zh-CN"/>
              </w:rPr>
            </w:pPr>
            <w:bookmarkStart w:id="36" w:name="OLE_LINK1"/>
            <w:r>
              <w:rPr>
                <w:rFonts w:hint="eastAsia" w:ascii="宋体" w:hAnsi="宋体" w:eastAsia="宋体" w:cs="@仿宋_GB2312"/>
                <w:b/>
                <w:bCs/>
                <w:color w:val="FF0000"/>
                <w:kern w:val="2"/>
                <w:sz w:val="24"/>
                <w:szCs w:val="24"/>
                <w:highlight w:val="none"/>
                <w:lang w:val="en-US" w:eastAsia="zh-CN"/>
              </w:rPr>
              <w:t>项目经理资质要求：供应商拟委任的项目经理须具有有效的机电工程专业二级及以上建造师注册证书，且具有有效的相关主管部门颁发的安全生产考核合格B证。</w:t>
            </w:r>
          </w:p>
          <w:bookmarkEnd w:id="36"/>
          <w:p w14:paraId="0755FE32">
            <w:pPr>
              <w:spacing w:line="360" w:lineRule="auto"/>
              <w:rPr>
                <w:rFonts w:hint="eastAsia" w:ascii="宋体" w:hAnsi="宋体" w:eastAsia="宋体" w:cs="@仿宋_GB2312"/>
                <w:b/>
                <w:bCs/>
                <w:color w:val="FF0000"/>
                <w:kern w:val="2"/>
                <w:sz w:val="24"/>
                <w:szCs w:val="24"/>
                <w:highlight w:val="none"/>
                <w:lang w:val="en-US" w:eastAsia="zh-CN"/>
              </w:rPr>
            </w:pPr>
            <w:r>
              <w:rPr>
                <w:rFonts w:hint="eastAsia" w:ascii="宋体" w:hAnsi="宋体" w:eastAsia="宋体" w:cs="@仿宋_GB2312"/>
                <w:b/>
                <w:bCs/>
                <w:color w:val="FF0000"/>
                <w:kern w:val="2"/>
                <w:sz w:val="24"/>
                <w:szCs w:val="24"/>
                <w:highlight w:val="none"/>
                <w:lang w:val="en-US" w:eastAsia="zh-CN"/>
              </w:rPr>
              <w:t>（2）项目经理社保：提供供应商为其缴纳的2024年9月至今任意一个月社保证明扫描件。</w:t>
            </w:r>
          </w:p>
          <w:p w14:paraId="1E19BA80">
            <w:pPr>
              <w:spacing w:line="360" w:lineRule="auto"/>
              <w:rPr>
                <w:rFonts w:hint="eastAsia" w:ascii="宋体" w:hAnsi="宋体" w:eastAsia="宋体" w:cs="@仿宋_GB2312"/>
                <w:b/>
                <w:bCs/>
                <w:color w:val="FF0000"/>
                <w:kern w:val="2"/>
                <w:sz w:val="24"/>
                <w:szCs w:val="24"/>
                <w:highlight w:val="none"/>
                <w:lang w:val="en-US" w:eastAsia="zh-CN"/>
              </w:rPr>
            </w:pPr>
            <w:r>
              <w:rPr>
                <w:rFonts w:hint="eastAsia" w:ascii="宋体" w:hAnsi="宋体" w:eastAsia="宋体" w:cs="@仿宋_GB2312"/>
                <w:b/>
                <w:bCs/>
                <w:color w:val="FF0000"/>
                <w:kern w:val="2"/>
                <w:sz w:val="24"/>
                <w:szCs w:val="24"/>
                <w:highlight w:val="none"/>
                <w:lang w:val="en-US" w:eastAsia="zh-CN"/>
              </w:rPr>
              <w:t>（3）项目经理不得同时担任两个及以上建设工程施工项目负责人。</w:t>
            </w:r>
          </w:p>
          <w:p w14:paraId="2A0CF106">
            <w:pPr>
              <w:spacing w:line="360" w:lineRule="auto"/>
              <w:rPr>
                <w:rFonts w:hint="eastAsia" w:cs="Times New Roman"/>
                <w:color w:val="FF0000"/>
                <w:kern w:val="2"/>
                <w:sz w:val="24"/>
                <w:szCs w:val="22"/>
                <w:highlight w:val="none"/>
                <w:lang w:eastAsia="zh-CN"/>
              </w:rPr>
            </w:pPr>
            <w:r>
              <w:rPr>
                <w:rFonts w:hint="eastAsia" w:ascii="宋体" w:hAnsi="宋体" w:eastAsia="宋体" w:cs="@仿宋_GB2312"/>
                <w:color w:val="FF0000"/>
                <w:kern w:val="2"/>
                <w:sz w:val="24"/>
                <w:szCs w:val="24"/>
                <w:highlight w:val="none"/>
                <w:lang w:val="en-US" w:eastAsia="zh-CN"/>
              </w:rPr>
              <w:t>（4）成交后若项目经理在其他项目上担任项目经理岗位，导致该项目经理无法进场履约的，采购人可取消其成交资格。供应商因此原因被取消成交资格的，视为无正当理由放弃成交资格。</w:t>
            </w:r>
          </w:p>
        </w:tc>
      </w:tr>
      <w:tr w14:paraId="11FB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65FBC743">
            <w:pPr>
              <w:spacing w:line="360" w:lineRule="auto"/>
              <w:jc w:val="center"/>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5</w:t>
            </w:r>
          </w:p>
        </w:tc>
        <w:tc>
          <w:tcPr>
            <w:tcW w:w="1277" w:type="dxa"/>
            <w:vAlign w:val="center"/>
          </w:tcPr>
          <w:p w14:paraId="2ABCEDD0">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6287" w:type="dxa"/>
            <w:vAlign w:val="center"/>
          </w:tcPr>
          <w:p w14:paraId="2599FCCF">
            <w:pPr>
              <w:spacing w:line="360" w:lineRule="auto"/>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（1）本项目的磋商文件、工程量清单、澄清、修改、补充等相关资料均通过电子服务系统发布，请供应商自行从网上下载，供应商应当及时查看有无相关澄清、修改、补充等内容。</w:t>
            </w:r>
          </w:p>
          <w:p w14:paraId="2FE8D1B7">
            <w:pPr>
              <w:spacing w:line="360" w:lineRule="auto"/>
              <w:rPr>
                <w:rFonts w:hint="default" w:cs="@仿宋_GB2312" w:asciiTheme="minorEastAsia" w:hAnsiTheme="minorEastAsia" w:eastAsiaTheme="minorEastAsia"/>
                <w:color w:val="auto"/>
                <w:kern w:val="2"/>
                <w:sz w:val="24"/>
                <w:szCs w:val="22"/>
                <w:highlight w:val="none"/>
                <w:lang w:val="en-US"/>
              </w:rPr>
            </w:pPr>
            <w:r>
              <w:rPr>
                <w:rFonts w:hint="eastAsia" w:eastAsia="宋体" w:cs="Times New Roman"/>
                <w:b/>
                <w:bCs/>
                <w:color w:val="auto"/>
                <w:kern w:val="2"/>
                <w:sz w:val="24"/>
                <w:szCs w:val="24"/>
                <w:highlight w:val="none"/>
              </w:rPr>
              <w:t>（</w:t>
            </w:r>
            <w:r>
              <w:rPr>
                <w:rFonts w:hint="eastAsia" w:cs="Times New Roman"/>
                <w:b/>
                <w:bCs/>
                <w:color w:val="auto"/>
                <w:kern w:val="2"/>
                <w:sz w:val="24"/>
                <w:szCs w:val="24"/>
                <w:highlight w:val="none"/>
                <w:lang w:val="en-US" w:eastAsia="zh-CN"/>
              </w:rPr>
              <w:t>2</w:t>
            </w:r>
            <w:r>
              <w:rPr>
                <w:rFonts w:hint="eastAsia" w:eastAsia="宋体" w:cs="Times New Roman"/>
                <w:b/>
                <w:bCs/>
                <w:color w:val="auto"/>
                <w:kern w:val="2"/>
                <w:sz w:val="24"/>
                <w:szCs w:val="24"/>
                <w:highlight w:val="none"/>
              </w:rPr>
              <w:t>）</w:t>
            </w:r>
            <w:r>
              <w:rPr>
                <w:rFonts w:hint="eastAsia" w:ascii="宋体" w:hAnsi="宋体" w:eastAsia="宋体" w:cs="@仿宋_GB2312"/>
                <w:b/>
                <w:bCs/>
                <w:color w:val="auto"/>
                <w:kern w:val="2"/>
                <w:sz w:val="24"/>
                <w:szCs w:val="24"/>
                <w:highlight w:val="none"/>
              </w:rPr>
              <w:t>供应商在工程实施过程中用工行为，必须严格执行国家及地方政府的有关规定，依法签订劳动合同，并按规定及时足额支付工资</w:t>
            </w: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rPr>
              <w:t>合同履约期间，作业人员突发疾病、意外等造成的人员伤亡及财产损失均由</w:t>
            </w:r>
            <w:r>
              <w:rPr>
                <w:rFonts w:hint="eastAsia" w:cs="@仿宋_GB2312"/>
                <w:b/>
                <w:bCs/>
                <w:color w:val="auto"/>
                <w:kern w:val="2"/>
                <w:sz w:val="24"/>
                <w:szCs w:val="24"/>
                <w:highlight w:val="none"/>
                <w:lang w:val="en-US" w:eastAsia="zh-CN"/>
              </w:rPr>
              <w:t>供应商</w:t>
            </w:r>
            <w:r>
              <w:rPr>
                <w:rFonts w:hint="eastAsia" w:ascii="宋体" w:hAnsi="宋体" w:eastAsia="宋体" w:cs="@仿宋_GB2312"/>
                <w:b/>
                <w:bCs/>
                <w:color w:val="auto"/>
                <w:kern w:val="2"/>
                <w:sz w:val="24"/>
                <w:szCs w:val="24"/>
                <w:highlight w:val="none"/>
              </w:rPr>
              <w:t>负责</w:t>
            </w:r>
            <w:r>
              <w:rPr>
                <w:rFonts w:hint="eastAsia" w:cs="@仿宋_GB2312"/>
                <w:b/>
                <w:bCs/>
                <w:color w:val="auto"/>
                <w:kern w:val="2"/>
                <w:sz w:val="24"/>
                <w:szCs w:val="24"/>
                <w:highlight w:val="none"/>
                <w:lang w:eastAsia="zh-CN"/>
              </w:rPr>
              <w:t>。</w:t>
            </w:r>
          </w:p>
        </w:tc>
      </w:tr>
      <w:tr w14:paraId="0027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2C299020">
            <w:pPr>
              <w:pageBreakBefore w:val="0"/>
              <w:kinsoku/>
              <w:wordWrap/>
              <w:overflowPunct/>
              <w:topLinePunct w:val="0"/>
              <w:bidi w:val="0"/>
              <w:adjustRightInd/>
              <w:snapToGrid/>
              <w:spacing w:line="360" w:lineRule="auto"/>
              <w:ind w:left="0" w:leftChars="0" w:firstLine="0" w:firstLineChars="0"/>
              <w:jc w:val="center"/>
              <w:textAlignment w:val="auto"/>
              <w:outlineLvl w:val="9"/>
              <w:rPr>
                <w:rFonts w:hint="eastAsia" w:cs="@仿宋_GB2312" w:asciiTheme="minorEastAsia" w:hAnsiTheme="minorEastAsia" w:eastAsiaTheme="minorEastAsia"/>
                <w:color w:val="auto"/>
                <w:kern w:val="2"/>
                <w:sz w:val="24"/>
                <w:szCs w:val="22"/>
                <w:highlight w:val="none"/>
                <w:lang w:val="en-US" w:eastAsia="zh-CN"/>
              </w:rPr>
            </w:pPr>
            <w:r>
              <w:rPr>
                <w:rFonts w:hint="eastAsia" w:asciiTheme="minorEastAsia" w:hAnsiTheme="minorEastAsia" w:eastAsiaTheme="minorEastAsia" w:cstheme="minorEastAsia"/>
                <w:color w:val="auto"/>
                <w:kern w:val="2"/>
                <w:sz w:val="24"/>
                <w:szCs w:val="22"/>
                <w:highlight w:val="none"/>
                <w:lang w:val="en-US" w:eastAsia="zh-CN"/>
              </w:rPr>
              <w:t>6</w:t>
            </w:r>
          </w:p>
        </w:tc>
        <w:tc>
          <w:tcPr>
            <w:tcW w:w="1277" w:type="dxa"/>
            <w:vAlign w:val="center"/>
          </w:tcPr>
          <w:p w14:paraId="30255900">
            <w:pPr>
              <w:pStyle w:val="68"/>
              <w:pageBreakBefore w:val="0"/>
              <w:widowControl w:val="0"/>
              <w:kinsoku/>
              <w:wordWrap/>
              <w:overflowPunct/>
              <w:topLinePunct w:val="0"/>
              <w:bidi w:val="0"/>
              <w:adjustRightInd/>
              <w:snapToGrid/>
              <w:spacing w:before="0" w:beforeAutospacing="0" w:after="0" w:afterAutospacing="0" w:line="360" w:lineRule="auto"/>
              <w:ind w:left="0" w:leftChars="0" w:firstLine="0" w:firstLineChars="0"/>
              <w:jc w:val="both"/>
              <w:textAlignment w:val="auto"/>
              <w:outlineLvl w:val="9"/>
              <w:rPr>
                <w:rFonts w:hint="eastAsia" w:cs="@仿宋_GB2312" w:asciiTheme="minorEastAsia" w:hAnsiTheme="minorEastAsia" w:eastAsiaTheme="minorEastAsia"/>
                <w:color w:val="auto"/>
                <w:kern w:val="2"/>
                <w:sz w:val="24"/>
                <w:szCs w:val="22"/>
                <w:highlight w:val="none"/>
              </w:rPr>
            </w:pPr>
            <w:r>
              <w:rPr>
                <w:rFonts w:hint="eastAsia" w:asciiTheme="minorEastAsia" w:hAnsiTheme="minorEastAsia" w:eastAsiaTheme="minorEastAsia" w:cstheme="minorEastAsia"/>
                <w:b w:val="0"/>
                <w:color w:val="auto"/>
                <w:kern w:val="2"/>
                <w:sz w:val="24"/>
                <w:highlight w:val="none"/>
              </w:rPr>
              <w:t>本项目采购标的名称及所属行业</w:t>
            </w:r>
          </w:p>
        </w:tc>
        <w:tc>
          <w:tcPr>
            <w:tcW w:w="6287" w:type="dxa"/>
            <w:vAlign w:val="center"/>
          </w:tcPr>
          <w:p w14:paraId="077AA1F3">
            <w:pPr>
              <w:pageBreakBefore w:val="0"/>
              <w:kinsoku/>
              <w:wordWrap/>
              <w:overflowPunct/>
              <w:topLinePunct w:val="0"/>
              <w:bidi w:val="0"/>
              <w:adjustRightInd/>
              <w:snapToGrid/>
              <w:spacing w:line="360" w:lineRule="auto"/>
              <w:ind w:left="0" w:leftChars="0" w:firstLine="0" w:firstLineChars="0"/>
              <w:jc w:val="both"/>
              <w:textAlignment w:val="auto"/>
              <w:outlineLvl w:val="9"/>
              <w:rPr>
                <w:rFonts w:hint="default" w:asciiTheme="minorEastAsia" w:hAnsiTheme="minorEastAsia" w:eastAsiaTheme="minorEastAsia" w:cstheme="minorEastAsia"/>
                <w:color w:val="auto"/>
                <w:kern w:val="2"/>
                <w:sz w:val="24"/>
                <w:szCs w:val="22"/>
                <w:highlight w:val="none"/>
                <w:u w:val="single"/>
                <w:lang w:val="en-US" w:eastAsia="zh-CN"/>
              </w:rPr>
            </w:pPr>
            <w:r>
              <w:rPr>
                <w:rFonts w:hint="eastAsia" w:asciiTheme="minorEastAsia" w:hAnsiTheme="minorEastAsia" w:eastAsiaTheme="minorEastAsia" w:cstheme="minorEastAsia"/>
                <w:color w:val="auto"/>
                <w:kern w:val="2"/>
                <w:sz w:val="24"/>
                <w:szCs w:val="22"/>
                <w:highlight w:val="none"/>
              </w:rPr>
              <w:t>标的名称：</w:t>
            </w:r>
            <w:r>
              <w:rPr>
                <w:rFonts w:hint="eastAsia" w:asciiTheme="minorEastAsia" w:hAnsiTheme="minorEastAsia" w:eastAsiaTheme="minorEastAsia" w:cstheme="minorEastAsia"/>
                <w:color w:val="auto"/>
                <w:kern w:val="2"/>
                <w:sz w:val="24"/>
                <w:szCs w:val="22"/>
                <w:highlight w:val="none"/>
                <w:u w:val="single"/>
                <w:lang w:val="en-US" w:eastAsia="zh-CN"/>
              </w:rPr>
              <w:t>水闸自动化系统汛前维修项目第2包</w:t>
            </w:r>
          </w:p>
          <w:p w14:paraId="2DAC86E5">
            <w:pPr>
              <w:pageBreakBefore w:val="0"/>
              <w:kinsoku/>
              <w:wordWrap/>
              <w:overflowPunct/>
              <w:topLinePunct w:val="0"/>
              <w:bidi w:val="0"/>
              <w:adjustRightInd/>
              <w:snapToGrid/>
              <w:spacing w:line="360" w:lineRule="auto"/>
              <w:ind w:left="0" w:leftChars="0" w:firstLine="0" w:firstLineChars="0"/>
              <w:jc w:val="both"/>
              <w:textAlignment w:val="auto"/>
              <w:outlineLvl w:val="9"/>
              <w:rPr>
                <w:rFonts w:hint="eastAsia" w:ascii="宋体" w:hAnsi="宋体" w:eastAsia="宋体" w:cs="宋体"/>
                <w:color w:val="auto"/>
                <w:kern w:val="2"/>
                <w:sz w:val="24"/>
                <w:szCs w:val="24"/>
                <w:highlight w:val="none"/>
              </w:rPr>
            </w:pPr>
            <w:r>
              <w:rPr>
                <w:rFonts w:hint="eastAsia" w:asciiTheme="minorEastAsia" w:hAnsiTheme="minorEastAsia" w:eastAsiaTheme="minorEastAsia" w:cstheme="minorEastAsia"/>
                <w:color w:val="auto"/>
                <w:kern w:val="2"/>
                <w:sz w:val="24"/>
                <w:szCs w:val="22"/>
                <w:highlight w:val="none"/>
              </w:rPr>
              <w:t>所属行业：</w:t>
            </w:r>
            <w:r>
              <w:rPr>
                <w:rFonts w:hint="eastAsia" w:asciiTheme="minorEastAsia" w:hAnsiTheme="minorEastAsia" w:eastAsiaTheme="minorEastAsia" w:cstheme="minorEastAsia"/>
                <w:color w:val="auto"/>
                <w:kern w:val="2"/>
                <w:sz w:val="24"/>
                <w:szCs w:val="22"/>
                <w:highlight w:val="none"/>
                <w:u w:val="single"/>
                <w:lang w:val="en-US" w:eastAsia="zh-CN"/>
              </w:rPr>
              <w:t>建筑业</w:t>
            </w:r>
          </w:p>
        </w:tc>
      </w:tr>
      <w:tr w14:paraId="5522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042EC41F">
            <w:pPr>
              <w:spacing w:line="360" w:lineRule="auto"/>
              <w:jc w:val="center"/>
              <w:rPr>
                <w:rFonts w:hint="eastAsia" w:asciiTheme="minorEastAsia" w:hAnsiTheme="minorEastAsia" w:eastAsiaTheme="minorEastAsia" w:cstheme="minorEastAsia"/>
                <w:color w:val="auto"/>
                <w:kern w:val="2"/>
                <w:sz w:val="24"/>
                <w:szCs w:val="22"/>
                <w:highlight w:val="none"/>
                <w:lang w:val="en-US" w:eastAsia="zh-CN"/>
              </w:rPr>
            </w:pPr>
            <w:r>
              <w:rPr>
                <w:rFonts w:hint="eastAsia" w:ascii="宋体" w:hAnsi="宋体" w:eastAsia="宋体" w:cs="@仿宋_GB2312"/>
                <w:color w:val="auto"/>
                <w:kern w:val="2"/>
                <w:sz w:val="24"/>
                <w:szCs w:val="24"/>
                <w:highlight w:val="none"/>
                <w:lang w:val="en-US" w:eastAsia="zh-CN"/>
              </w:rPr>
              <w:t>7</w:t>
            </w:r>
          </w:p>
        </w:tc>
        <w:tc>
          <w:tcPr>
            <w:tcW w:w="1277" w:type="dxa"/>
            <w:vAlign w:val="center"/>
          </w:tcPr>
          <w:p w14:paraId="61A44C43">
            <w:pPr>
              <w:keepNext w:val="0"/>
              <w:keepLines w:val="0"/>
              <w:widowControl/>
              <w:suppressLineNumbers w:val="0"/>
              <w:jc w:val="left"/>
              <w:rPr>
                <w:i w:val="0"/>
                <w:iCs w:val="0"/>
                <w:color w:val="auto"/>
                <w:kern w:val="2"/>
                <w:sz w:val="24"/>
                <w:szCs w:val="24"/>
                <w:highlight w:val="none"/>
              </w:rPr>
            </w:pPr>
            <w:r>
              <w:rPr>
                <w:rFonts w:hint="eastAsia" w:ascii="宋体" w:hAnsi="宋体" w:eastAsia="宋体" w:cs="宋体"/>
                <w:color w:val="auto"/>
                <w:kern w:val="0"/>
                <w:sz w:val="24"/>
                <w:szCs w:val="24"/>
                <w:highlight w:val="none"/>
                <w:lang w:val="en-US" w:eastAsia="zh-CN"/>
              </w:rPr>
              <w:t>社保证明材料</w:t>
            </w:r>
            <w:r>
              <w:rPr>
                <w:rFonts w:hint="eastAsia" w:ascii="宋体" w:hAnsi="宋体" w:eastAsia="宋体" w:cs="宋体"/>
                <w:i w:val="0"/>
                <w:iCs w:val="0"/>
                <w:color w:val="auto"/>
                <w:kern w:val="0"/>
                <w:sz w:val="24"/>
                <w:szCs w:val="24"/>
                <w:highlight w:val="none"/>
                <w:lang w:val="en-US" w:eastAsia="zh-CN"/>
              </w:rPr>
              <w:t>（如有）</w:t>
            </w:r>
          </w:p>
          <w:p w14:paraId="4F4BCA73">
            <w:pPr>
              <w:pStyle w:val="68"/>
              <w:widowControl w:val="0"/>
              <w:spacing w:before="0" w:beforeAutospacing="0" w:after="0" w:afterAutospacing="0" w:line="360" w:lineRule="auto"/>
              <w:rPr>
                <w:rFonts w:hint="eastAsia" w:asciiTheme="minorEastAsia" w:hAnsiTheme="minorEastAsia" w:eastAsiaTheme="minorEastAsia" w:cstheme="minorEastAsia"/>
                <w:b w:val="0"/>
                <w:color w:val="auto"/>
                <w:kern w:val="2"/>
                <w:sz w:val="24"/>
                <w:highlight w:val="none"/>
              </w:rPr>
            </w:pPr>
          </w:p>
        </w:tc>
        <w:tc>
          <w:tcPr>
            <w:tcW w:w="6287" w:type="dxa"/>
            <w:vAlign w:val="center"/>
          </w:tcPr>
          <w:p w14:paraId="2BC929CD">
            <w:pPr>
              <w:spacing w:line="360" w:lineRule="auto"/>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 xml:space="preserve">本项目采购文件中要求提供的社保证明材料为下述形式之 </w:t>
            </w:r>
          </w:p>
          <w:p w14:paraId="3B8D946F">
            <w:pPr>
              <w:spacing w:line="360" w:lineRule="auto"/>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一：</w:t>
            </w:r>
          </w:p>
          <w:p w14:paraId="0E045040">
            <w:pPr>
              <w:spacing w:line="360" w:lineRule="auto"/>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（1）社保局官方网站查询的缴费记录截图；</w:t>
            </w:r>
          </w:p>
          <w:p w14:paraId="4EAAD3C1">
            <w:pPr>
              <w:spacing w:line="360" w:lineRule="auto"/>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（2）社保局的书面证明材料；</w:t>
            </w:r>
          </w:p>
          <w:p w14:paraId="44E5D960">
            <w:pPr>
              <w:spacing w:line="360" w:lineRule="auto"/>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 xml:space="preserve">（3）经供应商委托的第三方人力资源服务机构或与供应商 </w:t>
            </w:r>
          </w:p>
          <w:p w14:paraId="4E60760F">
            <w:pPr>
              <w:spacing w:line="360" w:lineRule="auto"/>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 xml:space="preserve">有直接隶属关系的机构可以代缴社保，但须提供有关证明 </w:t>
            </w:r>
          </w:p>
          <w:p w14:paraId="207EDFA7">
            <w:pPr>
              <w:spacing w:line="360" w:lineRule="auto"/>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材料并经磋商小组确认。</w:t>
            </w:r>
          </w:p>
          <w:p w14:paraId="7528BB09">
            <w:pPr>
              <w:spacing w:line="360" w:lineRule="auto"/>
              <w:rPr>
                <w:rFonts w:hint="eastAsia" w:asciiTheme="minorEastAsia" w:hAnsiTheme="minorEastAsia" w:eastAsiaTheme="minorEastAsia" w:cstheme="minorEastAsia"/>
                <w:color w:val="auto"/>
                <w:kern w:val="2"/>
                <w:sz w:val="24"/>
                <w:szCs w:val="22"/>
                <w:highlight w:val="none"/>
              </w:rPr>
            </w:pPr>
            <w:r>
              <w:rPr>
                <w:rFonts w:hint="eastAsia" w:ascii="宋体" w:hAnsi="宋体" w:eastAsia="宋体" w:cs="@仿宋_GB2312"/>
                <w:color w:val="auto"/>
                <w:kern w:val="2"/>
                <w:sz w:val="24"/>
                <w:szCs w:val="24"/>
                <w:highlight w:val="none"/>
                <w:lang w:val="en-US" w:eastAsia="zh-CN"/>
              </w:rPr>
              <w:t>（4）参与投标的院校，社保证明可以用以下任意一种：</w:t>
            </w:r>
            <w:r>
              <w:rPr>
                <w:rFonts w:hint="eastAsia" w:ascii="宋体" w:hAnsi="宋体" w:eastAsia="宋体" w:cs="@仿宋_GB2312"/>
                <w:color w:val="auto"/>
                <w:kern w:val="2"/>
                <w:sz w:val="24"/>
                <w:szCs w:val="24"/>
                <w:highlight w:val="none"/>
                <w:lang w:val="en-US" w:eastAsia="zh-CN"/>
              </w:rPr>
              <w:br w:type="textWrapping"/>
            </w:r>
            <w:r>
              <w:rPr>
                <w:rFonts w:hint="eastAsia" w:ascii="宋体" w:hAnsi="宋体" w:eastAsia="宋体" w:cs="@仿宋_GB2312"/>
                <w:color w:val="auto"/>
                <w:kern w:val="2"/>
                <w:sz w:val="24"/>
                <w:szCs w:val="24"/>
                <w:highlight w:val="none"/>
                <w:lang w:val="en-US" w:eastAsia="zh-CN"/>
              </w:rPr>
              <w:t>①加盖供应商公章的教师证（须为本单位人员）；</w:t>
            </w:r>
            <w:r>
              <w:rPr>
                <w:rFonts w:hint="eastAsia" w:ascii="宋体" w:hAnsi="宋体" w:eastAsia="宋体" w:cs="@仿宋_GB2312"/>
                <w:color w:val="auto"/>
                <w:kern w:val="2"/>
                <w:sz w:val="24"/>
                <w:szCs w:val="24"/>
                <w:highlight w:val="none"/>
                <w:lang w:val="en-US" w:eastAsia="zh-CN"/>
              </w:rPr>
              <w:br w:type="textWrapping"/>
            </w:r>
            <w:r>
              <w:rPr>
                <w:rFonts w:hint="eastAsia" w:ascii="宋体" w:hAnsi="宋体" w:eastAsia="宋体" w:cs="@仿宋_GB2312"/>
                <w:color w:val="auto"/>
                <w:kern w:val="2"/>
                <w:sz w:val="24"/>
                <w:szCs w:val="24"/>
                <w:highlight w:val="none"/>
                <w:lang w:val="en-US" w:eastAsia="zh-CN"/>
              </w:rPr>
              <w:t>②医保证明材料。</w:t>
            </w:r>
            <w:r>
              <w:rPr>
                <w:rFonts w:hint="eastAsia" w:ascii="宋体" w:hAnsi="宋体" w:eastAsia="宋体" w:cs="@仿宋_GB2312"/>
                <w:color w:val="auto"/>
                <w:kern w:val="2"/>
                <w:sz w:val="24"/>
                <w:szCs w:val="24"/>
                <w:highlight w:val="none"/>
                <w:lang w:val="en-US" w:eastAsia="zh-CN"/>
              </w:rPr>
              <w:br w:type="textWrapping"/>
            </w:r>
            <w:r>
              <w:rPr>
                <w:rFonts w:hint="eastAsia" w:ascii="宋体" w:hAnsi="宋体" w:eastAsia="宋体" w:cs="@仿宋_GB2312"/>
                <w:color w:val="auto"/>
                <w:kern w:val="2"/>
                <w:sz w:val="24"/>
                <w:szCs w:val="24"/>
                <w:highlight w:val="none"/>
                <w:lang w:val="en-US" w:eastAsia="zh-CN"/>
              </w:rPr>
              <w:t>（5）其他经磋商小组认可的证明材料。</w:t>
            </w:r>
            <w:r>
              <w:rPr>
                <w:rFonts w:hint="eastAsia" w:ascii="宋体" w:hAnsi="宋体" w:eastAsia="宋体" w:cs="@仿宋_GB2312"/>
                <w:color w:val="auto"/>
                <w:kern w:val="2"/>
                <w:sz w:val="24"/>
                <w:szCs w:val="24"/>
                <w:highlight w:val="none"/>
                <w:lang w:val="en-US" w:eastAsia="zh-CN"/>
              </w:rPr>
              <w:br w:type="textWrapping"/>
            </w:r>
            <w:r>
              <w:rPr>
                <w:rFonts w:hint="eastAsia" w:ascii="宋体" w:hAnsi="宋体" w:eastAsia="宋体" w:cs="@仿宋_GB2312"/>
                <w:color w:val="auto"/>
                <w:kern w:val="2"/>
                <w:sz w:val="24"/>
                <w:szCs w:val="24"/>
                <w:highlight w:val="none"/>
                <w:lang w:val="en-US" w:eastAsia="zh-CN"/>
              </w:rPr>
              <w:t>（6）法定代表人参与项目的，无需提供社保证明材料，提 </w:t>
            </w:r>
            <w:r>
              <w:rPr>
                <w:rFonts w:hint="eastAsia" w:ascii="宋体" w:hAnsi="宋体" w:eastAsia="宋体" w:cs="@仿宋_GB2312"/>
                <w:color w:val="auto"/>
                <w:kern w:val="2"/>
                <w:sz w:val="24"/>
                <w:szCs w:val="24"/>
                <w:highlight w:val="none"/>
                <w:lang w:val="en-US" w:eastAsia="zh-CN"/>
              </w:rPr>
              <w:br w:type="textWrapping"/>
            </w:r>
            <w:r>
              <w:rPr>
                <w:rFonts w:hint="eastAsia" w:ascii="宋体" w:hAnsi="宋体" w:eastAsia="宋体" w:cs="@仿宋_GB2312"/>
                <w:color w:val="auto"/>
                <w:kern w:val="2"/>
                <w:sz w:val="24"/>
                <w:szCs w:val="24"/>
                <w:highlight w:val="none"/>
                <w:lang w:val="en-US" w:eastAsia="zh-CN"/>
              </w:rPr>
              <w:t>供身份证明材料即可。</w:t>
            </w:r>
          </w:p>
        </w:tc>
      </w:tr>
    </w:tbl>
    <w:p w14:paraId="2175BE63">
      <w:pPr>
        <w:pStyle w:val="3"/>
        <w:numPr>
          <w:ilvl w:val="1"/>
          <w:numId w:val="0"/>
        </w:numPr>
        <w:bidi w:val="0"/>
        <w:ind w:lef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项目背景</w:t>
      </w:r>
    </w:p>
    <w:p w14:paraId="57F099A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zh-CN"/>
        </w:rPr>
      </w:pPr>
      <w:r>
        <w:rPr>
          <w:rFonts w:hint="default" w:ascii="宋体" w:hAnsi="宋体" w:eastAsia="宋体" w:cs="@仿宋_GB2312"/>
          <w:color w:val="auto"/>
          <w:kern w:val="2"/>
          <w:sz w:val="24"/>
          <w:szCs w:val="22"/>
          <w:highlight w:val="none"/>
          <w:lang w:val="en-US" w:eastAsia="zh-CN"/>
        </w:rPr>
        <w:t>安徽省淮河河道管理局(以下简称“省淮河局”)成立于1961年11月(原安徽省淮河修防局1991年更名)，为安徽省水利厅派出机构，正处级建制。下辖19个直属事业单位，包括颍东、颍上凤台、潘集、蒙城、怀远、五河、明光等8个局直河道管理单位，王家坝闸、曹台闸、东湖闸、东淝闸、阜阳闸、颍上闸、蒙城闸、窑河闸、</w:t>
      </w:r>
      <w:r>
        <w:rPr>
          <w:rFonts w:hint="eastAsia" w:ascii="宋体" w:hAnsi="宋体" w:eastAsia="宋体" w:cs="@仿宋_GB2312"/>
          <w:color w:val="auto"/>
          <w:kern w:val="2"/>
          <w:sz w:val="24"/>
          <w:szCs w:val="22"/>
          <w:highlight w:val="none"/>
          <w:lang w:val="en-US" w:eastAsia="zh-CN"/>
        </w:rPr>
        <w:t>安徽省淮河河道管理局</w:t>
      </w:r>
      <w:r>
        <w:rPr>
          <w:rFonts w:hint="default" w:ascii="宋体" w:hAnsi="宋体" w:eastAsia="宋体" w:cs="@仿宋_GB2312"/>
          <w:color w:val="auto"/>
          <w:kern w:val="2"/>
          <w:sz w:val="24"/>
          <w:szCs w:val="22"/>
          <w:highlight w:val="none"/>
          <w:lang w:val="en-US" w:eastAsia="zh-CN"/>
        </w:rPr>
        <w:t>等9个局直水闸管理单位以及测绘院和防汛机动抢险大队。目前，省淮河局共承担着沿淮6市(阜阳、亳州、六安、淮南、蚌埠和滁州)14个县(区)700余公里河道(其中淮河干流河道418km)、708km堤防(其中一级堤防592公里)，89座水闸(其中8座大型水闸、10座中型水闸和71小型水闸)的管理任务</w:t>
      </w:r>
      <w:r>
        <w:rPr>
          <w:rFonts w:hint="eastAsia" w:ascii="宋体" w:hAnsi="宋体" w:eastAsia="宋体" w:cs="@仿宋_GB2312"/>
          <w:color w:val="auto"/>
          <w:kern w:val="2"/>
          <w:sz w:val="24"/>
          <w:szCs w:val="22"/>
          <w:highlight w:val="none"/>
          <w:lang w:val="en-US" w:eastAsia="zh-CN"/>
        </w:rPr>
        <w:t>。</w:t>
      </w:r>
    </w:p>
    <w:p w14:paraId="02FDD99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zh-CN"/>
        </w:rPr>
      </w:pPr>
      <w:r>
        <w:rPr>
          <w:rFonts w:hint="default" w:ascii="宋体" w:hAnsi="宋体" w:eastAsia="宋体" w:cs="@仿宋_GB2312"/>
          <w:color w:val="auto"/>
          <w:kern w:val="2"/>
          <w:sz w:val="24"/>
          <w:szCs w:val="22"/>
          <w:highlight w:val="none"/>
          <w:lang w:val="en-US" w:eastAsia="zh-CN"/>
        </w:rPr>
        <w:t>2020年8月开始，省淮河局实施安徽省淮河河道管理系统固定视频及水闸自动化项目。项目共建设了50台硬盘录像机和 417路固定视频监视点;完成了局直68座水闸(其中12座大中型水闸、56座小型涵闸)自动化改造，</w:t>
      </w:r>
      <w:r>
        <w:rPr>
          <w:rFonts w:hint="eastAsia" w:ascii="宋体" w:hAnsi="宋体" w:eastAsia="宋体" w:cs="@仿宋_GB2312"/>
          <w:color w:val="auto"/>
          <w:kern w:val="2"/>
          <w:sz w:val="24"/>
          <w:szCs w:val="22"/>
          <w:highlight w:val="none"/>
          <w:lang w:val="en-US" w:eastAsia="zh-CN"/>
        </w:rPr>
        <w:t>安徽省淮河河道管理局</w:t>
      </w:r>
      <w:r>
        <w:rPr>
          <w:rFonts w:hint="default" w:ascii="宋体" w:hAnsi="宋体" w:eastAsia="宋体" w:cs="@仿宋_GB2312"/>
          <w:color w:val="auto"/>
          <w:kern w:val="2"/>
          <w:sz w:val="24"/>
          <w:szCs w:val="22"/>
          <w:highlight w:val="none"/>
          <w:lang w:val="en-US" w:eastAsia="zh-CN"/>
        </w:rPr>
        <w:t>、颍上闸等8座已建自动化水闸接入;完成了现场设备层的 76座水闸现地控制系统、采集控制层的30个计算机监控系统和展示与管理层的8个工情监测系统建设:项目于 2021年9月完工，实现了水闸水情、工情及安全监测等信息的自动采集，实现了大型水闸桥头堡控制、小型涵闸集约化管理，极大提升了水早灾害防御能力。</w:t>
      </w:r>
    </w:p>
    <w:p w14:paraId="345BD3EA">
      <w:pPr>
        <w:pStyle w:val="3"/>
        <w:numPr>
          <w:ilvl w:val="1"/>
          <w:numId w:val="0"/>
        </w:numPr>
        <w:bidi w:val="0"/>
        <w:ind w:leftChars="0"/>
        <w:rPr>
          <w:rFonts w:hint="eastAsia" w:ascii="宋体" w:hAnsi="宋体" w:eastAsia="宋体" w:cs="宋体"/>
          <w:lang w:val="en-US" w:eastAsia="zh-CN"/>
        </w:rPr>
      </w:pPr>
      <w:r>
        <w:rPr>
          <w:rFonts w:hint="eastAsia" w:ascii="宋体" w:hAnsi="宋体" w:eastAsia="宋体" w:cs="宋体"/>
          <w:lang w:val="en-US" w:eastAsia="zh-CN"/>
        </w:rPr>
        <w:t>1.项目技术标准</w:t>
      </w:r>
    </w:p>
    <w:p w14:paraId="05CD874E">
      <w:pPr>
        <w:bidi w:val="0"/>
        <w:spacing w:line="360" w:lineRule="auto"/>
        <w:outlineLvl w:val="2"/>
        <w:rPr>
          <w:rFonts w:hint="eastAsia" w:ascii="宋体" w:hAnsi="宋体" w:eastAsia="宋体" w:cs="@仿宋_GB2312"/>
          <w:b/>
          <w:bCs/>
          <w:color w:val="auto"/>
          <w:kern w:val="2"/>
          <w:sz w:val="24"/>
          <w:szCs w:val="22"/>
          <w:highlight w:val="none"/>
          <w:lang w:val="en-US" w:eastAsia="zh-CN"/>
        </w:rPr>
      </w:pPr>
      <w:bookmarkStart w:id="37" w:name="_Toc45806460"/>
      <w:bookmarkStart w:id="38" w:name="_Toc45885412"/>
      <w:bookmarkStart w:id="39" w:name="_Toc45885114"/>
      <w:bookmarkStart w:id="40" w:name="_Toc45884985"/>
      <w:r>
        <w:rPr>
          <w:rFonts w:hint="eastAsia" w:cs="@仿宋_GB2312"/>
          <w:b/>
          <w:bCs/>
          <w:color w:val="auto"/>
          <w:kern w:val="2"/>
          <w:sz w:val="24"/>
          <w:szCs w:val="22"/>
          <w:highlight w:val="none"/>
          <w:lang w:val="en-US" w:eastAsia="zh-CN"/>
        </w:rPr>
        <w:t>1.1</w:t>
      </w:r>
      <w:r>
        <w:rPr>
          <w:rFonts w:hint="eastAsia" w:ascii="宋体" w:hAnsi="宋体" w:eastAsia="宋体" w:cs="@仿宋_GB2312"/>
          <w:b/>
          <w:bCs/>
          <w:color w:val="auto"/>
          <w:kern w:val="2"/>
          <w:sz w:val="24"/>
          <w:szCs w:val="22"/>
          <w:highlight w:val="none"/>
          <w:lang w:val="en-US" w:eastAsia="zh-CN"/>
        </w:rPr>
        <w:t>参照规范</w:t>
      </w:r>
      <w:bookmarkEnd w:id="37"/>
      <w:bookmarkEnd w:id="38"/>
      <w:bookmarkEnd w:id="39"/>
      <w:bookmarkEnd w:id="40"/>
    </w:p>
    <w:p w14:paraId="5E1E11D0">
      <w:pPr>
        <w:bidi w:val="0"/>
        <w:spacing w:line="360" w:lineRule="auto"/>
        <w:ind w:firstLine="480" w:firstLineChars="200"/>
        <w:rPr>
          <w:rFonts w:hint="eastAsia" w:ascii="宋体" w:hAnsi="宋体" w:eastAsia="宋体" w:cs="@仿宋_GB2312"/>
          <w:b/>
          <w:bCs/>
          <w:color w:val="auto"/>
          <w:kern w:val="2"/>
          <w:sz w:val="24"/>
          <w:szCs w:val="22"/>
          <w:highlight w:val="none"/>
          <w:lang w:val="en-US" w:eastAsia="zh-CN"/>
        </w:rPr>
      </w:pPr>
      <w:r>
        <w:rPr>
          <w:rFonts w:hint="eastAsia" w:cs="宋体"/>
          <w:color w:val="auto"/>
          <w:sz w:val="24"/>
          <w:szCs w:val="24"/>
          <w:highlight w:val="none"/>
          <w:lang w:val="en-US" w:eastAsia="zh-CN"/>
        </w:rPr>
        <w:t>本项目</w:t>
      </w:r>
      <w:r>
        <w:rPr>
          <w:rFonts w:hint="eastAsia" w:ascii="宋体" w:hAnsi="宋体" w:eastAsia="宋体" w:cs="宋体"/>
          <w:color w:val="auto"/>
          <w:sz w:val="24"/>
          <w:szCs w:val="24"/>
          <w:highlight w:val="none"/>
          <w:lang w:val="en-US" w:eastAsia="zh-CN"/>
        </w:rPr>
        <w:t>施工</w:t>
      </w:r>
      <w:r>
        <w:rPr>
          <w:rFonts w:hint="eastAsia" w:cs="宋体"/>
          <w:color w:val="auto"/>
          <w:sz w:val="24"/>
          <w:szCs w:val="24"/>
          <w:highlight w:val="none"/>
          <w:lang w:val="en-US" w:eastAsia="zh-CN"/>
        </w:rPr>
        <w:t>技术</w:t>
      </w:r>
      <w:r>
        <w:rPr>
          <w:rFonts w:hint="eastAsia" w:ascii="宋体" w:hAnsi="宋体" w:eastAsia="宋体" w:cs="宋体"/>
          <w:color w:val="auto"/>
          <w:sz w:val="24"/>
          <w:szCs w:val="24"/>
          <w:highlight w:val="none"/>
          <w:lang w:val="en-US" w:eastAsia="zh-CN"/>
        </w:rPr>
        <w:t>标准需满足</w:t>
      </w:r>
      <w:r>
        <w:rPr>
          <w:rFonts w:hint="eastAsia" w:cs="宋体"/>
          <w:color w:val="auto"/>
          <w:sz w:val="24"/>
          <w:szCs w:val="24"/>
          <w:highlight w:val="none"/>
          <w:lang w:val="en-US" w:eastAsia="zh-CN"/>
        </w:rPr>
        <w:t>国家现行的</w:t>
      </w:r>
      <w:r>
        <w:rPr>
          <w:rFonts w:hint="eastAsia" w:ascii="宋体" w:hAnsi="宋体" w:eastAsia="宋体" w:cs="宋体"/>
          <w:color w:val="auto"/>
          <w:sz w:val="24"/>
          <w:szCs w:val="24"/>
          <w:highlight w:val="none"/>
          <w:lang w:val="en-US" w:eastAsia="zh-CN"/>
        </w:rPr>
        <w:t>标准及规范</w:t>
      </w:r>
      <w:r>
        <w:rPr>
          <w:rFonts w:hint="eastAsia" w:cs="宋体"/>
          <w:color w:val="auto"/>
          <w:sz w:val="24"/>
          <w:szCs w:val="24"/>
          <w:highlight w:val="none"/>
          <w:lang w:val="en-US" w:eastAsia="zh-CN"/>
        </w:rPr>
        <w:t>。</w:t>
      </w:r>
    </w:p>
    <w:p w14:paraId="494BA591">
      <w:pPr>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宋体" w:hAnsi="宋体" w:eastAsia="宋体" w:cs="@仿宋_GB2312"/>
          <w:b/>
          <w:bCs/>
          <w:color w:val="auto"/>
          <w:kern w:val="2"/>
          <w:sz w:val="24"/>
          <w:szCs w:val="22"/>
          <w:highlight w:val="none"/>
          <w:lang w:val="en-US" w:eastAsia="en-US"/>
        </w:rPr>
      </w:pPr>
      <w:r>
        <w:rPr>
          <w:rFonts w:hint="eastAsia" w:cs="@仿宋_GB2312"/>
          <w:b/>
          <w:bCs/>
          <w:color w:val="auto"/>
          <w:kern w:val="2"/>
          <w:sz w:val="24"/>
          <w:szCs w:val="22"/>
          <w:highlight w:val="none"/>
          <w:lang w:val="en-US" w:eastAsia="zh-CN"/>
        </w:rPr>
        <w:t>1.2</w:t>
      </w:r>
      <w:r>
        <w:rPr>
          <w:rFonts w:hint="eastAsia" w:ascii="宋体" w:hAnsi="宋体" w:eastAsia="宋体" w:cs="@仿宋_GB2312"/>
          <w:b/>
          <w:bCs/>
          <w:color w:val="auto"/>
          <w:kern w:val="2"/>
          <w:sz w:val="24"/>
          <w:szCs w:val="22"/>
          <w:highlight w:val="none"/>
          <w:lang w:val="en-US" w:eastAsia="en-US"/>
        </w:rPr>
        <w:t>配电箱及机柜技术标准与要求</w:t>
      </w:r>
    </w:p>
    <w:p w14:paraId="39DC97B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eastAsia" w:cs="@仿宋_GB2312"/>
          <w:color w:val="auto"/>
          <w:kern w:val="2"/>
          <w:sz w:val="24"/>
          <w:szCs w:val="22"/>
          <w:highlight w:val="none"/>
          <w:lang w:val="en-US" w:eastAsia="zh-CN"/>
        </w:rPr>
        <w:t>1.2</w:t>
      </w:r>
      <w:r>
        <w:rPr>
          <w:rFonts w:hint="default" w:ascii="宋体" w:hAnsi="宋体" w:eastAsia="宋体" w:cs="@仿宋_GB2312"/>
          <w:color w:val="auto"/>
          <w:kern w:val="2"/>
          <w:sz w:val="24"/>
          <w:szCs w:val="22"/>
          <w:highlight w:val="none"/>
          <w:lang w:val="en-US" w:eastAsia="en-US"/>
        </w:rPr>
        <w:t>.1配电箱柜内元器件要求</w:t>
      </w:r>
    </w:p>
    <w:p w14:paraId="47590A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eastAsia" w:ascii="宋体" w:hAnsi="宋体" w:eastAsia="宋体" w:cs="@仿宋_GB2312"/>
          <w:color w:val="auto"/>
          <w:kern w:val="2"/>
          <w:sz w:val="24"/>
          <w:szCs w:val="22"/>
          <w:highlight w:val="none"/>
          <w:lang w:val="en-US" w:eastAsia="zh-CN"/>
        </w:rPr>
        <w:t>（1）</w:t>
      </w:r>
      <w:r>
        <w:rPr>
          <w:rFonts w:hint="default" w:ascii="宋体" w:hAnsi="宋体" w:eastAsia="宋体" w:cs="@仿宋_GB2312"/>
          <w:color w:val="auto"/>
          <w:kern w:val="2"/>
          <w:sz w:val="24"/>
          <w:szCs w:val="22"/>
          <w:highlight w:val="none"/>
          <w:lang w:val="en-US" w:eastAsia="en-US"/>
        </w:rPr>
        <w:t>柜内所有元器件性能可靠，安全稳定，且能满足系统长期运行需求。</w:t>
      </w:r>
    </w:p>
    <w:p w14:paraId="5353384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eastAsia" w:ascii="宋体" w:hAnsi="宋体" w:eastAsia="宋体" w:cs="@仿宋_GB2312"/>
          <w:color w:val="auto"/>
          <w:kern w:val="2"/>
          <w:sz w:val="24"/>
          <w:szCs w:val="22"/>
          <w:highlight w:val="none"/>
          <w:lang w:val="en-US" w:eastAsia="zh-CN"/>
        </w:rPr>
        <w:t>（2）</w:t>
      </w:r>
      <w:r>
        <w:rPr>
          <w:rFonts w:hint="default" w:ascii="宋体" w:hAnsi="宋体" w:eastAsia="宋体" w:cs="@仿宋_GB2312"/>
          <w:color w:val="auto"/>
          <w:kern w:val="2"/>
          <w:sz w:val="24"/>
          <w:szCs w:val="22"/>
          <w:highlight w:val="none"/>
          <w:lang w:val="en-US" w:eastAsia="en-US"/>
        </w:rPr>
        <w:t>所有选用的元器件均符合国家相应的标准和规范要求。</w:t>
      </w:r>
    </w:p>
    <w:p w14:paraId="2538780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eastAsia" w:ascii="宋体" w:hAnsi="宋体" w:eastAsia="宋体" w:cs="@仿宋_GB2312"/>
          <w:color w:val="auto"/>
          <w:kern w:val="2"/>
          <w:sz w:val="24"/>
          <w:szCs w:val="22"/>
          <w:highlight w:val="none"/>
          <w:lang w:val="en-US" w:eastAsia="zh-CN"/>
        </w:rPr>
        <w:t>（3）</w:t>
      </w:r>
      <w:r>
        <w:rPr>
          <w:rFonts w:hint="default" w:ascii="宋体" w:hAnsi="宋体" w:eastAsia="宋体" w:cs="@仿宋_GB2312"/>
          <w:color w:val="auto"/>
          <w:kern w:val="2"/>
          <w:sz w:val="24"/>
          <w:szCs w:val="22"/>
          <w:highlight w:val="none"/>
          <w:lang w:val="en-US" w:eastAsia="en-US"/>
        </w:rPr>
        <w:t>按钮电气接点额定值</w:t>
      </w:r>
    </w:p>
    <w:p w14:paraId="1CB9444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default" w:ascii="宋体" w:hAnsi="宋体" w:eastAsia="宋体" w:cs="@仿宋_GB2312"/>
          <w:color w:val="auto"/>
          <w:kern w:val="2"/>
          <w:sz w:val="24"/>
          <w:szCs w:val="22"/>
          <w:highlight w:val="none"/>
          <w:lang w:val="en-US" w:eastAsia="en-US"/>
        </w:rPr>
        <w:t>最高设计电压：交流500V 或直流250V</w:t>
      </w:r>
    </w:p>
    <w:p w14:paraId="3D8AEDE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default" w:ascii="宋体" w:hAnsi="宋体" w:eastAsia="宋体" w:cs="@仿宋_GB2312"/>
          <w:color w:val="auto"/>
          <w:kern w:val="2"/>
          <w:sz w:val="24"/>
          <w:szCs w:val="22"/>
          <w:highlight w:val="none"/>
          <w:lang w:val="en-US" w:eastAsia="en-US"/>
        </w:rPr>
        <w:t>最大持续电流：10A(交流或直流)</w:t>
      </w:r>
    </w:p>
    <w:p w14:paraId="02F67F7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default" w:ascii="宋体" w:hAnsi="宋体" w:eastAsia="宋体" w:cs="@仿宋_GB2312"/>
          <w:color w:val="auto"/>
          <w:kern w:val="2"/>
          <w:sz w:val="24"/>
          <w:szCs w:val="22"/>
          <w:highlight w:val="none"/>
          <w:lang w:val="en-US" w:eastAsia="en-US"/>
        </w:rPr>
        <w:t>最大感性开断电流：交流220V/3A 或直流220V/1.1A</w:t>
      </w:r>
    </w:p>
    <w:p w14:paraId="0114BE8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default" w:ascii="宋体" w:hAnsi="宋体" w:eastAsia="宋体" w:cs="@仿宋_GB2312"/>
          <w:color w:val="auto"/>
          <w:kern w:val="2"/>
          <w:sz w:val="24"/>
          <w:szCs w:val="22"/>
          <w:highlight w:val="none"/>
          <w:lang w:val="en-US" w:eastAsia="en-US"/>
        </w:rPr>
        <w:t>最大感性关合电流：交流220V/30A 或直流220V/15A</w:t>
      </w:r>
    </w:p>
    <w:p w14:paraId="0EE3647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eastAsia" w:ascii="宋体" w:hAnsi="宋体" w:eastAsia="宋体" w:cs="@仿宋_GB2312"/>
          <w:color w:val="auto"/>
          <w:kern w:val="2"/>
          <w:sz w:val="24"/>
          <w:szCs w:val="22"/>
          <w:highlight w:val="none"/>
          <w:lang w:val="en-US" w:eastAsia="zh-CN"/>
        </w:rPr>
        <w:t>（4）</w:t>
      </w:r>
      <w:r>
        <w:rPr>
          <w:rFonts w:hint="default" w:ascii="宋体" w:hAnsi="宋体" w:eastAsia="宋体" w:cs="@仿宋_GB2312"/>
          <w:color w:val="auto"/>
          <w:kern w:val="2"/>
          <w:sz w:val="24"/>
          <w:szCs w:val="22"/>
          <w:highlight w:val="none"/>
          <w:lang w:val="en-US" w:eastAsia="en-US"/>
        </w:rPr>
        <w:t>断路器、接触器由阻燃材料制成，电气寿命达到200万次，机械寿命最高可</w:t>
      </w:r>
    </w:p>
    <w:p w14:paraId="5407B53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default" w:ascii="宋体" w:hAnsi="宋体" w:eastAsia="宋体" w:cs="@仿宋_GB2312"/>
          <w:color w:val="auto"/>
          <w:kern w:val="2"/>
          <w:sz w:val="24"/>
          <w:szCs w:val="22"/>
          <w:highlight w:val="none"/>
          <w:lang w:val="en-US" w:eastAsia="en-US"/>
        </w:rPr>
        <w:t xml:space="preserve">达到2000万次，绝缘电压可达1000V。 </w:t>
      </w:r>
    </w:p>
    <w:p w14:paraId="02588408">
      <w:pPr>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2"/>
        <w:rPr>
          <w:rFonts w:hint="default" w:ascii="宋体" w:hAnsi="宋体" w:eastAsia="宋体" w:cs="@仿宋_GB2312"/>
          <w:b/>
          <w:bCs/>
          <w:color w:val="auto"/>
          <w:kern w:val="2"/>
          <w:sz w:val="24"/>
          <w:szCs w:val="22"/>
          <w:highlight w:val="none"/>
          <w:lang w:val="en-US" w:eastAsia="en-US"/>
        </w:rPr>
      </w:pPr>
      <w:r>
        <w:rPr>
          <w:rFonts w:hint="eastAsia" w:cs="@仿宋_GB2312"/>
          <w:b/>
          <w:bCs/>
          <w:color w:val="auto"/>
          <w:kern w:val="2"/>
          <w:sz w:val="24"/>
          <w:szCs w:val="22"/>
          <w:highlight w:val="none"/>
          <w:lang w:val="en-US" w:eastAsia="zh-CN"/>
        </w:rPr>
        <w:t>1</w:t>
      </w:r>
      <w:r>
        <w:rPr>
          <w:rFonts w:hint="eastAsia" w:ascii="宋体" w:hAnsi="宋体" w:eastAsia="宋体" w:cs="@仿宋_GB2312"/>
          <w:b/>
          <w:bCs/>
          <w:color w:val="auto"/>
          <w:kern w:val="2"/>
          <w:sz w:val="24"/>
          <w:szCs w:val="22"/>
          <w:highlight w:val="none"/>
          <w:lang w:val="en-US" w:eastAsia="zh-CN"/>
        </w:rPr>
        <w:t>.3</w:t>
      </w:r>
      <w:r>
        <w:rPr>
          <w:rFonts w:hint="default" w:ascii="宋体" w:hAnsi="宋体" w:eastAsia="宋体" w:cs="@仿宋_GB2312"/>
          <w:b/>
          <w:bCs/>
          <w:color w:val="auto"/>
          <w:kern w:val="2"/>
          <w:sz w:val="24"/>
          <w:szCs w:val="22"/>
          <w:highlight w:val="none"/>
          <w:lang w:val="en-US" w:eastAsia="en-US"/>
        </w:rPr>
        <w:t>一般电气特性</w:t>
      </w:r>
    </w:p>
    <w:p w14:paraId="5A3FEE5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eastAsia" w:cs="@仿宋_GB2312"/>
          <w:color w:val="auto"/>
          <w:kern w:val="2"/>
          <w:sz w:val="24"/>
          <w:szCs w:val="22"/>
          <w:highlight w:val="none"/>
          <w:lang w:val="en-US" w:eastAsia="zh-CN"/>
        </w:rPr>
        <w:t>1</w:t>
      </w:r>
      <w:r>
        <w:rPr>
          <w:rFonts w:hint="eastAsia" w:ascii="宋体" w:hAnsi="宋体" w:eastAsia="宋体" w:cs="@仿宋_GB2312"/>
          <w:color w:val="auto"/>
          <w:kern w:val="2"/>
          <w:sz w:val="24"/>
          <w:szCs w:val="22"/>
          <w:highlight w:val="none"/>
          <w:lang w:val="en-US" w:eastAsia="zh-CN"/>
        </w:rPr>
        <w:t>.3.1</w:t>
      </w:r>
      <w:r>
        <w:rPr>
          <w:rFonts w:hint="default" w:ascii="宋体" w:hAnsi="宋体" w:eastAsia="宋体" w:cs="@仿宋_GB2312"/>
          <w:color w:val="auto"/>
          <w:kern w:val="2"/>
          <w:sz w:val="24"/>
          <w:szCs w:val="22"/>
          <w:highlight w:val="none"/>
          <w:lang w:val="en-US" w:eastAsia="en-US"/>
        </w:rPr>
        <w:t>绝缘电阻</w:t>
      </w:r>
    </w:p>
    <w:p w14:paraId="681BB35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default" w:ascii="宋体" w:hAnsi="宋体" w:eastAsia="宋体" w:cs="@仿宋_GB2312"/>
          <w:color w:val="auto"/>
          <w:kern w:val="2"/>
          <w:sz w:val="24"/>
          <w:szCs w:val="22"/>
          <w:highlight w:val="none"/>
          <w:lang w:val="en-US" w:eastAsia="en-US"/>
        </w:rPr>
        <w:t>交流回路外部端子对地绝缘电阻为10MΩ(2)不接地直流回路对地绝缘电阻为 1M</w:t>
      </w:r>
      <w:r>
        <w:rPr>
          <w:rFonts w:hint="eastAsia" w:ascii="宋体" w:hAnsi="宋体" w:eastAsia="宋体" w:cs="@仿宋_GB2312"/>
          <w:color w:val="auto"/>
          <w:kern w:val="2"/>
          <w:sz w:val="24"/>
          <w:szCs w:val="22"/>
          <w:highlight w:val="none"/>
          <w:lang w:val="en-US" w:eastAsia="zh-CN"/>
        </w:rPr>
        <w:t>Ω</w:t>
      </w:r>
      <w:r>
        <w:rPr>
          <w:rFonts w:hint="default" w:ascii="宋体" w:hAnsi="宋体" w:eastAsia="宋体" w:cs="@仿宋_GB2312"/>
          <w:color w:val="auto"/>
          <w:kern w:val="2"/>
          <w:sz w:val="24"/>
          <w:szCs w:val="22"/>
          <w:highlight w:val="none"/>
          <w:lang w:val="en-US" w:eastAsia="en-US"/>
        </w:rPr>
        <w:t>。</w:t>
      </w:r>
    </w:p>
    <w:p w14:paraId="1946033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eastAsia" w:cs="@仿宋_GB2312"/>
          <w:color w:val="auto"/>
          <w:kern w:val="2"/>
          <w:sz w:val="24"/>
          <w:szCs w:val="22"/>
          <w:highlight w:val="none"/>
          <w:lang w:val="en-US" w:eastAsia="zh-CN"/>
        </w:rPr>
        <w:t>1</w:t>
      </w:r>
      <w:r>
        <w:rPr>
          <w:rFonts w:hint="eastAsia" w:ascii="宋体" w:hAnsi="宋体" w:eastAsia="宋体" w:cs="@仿宋_GB2312"/>
          <w:color w:val="auto"/>
          <w:kern w:val="2"/>
          <w:sz w:val="24"/>
          <w:szCs w:val="22"/>
          <w:highlight w:val="none"/>
          <w:lang w:val="en-US" w:eastAsia="zh-CN"/>
        </w:rPr>
        <w:t>.3.2</w:t>
      </w:r>
      <w:r>
        <w:rPr>
          <w:rFonts w:hint="default" w:ascii="宋体" w:hAnsi="宋体" w:eastAsia="宋体" w:cs="@仿宋_GB2312"/>
          <w:color w:val="auto"/>
          <w:kern w:val="2"/>
          <w:sz w:val="24"/>
          <w:szCs w:val="22"/>
          <w:highlight w:val="none"/>
          <w:lang w:val="en-US" w:eastAsia="en-US"/>
        </w:rPr>
        <w:t>绝缘强度</w:t>
      </w:r>
    </w:p>
    <w:p w14:paraId="3076C1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2"/>
          <w:highlight w:val="none"/>
          <w:lang w:val="en-US" w:eastAsia="zh-CN"/>
        </w:rPr>
      </w:pPr>
      <w:r>
        <w:rPr>
          <w:rFonts w:hint="default" w:ascii="宋体" w:hAnsi="宋体" w:eastAsia="宋体" w:cs="@仿宋_GB2312"/>
          <w:color w:val="auto"/>
          <w:kern w:val="2"/>
          <w:sz w:val="24"/>
          <w:szCs w:val="22"/>
          <w:highlight w:val="none"/>
          <w:lang w:val="en-US" w:eastAsia="en-US"/>
        </w:rPr>
        <w:t>500V 以下、60V 及以上端子与外壳间能承受交流2000V 电压1min</w:t>
      </w:r>
      <w:r>
        <w:rPr>
          <w:rFonts w:hint="eastAsia" w:ascii="宋体" w:hAnsi="宋体" w:eastAsia="宋体" w:cs="@仿宋_GB2312"/>
          <w:color w:val="auto"/>
          <w:kern w:val="2"/>
          <w:sz w:val="24"/>
          <w:szCs w:val="22"/>
          <w:highlight w:val="none"/>
          <w:lang w:val="en-US" w:eastAsia="zh-CN"/>
        </w:rPr>
        <w:t>；</w:t>
      </w:r>
    </w:p>
    <w:p w14:paraId="7B986F1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2"/>
          <w:highlight w:val="none"/>
          <w:lang w:val="en-US" w:eastAsia="zh-CN"/>
        </w:rPr>
      </w:pPr>
      <w:r>
        <w:rPr>
          <w:rFonts w:hint="default" w:ascii="宋体" w:hAnsi="宋体" w:eastAsia="宋体" w:cs="@仿宋_GB2312"/>
          <w:color w:val="auto"/>
          <w:kern w:val="2"/>
          <w:sz w:val="24"/>
          <w:szCs w:val="22"/>
          <w:highlight w:val="none"/>
          <w:lang w:val="en-US" w:eastAsia="en-US"/>
        </w:rPr>
        <w:t>60V 以下端子与外壳间能承受交流500V 电压1min</w:t>
      </w:r>
      <w:r>
        <w:rPr>
          <w:rFonts w:hint="eastAsia" w:ascii="宋体" w:hAnsi="宋体" w:eastAsia="宋体" w:cs="@仿宋_GB2312"/>
          <w:color w:val="auto"/>
          <w:kern w:val="2"/>
          <w:sz w:val="24"/>
          <w:szCs w:val="22"/>
          <w:highlight w:val="none"/>
          <w:lang w:val="en-US" w:eastAsia="zh-CN"/>
        </w:rPr>
        <w:t>；</w:t>
      </w:r>
    </w:p>
    <w:p w14:paraId="164B20B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2"/>
          <w:highlight w:val="none"/>
          <w:lang w:val="en-US" w:eastAsia="zh-CN"/>
        </w:rPr>
      </w:pPr>
      <w:r>
        <w:rPr>
          <w:rFonts w:hint="default" w:ascii="宋体" w:hAnsi="宋体" w:eastAsia="宋体" w:cs="@仿宋_GB2312"/>
          <w:color w:val="auto"/>
          <w:kern w:val="2"/>
          <w:sz w:val="24"/>
          <w:szCs w:val="22"/>
          <w:highlight w:val="none"/>
          <w:lang w:val="en-US" w:eastAsia="en-US"/>
        </w:rPr>
        <w:t>机柜内框架与外壳能承受交流1500V 电压1min</w:t>
      </w:r>
      <w:r>
        <w:rPr>
          <w:rFonts w:hint="eastAsia" w:ascii="宋体" w:hAnsi="宋体" w:eastAsia="宋体" w:cs="@仿宋_GB2312"/>
          <w:color w:val="auto"/>
          <w:kern w:val="2"/>
          <w:sz w:val="24"/>
          <w:szCs w:val="22"/>
          <w:highlight w:val="none"/>
          <w:lang w:val="en-US" w:eastAsia="zh-CN"/>
        </w:rPr>
        <w:t>；</w:t>
      </w:r>
    </w:p>
    <w:p w14:paraId="5F3476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eastAsia" w:cs="@仿宋_GB2312"/>
          <w:color w:val="auto"/>
          <w:kern w:val="2"/>
          <w:sz w:val="24"/>
          <w:szCs w:val="22"/>
          <w:highlight w:val="none"/>
          <w:lang w:val="en-US" w:eastAsia="zh-CN"/>
        </w:rPr>
        <w:t>1</w:t>
      </w:r>
      <w:r>
        <w:rPr>
          <w:rFonts w:hint="eastAsia" w:ascii="宋体" w:hAnsi="宋体" w:eastAsia="宋体" w:cs="@仿宋_GB2312"/>
          <w:color w:val="auto"/>
          <w:kern w:val="2"/>
          <w:sz w:val="24"/>
          <w:szCs w:val="22"/>
          <w:highlight w:val="none"/>
          <w:lang w:val="en-US" w:eastAsia="zh-CN"/>
        </w:rPr>
        <w:t>.3.3</w:t>
      </w:r>
      <w:r>
        <w:rPr>
          <w:rFonts w:hint="default" w:ascii="宋体" w:hAnsi="宋体" w:eastAsia="宋体" w:cs="@仿宋_GB2312"/>
          <w:color w:val="auto"/>
          <w:kern w:val="2"/>
          <w:sz w:val="24"/>
          <w:szCs w:val="22"/>
          <w:highlight w:val="none"/>
          <w:lang w:val="en-US" w:eastAsia="en-US"/>
        </w:rPr>
        <w:t>浪涌抑制能力</w:t>
      </w:r>
    </w:p>
    <w:p w14:paraId="7AEF946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default" w:ascii="宋体" w:hAnsi="宋体" w:eastAsia="宋体" w:cs="@仿宋_GB2312"/>
          <w:color w:val="auto"/>
          <w:kern w:val="2"/>
          <w:sz w:val="24"/>
          <w:szCs w:val="22"/>
          <w:highlight w:val="none"/>
          <w:lang w:val="en-US" w:eastAsia="en-US"/>
        </w:rPr>
        <w:t>本系统所有电源设备、数据和控制接口设备、通信接口设备的浪涌抑制能力(SWC)。</w:t>
      </w:r>
    </w:p>
    <w:p w14:paraId="39F1690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eastAsia" w:cs="@仿宋_GB2312"/>
          <w:color w:val="auto"/>
          <w:kern w:val="2"/>
          <w:sz w:val="24"/>
          <w:szCs w:val="22"/>
          <w:highlight w:val="none"/>
          <w:lang w:val="en-US" w:eastAsia="zh-CN"/>
        </w:rPr>
        <w:t>1</w:t>
      </w:r>
      <w:r>
        <w:rPr>
          <w:rFonts w:hint="eastAsia" w:ascii="宋体" w:hAnsi="宋体" w:eastAsia="宋体" w:cs="@仿宋_GB2312"/>
          <w:color w:val="auto"/>
          <w:kern w:val="2"/>
          <w:sz w:val="24"/>
          <w:szCs w:val="22"/>
          <w:highlight w:val="none"/>
          <w:lang w:val="en-US" w:eastAsia="zh-CN"/>
        </w:rPr>
        <w:t>.3.4</w:t>
      </w:r>
      <w:r>
        <w:rPr>
          <w:rFonts w:hint="default" w:ascii="宋体" w:hAnsi="宋体" w:eastAsia="宋体" w:cs="@仿宋_GB2312"/>
          <w:color w:val="auto"/>
          <w:kern w:val="2"/>
          <w:sz w:val="24"/>
          <w:szCs w:val="22"/>
          <w:highlight w:val="none"/>
          <w:lang w:val="en-US" w:eastAsia="en-US"/>
        </w:rPr>
        <w:t>抗干扰措施</w:t>
      </w:r>
    </w:p>
    <w:p w14:paraId="16281A0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default" w:ascii="宋体" w:hAnsi="宋体" w:eastAsia="宋体" w:cs="@仿宋_GB2312"/>
          <w:color w:val="auto"/>
          <w:kern w:val="2"/>
          <w:sz w:val="24"/>
          <w:szCs w:val="22"/>
          <w:highlight w:val="none"/>
          <w:lang w:val="en-US" w:eastAsia="en-US"/>
        </w:rPr>
        <w:t>系统设计及实施时考虑现地环境中可能存在电磁的、静电的和感应的暂态电压，以 及涵闸可能遭雷击等情况，采取相应的抗干扰措施。</w:t>
      </w:r>
    </w:p>
    <w:p w14:paraId="407D96A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eastAsia" w:cs="@仿宋_GB2312"/>
          <w:color w:val="auto"/>
          <w:kern w:val="2"/>
          <w:sz w:val="24"/>
          <w:szCs w:val="22"/>
          <w:highlight w:val="none"/>
          <w:lang w:val="en-US" w:eastAsia="zh-CN"/>
        </w:rPr>
        <w:t>1</w:t>
      </w:r>
      <w:r>
        <w:rPr>
          <w:rFonts w:hint="eastAsia" w:ascii="宋体" w:hAnsi="宋体" w:eastAsia="宋体" w:cs="@仿宋_GB2312"/>
          <w:color w:val="auto"/>
          <w:kern w:val="2"/>
          <w:sz w:val="24"/>
          <w:szCs w:val="22"/>
          <w:highlight w:val="none"/>
          <w:lang w:val="en-US" w:eastAsia="zh-CN"/>
        </w:rPr>
        <w:t>.3.5</w:t>
      </w:r>
      <w:r>
        <w:rPr>
          <w:rFonts w:hint="default" w:ascii="宋体" w:hAnsi="宋体" w:eastAsia="宋体" w:cs="@仿宋_GB2312"/>
          <w:color w:val="auto"/>
          <w:kern w:val="2"/>
          <w:sz w:val="24"/>
          <w:szCs w:val="22"/>
          <w:highlight w:val="none"/>
          <w:lang w:val="en-US" w:eastAsia="en-US"/>
        </w:rPr>
        <w:t>接地与防雷，本系统采用接地网接地，对涵闸接地系统接地电阻，如不满足 需按要求制作接地装置，施工结束后，接地电阻值必须符合设计要求。</w:t>
      </w:r>
    </w:p>
    <w:p w14:paraId="0BFA8E6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eastAsia" w:cs="@仿宋_GB2312"/>
          <w:color w:val="auto"/>
          <w:kern w:val="2"/>
          <w:sz w:val="24"/>
          <w:szCs w:val="22"/>
          <w:highlight w:val="none"/>
          <w:lang w:val="en-US" w:eastAsia="zh-CN"/>
        </w:rPr>
        <w:t>1</w:t>
      </w:r>
      <w:r>
        <w:rPr>
          <w:rFonts w:hint="eastAsia" w:ascii="宋体" w:hAnsi="宋体" w:eastAsia="宋体" w:cs="@仿宋_GB2312"/>
          <w:color w:val="auto"/>
          <w:kern w:val="2"/>
          <w:sz w:val="24"/>
          <w:szCs w:val="22"/>
          <w:highlight w:val="none"/>
          <w:lang w:val="en-US" w:eastAsia="zh-CN"/>
        </w:rPr>
        <w:t>.3.6</w:t>
      </w:r>
      <w:r>
        <w:rPr>
          <w:rFonts w:hint="default" w:ascii="宋体" w:hAnsi="宋体" w:eastAsia="宋体" w:cs="@仿宋_GB2312"/>
          <w:color w:val="auto"/>
          <w:kern w:val="2"/>
          <w:sz w:val="24"/>
          <w:szCs w:val="22"/>
          <w:highlight w:val="none"/>
          <w:lang w:val="en-US" w:eastAsia="en-US"/>
        </w:rPr>
        <w:t>所有引入柜内的电源回路应配置防雷保护器，采取有效的屏蔽及防雷措施， 防止电磁干扰和雷电干扰；室外安装的摄像机应采取防雷措施。</w:t>
      </w:r>
    </w:p>
    <w:p w14:paraId="001144A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eastAsia" w:cs="@仿宋_GB2312"/>
          <w:color w:val="auto"/>
          <w:kern w:val="2"/>
          <w:sz w:val="24"/>
          <w:szCs w:val="22"/>
          <w:highlight w:val="none"/>
          <w:lang w:val="en-US" w:eastAsia="zh-CN"/>
        </w:rPr>
        <w:t>1</w:t>
      </w:r>
      <w:r>
        <w:rPr>
          <w:rFonts w:hint="eastAsia" w:ascii="宋体" w:hAnsi="宋体" w:eastAsia="宋体" w:cs="@仿宋_GB2312"/>
          <w:color w:val="auto"/>
          <w:kern w:val="2"/>
          <w:sz w:val="24"/>
          <w:szCs w:val="22"/>
          <w:highlight w:val="none"/>
          <w:lang w:val="en-US" w:eastAsia="zh-CN"/>
        </w:rPr>
        <w:t>.3.7</w:t>
      </w:r>
      <w:r>
        <w:rPr>
          <w:rFonts w:hint="default" w:ascii="宋体" w:hAnsi="宋体" w:eastAsia="宋体" w:cs="@仿宋_GB2312"/>
          <w:color w:val="auto"/>
          <w:kern w:val="2"/>
          <w:sz w:val="24"/>
          <w:szCs w:val="22"/>
          <w:highlight w:val="none"/>
          <w:lang w:val="en-US" w:eastAsia="en-US"/>
        </w:rPr>
        <w:t>机柜挂墙安装，与墙面采用膨胀螺栓连接。柜体应可靠接地。机柜设备位置 安装正确。</w:t>
      </w:r>
    </w:p>
    <w:p w14:paraId="715C0A1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eastAsia" w:cs="@仿宋_GB2312"/>
          <w:color w:val="auto"/>
          <w:kern w:val="2"/>
          <w:sz w:val="24"/>
          <w:szCs w:val="22"/>
          <w:highlight w:val="none"/>
          <w:lang w:val="en-US" w:eastAsia="zh-CN"/>
        </w:rPr>
        <w:t>1</w:t>
      </w:r>
      <w:r>
        <w:rPr>
          <w:rFonts w:hint="eastAsia" w:ascii="宋体" w:hAnsi="宋体" w:eastAsia="宋体" w:cs="@仿宋_GB2312"/>
          <w:color w:val="auto"/>
          <w:kern w:val="2"/>
          <w:sz w:val="24"/>
          <w:szCs w:val="22"/>
          <w:highlight w:val="none"/>
          <w:lang w:val="en-US" w:eastAsia="zh-CN"/>
        </w:rPr>
        <w:t>.3.8</w:t>
      </w:r>
      <w:r>
        <w:rPr>
          <w:rFonts w:hint="default" w:ascii="宋体" w:hAnsi="宋体" w:eastAsia="宋体" w:cs="@仿宋_GB2312"/>
          <w:color w:val="auto"/>
          <w:kern w:val="2"/>
          <w:sz w:val="24"/>
          <w:szCs w:val="22"/>
          <w:highlight w:val="none"/>
          <w:lang w:val="en-US" w:eastAsia="en-US"/>
        </w:rPr>
        <w:t>机柜的安装应端正牢固，机架安装垂直度偏差应不大于3mm。</w:t>
      </w:r>
    </w:p>
    <w:p w14:paraId="393666B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eastAsia" w:cs="@仿宋_GB2312"/>
          <w:color w:val="auto"/>
          <w:kern w:val="2"/>
          <w:sz w:val="24"/>
          <w:szCs w:val="22"/>
          <w:highlight w:val="none"/>
          <w:lang w:val="en-US" w:eastAsia="zh-CN"/>
        </w:rPr>
        <w:t>1</w:t>
      </w:r>
      <w:r>
        <w:rPr>
          <w:rFonts w:hint="eastAsia" w:ascii="宋体" w:hAnsi="宋体" w:eastAsia="宋体" w:cs="@仿宋_GB2312"/>
          <w:color w:val="auto"/>
          <w:kern w:val="2"/>
          <w:sz w:val="24"/>
          <w:szCs w:val="22"/>
          <w:highlight w:val="none"/>
          <w:lang w:val="en-US" w:eastAsia="zh-CN"/>
        </w:rPr>
        <w:t>.3.9</w:t>
      </w:r>
      <w:r>
        <w:rPr>
          <w:rFonts w:hint="default" w:ascii="宋体" w:hAnsi="宋体" w:eastAsia="宋体" w:cs="@仿宋_GB2312"/>
          <w:color w:val="auto"/>
          <w:kern w:val="2"/>
          <w:sz w:val="24"/>
          <w:szCs w:val="22"/>
          <w:highlight w:val="none"/>
          <w:lang w:val="en-US" w:eastAsia="en-US"/>
        </w:rPr>
        <w:t>端子同一侧压接不超过两根导线。导线为多股软线，接线前采用鼻冷压后接 入端子。</w:t>
      </w:r>
    </w:p>
    <w:p w14:paraId="7CA4045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eastAsia" w:cs="@仿宋_GB2312"/>
          <w:color w:val="auto"/>
          <w:kern w:val="2"/>
          <w:sz w:val="24"/>
          <w:szCs w:val="22"/>
          <w:highlight w:val="none"/>
          <w:lang w:val="en-US" w:eastAsia="zh-CN"/>
        </w:rPr>
        <w:t>1</w:t>
      </w:r>
      <w:r>
        <w:rPr>
          <w:rFonts w:hint="eastAsia" w:ascii="宋体" w:hAnsi="宋体" w:eastAsia="宋体" w:cs="@仿宋_GB2312"/>
          <w:color w:val="auto"/>
          <w:kern w:val="2"/>
          <w:sz w:val="24"/>
          <w:szCs w:val="22"/>
          <w:highlight w:val="none"/>
          <w:lang w:val="en-US" w:eastAsia="zh-CN"/>
        </w:rPr>
        <w:t>.3.10</w:t>
      </w:r>
      <w:r>
        <w:rPr>
          <w:rFonts w:hint="default" w:ascii="宋体" w:hAnsi="宋体" w:eastAsia="宋体" w:cs="@仿宋_GB2312"/>
          <w:color w:val="auto"/>
          <w:kern w:val="2"/>
          <w:sz w:val="24"/>
          <w:szCs w:val="22"/>
          <w:highlight w:val="none"/>
          <w:lang w:val="en-US" w:eastAsia="en-US"/>
        </w:rPr>
        <w:t>告警显示单元安装位置端正合理，告警标示清楚。</w:t>
      </w:r>
    </w:p>
    <w:p w14:paraId="727F02F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eastAsia" w:cs="@仿宋_GB2312"/>
          <w:color w:val="auto"/>
          <w:kern w:val="2"/>
          <w:sz w:val="24"/>
          <w:szCs w:val="22"/>
          <w:highlight w:val="none"/>
          <w:lang w:val="en-US" w:eastAsia="zh-CN"/>
        </w:rPr>
        <w:t>1</w:t>
      </w:r>
      <w:r>
        <w:rPr>
          <w:rFonts w:hint="eastAsia" w:ascii="宋体" w:hAnsi="宋体" w:eastAsia="宋体" w:cs="@仿宋_GB2312"/>
          <w:color w:val="auto"/>
          <w:kern w:val="2"/>
          <w:sz w:val="24"/>
          <w:szCs w:val="22"/>
          <w:highlight w:val="none"/>
          <w:lang w:val="en-US" w:eastAsia="zh-CN"/>
        </w:rPr>
        <w:t>.3.11</w:t>
      </w:r>
      <w:r>
        <w:rPr>
          <w:rFonts w:hint="default" w:ascii="宋体" w:hAnsi="宋体" w:eastAsia="宋体" w:cs="@仿宋_GB2312"/>
          <w:color w:val="auto"/>
          <w:kern w:val="2"/>
          <w:sz w:val="24"/>
          <w:szCs w:val="22"/>
          <w:highlight w:val="none"/>
          <w:lang w:val="en-US" w:eastAsia="en-US"/>
        </w:rPr>
        <w:t>所有紧固件必须拧紧，同类螺丝露出螺帽的长度应一致。设备的紧固应符合 工程设计要求。</w:t>
      </w:r>
    </w:p>
    <w:p w14:paraId="237387A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eastAsia" w:cs="@仿宋_GB2312"/>
          <w:color w:val="auto"/>
          <w:kern w:val="2"/>
          <w:sz w:val="24"/>
          <w:szCs w:val="22"/>
          <w:highlight w:val="none"/>
          <w:lang w:val="en-US" w:eastAsia="zh-CN"/>
        </w:rPr>
        <w:t>1</w:t>
      </w:r>
      <w:r>
        <w:rPr>
          <w:rFonts w:hint="eastAsia" w:ascii="宋体" w:hAnsi="宋体" w:eastAsia="宋体" w:cs="@仿宋_GB2312"/>
          <w:color w:val="auto"/>
          <w:kern w:val="2"/>
          <w:sz w:val="24"/>
          <w:szCs w:val="22"/>
          <w:highlight w:val="none"/>
          <w:lang w:val="en-US" w:eastAsia="zh-CN"/>
        </w:rPr>
        <w:t>.3.12</w:t>
      </w:r>
      <w:r>
        <w:rPr>
          <w:rFonts w:hint="default" w:ascii="宋体" w:hAnsi="宋体" w:eastAsia="宋体" w:cs="@仿宋_GB2312"/>
          <w:color w:val="auto"/>
          <w:kern w:val="2"/>
          <w:sz w:val="24"/>
          <w:szCs w:val="22"/>
          <w:highlight w:val="none"/>
          <w:lang w:val="en-US" w:eastAsia="en-US"/>
        </w:rPr>
        <w:t>机柜上的各种零件不得脱落或碰坏，漆面如有脱落应予补漆。各种文字和符 号标志应正确、清晰、齐全。</w:t>
      </w:r>
    </w:p>
    <w:p w14:paraId="29CA7295">
      <w:pPr>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宋体" w:hAnsi="宋体" w:eastAsia="宋体" w:cs="@仿宋_GB2312"/>
          <w:b/>
          <w:bCs/>
          <w:color w:val="auto"/>
          <w:kern w:val="2"/>
          <w:sz w:val="24"/>
          <w:szCs w:val="22"/>
          <w:highlight w:val="none"/>
          <w:lang w:val="en-US" w:eastAsia="zh-CN"/>
        </w:rPr>
      </w:pPr>
      <w:r>
        <w:rPr>
          <w:rFonts w:hint="eastAsia" w:cs="@仿宋_GB2312"/>
          <w:b/>
          <w:bCs/>
          <w:color w:val="auto"/>
          <w:kern w:val="2"/>
          <w:sz w:val="24"/>
          <w:szCs w:val="22"/>
          <w:highlight w:val="none"/>
          <w:lang w:val="en-US" w:eastAsia="zh-CN"/>
        </w:rPr>
        <w:t>1</w:t>
      </w:r>
      <w:r>
        <w:rPr>
          <w:rFonts w:hint="eastAsia" w:ascii="宋体" w:hAnsi="宋体" w:eastAsia="宋体" w:cs="@仿宋_GB2312"/>
          <w:b/>
          <w:bCs/>
          <w:color w:val="auto"/>
          <w:kern w:val="2"/>
          <w:sz w:val="24"/>
          <w:szCs w:val="22"/>
          <w:highlight w:val="none"/>
          <w:lang w:val="en-US" w:eastAsia="zh-CN"/>
        </w:rPr>
        <w:t>.</w:t>
      </w:r>
      <w:r>
        <w:rPr>
          <w:rFonts w:hint="eastAsia" w:ascii="宋体" w:hAnsi="宋体" w:cs="@仿宋_GB2312"/>
          <w:b/>
          <w:bCs/>
          <w:color w:val="auto"/>
          <w:kern w:val="2"/>
          <w:sz w:val="24"/>
          <w:szCs w:val="22"/>
          <w:highlight w:val="none"/>
          <w:lang w:val="en-US" w:eastAsia="zh-CN"/>
        </w:rPr>
        <w:t>4</w:t>
      </w:r>
      <w:r>
        <w:rPr>
          <w:rFonts w:hint="eastAsia" w:ascii="宋体" w:hAnsi="宋体" w:eastAsia="宋体" w:cs="@仿宋_GB2312"/>
          <w:b/>
          <w:bCs/>
          <w:color w:val="auto"/>
          <w:kern w:val="2"/>
          <w:sz w:val="24"/>
          <w:szCs w:val="22"/>
          <w:highlight w:val="none"/>
          <w:lang w:val="en-US" w:eastAsia="zh-CN"/>
        </w:rPr>
        <w:t>立杆及基础接地制作要求</w:t>
      </w:r>
    </w:p>
    <w:p w14:paraId="31BF978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4"/>
          <w:highlight w:val="none"/>
          <w:lang w:val="en-US" w:eastAsia="en-US"/>
        </w:rPr>
      </w:pPr>
      <w:r>
        <w:rPr>
          <w:rFonts w:hint="eastAsia" w:ascii="宋体" w:hAnsi="宋体" w:eastAsia="宋体" w:cs="@仿宋_GB2312"/>
          <w:color w:val="auto"/>
          <w:kern w:val="2"/>
          <w:sz w:val="24"/>
          <w:szCs w:val="24"/>
          <w:highlight w:val="none"/>
          <w:lang w:val="en-US" w:eastAsia="en-US"/>
        </w:rPr>
        <w:t>立杆及防雷接地具体包括立杆(含引雷针),立杆基础(含接地极)、信号避雷器、电源避雷器等。由于摄像机需要有良好的稳定性与安全性，故立杆应根据《安全防范工程技术标准》(GB 50348-2018)等进行设计和实施。</w:t>
      </w:r>
    </w:p>
    <w:p w14:paraId="05CA7C6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仿宋_GB2312"/>
          <w:b/>
          <w:bCs/>
          <w:color w:val="auto"/>
          <w:kern w:val="2"/>
          <w:sz w:val="24"/>
          <w:szCs w:val="24"/>
          <w:highlight w:val="none"/>
          <w:lang w:val="en-US" w:eastAsia="zh-CN"/>
        </w:rPr>
      </w:pPr>
      <w:r>
        <w:rPr>
          <w:rFonts w:hint="eastAsia" w:ascii="宋体" w:hAnsi="宋体" w:eastAsia="宋体" w:cs="@仿宋_GB2312"/>
          <w:b/>
          <w:bCs/>
          <w:color w:val="auto"/>
          <w:kern w:val="2"/>
          <w:sz w:val="24"/>
          <w:szCs w:val="24"/>
          <w:highlight w:val="none"/>
          <w:lang w:val="en-US" w:eastAsia="zh-CN"/>
        </w:rPr>
        <w:t>（1）</w:t>
      </w:r>
      <w:r>
        <w:rPr>
          <w:rFonts w:hint="eastAsia" w:cs="@仿宋_GB2312"/>
          <w:b/>
          <w:bCs/>
          <w:color w:val="auto"/>
          <w:kern w:val="2"/>
          <w:sz w:val="24"/>
          <w:szCs w:val="24"/>
          <w:highlight w:val="none"/>
          <w:lang w:val="en-US" w:eastAsia="zh-CN"/>
        </w:rPr>
        <w:t>6米</w:t>
      </w:r>
      <w:r>
        <w:rPr>
          <w:rFonts w:hint="eastAsia" w:ascii="宋体" w:hAnsi="宋体" w:eastAsia="宋体" w:cs="@仿宋_GB2312"/>
          <w:b/>
          <w:bCs/>
          <w:color w:val="auto"/>
          <w:kern w:val="2"/>
          <w:sz w:val="24"/>
          <w:szCs w:val="24"/>
          <w:highlight w:val="none"/>
          <w:lang w:val="en-US" w:eastAsia="en-US"/>
        </w:rPr>
        <w:t>立杆</w:t>
      </w:r>
    </w:p>
    <w:p w14:paraId="4E05583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rPr>
        <w:t>①</w:t>
      </w:r>
      <w:r>
        <w:rPr>
          <w:rFonts w:hint="eastAsia" w:ascii="宋体" w:hAnsi="宋体" w:eastAsia="宋体" w:cs="@仿宋_GB2312"/>
          <w:color w:val="auto"/>
          <w:kern w:val="2"/>
          <w:sz w:val="24"/>
          <w:szCs w:val="24"/>
          <w:highlight w:val="none"/>
          <w:lang w:val="en-US" w:eastAsia="zh-CN"/>
        </w:rPr>
        <w:t>杆形：钢管杆，外型美观、简洁、协调，颜色暂定为白色，高度</w:t>
      </w:r>
      <w:r>
        <w:rPr>
          <w:rFonts w:hint="eastAsia" w:ascii="宋体" w:hAnsi="宋体" w:cs="@仿宋_GB2312"/>
          <w:color w:val="auto"/>
          <w:kern w:val="2"/>
          <w:sz w:val="24"/>
          <w:szCs w:val="24"/>
          <w:highlight w:val="none"/>
          <w:lang w:val="en-US" w:eastAsia="zh-CN"/>
        </w:rPr>
        <w:t>6</w:t>
      </w:r>
      <w:r>
        <w:rPr>
          <w:rFonts w:hint="eastAsia" w:ascii="宋体" w:hAnsi="宋体" w:eastAsia="宋体" w:cs="@仿宋_GB2312"/>
          <w:color w:val="auto"/>
          <w:kern w:val="2"/>
          <w:sz w:val="24"/>
          <w:szCs w:val="24"/>
          <w:highlight w:val="none"/>
          <w:lang w:val="en-US" w:eastAsia="zh-CN"/>
        </w:rPr>
        <w:t>米；</w:t>
      </w:r>
    </w:p>
    <w:p w14:paraId="591500E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rPr>
        <w:t>②</w:t>
      </w:r>
      <w:r>
        <w:rPr>
          <w:rFonts w:hint="eastAsia" w:ascii="宋体" w:hAnsi="宋体" w:eastAsia="宋体" w:cs="@仿宋_GB2312"/>
          <w:color w:val="auto"/>
          <w:kern w:val="2"/>
          <w:sz w:val="24"/>
          <w:szCs w:val="24"/>
          <w:highlight w:val="none"/>
          <w:lang w:val="en-US" w:eastAsia="zh-CN"/>
        </w:rPr>
        <w:t>杆体选用Q235或优质钢材制造，</w:t>
      </w:r>
      <w:r>
        <w:rPr>
          <w:rFonts w:hint="eastAsia" w:ascii="宋体" w:hAnsi="宋体" w:eastAsia="宋体" w:cs="@仿宋_GB2312"/>
          <w:color w:val="FF0000"/>
          <w:kern w:val="2"/>
          <w:sz w:val="24"/>
          <w:szCs w:val="24"/>
          <w:highlight w:val="none"/>
          <w:lang w:val="en-US" w:eastAsia="zh-CN"/>
        </w:rPr>
        <w:t>壁厚不小于</w:t>
      </w:r>
      <w:r>
        <w:rPr>
          <w:rFonts w:hint="eastAsia" w:ascii="宋体" w:hAnsi="宋体" w:cs="@仿宋_GB2312"/>
          <w:color w:val="FF0000"/>
          <w:kern w:val="2"/>
          <w:sz w:val="24"/>
          <w:szCs w:val="24"/>
          <w:highlight w:val="none"/>
          <w:lang w:val="en-US" w:eastAsia="zh-CN"/>
        </w:rPr>
        <w:t>4</w:t>
      </w:r>
      <w:r>
        <w:rPr>
          <w:rFonts w:hint="eastAsia" w:ascii="宋体" w:hAnsi="宋体" w:eastAsia="宋体" w:cs="@仿宋_GB2312"/>
          <w:color w:val="FF0000"/>
          <w:kern w:val="2"/>
          <w:sz w:val="24"/>
          <w:szCs w:val="24"/>
          <w:highlight w:val="none"/>
          <w:lang w:val="en-US" w:eastAsia="zh-CN"/>
        </w:rPr>
        <w:t>mm</w:t>
      </w:r>
      <w:r>
        <w:rPr>
          <w:rFonts w:hint="eastAsia" w:ascii="宋体" w:hAnsi="宋体" w:eastAsia="宋体" w:cs="@仿宋_GB2312"/>
          <w:color w:val="auto"/>
          <w:kern w:val="2"/>
          <w:sz w:val="24"/>
          <w:szCs w:val="24"/>
          <w:highlight w:val="none"/>
          <w:lang w:val="en-US" w:eastAsia="zh-CN"/>
        </w:rPr>
        <w:t>，杆体釆用数控折弯机一次成型，釆用自动缩口；</w:t>
      </w:r>
    </w:p>
    <w:p w14:paraId="6F75B2D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rPr>
        <w:t>③</w:t>
      </w:r>
      <w:r>
        <w:rPr>
          <w:rFonts w:hint="eastAsia" w:ascii="宋体" w:hAnsi="宋体" w:eastAsia="宋体" w:cs="@仿宋_GB2312"/>
          <w:color w:val="auto"/>
          <w:kern w:val="2"/>
          <w:sz w:val="24"/>
          <w:szCs w:val="24"/>
          <w:highlight w:val="none"/>
          <w:lang w:val="en-US" w:eastAsia="zh-CN"/>
        </w:rPr>
        <w:t>监控杆防腐处理为热镀，镀锌层表面光滑美观，光泽一致。无皱皮、流坠及锌瘤、起皮、斑点、阴阳面缺陷存在，锌层厚度＞85um以上，镀锌层附着力应符合GB2694-98标准，20年不褪色，灯杆防腐寿命大于30年</w:t>
      </w:r>
    </w:p>
    <w:p w14:paraId="369F004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rPr>
        <w:t>④</w:t>
      </w:r>
      <w:r>
        <w:rPr>
          <w:rFonts w:hint="eastAsia" w:ascii="宋体" w:hAnsi="宋体" w:eastAsia="宋体" w:cs="@仿宋_GB2312"/>
          <w:color w:val="auto"/>
          <w:kern w:val="2"/>
          <w:sz w:val="24"/>
          <w:szCs w:val="24"/>
          <w:highlight w:val="none"/>
          <w:lang w:val="en-US" w:eastAsia="zh-CN"/>
        </w:rPr>
        <w:t>焊机自动焊接，整个杆均按相关设计标准执行</w:t>
      </w:r>
    </w:p>
    <w:p w14:paraId="328994C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rPr>
        <w:t>⑤</w:t>
      </w:r>
      <w:r>
        <w:rPr>
          <w:rFonts w:hint="eastAsia" w:ascii="宋体" w:hAnsi="宋体" w:eastAsia="宋体" w:cs="@仿宋_GB2312"/>
          <w:color w:val="auto"/>
          <w:kern w:val="2"/>
          <w:sz w:val="24"/>
          <w:szCs w:val="24"/>
          <w:highlight w:val="none"/>
          <w:lang w:val="en-US" w:eastAsia="zh-CN"/>
        </w:rPr>
        <w:t>主杆与底法兰采用双面焊接，外焊加强筋</w:t>
      </w:r>
    </w:p>
    <w:p w14:paraId="1E41DBC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rPr>
        <w:t>⑥</w:t>
      </w:r>
      <w:r>
        <w:rPr>
          <w:rFonts w:hint="eastAsia" w:ascii="宋体" w:hAnsi="宋体" w:eastAsia="宋体" w:cs="@仿宋_GB2312"/>
          <w:color w:val="auto"/>
          <w:kern w:val="2"/>
          <w:sz w:val="24"/>
          <w:szCs w:val="24"/>
          <w:highlight w:val="none"/>
          <w:lang w:val="en-US" w:eastAsia="zh-CN"/>
        </w:rPr>
        <w:t>杆体表面全部热浸镀锌，高温烤漆，静电喷塑，表面喷塑厚度MlOOum,附着力达到GB9286-880级，表面光滑：硬度M2H,采用室外耐候性材料，喷塑材料为全聚酯塑粉</w:t>
      </w:r>
    </w:p>
    <w:p w14:paraId="4FE73F0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⑦</w:t>
      </w:r>
      <w:r>
        <w:rPr>
          <w:rFonts w:hint="eastAsia" w:ascii="宋体" w:hAnsi="宋体" w:eastAsia="宋体" w:cs="@仿宋_GB2312"/>
          <w:color w:val="auto"/>
          <w:kern w:val="2"/>
          <w:sz w:val="24"/>
          <w:szCs w:val="24"/>
          <w:highlight w:val="none"/>
          <w:lang w:val="en-US" w:eastAsia="zh-CN"/>
        </w:rPr>
        <w:t>监控杆强抗风、坚固耐用，设计抗风能力＞36m/s,抗震能力为10级</w:t>
      </w:r>
    </w:p>
    <w:p w14:paraId="3F1AD1A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_GB2312"/>
          <w:color w:val="auto"/>
          <w:kern w:val="2"/>
          <w:sz w:val="24"/>
          <w:szCs w:val="24"/>
          <w:highlight w:val="none"/>
          <w:lang w:val="en-US" w:eastAsia="zh-CN"/>
        </w:rPr>
      </w:pPr>
      <w:r>
        <w:rPr>
          <w:rFonts w:hint="eastAsia" w:cs="@仿宋_GB2312"/>
          <w:color w:val="auto"/>
          <w:kern w:val="2"/>
          <w:sz w:val="24"/>
          <w:szCs w:val="24"/>
          <w:highlight w:val="none"/>
          <w:lang w:val="en-US" w:eastAsia="zh-CN"/>
        </w:rPr>
        <w:t>⑧</w:t>
      </w:r>
      <w:r>
        <w:rPr>
          <w:rFonts w:hint="eastAsia" w:ascii="宋体" w:hAnsi="宋体" w:eastAsia="宋体" w:cs="@仿宋_GB2312"/>
          <w:color w:val="auto"/>
          <w:kern w:val="2"/>
          <w:sz w:val="24"/>
          <w:szCs w:val="24"/>
          <w:highlight w:val="none"/>
          <w:lang w:val="en-US" w:eastAsia="zh-CN"/>
        </w:rPr>
        <w:t>接线门釆用内置式M6内六角螺栓固定、防盗</w:t>
      </w:r>
    </w:p>
    <w:p w14:paraId="6B7A823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_GB2312"/>
          <w:color w:val="auto"/>
          <w:kern w:val="2"/>
          <w:sz w:val="24"/>
          <w:szCs w:val="24"/>
          <w:highlight w:val="none"/>
          <w:lang w:val="en-US" w:eastAsia="zh-CN"/>
        </w:rPr>
      </w:pPr>
      <w:r>
        <w:rPr>
          <w:rFonts w:hint="eastAsia" w:cs="@仿宋_GB2312"/>
          <w:color w:val="auto"/>
          <w:kern w:val="2"/>
          <w:sz w:val="24"/>
          <w:szCs w:val="24"/>
          <w:highlight w:val="none"/>
          <w:lang w:val="en-US" w:eastAsia="zh-CN"/>
        </w:rPr>
        <w:t>⑨</w:t>
      </w:r>
      <w:r>
        <w:rPr>
          <w:rFonts w:hint="default" w:cs="@仿宋_GB2312"/>
          <w:color w:val="auto"/>
          <w:kern w:val="2"/>
          <w:sz w:val="24"/>
          <w:szCs w:val="24"/>
          <w:highlight w:val="none"/>
          <w:lang w:val="en-US" w:eastAsia="zh-CN"/>
        </w:rPr>
        <w:t>杆件口径450-200-12mm； 底法兰800-25</w:t>
      </w:r>
      <w:r>
        <w:rPr>
          <w:rFonts w:hint="eastAsia" w:cs="@仿宋_GB2312"/>
          <w:color w:val="auto"/>
          <w:kern w:val="2"/>
          <w:sz w:val="24"/>
          <w:szCs w:val="24"/>
          <w:highlight w:val="none"/>
          <w:lang w:val="en-US" w:eastAsia="zh-CN"/>
        </w:rPr>
        <w:t>。</w:t>
      </w:r>
    </w:p>
    <w:p w14:paraId="0E28C39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_GB2312"/>
          <w:b/>
          <w:bCs/>
          <w:color w:val="auto"/>
          <w:kern w:val="2"/>
          <w:sz w:val="24"/>
          <w:szCs w:val="24"/>
          <w:highlight w:val="none"/>
          <w:lang w:val="en-US" w:eastAsia="zh-CN"/>
        </w:rPr>
      </w:pPr>
      <w:r>
        <w:rPr>
          <w:rFonts w:hint="eastAsia" w:cs="@仿宋_GB2312"/>
          <w:b/>
          <w:bCs/>
          <w:color w:val="auto"/>
          <w:kern w:val="2"/>
          <w:sz w:val="24"/>
          <w:szCs w:val="24"/>
          <w:highlight w:val="none"/>
          <w:lang w:val="en-US" w:eastAsia="zh-CN"/>
        </w:rPr>
        <w:t>（2）6米杆基础</w:t>
      </w:r>
    </w:p>
    <w:p w14:paraId="2A97B5D2">
      <w:pPr>
        <w:tabs>
          <w:tab w:val="left" w:pos="7840"/>
        </w:tabs>
        <w:adjustRightInd w:val="0"/>
        <w:snapToGrid w:val="0"/>
        <w:spacing w:line="400" w:lineRule="exact"/>
        <w:ind w:firstLine="480" w:firstLineChars="200"/>
        <w:rPr>
          <w:color w:val="auto"/>
          <w:sz w:val="24"/>
          <w:szCs w:val="24"/>
          <w:highlight w:val="none"/>
        </w:rPr>
      </w:pPr>
      <w:r>
        <w:rPr>
          <w:rFonts w:hint="eastAsia" w:ascii="仿宋_GB2312" w:hAnsi="仿宋_GB2312" w:eastAsia="仿宋_GB2312" w:cs="仿宋_GB2312"/>
          <w:color w:val="auto"/>
          <w:kern w:val="2"/>
          <w:sz w:val="24"/>
          <w:szCs w:val="24"/>
          <w:highlight w:val="none"/>
          <w:lang w:val="en-US" w:eastAsia="zh-CN"/>
        </w:rPr>
        <w:t>①</w:t>
      </w:r>
      <w:r>
        <w:rPr>
          <w:rFonts w:hint="eastAsia"/>
          <w:color w:val="auto"/>
          <w:sz w:val="24"/>
          <w:szCs w:val="24"/>
          <w:highlight w:val="none"/>
        </w:rPr>
        <w:t>基槽开挖与回填</w:t>
      </w:r>
    </w:p>
    <w:p w14:paraId="30C4D062">
      <w:pPr>
        <w:tabs>
          <w:tab w:val="left" w:pos="7840"/>
        </w:tabs>
        <w:adjustRightInd w:val="0"/>
        <w:snapToGrid w:val="0"/>
        <w:spacing w:line="400" w:lineRule="exact"/>
        <w:ind w:firstLine="480" w:firstLineChars="200"/>
        <w:rPr>
          <w:color w:val="auto"/>
          <w:sz w:val="24"/>
          <w:szCs w:val="24"/>
          <w:highlight w:val="none"/>
        </w:rPr>
      </w:pPr>
      <w:r>
        <w:rPr>
          <w:rFonts w:hint="eastAsia"/>
          <w:color w:val="auto"/>
          <w:sz w:val="24"/>
          <w:szCs w:val="24"/>
          <w:highlight w:val="none"/>
        </w:rPr>
        <w:t>基槽开挖要求开挖到持力层，且持力层地基承载力≥100KPa；如设计标高仍未达到持力层，则应继续挖到指定持力层，再用C15素混凝土回填至设计基底标高。</w:t>
      </w:r>
    </w:p>
    <w:p w14:paraId="6F7AF789">
      <w:pPr>
        <w:tabs>
          <w:tab w:val="left" w:pos="7840"/>
        </w:tabs>
        <w:adjustRightInd w:val="0"/>
        <w:snapToGrid w:val="0"/>
        <w:spacing w:line="400" w:lineRule="exact"/>
        <w:ind w:firstLine="480" w:firstLineChars="200"/>
        <w:rPr>
          <w:color w:val="auto"/>
          <w:sz w:val="24"/>
          <w:szCs w:val="24"/>
          <w:highlight w:val="none"/>
        </w:rPr>
      </w:pPr>
      <w:r>
        <w:rPr>
          <w:rFonts w:hint="eastAsia"/>
          <w:color w:val="auto"/>
          <w:sz w:val="24"/>
          <w:szCs w:val="24"/>
          <w:highlight w:val="none"/>
        </w:rPr>
        <w:t>基槽开挖若无充足场地放坡，应结合施工场地考虑临时支护措施。</w:t>
      </w:r>
    </w:p>
    <w:p w14:paraId="426F5FF6">
      <w:pPr>
        <w:tabs>
          <w:tab w:val="left" w:pos="7840"/>
        </w:tabs>
        <w:adjustRightInd w:val="0"/>
        <w:snapToGrid w:val="0"/>
        <w:spacing w:line="400" w:lineRule="exact"/>
        <w:ind w:firstLine="480" w:firstLineChars="200"/>
        <w:rPr>
          <w:color w:val="auto"/>
          <w:sz w:val="24"/>
          <w:szCs w:val="24"/>
          <w:highlight w:val="none"/>
        </w:rPr>
      </w:pPr>
      <w:r>
        <w:rPr>
          <w:rFonts w:hint="eastAsia"/>
          <w:color w:val="auto"/>
          <w:sz w:val="24"/>
          <w:szCs w:val="24"/>
          <w:highlight w:val="none"/>
        </w:rPr>
        <w:t>基槽开挖时，应尽量减少对基底土的扰动，以免破坏土的原状结构，使地基承载力降低。</w:t>
      </w:r>
    </w:p>
    <w:p w14:paraId="663D1847">
      <w:pPr>
        <w:tabs>
          <w:tab w:val="left" w:pos="7840"/>
        </w:tabs>
        <w:adjustRightInd w:val="0"/>
        <w:snapToGrid w:val="0"/>
        <w:spacing w:line="400" w:lineRule="exact"/>
        <w:ind w:firstLine="480" w:firstLineChars="200"/>
        <w:rPr>
          <w:color w:val="auto"/>
          <w:sz w:val="24"/>
          <w:szCs w:val="24"/>
          <w:highlight w:val="none"/>
        </w:rPr>
      </w:pPr>
      <w:r>
        <w:rPr>
          <w:rFonts w:hint="eastAsia"/>
          <w:color w:val="auto"/>
          <w:sz w:val="24"/>
          <w:szCs w:val="24"/>
          <w:highlight w:val="none"/>
        </w:rPr>
        <w:t>基槽开挖完毕，应会同各有关部门验槽，合格后方可继续施工。</w:t>
      </w:r>
    </w:p>
    <w:p w14:paraId="288F0BD7">
      <w:pPr>
        <w:tabs>
          <w:tab w:val="left" w:pos="7840"/>
        </w:tabs>
        <w:adjustRightInd w:val="0"/>
        <w:snapToGrid w:val="0"/>
        <w:spacing w:line="400" w:lineRule="exact"/>
        <w:ind w:firstLine="480" w:firstLineChars="200"/>
        <w:rPr>
          <w:color w:val="auto"/>
          <w:sz w:val="24"/>
          <w:szCs w:val="24"/>
          <w:highlight w:val="none"/>
        </w:rPr>
      </w:pPr>
      <w:r>
        <w:rPr>
          <w:rFonts w:hint="eastAsia"/>
          <w:color w:val="auto"/>
          <w:sz w:val="24"/>
          <w:szCs w:val="24"/>
          <w:highlight w:val="none"/>
        </w:rPr>
        <w:t>施工完基础后，用粘性土回填，压实系数不小于0.95。</w:t>
      </w:r>
    </w:p>
    <w:p w14:paraId="02869A1C">
      <w:pPr>
        <w:tabs>
          <w:tab w:val="left" w:pos="7840"/>
        </w:tabs>
        <w:adjustRightInd w:val="0"/>
        <w:snapToGrid w:val="0"/>
        <w:spacing w:line="400" w:lineRule="exact"/>
        <w:ind w:firstLine="480" w:firstLineChars="200"/>
        <w:rPr>
          <w:color w:val="auto"/>
          <w:sz w:val="24"/>
          <w:szCs w:val="24"/>
          <w:highlight w:val="none"/>
        </w:rPr>
      </w:pPr>
      <w:r>
        <w:rPr>
          <w:rFonts w:hint="eastAsia" w:ascii="仿宋_GB2312" w:hAnsi="仿宋_GB2312" w:eastAsia="仿宋_GB2312" w:cs="仿宋_GB2312"/>
          <w:color w:val="auto"/>
          <w:kern w:val="2"/>
          <w:sz w:val="24"/>
          <w:szCs w:val="24"/>
          <w:highlight w:val="none"/>
          <w:lang w:val="en-US" w:eastAsia="zh-CN"/>
        </w:rPr>
        <w:t>②</w:t>
      </w:r>
      <w:r>
        <w:rPr>
          <w:rFonts w:hint="eastAsia"/>
          <w:color w:val="auto"/>
          <w:sz w:val="24"/>
          <w:szCs w:val="24"/>
          <w:highlight w:val="none"/>
        </w:rPr>
        <w:t>基槽降水</w:t>
      </w:r>
    </w:p>
    <w:p w14:paraId="588D140F">
      <w:pPr>
        <w:tabs>
          <w:tab w:val="left" w:pos="7840"/>
        </w:tabs>
        <w:adjustRightInd w:val="0"/>
        <w:snapToGrid w:val="0"/>
        <w:spacing w:line="400" w:lineRule="exact"/>
        <w:ind w:firstLine="480" w:firstLineChars="200"/>
        <w:rPr>
          <w:color w:val="auto"/>
          <w:sz w:val="24"/>
          <w:szCs w:val="24"/>
          <w:highlight w:val="none"/>
        </w:rPr>
      </w:pPr>
      <w:r>
        <w:rPr>
          <w:rFonts w:hint="eastAsia"/>
          <w:color w:val="auto"/>
          <w:sz w:val="24"/>
          <w:szCs w:val="24"/>
          <w:highlight w:val="none"/>
        </w:rPr>
        <w:t>由于施工场地可能位于河道滩地或堤脚，应结合临时支护措施合理设置基坑降排水方案。</w:t>
      </w:r>
    </w:p>
    <w:p w14:paraId="44D24234">
      <w:pPr>
        <w:tabs>
          <w:tab w:val="left" w:pos="7840"/>
        </w:tabs>
        <w:adjustRightInd w:val="0"/>
        <w:snapToGrid w:val="0"/>
        <w:spacing w:line="400" w:lineRule="exact"/>
        <w:ind w:firstLine="480" w:firstLineChars="200"/>
        <w:rPr>
          <w:rFonts w:hint="eastAsia"/>
          <w:color w:val="auto"/>
          <w:sz w:val="24"/>
          <w:szCs w:val="24"/>
          <w:highlight w:val="none"/>
          <w:lang w:eastAsia="zh-CN"/>
        </w:rPr>
      </w:pPr>
      <w:r>
        <w:rPr>
          <w:rFonts w:hint="eastAsia"/>
          <w:color w:val="auto"/>
          <w:sz w:val="24"/>
          <w:szCs w:val="24"/>
          <w:highlight w:val="none"/>
          <w:lang w:val="en-US" w:eastAsia="zh-CN"/>
        </w:rPr>
        <w:t>③</w:t>
      </w:r>
      <w:r>
        <w:rPr>
          <w:rFonts w:hint="eastAsia"/>
          <w:color w:val="auto"/>
          <w:sz w:val="24"/>
          <w:szCs w:val="24"/>
          <w:highlight w:val="none"/>
        </w:rPr>
        <w:t>混凝土与钢筋</w:t>
      </w:r>
      <w:r>
        <w:rPr>
          <w:rFonts w:hint="eastAsia"/>
          <w:color w:val="auto"/>
          <w:sz w:val="24"/>
          <w:szCs w:val="24"/>
          <w:highlight w:val="none"/>
          <w:lang w:eastAsia="zh-CN"/>
        </w:rPr>
        <w:t>（</w:t>
      </w:r>
      <w:r>
        <w:rPr>
          <w:rFonts w:hint="eastAsia"/>
          <w:color w:val="auto"/>
          <w:sz w:val="24"/>
          <w:szCs w:val="24"/>
          <w:highlight w:val="none"/>
          <w:lang w:val="en-US" w:eastAsia="zh-CN"/>
        </w:rPr>
        <w:t>C35商混基础，</w:t>
      </w:r>
      <w:r>
        <w:rPr>
          <w:rFonts w:hint="eastAsia"/>
          <w:color w:val="FF0000"/>
          <w:sz w:val="24"/>
          <w:szCs w:val="24"/>
          <w:highlight w:val="none"/>
          <w:lang w:val="en-US" w:eastAsia="zh-CN"/>
        </w:rPr>
        <w:t>尺寸不小于800mm*800mm*1000mm；现场不支持商混进场的情况下，进建设单位确定，可下降商混至C25。</w:t>
      </w:r>
      <w:r>
        <w:rPr>
          <w:rFonts w:hint="eastAsia"/>
          <w:color w:val="auto"/>
          <w:sz w:val="24"/>
          <w:szCs w:val="24"/>
          <w:highlight w:val="none"/>
          <w:lang w:eastAsia="zh-CN"/>
        </w:rPr>
        <w:t>）</w:t>
      </w:r>
    </w:p>
    <w:p w14:paraId="04A45778">
      <w:pPr>
        <w:tabs>
          <w:tab w:val="left" w:pos="7840"/>
        </w:tabs>
        <w:adjustRightInd w:val="0"/>
        <w:snapToGrid w:val="0"/>
        <w:spacing w:line="400" w:lineRule="exact"/>
        <w:ind w:firstLine="480" w:firstLineChars="200"/>
        <w:rPr>
          <w:color w:val="auto"/>
          <w:sz w:val="24"/>
          <w:szCs w:val="24"/>
          <w:highlight w:val="none"/>
        </w:rPr>
      </w:pPr>
      <w:r>
        <w:rPr>
          <w:rFonts w:hint="eastAsia"/>
          <w:color w:val="auto"/>
          <w:sz w:val="24"/>
          <w:szCs w:val="24"/>
          <w:highlight w:val="none"/>
        </w:rPr>
        <w:t>混凝土所用水泥强度等级应与混凝土设计强度相适应，采用普通硅酸盐水泥应符合国家标准。粗骨料宜用质地坚硬，粒形级配良好的碎石卵石，不得使用未经分级的混合石子，其质量标准应符合有关规定。细骨料宜采用质地坚硬、颗粒洁净、级配良好的天然砂，其质量标准应符合有关规定。混凝土的配合比应通过试验选定，混凝土拌制运输和养护应符合有关规定。混凝土施工过程中，若气温降至低于0°C时 ，应采取有效保温防护措施。</w:t>
      </w:r>
    </w:p>
    <w:p w14:paraId="165AA086">
      <w:pPr>
        <w:tabs>
          <w:tab w:val="left" w:pos="7840"/>
        </w:tabs>
        <w:adjustRightInd w:val="0"/>
        <w:snapToGrid w:val="0"/>
        <w:spacing w:line="400" w:lineRule="exact"/>
        <w:ind w:firstLine="480" w:firstLineChars="200"/>
        <w:rPr>
          <w:color w:val="auto"/>
          <w:sz w:val="24"/>
          <w:szCs w:val="24"/>
          <w:highlight w:val="none"/>
        </w:rPr>
      </w:pPr>
      <w:r>
        <w:rPr>
          <w:rFonts w:hint="eastAsia"/>
          <w:color w:val="auto"/>
          <w:sz w:val="24"/>
          <w:szCs w:val="24"/>
          <w:highlight w:val="none"/>
        </w:rPr>
        <w:t>钢筋：钢筋保护层厚度为50mm；钢筋的连接均采用焊接；焊接接头质量符合有关规范；钢筋锚固长度≥40d，焊接长度≥35d。本工程钢筋混凝土结构所用钢筋为热轧钢筋HPB235和HRB400，钢筋的机械性能应符合国家标准；钢筋应有出厂质量保证书和试验报告单，使用前仍应作拉力延伸率冷弯试验，需要焊接的钢筋，应作焊接工艺试验。钢筋需要代换时，应符合水工钢筋混凝土结构设计规范的规定，并应征得设计单位同意。钢筋的直径、安装位置、间距及各部分钢筋的大小尺寸，均应符合设计图纸的规定，钢筋下面或钢筋与模板间，应设足够数量强度高于构件设计强度、质量合格的混凝土垫块；侧面使用的垫块应埋设铁丝，并与钢筋扎紧；所有垫块互相错开分散布置。</w:t>
      </w:r>
    </w:p>
    <w:p w14:paraId="61037F66">
      <w:pPr>
        <w:tabs>
          <w:tab w:val="left" w:pos="7840"/>
        </w:tabs>
        <w:adjustRightInd w:val="0"/>
        <w:snapToGrid w:val="0"/>
        <w:spacing w:line="400" w:lineRule="exact"/>
        <w:ind w:firstLine="480" w:firstLineChars="200"/>
        <w:rPr>
          <w:rFonts w:hint="eastAsia"/>
          <w:color w:val="auto"/>
          <w:sz w:val="24"/>
          <w:szCs w:val="24"/>
          <w:highlight w:val="none"/>
          <w:lang w:val="en-US" w:eastAsia="en-US"/>
        </w:rPr>
      </w:pPr>
      <w:r>
        <w:rPr>
          <w:rFonts w:hint="eastAsia"/>
          <w:color w:val="auto"/>
          <w:sz w:val="24"/>
          <w:szCs w:val="24"/>
          <w:highlight w:val="none"/>
          <w:lang w:val="en-US" w:eastAsia="zh-CN"/>
        </w:rPr>
        <w:t>④</w:t>
      </w:r>
      <w:r>
        <w:rPr>
          <w:rFonts w:hint="eastAsia"/>
          <w:color w:val="auto"/>
          <w:sz w:val="24"/>
          <w:szCs w:val="24"/>
          <w:highlight w:val="none"/>
          <w:lang w:val="en-US" w:eastAsia="en-US"/>
        </w:rPr>
        <w:t>防雷及接地</w:t>
      </w:r>
    </w:p>
    <w:p w14:paraId="24FD021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4"/>
          <w:highlight w:val="none"/>
          <w:lang w:val="en-US" w:eastAsia="en-US"/>
        </w:rPr>
      </w:pPr>
      <w:r>
        <w:rPr>
          <w:rFonts w:hint="eastAsia" w:ascii="宋体" w:hAnsi="宋体" w:eastAsia="宋体" w:cs="@仿宋_GB2312"/>
          <w:color w:val="auto"/>
          <w:kern w:val="2"/>
          <w:sz w:val="24"/>
          <w:szCs w:val="24"/>
          <w:highlight w:val="none"/>
          <w:lang w:val="en-US" w:eastAsia="en-US"/>
        </w:rPr>
        <w:t>视频立杆的防雷和接地是设备安全运行的保证，系统设施的雷击过电压及电磁干扰防护，是保护通信线路、设备及人身安全的重要技术手段，是确保通信线路畅通、设备安全运行不可缺少的技术环节。视频立杆和太阳能电池板在室外安装，易引雷，为保护设备，在充电控制器前端加装直流电源避雷器。各避雷器接地线应可靠连接接地端子，接地端子由40×4mm的镀锌扁钢连接接地体，接地体接地电阻要求不大于10Ω。</w:t>
      </w:r>
    </w:p>
    <w:p w14:paraId="0463A21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4"/>
          <w:highlight w:val="none"/>
          <w:lang w:val="en-US" w:eastAsia="en-US"/>
        </w:rPr>
      </w:pPr>
      <w:r>
        <w:rPr>
          <w:rFonts w:hint="eastAsia" w:ascii="宋体" w:hAnsi="宋体" w:eastAsia="宋体" w:cs="@仿宋_GB2312"/>
          <w:color w:val="auto"/>
          <w:kern w:val="2"/>
          <w:sz w:val="24"/>
          <w:szCs w:val="24"/>
          <w:highlight w:val="none"/>
          <w:lang w:val="en-US" w:eastAsia="en-US"/>
        </w:rPr>
        <w:t>防雷接地网的制作</w:t>
      </w:r>
      <w:r>
        <w:rPr>
          <w:rFonts w:hint="eastAsia" w:cs="@仿宋_GB2312"/>
          <w:color w:val="auto"/>
          <w:kern w:val="2"/>
          <w:sz w:val="24"/>
          <w:szCs w:val="24"/>
          <w:highlight w:val="none"/>
          <w:lang w:val="en-US" w:eastAsia="zh-CN"/>
        </w:rPr>
        <w:t>:</w:t>
      </w:r>
      <w:r>
        <w:rPr>
          <w:rFonts w:hint="eastAsia" w:ascii="宋体" w:hAnsi="宋体" w:eastAsia="宋体" w:cs="@仿宋_GB2312"/>
          <w:color w:val="auto"/>
          <w:kern w:val="2"/>
          <w:sz w:val="24"/>
          <w:szCs w:val="24"/>
          <w:highlight w:val="none"/>
          <w:lang w:val="en-US" w:eastAsia="en-US"/>
        </w:rPr>
        <w:t>接地网的垂直接地极采用不小于φ40×4mm,长度2.5m的热镀锌钢管4根，呈直线排列垂直打入土壤中，间距2-2.5m,上端距地面不小于0.8m,钢管之间用扁钢焊接在一起，需两面焊接，焊口作防腐处理(刷黑漆或沥青)。用2根40×4mm扁钢连接接地网和接地端子，扁钢与接地端子之间有连接板连接。接地电阻的阻值不大于10</w:t>
      </w:r>
      <w:r>
        <w:rPr>
          <w:rFonts w:hint="eastAsia" w:ascii="宋体" w:hAnsi="宋体" w:eastAsia="宋体" w:cs="@仿宋_GB2312"/>
          <w:color w:val="auto"/>
          <w:kern w:val="2"/>
          <w:sz w:val="24"/>
          <w:szCs w:val="24"/>
          <w:highlight w:val="none"/>
          <w:lang w:val="en-US" w:eastAsia="zh-CN"/>
        </w:rPr>
        <w:t>Ω</w:t>
      </w:r>
      <w:r>
        <w:rPr>
          <w:rFonts w:hint="eastAsia" w:ascii="宋体" w:hAnsi="宋体" w:eastAsia="宋体" w:cs="@仿宋_GB2312"/>
          <w:color w:val="auto"/>
          <w:kern w:val="2"/>
          <w:sz w:val="24"/>
          <w:szCs w:val="24"/>
          <w:highlight w:val="none"/>
          <w:lang w:val="en-US" w:eastAsia="en-US"/>
        </w:rPr>
        <w:t>。如地阻阻值达不到规范要求，需按上述方法再加一组地极，直至达到规范要求。</w:t>
      </w:r>
    </w:p>
    <w:p w14:paraId="0098E3B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4"/>
          <w:highlight w:val="none"/>
          <w:lang w:val="en-US" w:eastAsia="en-US"/>
        </w:rPr>
      </w:pPr>
      <w:r>
        <w:rPr>
          <w:rFonts w:hint="eastAsia" w:ascii="宋体" w:hAnsi="宋体" w:eastAsia="宋体" w:cs="@仿宋_GB2312"/>
          <w:color w:val="auto"/>
          <w:kern w:val="2"/>
          <w:sz w:val="24"/>
          <w:szCs w:val="24"/>
          <w:highlight w:val="none"/>
          <w:lang w:val="en-US" w:eastAsia="en-US"/>
        </w:rPr>
        <w:t>安装位置附近无可利用的接地系统时，必须单独设计地网，地网的制作规格如下：</w:t>
      </w:r>
    </w:p>
    <w:p w14:paraId="2BFE6C5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4"/>
          <w:highlight w:val="none"/>
          <w:lang w:val="en-US" w:eastAsia="en-US"/>
        </w:rPr>
      </w:pPr>
      <w:r>
        <w:rPr>
          <w:rFonts w:hint="eastAsia" w:ascii="宋体" w:hAnsi="宋体" w:eastAsia="宋体" w:cs="@仿宋_GB2312"/>
          <w:color w:val="auto"/>
          <w:kern w:val="2"/>
          <w:sz w:val="24"/>
          <w:szCs w:val="24"/>
          <w:highlight w:val="none"/>
          <w:lang w:val="en-US" w:eastAsia="en-US"/>
        </w:rPr>
        <w:t>接地体通常使用φ50×4mm镀锌钢管或50mm×5mm热镀锌角钢，接地体之间用40mm×4mm</w:t>
      </w:r>
    </w:p>
    <w:p w14:paraId="7A5276D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4"/>
          <w:highlight w:val="none"/>
          <w:lang w:val="en-US" w:eastAsia="en-US"/>
        </w:rPr>
      </w:pPr>
      <w:r>
        <w:rPr>
          <w:rFonts w:hint="eastAsia" w:ascii="宋体" w:hAnsi="宋体" w:eastAsia="宋体" w:cs="@仿宋_GB2312"/>
          <w:color w:val="auto"/>
          <w:kern w:val="2"/>
          <w:sz w:val="24"/>
          <w:szCs w:val="24"/>
          <w:highlight w:val="none"/>
          <w:lang w:val="en-US" w:eastAsia="en-US"/>
        </w:rPr>
        <w:t>热镀锌扁钢可靠焊接，焊接长度大于10cm。</w:t>
      </w:r>
    </w:p>
    <w:p w14:paraId="31FC509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4"/>
          <w:highlight w:val="none"/>
          <w:lang w:val="en-US" w:eastAsia="en-US"/>
        </w:rPr>
      </w:pPr>
      <w:r>
        <w:rPr>
          <w:rFonts w:hint="eastAsia" w:ascii="宋体" w:hAnsi="宋体" w:eastAsia="宋体" w:cs="@仿宋_GB2312"/>
          <w:color w:val="auto"/>
          <w:kern w:val="2"/>
          <w:sz w:val="24"/>
          <w:szCs w:val="24"/>
          <w:highlight w:val="none"/>
          <w:lang w:val="en-US" w:eastAsia="en-US"/>
        </w:rPr>
        <w:t>接地体数量根据土质而定，如接地电阻达不到要求，可以增加接地体的数量。</w:t>
      </w:r>
    </w:p>
    <w:p w14:paraId="345938D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4"/>
          <w:highlight w:val="none"/>
          <w:lang w:val="en-US" w:eastAsia="en-US"/>
        </w:rPr>
      </w:pPr>
      <w:r>
        <w:rPr>
          <w:rFonts w:hint="eastAsia" w:ascii="宋体" w:hAnsi="宋体" w:eastAsia="宋体" w:cs="@仿宋_GB2312"/>
          <w:color w:val="auto"/>
          <w:kern w:val="2"/>
          <w:sz w:val="24"/>
          <w:szCs w:val="24"/>
          <w:highlight w:val="none"/>
          <w:lang w:val="en-US" w:eastAsia="en-US"/>
        </w:rPr>
        <w:t>接地体安装完成后，应使用接地摇表测量接地电阻大小，要求接地电阻小于10Ω。</w:t>
      </w:r>
    </w:p>
    <w:p w14:paraId="062D0B9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4"/>
          <w:highlight w:val="none"/>
          <w:lang w:val="en-US" w:eastAsia="en-US"/>
        </w:rPr>
      </w:pPr>
      <w:r>
        <w:rPr>
          <w:rFonts w:hint="eastAsia" w:ascii="宋体" w:hAnsi="宋体" w:eastAsia="宋体" w:cs="@仿宋_GB2312"/>
          <w:color w:val="auto"/>
          <w:kern w:val="2"/>
          <w:sz w:val="24"/>
          <w:szCs w:val="24"/>
          <w:highlight w:val="none"/>
          <w:lang w:val="en-US" w:eastAsia="en-US"/>
        </w:rPr>
        <w:t>注意雨后不应立即测量电阻。</w:t>
      </w:r>
    </w:p>
    <w:p w14:paraId="4165C44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4"/>
          <w:highlight w:val="none"/>
          <w:lang w:val="en-US" w:eastAsia="en-US"/>
        </w:rPr>
      </w:pPr>
      <w:r>
        <w:rPr>
          <w:rFonts w:hint="eastAsia" w:ascii="宋体" w:hAnsi="宋体" w:eastAsia="宋体" w:cs="@仿宋_GB2312"/>
          <w:color w:val="auto"/>
          <w:kern w:val="2"/>
          <w:sz w:val="24"/>
          <w:szCs w:val="24"/>
          <w:highlight w:val="none"/>
          <w:lang w:val="en-US" w:eastAsia="en-US"/>
        </w:rPr>
        <w:t>接地体应作完善的防腐处理，接地体外型示意图如下所示：</w:t>
      </w:r>
    </w:p>
    <w:p w14:paraId="508233E5">
      <w:pPr>
        <w:numPr>
          <w:ilvl w:val="0"/>
          <w:numId w:val="0"/>
        </w:numPr>
        <w:bidi w:val="0"/>
        <w:ind w:leftChars="0" w:firstLine="420" w:firstLineChars="200"/>
        <w:jc w:val="both"/>
        <w:outlineLvl w:val="9"/>
        <w:rPr>
          <w:rFonts w:hint="eastAsia" w:eastAsia="宋体"/>
          <w:color w:val="auto"/>
          <w:sz w:val="21"/>
          <w:szCs w:val="21"/>
          <w:highlight w:val="none"/>
          <w:lang w:eastAsia="zh-CN"/>
        </w:rPr>
      </w:pPr>
      <w:r>
        <w:rPr>
          <w:rFonts w:hint="eastAsia" w:eastAsia="宋体"/>
          <w:color w:val="auto"/>
          <w:sz w:val="21"/>
          <w:szCs w:val="21"/>
          <w:highlight w:val="none"/>
          <w:lang w:eastAsia="zh-CN"/>
        </w:rPr>
        <w:drawing>
          <wp:inline distT="0" distB="0" distL="114300" distR="114300">
            <wp:extent cx="5574665" cy="2752725"/>
            <wp:effectExtent l="9525" t="9525" r="16510" b="19050"/>
            <wp:docPr id="1" name="图片 1" descr="1740552178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40552178900"/>
                    <pic:cNvPicPr>
                      <a:picLocks noChangeAspect="1"/>
                    </pic:cNvPicPr>
                  </pic:nvPicPr>
                  <pic:blipFill>
                    <a:blip r:embed="rId10"/>
                    <a:stretch>
                      <a:fillRect/>
                    </a:stretch>
                  </pic:blipFill>
                  <pic:spPr>
                    <a:xfrm>
                      <a:off x="0" y="0"/>
                      <a:ext cx="5574665" cy="2752725"/>
                    </a:xfrm>
                    <a:prstGeom prst="rect">
                      <a:avLst/>
                    </a:prstGeom>
                    <a:noFill/>
                    <a:ln w="9525" cap="flat" cmpd="sng">
                      <a:solidFill>
                        <a:srgbClr val="000000"/>
                      </a:solidFill>
                      <a:prstDash val="solid"/>
                      <a:round/>
                      <a:headEnd type="none" w="med" len="med"/>
                      <a:tailEnd type="none" w="med" len="med"/>
                    </a:ln>
                  </pic:spPr>
                </pic:pic>
              </a:graphicData>
            </a:graphic>
          </wp:inline>
        </w:drawing>
      </w:r>
    </w:p>
    <w:p w14:paraId="0665C8D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4"/>
          <w:highlight w:val="none"/>
          <w:lang w:val="en-US" w:eastAsia="en-US"/>
        </w:rPr>
      </w:pPr>
      <w:r>
        <w:rPr>
          <w:rFonts w:hint="eastAsia" w:ascii="宋体" w:hAnsi="宋体" w:eastAsia="宋体" w:cs="@仿宋_GB2312"/>
          <w:color w:val="auto"/>
          <w:kern w:val="2"/>
          <w:sz w:val="24"/>
          <w:szCs w:val="24"/>
          <w:highlight w:val="none"/>
          <w:lang w:val="en-US" w:eastAsia="en-US"/>
        </w:rPr>
        <w:t>工艺要求</w:t>
      </w:r>
      <w:r>
        <w:rPr>
          <w:rFonts w:hint="eastAsia" w:cs="@仿宋_GB2312"/>
          <w:color w:val="auto"/>
          <w:kern w:val="2"/>
          <w:sz w:val="24"/>
          <w:szCs w:val="24"/>
          <w:highlight w:val="none"/>
          <w:lang w:val="en-US" w:eastAsia="zh-CN"/>
        </w:rPr>
        <w:t>:</w:t>
      </w:r>
      <w:r>
        <w:rPr>
          <w:rFonts w:hint="eastAsia" w:ascii="宋体" w:hAnsi="宋体" w:eastAsia="宋体" w:cs="@仿宋_GB2312"/>
          <w:color w:val="auto"/>
          <w:kern w:val="2"/>
          <w:sz w:val="24"/>
          <w:szCs w:val="24"/>
          <w:highlight w:val="none"/>
          <w:lang w:val="en-US" w:eastAsia="en-US"/>
        </w:rPr>
        <w:t>A.所有接地扁钢材料均须经热镀锌处理，接地扁钢采用50×4mm扁钢。B.所有垂直接地极采用热镀锌钢管，不小于50×4mm,长度不小于2.5m。C.接地线的连接应采用焊接，焊接处应作防腐处理，露出地面的地线和接头应采用防锈措施，如刷沥青、黑漆等。</w:t>
      </w:r>
    </w:p>
    <w:p w14:paraId="5E3BE54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4"/>
          <w:highlight w:val="none"/>
          <w:lang w:val="en-US" w:eastAsia="en-US"/>
        </w:rPr>
      </w:pPr>
      <w:r>
        <w:rPr>
          <w:rFonts w:hint="eastAsia" w:ascii="宋体" w:hAnsi="宋体" w:eastAsia="宋体" w:cs="@仿宋_GB2312"/>
          <w:color w:val="auto"/>
          <w:kern w:val="2"/>
          <w:sz w:val="24"/>
          <w:szCs w:val="24"/>
          <w:highlight w:val="none"/>
          <w:lang w:val="en-US" w:eastAsia="en-US"/>
        </w:rPr>
        <w:t>安装要求</w:t>
      </w:r>
      <w:r>
        <w:rPr>
          <w:rFonts w:hint="eastAsia" w:cs="@仿宋_GB2312"/>
          <w:color w:val="auto"/>
          <w:kern w:val="2"/>
          <w:sz w:val="24"/>
          <w:szCs w:val="24"/>
          <w:highlight w:val="none"/>
          <w:lang w:val="en-US" w:eastAsia="zh-CN"/>
        </w:rPr>
        <w:t>:</w:t>
      </w:r>
      <w:r>
        <w:rPr>
          <w:rFonts w:hint="eastAsia" w:ascii="宋体" w:hAnsi="宋体" w:eastAsia="宋体" w:cs="@仿宋_GB2312"/>
          <w:color w:val="auto"/>
          <w:kern w:val="2"/>
          <w:sz w:val="24"/>
          <w:szCs w:val="24"/>
          <w:highlight w:val="none"/>
          <w:lang w:val="en-US" w:eastAsia="en-US"/>
        </w:rPr>
        <w:t>应符合现行国家标准《电气装置安装工程电缆线路施工及验收规范》的有关规定；接地体的焊接应采用搭焊，搭焊长度为圆钢直径的6倍；接地体安装点下方应无任何管道、线缆经过。</w:t>
      </w:r>
    </w:p>
    <w:p w14:paraId="7FF0C4E6">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仿宋_GB2312"/>
          <w:b/>
          <w:bCs/>
          <w:strike w:val="0"/>
          <w:dstrike w:val="0"/>
          <w:color w:val="FF0000"/>
          <w:kern w:val="2"/>
          <w:sz w:val="24"/>
          <w:szCs w:val="24"/>
          <w:highlight w:val="none"/>
          <w:u w:val="single"/>
          <w:lang w:val="en-US" w:eastAsia="en-US"/>
        </w:rPr>
      </w:pPr>
      <w:r>
        <w:rPr>
          <w:rFonts w:hint="eastAsia" w:ascii="宋体" w:hAnsi="宋体" w:cs="@仿宋_GB2312"/>
          <w:b/>
          <w:bCs/>
          <w:strike w:val="0"/>
          <w:dstrike w:val="0"/>
          <w:color w:val="auto"/>
          <w:kern w:val="2"/>
          <w:sz w:val="24"/>
          <w:szCs w:val="24"/>
          <w:highlight w:val="none"/>
          <w:u w:val="single"/>
          <w:lang w:val="en-US" w:eastAsia="zh-CN"/>
        </w:rPr>
        <w:t>6</w:t>
      </w:r>
      <w:r>
        <w:rPr>
          <w:rFonts w:hint="eastAsia" w:ascii="宋体" w:hAnsi="宋体" w:eastAsia="宋体" w:cs="@仿宋_GB2312"/>
          <w:b/>
          <w:bCs/>
          <w:strike w:val="0"/>
          <w:dstrike w:val="0"/>
          <w:color w:val="auto"/>
          <w:kern w:val="2"/>
          <w:sz w:val="24"/>
          <w:szCs w:val="24"/>
          <w:highlight w:val="none"/>
          <w:u w:val="single"/>
          <w:lang w:val="en-US" w:eastAsia="zh-CN"/>
        </w:rPr>
        <w:t>米杆</w:t>
      </w:r>
      <w:r>
        <w:rPr>
          <w:rFonts w:hint="eastAsia" w:ascii="宋体" w:hAnsi="宋体" w:cs="@仿宋_GB2312"/>
          <w:b/>
          <w:bCs/>
          <w:strike w:val="0"/>
          <w:dstrike w:val="0"/>
          <w:color w:val="auto"/>
          <w:kern w:val="2"/>
          <w:sz w:val="24"/>
          <w:szCs w:val="24"/>
          <w:highlight w:val="none"/>
          <w:u w:val="single"/>
          <w:lang w:val="en-US" w:eastAsia="zh-CN"/>
        </w:rPr>
        <w:t>杆件及</w:t>
      </w:r>
      <w:r>
        <w:rPr>
          <w:rFonts w:hint="eastAsia" w:ascii="宋体" w:hAnsi="宋体" w:eastAsia="宋体" w:cs="@仿宋_GB2312"/>
          <w:b/>
          <w:bCs/>
          <w:strike w:val="0"/>
          <w:dstrike w:val="0"/>
          <w:color w:val="auto"/>
          <w:kern w:val="2"/>
          <w:sz w:val="24"/>
          <w:szCs w:val="24"/>
          <w:highlight w:val="none"/>
          <w:u w:val="single"/>
          <w:lang w:val="en-US" w:eastAsia="zh-CN"/>
        </w:rPr>
        <w:t>基础要求：</w:t>
      </w:r>
      <w:r>
        <w:rPr>
          <w:rFonts w:hint="eastAsia" w:ascii="宋体" w:hAnsi="宋体" w:eastAsia="宋体" w:cs="@仿宋_GB2312"/>
          <w:b/>
          <w:bCs/>
          <w:strike w:val="0"/>
          <w:dstrike w:val="0"/>
          <w:color w:val="auto"/>
          <w:kern w:val="2"/>
          <w:sz w:val="24"/>
          <w:szCs w:val="24"/>
          <w:highlight w:val="none"/>
          <w:u w:val="single"/>
          <w:lang w:val="en-US" w:eastAsia="en-US"/>
        </w:rPr>
        <w:t>合同签署7日内，成交供应商</w:t>
      </w:r>
      <w:r>
        <w:rPr>
          <w:rFonts w:hint="eastAsia" w:cs="@仿宋_GB2312"/>
          <w:b/>
          <w:bCs/>
          <w:strike w:val="0"/>
          <w:dstrike w:val="0"/>
          <w:color w:val="auto"/>
          <w:kern w:val="2"/>
          <w:sz w:val="24"/>
          <w:szCs w:val="24"/>
          <w:highlight w:val="none"/>
          <w:u w:val="single"/>
          <w:lang w:val="en-US" w:eastAsia="zh-CN"/>
        </w:rPr>
        <w:t>委托具体相关资质的设计单位</w:t>
      </w:r>
      <w:r>
        <w:rPr>
          <w:rFonts w:hint="eastAsia" w:ascii="宋体" w:hAnsi="宋体" w:eastAsia="宋体" w:cs="@仿宋_GB2312"/>
          <w:b/>
          <w:bCs/>
          <w:strike w:val="0"/>
          <w:dstrike w:val="0"/>
          <w:color w:val="auto"/>
          <w:kern w:val="2"/>
          <w:sz w:val="24"/>
          <w:szCs w:val="24"/>
          <w:highlight w:val="none"/>
          <w:u w:val="single"/>
          <w:lang w:val="en-US" w:eastAsia="en-US"/>
        </w:rPr>
        <w:t>提供</w:t>
      </w:r>
      <w:r>
        <w:rPr>
          <w:rFonts w:hint="eastAsia" w:ascii="宋体" w:hAnsi="宋体" w:eastAsia="宋体" w:cs="@仿宋_GB2312"/>
          <w:b/>
          <w:bCs/>
          <w:strike w:val="0"/>
          <w:dstrike w:val="0"/>
          <w:color w:val="auto"/>
          <w:kern w:val="2"/>
          <w:sz w:val="24"/>
          <w:szCs w:val="24"/>
          <w:highlight w:val="none"/>
          <w:u w:val="single"/>
          <w:lang w:val="en-US" w:eastAsia="zh-CN"/>
        </w:rPr>
        <w:t>立杆设计图（CAD图）、</w:t>
      </w:r>
      <w:r>
        <w:rPr>
          <w:rFonts w:hint="eastAsia" w:ascii="宋体" w:hAnsi="宋体" w:eastAsia="宋体" w:cs="@仿宋_GB2312"/>
          <w:b/>
          <w:bCs/>
          <w:strike w:val="0"/>
          <w:dstrike w:val="0"/>
          <w:color w:val="auto"/>
          <w:kern w:val="2"/>
          <w:sz w:val="24"/>
          <w:szCs w:val="24"/>
          <w:highlight w:val="none"/>
          <w:u w:val="single"/>
          <w:lang w:val="en-US" w:eastAsia="en-US"/>
        </w:rPr>
        <w:t>基础施工图纸，经采购人确认后方可实施。</w:t>
      </w:r>
    </w:p>
    <w:p w14:paraId="3FD35A6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仿宋_GB2312"/>
          <w:b/>
          <w:bCs/>
          <w:color w:val="auto"/>
          <w:kern w:val="2"/>
          <w:sz w:val="24"/>
          <w:szCs w:val="24"/>
          <w:highlight w:val="none"/>
          <w:lang w:val="en-US" w:eastAsia="en-US"/>
        </w:rPr>
      </w:pPr>
      <w:r>
        <w:rPr>
          <w:rFonts w:hint="eastAsia" w:ascii="宋体" w:hAnsi="宋体" w:eastAsia="宋体" w:cs="@仿宋_GB2312"/>
          <w:b/>
          <w:bCs/>
          <w:color w:val="auto"/>
          <w:kern w:val="2"/>
          <w:sz w:val="24"/>
          <w:szCs w:val="24"/>
          <w:highlight w:val="none"/>
          <w:lang w:val="en-US" w:eastAsia="zh-CN"/>
        </w:rPr>
        <w:t>（</w:t>
      </w:r>
      <w:r>
        <w:rPr>
          <w:rFonts w:hint="eastAsia" w:cs="@仿宋_GB2312"/>
          <w:b/>
          <w:bCs/>
          <w:color w:val="auto"/>
          <w:kern w:val="2"/>
          <w:sz w:val="24"/>
          <w:szCs w:val="24"/>
          <w:highlight w:val="none"/>
          <w:lang w:val="en-US" w:eastAsia="zh-CN"/>
        </w:rPr>
        <w:t>3</w:t>
      </w:r>
      <w:r>
        <w:rPr>
          <w:rFonts w:hint="eastAsia" w:ascii="宋体" w:hAnsi="宋体" w:eastAsia="宋体" w:cs="@仿宋_GB2312"/>
          <w:b/>
          <w:bCs/>
          <w:color w:val="auto"/>
          <w:kern w:val="2"/>
          <w:sz w:val="24"/>
          <w:szCs w:val="24"/>
          <w:highlight w:val="none"/>
          <w:lang w:val="en-US" w:eastAsia="zh-CN"/>
        </w:rPr>
        <w:t>）</w:t>
      </w:r>
      <w:r>
        <w:rPr>
          <w:rFonts w:hint="eastAsia" w:cs="@仿宋_GB2312"/>
          <w:b/>
          <w:bCs/>
          <w:color w:val="auto"/>
          <w:kern w:val="2"/>
          <w:sz w:val="24"/>
          <w:szCs w:val="24"/>
          <w:highlight w:val="none"/>
          <w:lang w:val="en-US" w:eastAsia="zh-CN"/>
        </w:rPr>
        <w:t>8米</w:t>
      </w:r>
      <w:r>
        <w:rPr>
          <w:rFonts w:hint="eastAsia" w:ascii="宋体" w:hAnsi="宋体" w:eastAsia="宋体" w:cs="@仿宋_GB2312"/>
          <w:b/>
          <w:bCs/>
          <w:color w:val="auto"/>
          <w:kern w:val="2"/>
          <w:sz w:val="24"/>
          <w:szCs w:val="24"/>
          <w:highlight w:val="none"/>
          <w:lang w:val="en-US" w:eastAsia="en-US"/>
        </w:rPr>
        <w:t>立杆</w:t>
      </w:r>
    </w:p>
    <w:p w14:paraId="57E148E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color w:val="auto"/>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采购人提供的8米</w:t>
      </w:r>
      <w:r>
        <w:rPr>
          <w:rFonts w:hint="eastAsia" w:ascii="宋体" w:hAnsi="宋体" w:eastAsia="宋体" w:cs="@仿宋_GB2312"/>
          <w:color w:val="auto"/>
          <w:kern w:val="2"/>
          <w:sz w:val="24"/>
          <w:szCs w:val="24"/>
          <w:highlight w:val="none"/>
          <w:lang w:val="en-US" w:eastAsia="en-US"/>
        </w:rPr>
        <w:t>立杆</w:t>
      </w:r>
      <w:r>
        <w:rPr>
          <w:rFonts w:hint="eastAsia" w:ascii="宋体" w:hAnsi="宋体" w:eastAsia="宋体" w:cs="@仿宋_GB2312"/>
          <w:color w:val="auto"/>
          <w:kern w:val="2"/>
          <w:sz w:val="24"/>
          <w:szCs w:val="24"/>
          <w:highlight w:val="none"/>
          <w:lang w:val="en-US" w:eastAsia="zh-CN"/>
        </w:rPr>
        <w:t>原设计图如下，供供应商参考编制改造图纸和基础图纸使用。</w:t>
      </w:r>
    </w:p>
    <w:p w14:paraId="022CBB01">
      <w:pPr>
        <w:bidi w:val="0"/>
        <w:ind w:left="0" w:leftChars="0" w:firstLine="0" w:firstLineChars="0"/>
        <w:jc w:val="center"/>
        <w:outlineLvl w:val="9"/>
        <w:rPr>
          <w:rFonts w:hint="eastAsia"/>
          <w:b/>
          <w:bCs/>
          <w:strike/>
          <w:dstrike w:val="0"/>
          <w:color w:val="auto"/>
          <w:highlight w:val="none"/>
          <w:lang w:val="en-US" w:eastAsia="zh-CN"/>
        </w:rPr>
      </w:pPr>
      <w:r>
        <w:rPr>
          <w:color w:val="auto"/>
          <w:highlight w:val="none"/>
        </w:rPr>
        <w:drawing>
          <wp:inline distT="0" distB="0" distL="114300" distR="114300">
            <wp:extent cx="5792470" cy="3899535"/>
            <wp:effectExtent l="0" t="0" r="17780" b="57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5792470" cy="3899535"/>
                    </a:xfrm>
                    <a:prstGeom prst="rect">
                      <a:avLst/>
                    </a:prstGeom>
                    <a:noFill/>
                    <a:ln>
                      <a:noFill/>
                    </a:ln>
                  </pic:spPr>
                </pic:pic>
              </a:graphicData>
            </a:graphic>
          </wp:inline>
        </w:drawing>
      </w:r>
    </w:p>
    <w:p w14:paraId="2644E7E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仿宋_GB2312"/>
          <w:b/>
          <w:bCs/>
          <w:color w:val="auto"/>
          <w:kern w:val="2"/>
          <w:sz w:val="24"/>
          <w:szCs w:val="24"/>
          <w:highlight w:val="none"/>
          <w:lang w:val="en-US" w:eastAsia="zh-CN"/>
        </w:rPr>
      </w:pPr>
      <w:r>
        <w:rPr>
          <w:rFonts w:hint="eastAsia" w:ascii="宋体" w:hAnsi="宋体" w:eastAsia="宋体" w:cs="@仿宋_GB2312"/>
          <w:b/>
          <w:bCs/>
          <w:color w:val="auto"/>
          <w:kern w:val="2"/>
          <w:sz w:val="24"/>
          <w:szCs w:val="24"/>
          <w:highlight w:val="none"/>
          <w:lang w:val="en-US" w:eastAsia="zh-CN"/>
        </w:rPr>
        <w:t>（</w:t>
      </w:r>
      <w:r>
        <w:rPr>
          <w:rFonts w:hint="eastAsia" w:cs="@仿宋_GB2312"/>
          <w:b/>
          <w:bCs/>
          <w:color w:val="auto"/>
          <w:kern w:val="2"/>
          <w:sz w:val="24"/>
          <w:szCs w:val="24"/>
          <w:highlight w:val="none"/>
          <w:lang w:val="en-US" w:eastAsia="zh-CN"/>
        </w:rPr>
        <w:t>4</w:t>
      </w:r>
      <w:r>
        <w:rPr>
          <w:rFonts w:hint="eastAsia" w:ascii="宋体" w:hAnsi="宋体" w:eastAsia="宋体" w:cs="@仿宋_GB2312"/>
          <w:b/>
          <w:bCs/>
          <w:color w:val="auto"/>
          <w:kern w:val="2"/>
          <w:sz w:val="24"/>
          <w:szCs w:val="24"/>
          <w:highlight w:val="none"/>
          <w:lang w:val="en-US" w:eastAsia="zh-CN"/>
        </w:rPr>
        <w:t>）8米杆基础</w:t>
      </w:r>
    </w:p>
    <w:p w14:paraId="1ACD7F0F">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olor w:val="auto"/>
          <w:lang w:val="en-US" w:eastAsia="zh-CN"/>
        </w:rPr>
      </w:pPr>
      <w:r>
        <w:rPr>
          <w:rFonts w:hint="eastAsia" w:ascii="宋体" w:hAnsi="宋体" w:eastAsia="宋体" w:cs="@仿宋_GB2312"/>
          <w:b/>
          <w:bCs/>
          <w:color w:val="auto"/>
          <w:kern w:val="2"/>
          <w:sz w:val="24"/>
          <w:szCs w:val="24"/>
          <w:highlight w:val="none"/>
          <w:u w:val="single"/>
          <w:lang w:val="en-US" w:eastAsia="en-US"/>
        </w:rPr>
        <w:t>基槽开挖与回填</w:t>
      </w:r>
      <w:r>
        <w:rPr>
          <w:rFonts w:hint="eastAsia" w:ascii="宋体" w:hAnsi="宋体" w:eastAsia="宋体" w:cs="@仿宋_GB2312"/>
          <w:b/>
          <w:bCs/>
          <w:color w:val="auto"/>
          <w:kern w:val="2"/>
          <w:sz w:val="24"/>
          <w:szCs w:val="24"/>
          <w:highlight w:val="none"/>
          <w:u w:val="single"/>
          <w:lang w:val="en-US" w:eastAsia="zh-CN"/>
        </w:rPr>
        <w:t>、</w:t>
      </w:r>
      <w:r>
        <w:rPr>
          <w:rFonts w:hint="eastAsia" w:ascii="宋体" w:hAnsi="宋体" w:eastAsia="宋体" w:cs="@仿宋_GB2312"/>
          <w:b/>
          <w:bCs/>
          <w:color w:val="auto"/>
          <w:kern w:val="2"/>
          <w:sz w:val="24"/>
          <w:szCs w:val="24"/>
          <w:highlight w:val="none"/>
          <w:u w:val="single"/>
          <w:lang w:val="en-US" w:eastAsia="en-US"/>
        </w:rPr>
        <w:t>基槽降水</w:t>
      </w:r>
      <w:r>
        <w:rPr>
          <w:rFonts w:hint="eastAsia" w:ascii="宋体" w:hAnsi="宋体" w:eastAsia="宋体" w:cs="@仿宋_GB2312"/>
          <w:b/>
          <w:bCs/>
          <w:color w:val="auto"/>
          <w:kern w:val="2"/>
          <w:sz w:val="24"/>
          <w:szCs w:val="24"/>
          <w:highlight w:val="none"/>
          <w:u w:val="single"/>
          <w:lang w:val="en-US" w:eastAsia="zh-CN"/>
        </w:rPr>
        <w:t>、</w:t>
      </w:r>
      <w:r>
        <w:rPr>
          <w:rFonts w:hint="eastAsia" w:ascii="宋体" w:hAnsi="宋体" w:eastAsia="宋体" w:cs="@仿宋_GB2312"/>
          <w:b/>
          <w:bCs/>
          <w:color w:val="auto"/>
          <w:kern w:val="2"/>
          <w:sz w:val="24"/>
          <w:szCs w:val="24"/>
          <w:highlight w:val="none"/>
          <w:u w:val="single"/>
          <w:lang w:val="en-US" w:eastAsia="en-US"/>
        </w:rPr>
        <w:t>混凝土与钢筋</w:t>
      </w:r>
      <w:r>
        <w:rPr>
          <w:rFonts w:hint="eastAsia" w:ascii="宋体" w:hAnsi="宋体" w:eastAsia="宋体" w:cs="@仿宋_GB2312"/>
          <w:b/>
          <w:bCs/>
          <w:color w:val="auto"/>
          <w:kern w:val="2"/>
          <w:sz w:val="24"/>
          <w:szCs w:val="24"/>
          <w:highlight w:val="none"/>
          <w:u w:val="single"/>
          <w:lang w:val="en-US" w:eastAsia="zh-CN"/>
        </w:rPr>
        <w:t>、</w:t>
      </w:r>
      <w:r>
        <w:rPr>
          <w:rFonts w:hint="eastAsia" w:ascii="宋体" w:hAnsi="宋体" w:eastAsia="宋体" w:cs="@仿宋_GB2312"/>
          <w:b/>
          <w:bCs/>
          <w:color w:val="auto"/>
          <w:kern w:val="2"/>
          <w:sz w:val="24"/>
          <w:szCs w:val="24"/>
          <w:highlight w:val="none"/>
          <w:u w:val="single"/>
          <w:lang w:val="en-US" w:eastAsia="en-US"/>
        </w:rPr>
        <w:t>防雷及接地</w:t>
      </w:r>
      <w:r>
        <w:rPr>
          <w:rFonts w:hint="eastAsia" w:cs="@仿宋_GB2312"/>
          <w:b/>
          <w:bCs/>
          <w:color w:val="auto"/>
          <w:kern w:val="2"/>
          <w:sz w:val="24"/>
          <w:szCs w:val="24"/>
          <w:highlight w:val="none"/>
          <w:u w:val="single"/>
          <w:lang w:val="en-US" w:eastAsia="zh-CN"/>
        </w:rPr>
        <w:t>等按照要求参照6米立杆。</w:t>
      </w:r>
    </w:p>
    <w:p w14:paraId="139B7AD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2"/>
          <w:highlight w:val="none"/>
          <w:u w:val="single"/>
          <w:lang w:val="en-US" w:eastAsia="en-US"/>
        </w:rPr>
      </w:pPr>
      <w:r>
        <w:rPr>
          <w:rFonts w:hint="eastAsia" w:ascii="宋体" w:hAnsi="宋体" w:eastAsia="宋体" w:cs="@仿宋_GB2312"/>
          <w:color w:val="auto"/>
          <w:kern w:val="2"/>
          <w:sz w:val="24"/>
          <w:szCs w:val="22"/>
          <w:highlight w:val="none"/>
          <w:lang w:val="en-US" w:eastAsia="zh-CN"/>
        </w:rPr>
        <w:t>C35商混不低于800mm*800mm*1000mm</w:t>
      </w:r>
      <w:r>
        <w:rPr>
          <w:rFonts w:hint="eastAsia" w:ascii="宋体" w:hAnsi="宋体" w:cs="@仿宋_GB2312"/>
          <w:color w:val="auto"/>
          <w:kern w:val="2"/>
          <w:sz w:val="24"/>
          <w:szCs w:val="22"/>
          <w:highlight w:val="none"/>
          <w:lang w:val="en-US" w:eastAsia="zh-CN"/>
        </w:rPr>
        <w:t>；</w:t>
      </w:r>
      <w:r>
        <w:rPr>
          <w:rFonts w:hint="eastAsia"/>
          <w:color w:val="auto"/>
          <w:sz w:val="24"/>
          <w:szCs w:val="24"/>
          <w:highlight w:val="none"/>
          <w:lang w:val="en-US" w:eastAsia="zh-CN"/>
        </w:rPr>
        <w:t>现场不支持商混进场的情况下，进建设单位确定，可下降</w:t>
      </w:r>
      <w:r>
        <w:rPr>
          <w:rFonts w:hint="eastAsia" w:ascii="宋体" w:hAnsi="宋体" w:cs="@仿宋_GB2312"/>
          <w:color w:val="auto"/>
          <w:kern w:val="2"/>
          <w:sz w:val="24"/>
          <w:szCs w:val="22"/>
          <w:highlight w:val="none"/>
          <w:lang w:val="en-US" w:eastAsia="zh-CN"/>
        </w:rPr>
        <w:t>自拌混凝土C25</w:t>
      </w:r>
      <w:r>
        <w:rPr>
          <w:rFonts w:hint="eastAsia" w:ascii="宋体" w:hAnsi="宋体" w:eastAsia="宋体" w:cs="@仿宋_GB2312"/>
          <w:color w:val="auto"/>
          <w:kern w:val="2"/>
          <w:sz w:val="24"/>
          <w:szCs w:val="22"/>
          <w:highlight w:val="none"/>
          <w:lang w:val="en-US" w:eastAsia="zh-CN"/>
        </w:rPr>
        <w:t>不低于800mm*800mm*1</w:t>
      </w:r>
      <w:r>
        <w:rPr>
          <w:rFonts w:hint="eastAsia" w:ascii="宋体" w:hAnsi="宋体" w:cs="@仿宋_GB2312"/>
          <w:color w:val="auto"/>
          <w:kern w:val="2"/>
          <w:sz w:val="24"/>
          <w:szCs w:val="22"/>
          <w:highlight w:val="none"/>
          <w:lang w:val="en-US" w:eastAsia="zh-CN"/>
        </w:rPr>
        <w:t>3</w:t>
      </w:r>
      <w:r>
        <w:rPr>
          <w:rFonts w:hint="eastAsia" w:ascii="宋体" w:hAnsi="宋体" w:eastAsia="宋体" w:cs="@仿宋_GB2312"/>
          <w:color w:val="auto"/>
          <w:kern w:val="2"/>
          <w:sz w:val="24"/>
          <w:szCs w:val="22"/>
          <w:highlight w:val="none"/>
          <w:lang w:val="en-US" w:eastAsia="zh-CN"/>
        </w:rPr>
        <w:t>00mm</w:t>
      </w:r>
      <w:r>
        <w:rPr>
          <w:rFonts w:hint="eastAsia" w:ascii="宋体" w:hAnsi="宋体" w:eastAsia="宋体" w:cs="@仿宋_GB2312"/>
          <w:color w:val="auto"/>
          <w:kern w:val="2"/>
          <w:sz w:val="24"/>
          <w:szCs w:val="22"/>
          <w:highlight w:val="none"/>
          <w:lang w:val="en-US" w:eastAsia="en-US"/>
        </w:rPr>
        <w:t>，经采购人确认后方可实施。</w:t>
      </w:r>
    </w:p>
    <w:p w14:paraId="5BBCF0DD">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仿宋_GB2312"/>
          <w:color w:val="auto"/>
          <w:kern w:val="2"/>
          <w:sz w:val="24"/>
          <w:szCs w:val="22"/>
          <w:highlight w:val="none"/>
          <w:lang w:val="en-US" w:eastAsia="zh-CN"/>
        </w:rPr>
      </w:pPr>
      <w:r>
        <w:rPr>
          <w:rFonts w:hint="eastAsia" w:cs="@仿宋_GB2312"/>
          <w:b/>
          <w:bCs/>
          <w:strike w:val="0"/>
          <w:dstrike w:val="0"/>
          <w:color w:val="auto"/>
          <w:kern w:val="2"/>
          <w:sz w:val="24"/>
          <w:szCs w:val="24"/>
          <w:highlight w:val="none"/>
          <w:u w:val="single"/>
          <w:lang w:val="en-US" w:eastAsia="zh-CN"/>
        </w:rPr>
        <w:t>8</w:t>
      </w:r>
      <w:r>
        <w:rPr>
          <w:rFonts w:hint="eastAsia" w:ascii="宋体" w:hAnsi="宋体" w:eastAsia="宋体" w:cs="@仿宋_GB2312"/>
          <w:b/>
          <w:bCs/>
          <w:strike w:val="0"/>
          <w:dstrike w:val="0"/>
          <w:color w:val="auto"/>
          <w:kern w:val="2"/>
          <w:sz w:val="24"/>
          <w:szCs w:val="24"/>
          <w:highlight w:val="none"/>
          <w:u w:val="single"/>
          <w:lang w:val="en-US" w:eastAsia="zh-CN"/>
        </w:rPr>
        <w:t>米杆基础要求：</w:t>
      </w:r>
      <w:r>
        <w:rPr>
          <w:rFonts w:hint="eastAsia" w:ascii="宋体" w:hAnsi="宋体" w:eastAsia="宋体" w:cs="@仿宋_GB2312"/>
          <w:b/>
          <w:bCs/>
          <w:strike w:val="0"/>
          <w:dstrike w:val="0"/>
          <w:color w:val="auto"/>
          <w:kern w:val="2"/>
          <w:sz w:val="24"/>
          <w:szCs w:val="24"/>
          <w:highlight w:val="none"/>
          <w:u w:val="single"/>
          <w:lang w:val="en-US" w:eastAsia="en-US"/>
        </w:rPr>
        <w:t>合同签署7日内，成交供应商</w:t>
      </w:r>
      <w:r>
        <w:rPr>
          <w:rFonts w:hint="eastAsia" w:cs="@仿宋_GB2312"/>
          <w:b/>
          <w:bCs/>
          <w:strike w:val="0"/>
          <w:dstrike w:val="0"/>
          <w:color w:val="auto"/>
          <w:kern w:val="2"/>
          <w:sz w:val="24"/>
          <w:szCs w:val="24"/>
          <w:highlight w:val="none"/>
          <w:u w:val="single"/>
          <w:lang w:val="en-US" w:eastAsia="zh-CN"/>
        </w:rPr>
        <w:t>委托具体相关资质的设计单位</w:t>
      </w:r>
      <w:r>
        <w:rPr>
          <w:rFonts w:hint="eastAsia" w:ascii="宋体" w:hAnsi="宋体" w:eastAsia="宋体" w:cs="@仿宋_GB2312"/>
          <w:b/>
          <w:bCs/>
          <w:strike w:val="0"/>
          <w:dstrike w:val="0"/>
          <w:color w:val="auto"/>
          <w:kern w:val="2"/>
          <w:sz w:val="24"/>
          <w:szCs w:val="24"/>
          <w:highlight w:val="none"/>
          <w:u w:val="single"/>
          <w:lang w:val="en-US" w:eastAsia="en-US"/>
        </w:rPr>
        <w:t>提供基础施工图纸，经采购人确认后方可实施。</w:t>
      </w:r>
    </w:p>
    <w:p w14:paraId="068DE091">
      <w:pPr>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宋体" w:hAnsi="宋体" w:cs="@仿宋_GB2312"/>
          <w:b/>
          <w:bCs/>
          <w:color w:val="auto"/>
          <w:kern w:val="2"/>
          <w:sz w:val="24"/>
          <w:szCs w:val="24"/>
          <w:highlight w:val="none"/>
          <w:lang w:val="en-US" w:eastAsia="zh-CN"/>
        </w:rPr>
      </w:pPr>
      <w:r>
        <w:rPr>
          <w:rFonts w:hint="eastAsia" w:cs="@仿宋_GB2312"/>
          <w:b/>
          <w:bCs/>
          <w:color w:val="auto"/>
          <w:kern w:val="2"/>
          <w:sz w:val="24"/>
          <w:szCs w:val="24"/>
          <w:highlight w:val="none"/>
          <w:lang w:val="en-US" w:eastAsia="zh-CN"/>
        </w:rPr>
        <w:t>1</w:t>
      </w:r>
      <w:r>
        <w:rPr>
          <w:rFonts w:hint="eastAsia" w:ascii="宋体" w:hAnsi="宋体" w:eastAsia="宋体" w:cs="@仿宋_GB2312"/>
          <w:b/>
          <w:bCs/>
          <w:color w:val="auto"/>
          <w:kern w:val="2"/>
          <w:sz w:val="24"/>
          <w:szCs w:val="24"/>
          <w:highlight w:val="none"/>
          <w:lang w:val="en-US" w:eastAsia="zh-CN"/>
        </w:rPr>
        <w:t>.</w:t>
      </w:r>
      <w:r>
        <w:rPr>
          <w:rFonts w:hint="eastAsia" w:ascii="宋体" w:hAnsi="宋体" w:cs="@仿宋_GB2312"/>
          <w:b/>
          <w:bCs/>
          <w:color w:val="auto"/>
          <w:kern w:val="2"/>
          <w:sz w:val="24"/>
          <w:szCs w:val="24"/>
          <w:highlight w:val="none"/>
          <w:lang w:val="en-US" w:eastAsia="zh-CN"/>
        </w:rPr>
        <w:t>5浮子式水位计安装要求</w:t>
      </w:r>
    </w:p>
    <w:p w14:paraId="7BD9AE2F">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color w:val="FF0000"/>
          <w:sz w:val="24"/>
          <w:szCs w:val="24"/>
          <w:lang w:val="en-US" w:eastAsia="zh-CN"/>
        </w:rPr>
      </w:pPr>
      <w:r>
        <w:rPr>
          <w:rFonts w:hint="eastAsia"/>
          <w:color w:val="FF0000"/>
          <w:sz w:val="24"/>
          <w:szCs w:val="24"/>
          <w:lang w:val="en-US" w:eastAsia="zh-CN"/>
        </w:rPr>
        <w:t>水位计安装钢管由采购人提供，供应商需根据现场浮子水位计安装环境要求，进行水位计安装管的切割、焊接等，</w:t>
      </w:r>
      <w:r>
        <w:rPr>
          <w:rFonts w:hint="eastAsia"/>
          <w:color w:val="FF0000"/>
          <w:sz w:val="24"/>
          <w:szCs w:val="24"/>
        </w:rPr>
        <w:t>外观不能有锌刺和锌渣</w:t>
      </w:r>
      <w:r>
        <w:rPr>
          <w:rFonts w:hint="eastAsia"/>
          <w:color w:val="FF0000"/>
          <w:sz w:val="24"/>
          <w:szCs w:val="24"/>
          <w:lang w:eastAsia="zh-CN"/>
        </w:rPr>
        <w:t>。</w:t>
      </w:r>
    </w:p>
    <w:p w14:paraId="3550C24C">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sz w:val="24"/>
          <w:szCs w:val="24"/>
          <w:lang w:val="en-US" w:eastAsia="zh-CN"/>
        </w:rPr>
      </w:pPr>
      <w:r>
        <w:rPr>
          <w:rFonts w:hint="eastAsia"/>
          <w:sz w:val="24"/>
          <w:szCs w:val="24"/>
          <w:lang w:val="en-US" w:eastAsia="zh-CN"/>
        </w:rPr>
        <w:t>水位计安装在水闸垂直翼墙上（管口高出翼墙1~2米），选取水流小、水位变幅小的安装地点（水位变幅&lt; 2厘米/秒）。</w:t>
      </w:r>
    </w:p>
    <w:p w14:paraId="023E4EE8">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sz w:val="24"/>
          <w:szCs w:val="24"/>
          <w:lang w:val="en-US" w:eastAsia="zh-CN"/>
        </w:rPr>
      </w:pPr>
      <w:r>
        <w:rPr>
          <w:rFonts w:hint="eastAsia"/>
          <w:sz w:val="24"/>
          <w:szCs w:val="24"/>
          <w:lang w:val="en-US" w:eastAsia="zh-CN"/>
        </w:rPr>
        <w:t>水位计管下部3米段开有梅花进水孔，孔直径10mm，上下孔间距300mm，管底部焊接拦污栅，栅格间距10mm。</w:t>
      </w:r>
    </w:p>
    <w:p w14:paraId="48CCF011">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sz w:val="24"/>
          <w:szCs w:val="24"/>
          <w:lang w:val="en-US" w:eastAsia="zh-CN"/>
        </w:rPr>
      </w:pPr>
      <w:r>
        <w:rPr>
          <w:rFonts w:hint="eastAsia"/>
          <w:sz w:val="24"/>
          <w:szCs w:val="24"/>
          <w:lang w:val="en-US" w:eastAsia="zh-CN"/>
        </w:rPr>
        <w:t>水位计管采用定制基座固定，基座与翼墙、翼墙栏杆（压顶）固定，固定点间距不大于2米，待枯水期补齐所有固定基座。</w:t>
      </w:r>
    </w:p>
    <w:p w14:paraId="7FFF57F2">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sz w:val="24"/>
          <w:szCs w:val="24"/>
          <w:lang w:val="en-US" w:eastAsia="zh-CN"/>
        </w:rPr>
      </w:pPr>
      <w:r>
        <w:rPr>
          <w:rFonts w:hint="eastAsia"/>
          <w:sz w:val="24"/>
          <w:szCs w:val="24"/>
          <w:lang w:val="en-US" w:eastAsia="zh-CN"/>
        </w:rPr>
        <w:t>水位管上端配置水位计计仪表箱，水位计传感器安装在仪表箱内。</w:t>
      </w:r>
    </w:p>
    <w:p w14:paraId="47EEE0A3">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sz w:val="24"/>
          <w:szCs w:val="24"/>
          <w:lang w:val="en-US" w:eastAsia="zh-CN"/>
        </w:rPr>
      </w:pPr>
      <w:r>
        <w:rPr>
          <w:rFonts w:hint="eastAsia"/>
          <w:sz w:val="24"/>
          <w:szCs w:val="24"/>
          <w:lang w:val="en-US" w:eastAsia="zh-CN"/>
        </w:rPr>
        <w:t>由于水位计安装位置离机房较远，容易遭受雷击，需设置单点防雷接地，接地电阻&lt;10Ω。</w:t>
      </w:r>
    </w:p>
    <w:p w14:paraId="744403ED">
      <w:pPr>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宋体" w:hAnsi="宋体" w:cs="@仿宋_GB2312"/>
          <w:b/>
          <w:bCs/>
          <w:color w:val="auto"/>
          <w:kern w:val="2"/>
          <w:sz w:val="24"/>
          <w:szCs w:val="24"/>
          <w:highlight w:val="none"/>
          <w:lang w:val="en-US" w:eastAsia="zh-CN"/>
        </w:rPr>
      </w:pPr>
      <w:r>
        <w:rPr>
          <w:rFonts w:hint="eastAsia" w:cs="@仿宋_GB2312"/>
          <w:b/>
          <w:bCs/>
          <w:color w:val="auto"/>
          <w:kern w:val="2"/>
          <w:sz w:val="24"/>
          <w:szCs w:val="24"/>
          <w:highlight w:val="none"/>
          <w:lang w:val="en-US" w:eastAsia="zh-CN"/>
        </w:rPr>
        <w:t>1</w:t>
      </w:r>
      <w:r>
        <w:rPr>
          <w:rFonts w:hint="eastAsia" w:ascii="宋体" w:hAnsi="宋体" w:cs="@仿宋_GB2312"/>
          <w:b/>
          <w:bCs/>
          <w:color w:val="auto"/>
          <w:kern w:val="2"/>
          <w:sz w:val="24"/>
          <w:szCs w:val="24"/>
          <w:highlight w:val="none"/>
          <w:lang w:val="en-US" w:eastAsia="zh-CN"/>
        </w:rPr>
        <w:t>.6行水沟涵自动化技术要求</w:t>
      </w:r>
    </w:p>
    <w:p w14:paraId="0B60D9F8">
      <w:pPr>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行水沟涵自动化控制系统建设，采集的工情信息主要包括电源进线回路的电压、电流、有功电能、功率因数等电气量，闸门开度，闸门启闭机电流、电压、功率，以及操作权限状态、针对各机电设备的操作开关量等。</w:t>
      </w:r>
    </w:p>
    <w:p w14:paraId="72F72924">
      <w:pPr>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（1）视频数据采集</w:t>
      </w:r>
    </w:p>
    <w:p w14:paraId="303A8D87">
      <w:pPr>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包括闸上、下游水面、启闭机房、交通桥等处的网络高清视频监视信息。</w:t>
      </w:r>
    </w:p>
    <w:p w14:paraId="2075ADA3">
      <w:pPr>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（2）水情数据采集</w:t>
      </w:r>
    </w:p>
    <w:p w14:paraId="2E4B243F">
      <w:pPr>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工程闸前水位、闸后水位信息。</w:t>
      </w:r>
    </w:p>
    <w:p w14:paraId="461421F6">
      <w:pPr>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（3）闸上综合自动化系统运行数据采集</w:t>
      </w:r>
    </w:p>
    <w:p w14:paraId="36D8FA2C">
      <w:pPr>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包括计算机监控和视频监视系统的软、硬件运行状态信息，包括稳定运行时长、停止运行时长、故障诊断、参数调整、报警等信息。</w:t>
      </w:r>
    </w:p>
    <w:p w14:paraId="27D39C52">
      <w:pPr>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宋体" w:hAnsi="宋体" w:cs="@仿宋_GB2312"/>
          <w:b/>
          <w:bCs/>
          <w:color w:val="FF0000"/>
          <w:kern w:val="2"/>
          <w:sz w:val="24"/>
          <w:szCs w:val="24"/>
          <w:highlight w:val="yellow"/>
          <w:lang w:val="en-US" w:eastAsia="zh-CN"/>
        </w:rPr>
      </w:pPr>
      <w:r>
        <w:rPr>
          <w:rFonts w:hint="eastAsia" w:cs="@仿宋_GB2312"/>
          <w:b/>
          <w:bCs/>
          <w:color w:val="FF0000"/>
          <w:kern w:val="2"/>
          <w:sz w:val="24"/>
          <w:szCs w:val="24"/>
          <w:highlight w:val="yellow"/>
          <w:lang w:val="en-US" w:eastAsia="zh-CN"/>
        </w:rPr>
        <w:t>1</w:t>
      </w:r>
      <w:r>
        <w:rPr>
          <w:rFonts w:hint="eastAsia" w:ascii="宋体" w:hAnsi="宋体" w:cs="@仿宋_GB2312"/>
          <w:b/>
          <w:bCs/>
          <w:color w:val="FF0000"/>
          <w:kern w:val="2"/>
          <w:sz w:val="24"/>
          <w:szCs w:val="24"/>
          <w:highlight w:val="yellow"/>
          <w:lang w:val="en-US" w:eastAsia="zh-CN"/>
        </w:rPr>
        <w:t>.7视频会商布线及安装调试</w:t>
      </w:r>
    </w:p>
    <w:p w14:paraId="30216543">
      <w:pPr>
        <w:spacing w:line="560" w:lineRule="exact"/>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改造过程中供应商遵照相关技术规范，确保维护质量达到系统（设备）正常运行标准。</w:t>
      </w:r>
    </w:p>
    <w:p w14:paraId="66C10C84">
      <w:pPr>
        <w:spacing w:line="560" w:lineRule="exact"/>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rPr>
        <w:t>供应商提供全年全天候24小时电话咨询和电话技术指导服务，远程支持服务（远端诊断、提供解决方案），现场支持服务（到达故障现场，分析故障产生的原因，制定排除故障的方案等）。在接到系统或设备故障申诉后立即提供电话咨询、电话技术指导和远程支持服务（远程诊断、提供解决方案）。</w:t>
      </w:r>
    </w:p>
    <w:p w14:paraId="1489C307">
      <w:pPr>
        <w:spacing w:line="560" w:lineRule="exact"/>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rPr>
        <w:t>改造过程中所需的清单外设备、备品备件由供应商在改造过程中向采购人申请，经确认后由采购人提供。在改造过程中供应商遵照相关技术规范，确保维护质量达到系统（设备）正常运行标准。</w:t>
      </w:r>
    </w:p>
    <w:p w14:paraId="578D0F36">
      <w:pPr>
        <w:spacing w:line="560" w:lineRule="exact"/>
        <w:ind w:firstLine="480" w:firstLineChars="200"/>
        <w:rPr>
          <w:rFonts w:ascii="宋体" w:hAnsi="宋体" w:cs="宋体"/>
          <w:sz w:val="24"/>
          <w:szCs w:val="24"/>
        </w:rPr>
      </w:pPr>
      <w:r>
        <w:rPr>
          <w:rFonts w:hint="eastAsia" w:cs="宋体"/>
          <w:sz w:val="24"/>
          <w:szCs w:val="24"/>
          <w:lang w:eastAsia="zh-CN"/>
        </w:rPr>
        <w:t>（</w:t>
      </w:r>
      <w:r>
        <w:rPr>
          <w:rFonts w:hint="eastAsia" w:cs="宋体"/>
          <w:sz w:val="24"/>
          <w:szCs w:val="24"/>
          <w:lang w:val="en-US" w:eastAsia="zh-CN"/>
        </w:rPr>
        <w:t>4）</w:t>
      </w:r>
      <w:r>
        <w:rPr>
          <w:rFonts w:hint="eastAsia" w:ascii="宋体" w:hAnsi="宋体" w:cs="宋体"/>
          <w:sz w:val="24"/>
          <w:szCs w:val="24"/>
        </w:rPr>
        <w:t>系统故障应急处理：在系统出现紧急状态的情况下，如系统崩溃，系统不能正常启动等等，应立即做出响应，在接到问题解决需求后3小时内及时协助采购人完成排查，6小时提出恢复系统和设备的解决方案，12小时内协助采购人完成故障排除。</w:t>
      </w:r>
    </w:p>
    <w:p w14:paraId="1F7099D2">
      <w:pPr>
        <w:spacing w:line="560" w:lineRule="exact"/>
        <w:ind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cs="宋体"/>
          <w:sz w:val="24"/>
          <w:szCs w:val="24"/>
        </w:rPr>
        <w:t>供应商在施工中要结合本地条件，做到外观美化，布局走线合理。</w:t>
      </w:r>
    </w:p>
    <w:p w14:paraId="66B3942B">
      <w:pPr>
        <w:spacing w:line="560" w:lineRule="exact"/>
        <w:ind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rPr>
        <w:t>为确保工程质量所有成品音视频跳线均采用秋叶原、绿联、山泽等优质品牌。</w:t>
      </w:r>
    </w:p>
    <w:p w14:paraId="6B1B8804">
      <w:pPr>
        <w:spacing w:line="560" w:lineRule="exact"/>
        <w:ind w:firstLine="482" w:firstLineChars="200"/>
        <w:rPr>
          <w:rFonts w:hint="eastAsia" w:ascii="宋体" w:hAnsi="宋体" w:cs="宋体"/>
          <w:sz w:val="24"/>
          <w:szCs w:val="24"/>
          <w:lang w:val="en-US" w:eastAsia="zh-CN"/>
        </w:rPr>
      </w:pPr>
      <w:r>
        <w:rPr>
          <w:rFonts w:hint="eastAsia" w:ascii="宋体" w:hAnsi="宋体" w:cs="宋体"/>
          <w:b/>
          <w:bCs/>
          <w:sz w:val="24"/>
          <w:szCs w:val="24"/>
          <w:highlight w:val="yellow"/>
          <w:lang w:val="en-US" w:eastAsia="en-US"/>
        </w:rPr>
        <w:t>(对于采购人参考品牌的材料，供应商可选用参考品牌或不低于参考品牌质量标准的其它品牌；采用其它品牌的应在响应文件中提供相关技术参数证明材料供磋商小组评审，未提供相关技术参数证明材料成交后只能从采购人参考品牌中进行选择，价格不予调整。</w:t>
      </w:r>
      <w:r>
        <w:rPr>
          <w:rFonts w:hint="eastAsia" w:ascii="宋体" w:hAnsi="宋体" w:cs="宋体"/>
          <w:b/>
          <w:bCs/>
          <w:sz w:val="24"/>
          <w:szCs w:val="24"/>
          <w:highlight w:val="yellow"/>
          <w:lang w:val="en-US" w:eastAsia="zh-CN"/>
        </w:rPr>
        <w:t>）</w:t>
      </w:r>
    </w:p>
    <w:p w14:paraId="188BCB85">
      <w:pPr>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宋体" w:hAnsi="宋体" w:eastAsia="宋体" w:cs="@仿宋_GB2312"/>
          <w:b/>
          <w:bCs/>
          <w:color w:val="auto"/>
          <w:kern w:val="2"/>
          <w:sz w:val="24"/>
          <w:szCs w:val="22"/>
          <w:highlight w:val="none"/>
          <w:lang w:val="en-US" w:eastAsia="zh-CN"/>
        </w:rPr>
      </w:pPr>
      <w:r>
        <w:rPr>
          <w:rFonts w:hint="eastAsia" w:cs="@仿宋_GB2312"/>
          <w:b/>
          <w:bCs/>
          <w:color w:val="auto"/>
          <w:kern w:val="2"/>
          <w:sz w:val="24"/>
          <w:szCs w:val="22"/>
          <w:highlight w:val="none"/>
          <w:lang w:val="en-US" w:eastAsia="zh-CN"/>
        </w:rPr>
        <w:t>1</w:t>
      </w:r>
      <w:r>
        <w:rPr>
          <w:rFonts w:hint="eastAsia" w:ascii="宋体" w:hAnsi="宋体" w:cs="@仿宋_GB2312"/>
          <w:b/>
          <w:bCs/>
          <w:color w:val="auto"/>
          <w:kern w:val="2"/>
          <w:sz w:val="24"/>
          <w:szCs w:val="22"/>
          <w:highlight w:val="none"/>
          <w:lang w:val="en-US" w:eastAsia="zh-CN"/>
        </w:rPr>
        <w:t>.8</w:t>
      </w:r>
      <w:r>
        <w:rPr>
          <w:rFonts w:hint="eastAsia" w:ascii="宋体" w:hAnsi="宋体" w:eastAsia="宋体" w:cs="@仿宋_GB2312"/>
          <w:b/>
          <w:bCs/>
          <w:color w:val="auto"/>
          <w:kern w:val="2"/>
          <w:sz w:val="24"/>
          <w:szCs w:val="22"/>
          <w:highlight w:val="none"/>
          <w:lang w:val="en-US" w:eastAsia="zh-CN"/>
        </w:rPr>
        <w:t>电缆敷设</w:t>
      </w:r>
      <w:r>
        <w:rPr>
          <w:rFonts w:hint="eastAsia" w:ascii="宋体" w:hAnsi="宋体" w:cs="@仿宋_GB2312"/>
          <w:b/>
          <w:bCs/>
          <w:color w:val="auto"/>
          <w:kern w:val="2"/>
          <w:sz w:val="24"/>
          <w:szCs w:val="22"/>
          <w:highlight w:val="none"/>
          <w:lang w:val="en-US" w:eastAsia="zh-CN"/>
        </w:rPr>
        <w:t>、光缆线路排查、光缆施工、光缆续接、手孔井</w:t>
      </w:r>
      <w:r>
        <w:rPr>
          <w:rFonts w:hint="eastAsia" w:ascii="宋体" w:hAnsi="宋体" w:eastAsia="宋体" w:cs="@仿宋_GB2312"/>
          <w:b/>
          <w:bCs/>
          <w:color w:val="auto"/>
          <w:kern w:val="2"/>
          <w:sz w:val="24"/>
          <w:szCs w:val="22"/>
          <w:highlight w:val="none"/>
          <w:lang w:val="en-US" w:eastAsia="zh-CN"/>
        </w:rPr>
        <w:t>技术标准与要求</w:t>
      </w:r>
    </w:p>
    <w:p w14:paraId="5244153E">
      <w:pPr>
        <w:pStyle w:val="5"/>
        <w:keepNext/>
        <w:keepLines/>
        <w:pageBreakBefore w:val="0"/>
        <w:widowControl w:val="0"/>
        <w:numPr>
          <w:ilvl w:val="7"/>
          <w:numId w:val="0"/>
        </w:numPr>
        <w:kinsoku/>
        <w:wordWrap/>
        <w:overflowPunct/>
        <w:topLinePunct w:val="0"/>
        <w:autoSpaceDE/>
        <w:autoSpaceDN/>
        <w:bidi w:val="0"/>
        <w:adjustRightInd w:val="0"/>
        <w:snapToGrid w:val="0"/>
        <w:spacing w:before="0" w:after="0" w:line="377" w:lineRule="auto"/>
        <w:ind w:leftChars="200"/>
        <w:textAlignment w:val="auto"/>
        <w:rPr>
          <w:rFonts w:hint="eastAsia" w:ascii="宋体" w:hAnsi="宋体" w:eastAsia="宋体" w:cs="@仿宋_GB2312"/>
          <w:b/>
          <w:bCs/>
          <w:color w:val="auto"/>
          <w:kern w:val="2"/>
          <w:sz w:val="24"/>
          <w:szCs w:val="22"/>
          <w:highlight w:val="none"/>
          <w:lang w:val="en-US" w:eastAsia="zh-CN" w:bidi="ar-SA"/>
        </w:rPr>
      </w:pPr>
      <w:r>
        <w:rPr>
          <w:rFonts w:hint="eastAsia" w:ascii="宋体" w:hAnsi="宋体" w:eastAsia="宋体" w:cs="@仿宋_GB2312"/>
          <w:b/>
          <w:bCs/>
          <w:color w:val="auto"/>
          <w:kern w:val="2"/>
          <w:sz w:val="24"/>
          <w:szCs w:val="22"/>
          <w:highlight w:val="none"/>
          <w:lang w:val="en-US" w:eastAsia="zh-CN" w:bidi="ar-SA"/>
        </w:rPr>
        <w:t>1.8.1电缆敷设技术标准与要求</w:t>
      </w:r>
    </w:p>
    <w:p w14:paraId="6F231C2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eastAsia" w:cs="@仿宋_GB2312"/>
          <w:color w:val="auto"/>
          <w:kern w:val="2"/>
          <w:sz w:val="24"/>
          <w:szCs w:val="22"/>
          <w:highlight w:val="none"/>
          <w:lang w:val="en-US" w:eastAsia="zh-CN"/>
        </w:rPr>
        <w:t>1.</w:t>
      </w:r>
      <w:r>
        <w:rPr>
          <w:rFonts w:hint="default" w:ascii="宋体" w:hAnsi="宋体" w:eastAsia="宋体" w:cs="@仿宋_GB2312"/>
          <w:color w:val="auto"/>
          <w:kern w:val="2"/>
          <w:sz w:val="24"/>
          <w:szCs w:val="22"/>
          <w:highlight w:val="none"/>
          <w:lang w:val="en-US" w:eastAsia="en-US"/>
        </w:rPr>
        <w:t>标准及要求</w:t>
      </w:r>
    </w:p>
    <w:p w14:paraId="48A93DA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eastAsia" w:ascii="宋体" w:hAnsi="宋体" w:eastAsia="宋体" w:cs="@仿宋_GB2312"/>
          <w:color w:val="auto"/>
          <w:kern w:val="2"/>
          <w:sz w:val="24"/>
          <w:szCs w:val="22"/>
          <w:highlight w:val="none"/>
          <w:lang w:val="en-US" w:eastAsia="zh-CN"/>
        </w:rPr>
        <w:t>（1）</w:t>
      </w:r>
      <w:r>
        <w:rPr>
          <w:rFonts w:hint="default" w:ascii="宋体" w:hAnsi="宋体" w:eastAsia="宋体" w:cs="@仿宋_GB2312"/>
          <w:color w:val="auto"/>
          <w:kern w:val="2"/>
          <w:sz w:val="24"/>
          <w:szCs w:val="22"/>
          <w:highlight w:val="none"/>
          <w:lang w:val="en-US" w:eastAsia="en-US"/>
        </w:rPr>
        <w:t>一般情况下堤身前后30m 为发包人管理范围。在发包人管理范围外的施工协 调工作由承包人负责。线缆沟根据现场情况尽量敷设在发包人所属单位管理范围内。</w:t>
      </w:r>
    </w:p>
    <w:p w14:paraId="7A236D9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eastAsia" w:ascii="宋体" w:hAnsi="宋体" w:eastAsia="宋体" w:cs="@仿宋_GB2312"/>
          <w:color w:val="auto"/>
          <w:kern w:val="2"/>
          <w:sz w:val="24"/>
          <w:szCs w:val="22"/>
          <w:highlight w:val="none"/>
          <w:lang w:val="en-US" w:eastAsia="zh-CN"/>
        </w:rPr>
        <w:t>（2）</w:t>
      </w:r>
      <w:r>
        <w:rPr>
          <w:rFonts w:hint="default" w:ascii="宋体" w:hAnsi="宋体" w:eastAsia="宋体" w:cs="@仿宋_GB2312"/>
          <w:color w:val="auto"/>
          <w:kern w:val="2"/>
          <w:sz w:val="24"/>
          <w:szCs w:val="22"/>
          <w:highlight w:val="none"/>
          <w:lang w:val="en-US" w:eastAsia="en-US"/>
        </w:rPr>
        <w:t>穿越堤防敷设时应垂直于堤顶道路，沿堤脚敷设时应平行于堤脚，规划路径 时应留有足够的转弯半径。</w:t>
      </w:r>
    </w:p>
    <w:p w14:paraId="0D61A16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eastAsia" w:ascii="宋体" w:hAnsi="宋体" w:eastAsia="宋体" w:cs="@仿宋_GB2312"/>
          <w:color w:val="auto"/>
          <w:kern w:val="2"/>
          <w:sz w:val="24"/>
          <w:szCs w:val="22"/>
          <w:highlight w:val="none"/>
          <w:lang w:val="en-US" w:eastAsia="zh-CN"/>
        </w:rPr>
        <w:t>（3）</w:t>
      </w:r>
      <w:r>
        <w:rPr>
          <w:rFonts w:hint="default" w:ascii="宋体" w:hAnsi="宋体" w:eastAsia="宋体" w:cs="@仿宋_GB2312"/>
          <w:color w:val="auto"/>
          <w:kern w:val="2"/>
          <w:sz w:val="24"/>
          <w:szCs w:val="22"/>
          <w:highlight w:val="none"/>
          <w:lang w:val="en-US" w:eastAsia="en-US"/>
        </w:rPr>
        <w:t>沿堤脚的线缆敷设深度不小于0.8m, 与堤脚距离不小于0.5米。施工过程中遇 到必须在发包人管理范围外施工的，线缆敷设深度不小于1m。</w:t>
      </w:r>
    </w:p>
    <w:p w14:paraId="25F9CA1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eastAsia" w:ascii="宋体" w:hAnsi="宋体" w:eastAsia="宋体" w:cs="@仿宋_GB2312"/>
          <w:color w:val="auto"/>
          <w:kern w:val="2"/>
          <w:sz w:val="24"/>
          <w:szCs w:val="22"/>
          <w:highlight w:val="none"/>
          <w:lang w:val="en-US" w:eastAsia="zh-CN"/>
        </w:rPr>
        <w:t>（4）</w:t>
      </w:r>
      <w:r>
        <w:rPr>
          <w:rFonts w:hint="default" w:ascii="宋体" w:hAnsi="宋体" w:eastAsia="宋体" w:cs="@仿宋_GB2312"/>
          <w:color w:val="auto"/>
          <w:kern w:val="2"/>
          <w:sz w:val="24"/>
          <w:szCs w:val="22"/>
          <w:highlight w:val="none"/>
          <w:lang w:val="en-US" w:eastAsia="en-US"/>
        </w:rPr>
        <w:t>不同深度线缆沟对接时应做缓坡。</w:t>
      </w:r>
    </w:p>
    <w:p w14:paraId="27F4B56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eastAsia" w:ascii="宋体" w:hAnsi="宋体" w:eastAsia="宋体" w:cs="@仿宋_GB2312"/>
          <w:color w:val="auto"/>
          <w:kern w:val="2"/>
          <w:sz w:val="24"/>
          <w:szCs w:val="22"/>
          <w:highlight w:val="none"/>
          <w:lang w:val="en-US" w:eastAsia="zh-CN"/>
        </w:rPr>
        <w:t>（5）</w:t>
      </w:r>
      <w:r>
        <w:rPr>
          <w:rFonts w:hint="default" w:ascii="宋体" w:hAnsi="宋体" w:eastAsia="宋体" w:cs="@仿宋_GB2312"/>
          <w:color w:val="auto"/>
          <w:kern w:val="2"/>
          <w:sz w:val="24"/>
          <w:szCs w:val="22"/>
          <w:highlight w:val="none"/>
          <w:lang w:val="en-US" w:eastAsia="en-US"/>
        </w:rPr>
        <w:t>线缆穿管后用原土回填，以完全覆盖电力专用保护管为标准，回填深度满足 规范要求，不小于0.8m。</w:t>
      </w:r>
    </w:p>
    <w:p w14:paraId="269F4FE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eastAsia" w:cs="@仿宋_GB2312"/>
          <w:color w:val="auto"/>
          <w:kern w:val="2"/>
          <w:sz w:val="24"/>
          <w:szCs w:val="22"/>
          <w:highlight w:val="none"/>
          <w:lang w:val="en-US" w:eastAsia="zh-CN"/>
        </w:rPr>
        <w:t>2.</w:t>
      </w:r>
      <w:r>
        <w:rPr>
          <w:rFonts w:hint="default" w:ascii="宋体" w:hAnsi="宋体" w:eastAsia="宋体" w:cs="@仿宋_GB2312"/>
          <w:color w:val="auto"/>
          <w:kern w:val="2"/>
          <w:sz w:val="24"/>
          <w:szCs w:val="22"/>
          <w:highlight w:val="none"/>
          <w:lang w:val="en-US" w:eastAsia="en-US"/>
        </w:rPr>
        <w:t>敷设及穿管要求</w:t>
      </w:r>
    </w:p>
    <w:p w14:paraId="69BB126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eastAsia" w:ascii="宋体" w:hAnsi="宋体" w:eastAsia="宋体" w:cs="@仿宋_GB2312"/>
          <w:color w:val="auto"/>
          <w:kern w:val="2"/>
          <w:sz w:val="24"/>
          <w:szCs w:val="22"/>
          <w:highlight w:val="none"/>
          <w:lang w:val="en-US" w:eastAsia="zh-CN"/>
        </w:rPr>
        <w:t>（1）</w:t>
      </w:r>
      <w:r>
        <w:rPr>
          <w:rFonts w:hint="default" w:ascii="宋体" w:hAnsi="宋体" w:eastAsia="宋体" w:cs="@仿宋_GB2312"/>
          <w:color w:val="auto"/>
          <w:kern w:val="2"/>
          <w:sz w:val="24"/>
          <w:szCs w:val="22"/>
          <w:highlight w:val="none"/>
          <w:lang w:val="en-US" w:eastAsia="en-US"/>
        </w:rPr>
        <w:t>线缆放线时要缓慢平稳并破除线缆的缠绕应力，防止应扭曲应力损坏线缆。 管口应做平滑处理，无毛刺和尖锐棱角，防止割伤线缆，回填前管口密封。</w:t>
      </w:r>
    </w:p>
    <w:p w14:paraId="32F9FBC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eastAsia" w:ascii="宋体" w:hAnsi="宋体" w:eastAsia="宋体" w:cs="@仿宋_GB2312"/>
          <w:color w:val="auto"/>
          <w:kern w:val="2"/>
          <w:sz w:val="24"/>
          <w:szCs w:val="22"/>
          <w:highlight w:val="none"/>
          <w:lang w:val="en-US" w:eastAsia="zh-CN"/>
        </w:rPr>
        <w:t>（2）</w:t>
      </w:r>
      <w:r>
        <w:rPr>
          <w:rFonts w:hint="default" w:ascii="宋体" w:hAnsi="宋体" w:eastAsia="宋体" w:cs="@仿宋_GB2312"/>
          <w:color w:val="auto"/>
          <w:kern w:val="2"/>
          <w:sz w:val="24"/>
          <w:szCs w:val="22"/>
          <w:highlight w:val="none"/>
          <w:lang w:val="en-US" w:eastAsia="en-US"/>
        </w:rPr>
        <w:t>线缆敷设穿越路面等情况时，混泥土路面开槽，电缆敷设采用DN25 镀锌钢 管进行防护。堤坝顶管敷设，采用电力专用保护管(内径50mm, 壁厚2mm) 防护，回填前 做好管口封堵，敷设深度不小于0.5m。 线缆从地下到供电杆、电表箱等可见处，用镀 锌钢管防护；线缆进入到涵闸时，要考虑到总体规划，达到整齐美观。采用新建镀锌管 防护或者桥架防护等形式。</w:t>
      </w:r>
    </w:p>
    <w:p w14:paraId="25CFF89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eastAsia" w:ascii="宋体" w:hAnsi="宋体" w:eastAsia="宋体" w:cs="@仿宋_GB2312"/>
          <w:color w:val="auto"/>
          <w:kern w:val="2"/>
          <w:sz w:val="24"/>
          <w:szCs w:val="22"/>
          <w:highlight w:val="none"/>
          <w:lang w:val="en-US" w:eastAsia="zh-CN"/>
        </w:rPr>
        <w:t>（3）</w:t>
      </w:r>
      <w:r>
        <w:rPr>
          <w:rFonts w:hint="default" w:ascii="宋体" w:hAnsi="宋体" w:eastAsia="宋体" w:cs="@仿宋_GB2312"/>
          <w:color w:val="auto"/>
          <w:kern w:val="2"/>
          <w:sz w:val="24"/>
          <w:szCs w:val="22"/>
          <w:highlight w:val="none"/>
          <w:lang w:val="en-US" w:eastAsia="en-US"/>
        </w:rPr>
        <w:t>线缆进入涵闸时，应从现地控制箱底部穿入，洞口用防火泥封堵；如现场条件不支持直接从底部穿入，需要从涵闸内部布置桥架或墙面、地面开槽，并进行外观恢复。</w:t>
      </w:r>
    </w:p>
    <w:p w14:paraId="4029C2A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eastAsia" w:ascii="宋体" w:hAnsi="宋体" w:eastAsia="宋体" w:cs="@仿宋_GB2312"/>
          <w:color w:val="auto"/>
          <w:kern w:val="2"/>
          <w:sz w:val="24"/>
          <w:szCs w:val="22"/>
          <w:highlight w:val="none"/>
          <w:lang w:val="en-US" w:eastAsia="zh-CN"/>
        </w:rPr>
        <w:t>（5）</w:t>
      </w:r>
      <w:r>
        <w:rPr>
          <w:rFonts w:hint="default" w:ascii="宋体" w:hAnsi="宋体" w:eastAsia="宋体" w:cs="@仿宋_GB2312"/>
          <w:color w:val="auto"/>
          <w:kern w:val="2"/>
          <w:sz w:val="24"/>
          <w:szCs w:val="22"/>
          <w:highlight w:val="none"/>
          <w:lang w:val="en-US" w:eastAsia="en-US"/>
        </w:rPr>
        <w:t>线缆中单股电缆直径在4平方及以上的，需要使用接线端子。</w:t>
      </w:r>
    </w:p>
    <w:p w14:paraId="138F294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eastAsia" w:ascii="宋体" w:hAnsi="宋体" w:eastAsia="宋体" w:cs="@仿宋_GB2312"/>
          <w:color w:val="auto"/>
          <w:kern w:val="2"/>
          <w:sz w:val="24"/>
          <w:szCs w:val="22"/>
          <w:highlight w:val="none"/>
          <w:lang w:val="en-US" w:eastAsia="zh-CN"/>
        </w:rPr>
        <w:t>（6）</w:t>
      </w:r>
      <w:r>
        <w:rPr>
          <w:rFonts w:hint="default" w:ascii="宋体" w:hAnsi="宋体" w:eastAsia="宋体" w:cs="@仿宋_GB2312"/>
          <w:color w:val="auto"/>
          <w:kern w:val="2"/>
          <w:sz w:val="24"/>
          <w:szCs w:val="22"/>
          <w:highlight w:val="none"/>
          <w:lang w:val="en-US" w:eastAsia="en-US"/>
        </w:rPr>
        <w:t>回填</w:t>
      </w:r>
    </w:p>
    <w:p w14:paraId="721A52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eastAsia" w:ascii="宋体" w:hAnsi="宋体" w:eastAsia="宋体" w:cs="@仿宋_GB2312"/>
          <w:color w:val="auto"/>
          <w:kern w:val="2"/>
          <w:sz w:val="24"/>
          <w:szCs w:val="22"/>
          <w:highlight w:val="none"/>
          <w:lang w:val="en-US" w:eastAsia="zh-CN"/>
        </w:rPr>
        <w:t>①</w:t>
      </w:r>
      <w:r>
        <w:rPr>
          <w:rFonts w:hint="default" w:ascii="宋体" w:hAnsi="宋体" w:eastAsia="宋体" w:cs="@仿宋_GB2312"/>
          <w:color w:val="auto"/>
          <w:kern w:val="2"/>
          <w:sz w:val="24"/>
          <w:szCs w:val="22"/>
          <w:highlight w:val="none"/>
          <w:lang w:val="en-US" w:eastAsia="en-US"/>
        </w:rPr>
        <w:t>回填前应检查确保线缆最大弯曲半径不小于线缆外径的20倍。</w:t>
      </w:r>
    </w:p>
    <w:p w14:paraId="49E385B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eastAsia" w:ascii="宋体" w:hAnsi="宋体" w:eastAsia="宋体" w:cs="@仿宋_GB2312"/>
          <w:color w:val="auto"/>
          <w:kern w:val="2"/>
          <w:sz w:val="24"/>
          <w:szCs w:val="22"/>
          <w:highlight w:val="none"/>
          <w:lang w:val="en-US" w:eastAsia="zh-CN"/>
        </w:rPr>
        <w:t>②</w:t>
      </w:r>
      <w:r>
        <w:rPr>
          <w:rFonts w:hint="default" w:ascii="宋体" w:hAnsi="宋体" w:eastAsia="宋体" w:cs="@仿宋_GB2312"/>
          <w:color w:val="auto"/>
          <w:kern w:val="2"/>
          <w:sz w:val="24"/>
          <w:szCs w:val="22"/>
          <w:highlight w:val="none"/>
          <w:lang w:val="en-US" w:eastAsia="en-US"/>
        </w:rPr>
        <w:t>回填前电缆应进行绝缘电阻检测或耐压试验1000V 兆欧表测其相间及相对地的绝缘电阻应不低于10M</w:t>
      </w:r>
      <w:r>
        <w:rPr>
          <w:rFonts w:hint="eastAsia" w:ascii="宋体" w:hAnsi="宋体" w:eastAsia="宋体" w:cs="@仿宋_GB2312"/>
          <w:color w:val="auto"/>
          <w:kern w:val="2"/>
          <w:sz w:val="24"/>
          <w:szCs w:val="22"/>
          <w:highlight w:val="none"/>
          <w:lang w:val="en-US" w:eastAsia="zh-CN"/>
        </w:rPr>
        <w:t>Ω</w:t>
      </w:r>
      <w:r>
        <w:rPr>
          <w:rFonts w:hint="default" w:ascii="宋体" w:hAnsi="宋体" w:eastAsia="宋体" w:cs="@仿宋_GB2312"/>
          <w:color w:val="auto"/>
          <w:kern w:val="2"/>
          <w:sz w:val="24"/>
          <w:szCs w:val="22"/>
          <w:highlight w:val="none"/>
          <w:lang w:val="en-US" w:eastAsia="en-US"/>
        </w:rPr>
        <w:t>。</w:t>
      </w:r>
    </w:p>
    <w:p w14:paraId="6D2CDA6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eastAsia" w:ascii="宋体" w:hAnsi="宋体" w:eastAsia="宋体" w:cs="@仿宋_GB2312"/>
          <w:color w:val="auto"/>
          <w:kern w:val="2"/>
          <w:sz w:val="24"/>
          <w:szCs w:val="22"/>
          <w:highlight w:val="none"/>
          <w:lang w:val="en-US" w:eastAsia="zh-CN"/>
        </w:rPr>
        <w:t>③</w:t>
      </w:r>
      <w:r>
        <w:rPr>
          <w:rFonts w:hint="default" w:ascii="宋体" w:hAnsi="宋体" w:eastAsia="宋体" w:cs="@仿宋_GB2312"/>
          <w:color w:val="auto"/>
          <w:kern w:val="2"/>
          <w:sz w:val="24"/>
          <w:szCs w:val="22"/>
          <w:highlight w:val="none"/>
          <w:lang w:val="en-US" w:eastAsia="en-US"/>
        </w:rPr>
        <w:t>回填前应通知现场管理单位组织进行隐蔽工程中间验收，做好记录和签证后 回 填 。</w:t>
      </w:r>
    </w:p>
    <w:p w14:paraId="0D3D7F9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eastAsia" w:ascii="宋体" w:hAnsi="宋体" w:eastAsia="宋体" w:cs="@仿宋_GB2312"/>
          <w:color w:val="auto"/>
          <w:kern w:val="2"/>
          <w:sz w:val="24"/>
          <w:szCs w:val="22"/>
          <w:highlight w:val="none"/>
          <w:lang w:val="en-US" w:eastAsia="zh-CN"/>
        </w:rPr>
        <w:t>④</w:t>
      </w:r>
      <w:r>
        <w:rPr>
          <w:rFonts w:hint="default" w:ascii="宋体" w:hAnsi="宋体" w:eastAsia="宋体" w:cs="@仿宋_GB2312"/>
          <w:color w:val="auto"/>
          <w:kern w:val="2"/>
          <w:sz w:val="24"/>
          <w:szCs w:val="22"/>
          <w:highlight w:val="none"/>
          <w:lang w:val="en-US" w:eastAsia="en-US"/>
        </w:rPr>
        <w:t>回填料应分层夯实。</w:t>
      </w:r>
    </w:p>
    <w:p w14:paraId="30BF55E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en-US"/>
        </w:rPr>
      </w:pPr>
      <w:r>
        <w:rPr>
          <w:rFonts w:hint="eastAsia" w:ascii="宋体" w:hAnsi="宋体" w:eastAsia="宋体" w:cs="@仿宋_GB2312"/>
          <w:color w:val="auto"/>
          <w:kern w:val="2"/>
          <w:sz w:val="24"/>
          <w:szCs w:val="22"/>
          <w:highlight w:val="none"/>
          <w:lang w:val="en-US" w:eastAsia="zh-CN"/>
        </w:rPr>
        <w:t>⑤</w:t>
      </w:r>
      <w:r>
        <w:rPr>
          <w:rFonts w:hint="default" w:ascii="宋体" w:hAnsi="宋体" w:eastAsia="宋体" w:cs="@仿宋_GB2312"/>
          <w:color w:val="auto"/>
          <w:kern w:val="2"/>
          <w:sz w:val="24"/>
          <w:szCs w:val="22"/>
          <w:highlight w:val="none"/>
          <w:lang w:val="en-US" w:eastAsia="en-US"/>
        </w:rPr>
        <w:t>回填后场地应恢复原貌。沿堤脚敷设的线缆，应回填后，恢复草皮；堤顶两 边的手井上应在手井盖上覆盖土工膜后回填，并在手井旁以标示桩为记；其他硬化路面也应恢复原状。</w:t>
      </w:r>
    </w:p>
    <w:p w14:paraId="16068EB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4"/>
          <w:highlight w:val="none"/>
          <w:lang w:val="en-US" w:eastAsia="zh-CN"/>
        </w:rPr>
      </w:pPr>
      <w:r>
        <w:rPr>
          <w:rFonts w:hint="eastAsia" w:cs="@仿宋_GB2312"/>
          <w:color w:val="auto"/>
          <w:kern w:val="2"/>
          <w:sz w:val="24"/>
          <w:szCs w:val="24"/>
          <w:highlight w:val="none"/>
          <w:lang w:val="en-US" w:eastAsia="zh-CN"/>
        </w:rPr>
        <w:t>3.</w:t>
      </w:r>
      <w:r>
        <w:rPr>
          <w:rFonts w:hint="eastAsia" w:ascii="宋体" w:hAnsi="宋体" w:eastAsia="宋体" w:cs="@仿宋_GB2312"/>
          <w:color w:val="auto"/>
          <w:kern w:val="2"/>
          <w:sz w:val="24"/>
          <w:szCs w:val="24"/>
          <w:highlight w:val="none"/>
          <w:lang w:val="en-US" w:eastAsia="zh-CN"/>
        </w:rPr>
        <w:t>线缆敷设其他要求</w:t>
      </w:r>
    </w:p>
    <w:p w14:paraId="501D142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4"/>
          <w:highlight w:val="none"/>
          <w:lang w:val="en-US" w:eastAsia="en-US"/>
        </w:rPr>
      </w:pPr>
      <w:r>
        <w:rPr>
          <w:rFonts w:hint="default" w:ascii="宋体" w:hAnsi="宋体" w:eastAsia="宋体" w:cs="@仿宋_GB2312"/>
          <w:color w:val="auto"/>
          <w:kern w:val="2"/>
          <w:sz w:val="24"/>
          <w:szCs w:val="24"/>
          <w:highlight w:val="none"/>
          <w:lang w:val="en-US" w:eastAsia="en-US"/>
        </w:rPr>
        <w:t>线缆敷设应充分与所属管理单位沟通，符合管理单位要求。</w:t>
      </w:r>
    </w:p>
    <w:p w14:paraId="19BB98BC">
      <w:pPr>
        <w:pStyle w:val="5"/>
        <w:keepNext/>
        <w:keepLines/>
        <w:pageBreakBefore w:val="0"/>
        <w:widowControl w:val="0"/>
        <w:numPr>
          <w:ilvl w:val="7"/>
          <w:numId w:val="0"/>
        </w:numPr>
        <w:kinsoku/>
        <w:wordWrap/>
        <w:overflowPunct/>
        <w:topLinePunct w:val="0"/>
        <w:autoSpaceDE/>
        <w:autoSpaceDN/>
        <w:bidi w:val="0"/>
        <w:adjustRightInd w:val="0"/>
        <w:snapToGrid w:val="0"/>
        <w:spacing w:before="0" w:after="0" w:line="377" w:lineRule="auto"/>
        <w:ind w:leftChars="200"/>
        <w:textAlignment w:val="auto"/>
        <w:rPr>
          <w:rFonts w:hint="eastAsia" w:ascii="宋体" w:hAnsi="宋体" w:eastAsia="宋体" w:cs="@仿宋_GB2312"/>
          <w:b/>
          <w:bCs/>
          <w:color w:val="auto"/>
          <w:kern w:val="2"/>
          <w:sz w:val="24"/>
          <w:szCs w:val="22"/>
          <w:highlight w:val="none"/>
          <w:lang w:val="en-US" w:eastAsia="zh-CN" w:bidi="ar-SA"/>
        </w:rPr>
      </w:pPr>
      <w:r>
        <w:rPr>
          <w:rFonts w:hint="eastAsia" w:ascii="宋体" w:hAnsi="宋体" w:eastAsia="宋体" w:cs="@仿宋_GB2312"/>
          <w:b/>
          <w:bCs/>
          <w:color w:val="auto"/>
          <w:kern w:val="2"/>
          <w:sz w:val="24"/>
          <w:szCs w:val="22"/>
          <w:highlight w:val="none"/>
          <w:lang w:val="en-US" w:eastAsia="zh-CN" w:bidi="ar-SA"/>
        </w:rPr>
        <w:t>1.8.2 光缆线路排查</w:t>
      </w:r>
    </w:p>
    <w:p w14:paraId="2A84D3E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1.OTDR 检测</w:t>
      </w:r>
    </w:p>
    <w:p w14:paraId="169D3630">
      <w:pPr>
        <w:numPr>
          <w:ilvl w:val="0"/>
          <w:numId w:val="6"/>
        </w:numPr>
        <w:ind w:left="845" w:leftChars="0" w:hanging="425" w:firstLineChars="0"/>
        <w:rPr>
          <w:rFonts w:hint="eastAsia"/>
          <w:sz w:val="24"/>
          <w:szCs w:val="24"/>
          <w:lang w:val="en-US" w:eastAsia="zh-CN"/>
        </w:rPr>
      </w:pPr>
      <w:r>
        <w:rPr>
          <w:rFonts w:hint="eastAsia"/>
          <w:sz w:val="24"/>
          <w:szCs w:val="24"/>
          <w:lang w:val="en-US" w:eastAsia="zh-CN"/>
        </w:rPr>
        <w:t>利用 OTDR 沿着光缆线路，在不同的测试点进行测量。</w:t>
      </w:r>
    </w:p>
    <w:p w14:paraId="119E13D4">
      <w:pPr>
        <w:numPr>
          <w:ilvl w:val="0"/>
          <w:numId w:val="6"/>
        </w:numPr>
        <w:ind w:left="845" w:leftChars="0" w:hanging="425" w:firstLineChars="0"/>
        <w:rPr>
          <w:rFonts w:hint="eastAsia"/>
          <w:sz w:val="24"/>
          <w:szCs w:val="24"/>
          <w:lang w:val="en-US" w:eastAsia="zh-CN"/>
        </w:rPr>
      </w:pPr>
      <w:r>
        <w:rPr>
          <w:rFonts w:hint="eastAsia"/>
          <w:sz w:val="24"/>
          <w:szCs w:val="24"/>
          <w:lang w:val="en-US" w:eastAsia="zh-CN"/>
        </w:rPr>
        <w:t>通过分析 OTDR 给出的曲线，判断光缆是否存在断点、接头损耗异常等问题。</w:t>
      </w:r>
    </w:p>
    <w:p w14:paraId="4ED007DA">
      <w:pPr>
        <w:numPr>
          <w:ilvl w:val="0"/>
          <w:numId w:val="6"/>
        </w:numPr>
        <w:ind w:left="845" w:leftChars="0" w:hanging="425" w:firstLineChars="0"/>
        <w:rPr>
          <w:rFonts w:hint="eastAsia"/>
          <w:sz w:val="24"/>
          <w:szCs w:val="24"/>
          <w:lang w:val="en-US" w:eastAsia="zh-CN"/>
        </w:rPr>
      </w:pPr>
      <w:r>
        <w:rPr>
          <w:rFonts w:hint="eastAsia"/>
          <w:sz w:val="24"/>
          <w:szCs w:val="24"/>
          <w:lang w:val="en-US" w:eastAsia="zh-CN"/>
        </w:rPr>
        <w:t>若曲线在某个位置出现突然下降，可能意味着此处有光缆断裂；若某个接头处的损耗值比正常范围大很多，则说明该接头有问题。</w:t>
      </w:r>
    </w:p>
    <w:p w14:paraId="5CC2B00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2.</w:t>
      </w:r>
      <w:r>
        <w:rPr>
          <w:rFonts w:hint="default" w:ascii="宋体" w:hAnsi="宋体" w:eastAsia="宋体" w:cs="@仿宋_GB2312"/>
          <w:color w:val="auto"/>
          <w:kern w:val="2"/>
          <w:sz w:val="24"/>
          <w:szCs w:val="24"/>
          <w:highlight w:val="none"/>
          <w:lang w:val="en-US" w:eastAsia="zh-CN"/>
        </w:rPr>
        <w:t>光缆</w:t>
      </w:r>
      <w:r>
        <w:rPr>
          <w:rFonts w:hint="eastAsia" w:ascii="宋体" w:hAnsi="宋体" w:eastAsia="宋体" w:cs="@仿宋_GB2312"/>
          <w:color w:val="auto"/>
          <w:kern w:val="2"/>
          <w:sz w:val="24"/>
          <w:szCs w:val="24"/>
          <w:highlight w:val="none"/>
          <w:lang w:val="en-US" w:eastAsia="zh-CN"/>
        </w:rPr>
        <w:t>断点</w:t>
      </w:r>
      <w:r>
        <w:rPr>
          <w:rFonts w:hint="default" w:ascii="宋体" w:hAnsi="宋体" w:eastAsia="宋体" w:cs="@仿宋_GB2312"/>
          <w:color w:val="auto"/>
          <w:kern w:val="2"/>
          <w:sz w:val="24"/>
          <w:szCs w:val="24"/>
          <w:highlight w:val="none"/>
          <w:lang w:val="en-US" w:eastAsia="zh-CN"/>
        </w:rPr>
        <w:t>线路</w:t>
      </w:r>
    </w:p>
    <w:p w14:paraId="3C51D86D">
      <w:pPr>
        <w:numPr>
          <w:ilvl w:val="0"/>
          <w:numId w:val="7"/>
        </w:numPr>
        <w:ind w:left="845" w:leftChars="0" w:hanging="425" w:firstLineChars="0"/>
        <w:rPr>
          <w:rFonts w:hint="default"/>
          <w:sz w:val="24"/>
          <w:szCs w:val="24"/>
          <w:lang w:val="en-US" w:eastAsia="zh-CN"/>
        </w:rPr>
      </w:pPr>
      <w:r>
        <w:rPr>
          <w:rFonts w:hint="default"/>
          <w:sz w:val="24"/>
          <w:szCs w:val="24"/>
          <w:lang w:val="en-US" w:eastAsia="zh-CN"/>
        </w:rPr>
        <w:t>检查光缆外观是否完整，有无裂口、磨损或变形。</w:t>
      </w:r>
    </w:p>
    <w:p w14:paraId="74B8F85A">
      <w:pPr>
        <w:numPr>
          <w:ilvl w:val="0"/>
          <w:numId w:val="7"/>
        </w:numPr>
        <w:ind w:left="845" w:leftChars="0" w:hanging="425" w:firstLineChars="0"/>
        <w:rPr>
          <w:rFonts w:hint="default"/>
          <w:sz w:val="24"/>
          <w:szCs w:val="24"/>
          <w:lang w:val="en-US" w:eastAsia="zh-CN"/>
        </w:rPr>
      </w:pPr>
      <w:r>
        <w:rPr>
          <w:rFonts w:hint="default"/>
          <w:sz w:val="24"/>
          <w:szCs w:val="24"/>
          <w:lang w:val="en-US" w:eastAsia="zh-CN"/>
        </w:rPr>
        <w:t>观察光缆垂度是否正常，避免因温度变化或挂钩脱落导致的下垂过大或过小。</w:t>
      </w:r>
    </w:p>
    <w:p w14:paraId="61077973">
      <w:pPr>
        <w:numPr>
          <w:ilvl w:val="0"/>
          <w:numId w:val="7"/>
        </w:numPr>
        <w:ind w:left="845" w:leftChars="0" w:hanging="425" w:firstLineChars="0"/>
        <w:rPr>
          <w:rFonts w:hint="default"/>
          <w:sz w:val="24"/>
          <w:szCs w:val="24"/>
          <w:lang w:val="en-US" w:eastAsia="zh-CN"/>
        </w:rPr>
      </w:pPr>
      <w:r>
        <w:rPr>
          <w:rFonts w:hint="default"/>
          <w:sz w:val="24"/>
          <w:szCs w:val="24"/>
          <w:lang w:val="en-US" w:eastAsia="zh-CN"/>
        </w:rPr>
        <w:t>检查挂钩是否均匀分布，间距是否合适，防止光缆摆动摩擦。</w:t>
      </w:r>
    </w:p>
    <w:p w14:paraId="68BB58CD">
      <w:pPr>
        <w:numPr>
          <w:ilvl w:val="0"/>
          <w:numId w:val="7"/>
        </w:numPr>
        <w:ind w:left="845" w:leftChars="0" w:hanging="425" w:firstLineChars="0"/>
        <w:rPr>
          <w:rFonts w:hint="default"/>
          <w:sz w:val="24"/>
          <w:szCs w:val="24"/>
          <w:lang w:val="en-US" w:eastAsia="zh-CN"/>
        </w:rPr>
      </w:pPr>
      <w:r>
        <w:rPr>
          <w:rFonts w:hint="default"/>
          <w:sz w:val="24"/>
          <w:szCs w:val="24"/>
          <w:lang w:val="en-US" w:eastAsia="zh-CN"/>
        </w:rPr>
        <w:t>排查光缆线路是否存在老化、损坏或断裂现象。</w:t>
      </w:r>
    </w:p>
    <w:p w14:paraId="34A4148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3.</w:t>
      </w:r>
      <w:r>
        <w:rPr>
          <w:rFonts w:hint="default" w:ascii="宋体" w:hAnsi="宋体" w:eastAsia="宋体" w:cs="@仿宋_GB2312"/>
          <w:color w:val="auto"/>
          <w:kern w:val="2"/>
          <w:sz w:val="24"/>
          <w:szCs w:val="24"/>
          <w:highlight w:val="none"/>
          <w:lang w:val="en-US" w:eastAsia="zh-CN"/>
        </w:rPr>
        <w:t>连接部件</w:t>
      </w:r>
    </w:p>
    <w:p w14:paraId="07657854">
      <w:pPr>
        <w:numPr>
          <w:ilvl w:val="0"/>
          <w:numId w:val="8"/>
        </w:numPr>
        <w:ind w:left="845" w:leftChars="0" w:hanging="425" w:firstLineChars="0"/>
        <w:rPr>
          <w:rFonts w:hint="default"/>
          <w:sz w:val="24"/>
          <w:szCs w:val="24"/>
          <w:lang w:val="en-US" w:eastAsia="zh-CN"/>
        </w:rPr>
      </w:pPr>
      <w:r>
        <w:rPr>
          <w:rFonts w:hint="default"/>
          <w:sz w:val="24"/>
          <w:szCs w:val="24"/>
          <w:lang w:val="en-US" w:eastAsia="zh-CN"/>
        </w:rPr>
        <w:t>打开接头盒检查密封胶条是否老化，盒内光纤盘留弯曲半径是否合适。</w:t>
      </w:r>
    </w:p>
    <w:p w14:paraId="1DCA8AE9">
      <w:pPr>
        <w:numPr>
          <w:ilvl w:val="0"/>
          <w:numId w:val="8"/>
        </w:numPr>
        <w:ind w:left="845" w:leftChars="0" w:hanging="425" w:firstLineChars="0"/>
        <w:rPr>
          <w:rFonts w:hint="default"/>
          <w:sz w:val="24"/>
          <w:szCs w:val="24"/>
          <w:lang w:val="en-US" w:eastAsia="zh-CN"/>
        </w:rPr>
      </w:pPr>
      <w:r>
        <w:rPr>
          <w:rFonts w:hint="default"/>
          <w:sz w:val="24"/>
          <w:szCs w:val="24"/>
          <w:lang w:val="en-US" w:eastAsia="zh-CN"/>
        </w:rPr>
        <w:t>检查固定抱箍是否移位，接地线是否断股或接地电阻值是否超标</w:t>
      </w:r>
      <w:r>
        <w:rPr>
          <w:rFonts w:hint="eastAsia"/>
          <w:sz w:val="24"/>
          <w:szCs w:val="24"/>
          <w:lang w:val="en-US" w:eastAsia="zh-CN"/>
        </w:rPr>
        <w:t>。</w:t>
      </w:r>
    </w:p>
    <w:p w14:paraId="748C38C9">
      <w:pPr>
        <w:pStyle w:val="5"/>
        <w:keepNext/>
        <w:keepLines/>
        <w:pageBreakBefore w:val="0"/>
        <w:widowControl w:val="0"/>
        <w:numPr>
          <w:ilvl w:val="7"/>
          <w:numId w:val="0"/>
        </w:numPr>
        <w:kinsoku/>
        <w:wordWrap/>
        <w:overflowPunct/>
        <w:topLinePunct w:val="0"/>
        <w:autoSpaceDE/>
        <w:autoSpaceDN/>
        <w:bidi w:val="0"/>
        <w:adjustRightInd w:val="0"/>
        <w:snapToGrid w:val="0"/>
        <w:spacing w:before="0" w:after="0" w:line="377" w:lineRule="auto"/>
        <w:ind w:leftChars="200"/>
        <w:textAlignment w:val="auto"/>
        <w:rPr>
          <w:rFonts w:hint="eastAsia" w:ascii="宋体" w:hAnsi="宋体" w:eastAsia="宋体" w:cs="@仿宋_GB2312"/>
          <w:b/>
          <w:bCs/>
          <w:color w:val="auto"/>
          <w:kern w:val="2"/>
          <w:sz w:val="24"/>
          <w:szCs w:val="22"/>
          <w:highlight w:val="none"/>
          <w:lang w:val="en-US" w:eastAsia="zh-CN" w:bidi="ar-SA"/>
        </w:rPr>
      </w:pPr>
      <w:r>
        <w:rPr>
          <w:rFonts w:hint="eastAsia" w:ascii="宋体" w:hAnsi="宋体" w:eastAsia="宋体" w:cs="@仿宋_GB2312"/>
          <w:b/>
          <w:bCs/>
          <w:color w:val="auto"/>
          <w:kern w:val="2"/>
          <w:sz w:val="24"/>
          <w:szCs w:val="22"/>
          <w:highlight w:val="none"/>
          <w:lang w:val="en-US" w:eastAsia="zh-CN" w:bidi="ar-SA"/>
        </w:rPr>
        <w:t>1.8.3光缆敷设施工要求</w:t>
      </w:r>
    </w:p>
    <w:p w14:paraId="461F46BF">
      <w:pPr>
        <w:numPr>
          <w:ilvl w:val="0"/>
          <w:numId w:val="9"/>
        </w:numPr>
        <w:spacing w:line="360" w:lineRule="auto"/>
        <w:ind w:left="-60" w:leftChars="0" w:firstLine="480" w:firstLineChars="0"/>
        <w:rPr>
          <w:rFonts w:hint="eastAsia" w:ascii="宋体" w:hAnsi="宋体" w:eastAsia="宋体" w:cs="宋体"/>
          <w:sz w:val="24"/>
          <w:szCs w:val="24"/>
        </w:rPr>
      </w:pPr>
      <w:r>
        <w:rPr>
          <w:rFonts w:hint="eastAsia" w:ascii="宋体" w:hAnsi="宋体" w:eastAsia="宋体" w:cs="宋体"/>
          <w:sz w:val="24"/>
          <w:szCs w:val="24"/>
        </w:rPr>
        <w:t>光缆埋深不小于0.8m，沟底应平整，并在沟底和光缆上方各铺10cm的软土细沙。光缆穿越机耕路及未定型的土路时，采用横铺红砖保护、缆与公路及易受重压地段采用砼加筋包封。</w:t>
      </w:r>
    </w:p>
    <w:p w14:paraId="2A7F8212">
      <w:pPr>
        <w:numPr>
          <w:ilvl w:val="0"/>
          <w:numId w:val="9"/>
        </w:numPr>
        <w:spacing w:line="360" w:lineRule="auto"/>
        <w:ind w:left="-60" w:leftChars="0" w:firstLine="480" w:firstLineChars="0"/>
        <w:rPr>
          <w:rFonts w:hint="eastAsia" w:ascii="宋体" w:hAnsi="宋体" w:eastAsia="宋体" w:cs="宋体"/>
          <w:sz w:val="24"/>
          <w:szCs w:val="24"/>
        </w:rPr>
      </w:pPr>
      <w:r>
        <w:rPr>
          <w:rFonts w:hint="eastAsia" w:ascii="宋体" w:hAnsi="宋体" w:eastAsia="宋体" w:cs="宋体"/>
          <w:sz w:val="24"/>
          <w:szCs w:val="24"/>
        </w:rPr>
        <w:t>光缆应按照设计配盘并结合手井的施工情况进行合理配盘。</w:t>
      </w:r>
    </w:p>
    <w:p w14:paraId="3B8C15B3">
      <w:pPr>
        <w:numPr>
          <w:ilvl w:val="0"/>
          <w:numId w:val="9"/>
        </w:numPr>
        <w:spacing w:line="360" w:lineRule="auto"/>
        <w:ind w:left="-60" w:leftChars="0" w:firstLine="480" w:firstLineChars="0"/>
        <w:rPr>
          <w:rFonts w:hint="eastAsia" w:ascii="宋体" w:hAnsi="宋体" w:eastAsia="宋体" w:cs="宋体"/>
          <w:sz w:val="24"/>
          <w:szCs w:val="24"/>
        </w:rPr>
      </w:pPr>
      <w:r>
        <w:rPr>
          <w:rFonts w:hint="eastAsia" w:ascii="宋体" w:hAnsi="宋体" w:eastAsia="宋体" w:cs="宋体"/>
          <w:sz w:val="24"/>
          <w:szCs w:val="24"/>
        </w:rPr>
        <w:t>光缆到货后应进行单盘测试，并将单盘测试记录与光缆出厂测试记录相比较确定合格后归档。</w:t>
      </w:r>
    </w:p>
    <w:p w14:paraId="18739018">
      <w:pPr>
        <w:numPr>
          <w:ilvl w:val="0"/>
          <w:numId w:val="9"/>
        </w:numPr>
        <w:spacing w:line="360" w:lineRule="auto"/>
        <w:ind w:left="-60" w:leftChars="0" w:firstLine="480" w:firstLineChars="0"/>
        <w:rPr>
          <w:rFonts w:hint="eastAsia" w:ascii="宋体" w:hAnsi="宋体" w:eastAsia="宋体" w:cs="宋体"/>
          <w:sz w:val="24"/>
          <w:szCs w:val="24"/>
        </w:rPr>
      </w:pPr>
      <w:r>
        <w:rPr>
          <w:rFonts w:hint="eastAsia" w:ascii="宋体" w:hAnsi="宋体" w:eastAsia="宋体" w:cs="宋体"/>
          <w:sz w:val="24"/>
          <w:szCs w:val="24"/>
        </w:rPr>
        <w:t>光缆敷设施工中，应当保证光缆外护套的完整性。</w:t>
      </w:r>
    </w:p>
    <w:p w14:paraId="72BA2B4B">
      <w:pPr>
        <w:numPr>
          <w:ilvl w:val="0"/>
          <w:numId w:val="9"/>
        </w:numPr>
        <w:spacing w:line="360" w:lineRule="auto"/>
        <w:ind w:left="-60" w:leftChars="0" w:firstLine="480" w:firstLineChars="0"/>
        <w:rPr>
          <w:rFonts w:hint="eastAsia" w:ascii="宋体" w:hAnsi="宋体" w:eastAsia="宋体" w:cs="宋体"/>
          <w:sz w:val="24"/>
          <w:szCs w:val="24"/>
        </w:rPr>
      </w:pPr>
      <w:r>
        <w:rPr>
          <w:rFonts w:hint="eastAsia" w:ascii="宋体" w:hAnsi="宋体" w:eastAsia="宋体" w:cs="宋体"/>
          <w:sz w:val="24"/>
          <w:szCs w:val="24"/>
        </w:rPr>
        <w:t>光缆敷设安装的最小曲率半径应符合规定。</w:t>
      </w:r>
    </w:p>
    <w:p w14:paraId="4F6472F0">
      <w:pPr>
        <w:numPr>
          <w:ilvl w:val="0"/>
          <w:numId w:val="9"/>
        </w:numPr>
        <w:spacing w:line="360" w:lineRule="auto"/>
        <w:ind w:left="-60" w:leftChars="0" w:firstLine="480" w:firstLineChars="0"/>
        <w:rPr>
          <w:rFonts w:hint="eastAsia" w:ascii="宋体" w:hAnsi="宋体" w:eastAsia="宋体" w:cs="宋体"/>
          <w:sz w:val="24"/>
          <w:szCs w:val="24"/>
        </w:rPr>
      </w:pPr>
      <w:r>
        <w:rPr>
          <w:rFonts w:hint="eastAsia" w:ascii="宋体" w:hAnsi="宋体" w:eastAsia="宋体" w:cs="宋体"/>
          <w:sz w:val="24"/>
          <w:szCs w:val="24"/>
        </w:rPr>
        <w:t>光缆如在局部改变外护层结构，且光缆可以满足敷设条件要求的，可不换程式以减少光缆接头。</w:t>
      </w:r>
    </w:p>
    <w:p w14:paraId="0098E916">
      <w:pPr>
        <w:numPr>
          <w:ilvl w:val="0"/>
          <w:numId w:val="9"/>
        </w:numPr>
        <w:spacing w:line="360" w:lineRule="auto"/>
        <w:ind w:left="-60" w:leftChars="0" w:firstLine="480" w:firstLineChars="0"/>
        <w:rPr>
          <w:rFonts w:hint="eastAsia" w:ascii="宋体" w:hAnsi="宋体" w:eastAsia="宋体" w:cs="宋体"/>
          <w:sz w:val="24"/>
          <w:szCs w:val="24"/>
        </w:rPr>
      </w:pPr>
      <w:r>
        <w:rPr>
          <w:rFonts w:hint="eastAsia" w:ascii="宋体" w:hAnsi="宋体" w:eastAsia="宋体" w:cs="宋体"/>
          <w:sz w:val="24"/>
          <w:szCs w:val="24"/>
        </w:rPr>
        <w:t>整盘光缆可由中间向两边双向布放，也可由一端向另一端连续布放。</w:t>
      </w:r>
    </w:p>
    <w:p w14:paraId="11D8756E">
      <w:pPr>
        <w:numPr>
          <w:ilvl w:val="0"/>
          <w:numId w:val="9"/>
        </w:numPr>
        <w:spacing w:line="360" w:lineRule="auto"/>
        <w:ind w:left="-60" w:leftChars="0" w:firstLine="480" w:firstLineChars="0"/>
        <w:rPr>
          <w:rFonts w:hint="eastAsia" w:ascii="宋体" w:hAnsi="宋体" w:eastAsia="宋体" w:cs="宋体"/>
          <w:sz w:val="24"/>
          <w:szCs w:val="24"/>
        </w:rPr>
      </w:pPr>
      <w:r>
        <w:rPr>
          <w:rFonts w:hint="eastAsia" w:ascii="宋体" w:hAnsi="宋体" w:eastAsia="宋体" w:cs="宋体"/>
          <w:sz w:val="24"/>
          <w:szCs w:val="24"/>
        </w:rPr>
        <w:t>光缆布放完毕，应在各手孔内安装光缆标牌，标牌沿手孔一侧绑扎固定，并采用纵刨塑料管或蛇皮管进行保护。</w:t>
      </w:r>
    </w:p>
    <w:p w14:paraId="72003C2D">
      <w:pPr>
        <w:numPr>
          <w:ilvl w:val="0"/>
          <w:numId w:val="9"/>
        </w:numPr>
        <w:spacing w:line="360" w:lineRule="auto"/>
        <w:ind w:left="-60" w:leftChars="0" w:firstLine="480" w:firstLineChars="0"/>
        <w:rPr>
          <w:rFonts w:hint="eastAsia" w:ascii="宋体" w:hAnsi="宋体" w:eastAsia="宋体" w:cs="宋体"/>
          <w:sz w:val="24"/>
          <w:szCs w:val="24"/>
        </w:rPr>
      </w:pPr>
      <w:r>
        <w:rPr>
          <w:rFonts w:hint="eastAsia" w:ascii="宋体" w:hAnsi="宋体" w:eastAsia="宋体" w:cs="宋体"/>
          <w:sz w:val="24"/>
          <w:szCs w:val="24"/>
        </w:rPr>
        <w:t>光缆的预留除设计要求中规定的以外，还应根据建设地实际情况进行设置。光缆预留点已设置手孔的，一般在手孔内作光缆盘留。</w:t>
      </w:r>
    </w:p>
    <w:p w14:paraId="4CE3B189">
      <w:pPr>
        <w:numPr>
          <w:ilvl w:val="0"/>
          <w:numId w:val="9"/>
        </w:numPr>
        <w:spacing w:line="360" w:lineRule="auto"/>
        <w:ind w:left="-60" w:leftChars="0" w:firstLine="480" w:firstLineChars="0"/>
        <w:rPr>
          <w:rFonts w:hint="eastAsia" w:ascii="宋体" w:hAnsi="宋体" w:eastAsia="宋体" w:cs="宋体"/>
          <w:sz w:val="24"/>
          <w:szCs w:val="24"/>
        </w:rPr>
      </w:pPr>
      <w:r>
        <w:rPr>
          <w:rFonts w:hint="eastAsia" w:ascii="宋体" w:hAnsi="宋体" w:eastAsia="宋体" w:cs="宋体"/>
          <w:sz w:val="24"/>
          <w:szCs w:val="24"/>
        </w:rPr>
        <w:t>在钢管或其他类似材质的管道中敷设光缆时应视情况使用塑料子管以保护光缆。在塑料管道中敷设时，在大孔径塑管中应敷设多根塑料子管以节省空间。</w:t>
      </w:r>
    </w:p>
    <w:p w14:paraId="4413447A">
      <w:pPr>
        <w:numPr>
          <w:ilvl w:val="0"/>
          <w:numId w:val="9"/>
        </w:numPr>
        <w:spacing w:line="360" w:lineRule="auto"/>
        <w:ind w:left="-60" w:leftChars="0" w:firstLine="480" w:firstLineChars="0"/>
        <w:rPr>
          <w:rFonts w:hint="eastAsia" w:ascii="宋体" w:hAnsi="宋体" w:eastAsia="宋体" w:cs="宋体"/>
          <w:sz w:val="24"/>
          <w:szCs w:val="24"/>
        </w:rPr>
      </w:pPr>
      <w:r>
        <w:rPr>
          <w:rFonts w:hint="eastAsia" w:ascii="宋体" w:hAnsi="宋体" w:eastAsia="宋体" w:cs="宋体"/>
          <w:sz w:val="24"/>
          <w:szCs w:val="24"/>
        </w:rPr>
        <w:t>光缆接头盒在手孔内宜安装在常年积水水位以上的位置，采用保护托架或其他方法承托。</w:t>
      </w:r>
    </w:p>
    <w:p w14:paraId="51431838">
      <w:pPr>
        <w:numPr>
          <w:ilvl w:val="0"/>
          <w:numId w:val="9"/>
        </w:numPr>
        <w:spacing w:line="360" w:lineRule="auto"/>
        <w:ind w:left="-60" w:leftChars="0" w:firstLine="480" w:firstLineChars="0"/>
        <w:rPr>
          <w:rFonts w:hint="eastAsia" w:ascii="宋体" w:hAnsi="宋体" w:eastAsia="宋体" w:cs="宋体"/>
          <w:sz w:val="24"/>
          <w:szCs w:val="24"/>
        </w:rPr>
      </w:pPr>
      <w:r>
        <w:rPr>
          <w:rFonts w:hint="eastAsia" w:ascii="宋体" w:hAnsi="宋体" w:eastAsia="宋体" w:cs="宋体"/>
          <w:sz w:val="24"/>
          <w:szCs w:val="24"/>
        </w:rPr>
        <w:t>对有防水要求的段落应对占用管孔及子管进行可靠的防水封堵，并进行防水渗漏试验，确保无渗漏。</w:t>
      </w:r>
    </w:p>
    <w:p w14:paraId="19E713CD">
      <w:pPr>
        <w:pStyle w:val="5"/>
        <w:keepNext/>
        <w:keepLines/>
        <w:pageBreakBefore w:val="0"/>
        <w:widowControl w:val="0"/>
        <w:numPr>
          <w:ilvl w:val="7"/>
          <w:numId w:val="0"/>
        </w:numPr>
        <w:kinsoku/>
        <w:wordWrap/>
        <w:overflowPunct/>
        <w:topLinePunct w:val="0"/>
        <w:autoSpaceDE/>
        <w:autoSpaceDN/>
        <w:bidi w:val="0"/>
        <w:adjustRightInd w:val="0"/>
        <w:snapToGrid w:val="0"/>
        <w:spacing w:before="0" w:after="0" w:line="377" w:lineRule="auto"/>
        <w:ind w:leftChars="200"/>
        <w:textAlignment w:val="auto"/>
        <w:rPr>
          <w:rFonts w:hint="eastAsia" w:ascii="宋体" w:hAnsi="宋体" w:eastAsia="宋体" w:cs="@仿宋_GB2312"/>
          <w:b/>
          <w:bCs/>
          <w:color w:val="auto"/>
          <w:kern w:val="2"/>
          <w:sz w:val="24"/>
          <w:szCs w:val="24"/>
          <w:highlight w:val="none"/>
          <w:lang w:val="en-US" w:eastAsia="zh-CN" w:bidi="ar-SA"/>
        </w:rPr>
      </w:pPr>
      <w:r>
        <w:rPr>
          <w:rFonts w:hint="eastAsia" w:ascii="宋体" w:hAnsi="宋体" w:eastAsia="宋体" w:cs="@仿宋_GB2312"/>
          <w:b/>
          <w:bCs/>
          <w:color w:val="auto"/>
          <w:kern w:val="2"/>
          <w:sz w:val="24"/>
          <w:szCs w:val="24"/>
          <w:highlight w:val="none"/>
          <w:lang w:val="en-US" w:eastAsia="zh-CN" w:bidi="ar-SA"/>
        </w:rPr>
        <w:t>1.8.4光缆接续及接头安装要求</w:t>
      </w:r>
    </w:p>
    <w:p w14:paraId="4C2BD2CE">
      <w:pPr>
        <w:numPr>
          <w:ilvl w:val="0"/>
          <w:numId w:val="10"/>
        </w:numPr>
        <w:spacing w:line="360" w:lineRule="auto"/>
        <w:ind w:left="845" w:leftChars="0" w:hanging="425" w:firstLineChars="0"/>
        <w:rPr>
          <w:rFonts w:hint="eastAsia" w:ascii="宋体" w:hAnsi="宋体" w:eastAsia="宋体" w:cs="宋体"/>
          <w:sz w:val="24"/>
          <w:szCs w:val="24"/>
        </w:rPr>
      </w:pPr>
      <w:r>
        <w:rPr>
          <w:rFonts w:hint="eastAsia" w:ascii="宋体" w:hAnsi="宋体" w:eastAsia="宋体" w:cs="宋体"/>
          <w:sz w:val="24"/>
          <w:szCs w:val="24"/>
        </w:rPr>
        <w:t>光缆接续和测试人员必须经过专门技术培训后，才能上岗工作。</w:t>
      </w:r>
    </w:p>
    <w:p w14:paraId="7F336E3B">
      <w:pPr>
        <w:numPr>
          <w:ilvl w:val="0"/>
          <w:numId w:val="10"/>
        </w:numPr>
        <w:spacing w:line="360" w:lineRule="auto"/>
        <w:ind w:left="845" w:leftChars="0" w:hanging="425" w:firstLineChars="0"/>
        <w:rPr>
          <w:rFonts w:hint="eastAsia" w:ascii="宋体" w:hAnsi="宋体" w:eastAsia="宋体" w:cs="宋体"/>
          <w:sz w:val="24"/>
          <w:szCs w:val="24"/>
        </w:rPr>
      </w:pPr>
      <w:r>
        <w:rPr>
          <w:rFonts w:hint="eastAsia" w:ascii="宋体" w:hAnsi="宋体" w:eastAsia="宋体" w:cs="宋体"/>
          <w:sz w:val="24"/>
          <w:szCs w:val="24"/>
        </w:rPr>
        <w:t>光缆接头的设置，按照光缆配盘情况并尽量减少接头数量，从而减少光纤的衰减和降低工程造价。除正常光缆接续点以外，在光缆需连续引上和引下等光缆单盘连续敷设有困难的特殊地段需要设置光缆接头。</w:t>
      </w:r>
    </w:p>
    <w:p w14:paraId="76273360">
      <w:pPr>
        <w:numPr>
          <w:ilvl w:val="0"/>
          <w:numId w:val="10"/>
        </w:numPr>
        <w:spacing w:line="360" w:lineRule="auto"/>
        <w:ind w:left="845" w:leftChars="0" w:hanging="425" w:firstLineChars="0"/>
        <w:rPr>
          <w:rFonts w:hint="eastAsia" w:ascii="宋体" w:hAnsi="宋体" w:eastAsia="宋体" w:cs="宋体"/>
          <w:sz w:val="24"/>
          <w:szCs w:val="24"/>
        </w:rPr>
      </w:pPr>
      <w:r>
        <w:rPr>
          <w:rFonts w:hint="eastAsia" w:ascii="宋体" w:hAnsi="宋体" w:eastAsia="宋体" w:cs="宋体"/>
          <w:sz w:val="24"/>
          <w:szCs w:val="24"/>
        </w:rPr>
        <w:t>光纤固定接头采用熔接法，且光纤接头衰减应从严控制，光纤接头损耗应达到设计规定值：单纤平均接头损耗≤0.06dB。</w:t>
      </w:r>
    </w:p>
    <w:p w14:paraId="13C69797">
      <w:pPr>
        <w:numPr>
          <w:ilvl w:val="0"/>
          <w:numId w:val="10"/>
        </w:numPr>
        <w:spacing w:line="360" w:lineRule="auto"/>
        <w:ind w:left="845" w:leftChars="0" w:hanging="425" w:firstLineChars="0"/>
        <w:rPr>
          <w:rFonts w:hint="eastAsia" w:ascii="宋体" w:hAnsi="宋体" w:eastAsia="宋体" w:cs="宋体"/>
          <w:sz w:val="24"/>
          <w:szCs w:val="24"/>
        </w:rPr>
      </w:pPr>
      <w:r>
        <w:rPr>
          <w:rFonts w:hint="eastAsia" w:ascii="宋体" w:hAnsi="宋体" w:eastAsia="宋体" w:cs="宋体"/>
          <w:sz w:val="24"/>
          <w:szCs w:val="24"/>
        </w:rPr>
        <w:t>光缆加强件在接头处应有强度可靠的连接（高压感应区、雷区等需要采用防护措施的特殊地段除外），接头盒设置地点应考虑安全、稳固，应设置在安全和便于维护抢修的地点，尽量避免设置在桥涵、水底等地点。</w:t>
      </w:r>
    </w:p>
    <w:p w14:paraId="3B440F46">
      <w:pPr>
        <w:numPr>
          <w:ilvl w:val="0"/>
          <w:numId w:val="10"/>
        </w:numPr>
        <w:spacing w:line="360" w:lineRule="auto"/>
        <w:ind w:left="845" w:leftChars="0" w:hanging="425" w:firstLineChars="0"/>
        <w:rPr>
          <w:rFonts w:hint="eastAsia" w:ascii="宋体" w:hAnsi="宋体" w:eastAsia="宋体" w:cs="宋体"/>
          <w:sz w:val="24"/>
          <w:szCs w:val="24"/>
        </w:rPr>
      </w:pPr>
      <w:r>
        <w:rPr>
          <w:rFonts w:hint="eastAsia" w:ascii="宋体" w:hAnsi="宋体" w:eastAsia="宋体" w:cs="宋体"/>
          <w:sz w:val="24"/>
          <w:szCs w:val="24"/>
        </w:rPr>
        <w:t>管道光缆接头在手孔中位置的确定，应便于施工维护。</w:t>
      </w:r>
    </w:p>
    <w:p w14:paraId="7EDA129A">
      <w:pPr>
        <w:numPr>
          <w:ilvl w:val="0"/>
          <w:numId w:val="10"/>
        </w:numPr>
        <w:spacing w:line="360" w:lineRule="auto"/>
        <w:ind w:left="845" w:leftChars="0" w:hanging="425" w:firstLineChars="0"/>
        <w:rPr>
          <w:rFonts w:hint="eastAsia" w:ascii="宋体" w:hAnsi="宋体" w:eastAsia="宋体" w:cs="宋体"/>
          <w:sz w:val="24"/>
          <w:szCs w:val="24"/>
        </w:rPr>
      </w:pPr>
      <w:r>
        <w:rPr>
          <w:rFonts w:hint="eastAsia" w:ascii="宋体" w:hAnsi="宋体" w:eastAsia="宋体" w:cs="宋体"/>
          <w:sz w:val="24"/>
          <w:szCs w:val="24"/>
        </w:rPr>
        <w:t>光缆接续前应核对光纤纤序，光纤接续后不得出现纤序错接，另需放置按规定标识的接续卡。</w:t>
      </w:r>
    </w:p>
    <w:p w14:paraId="0FA5C654">
      <w:pPr>
        <w:numPr>
          <w:ilvl w:val="0"/>
          <w:numId w:val="10"/>
        </w:numPr>
        <w:spacing w:line="360" w:lineRule="auto"/>
        <w:ind w:left="845" w:leftChars="0" w:hanging="425" w:firstLineChars="0"/>
        <w:rPr>
          <w:rFonts w:hint="eastAsia" w:ascii="宋体" w:hAnsi="宋体" w:eastAsia="宋体" w:cs="宋体"/>
          <w:sz w:val="24"/>
          <w:szCs w:val="24"/>
        </w:rPr>
      </w:pPr>
      <w:r>
        <w:rPr>
          <w:rFonts w:hint="eastAsia" w:ascii="宋体" w:hAnsi="宋体" w:eastAsia="宋体" w:cs="宋体"/>
          <w:sz w:val="24"/>
          <w:szCs w:val="24"/>
        </w:rPr>
        <w:t>光纤预留在接头盒内应保证足够的盘绕半径，并无挤压、松动。</w:t>
      </w:r>
    </w:p>
    <w:p w14:paraId="2A73AE7B">
      <w:pPr>
        <w:pStyle w:val="28"/>
        <w:rPr>
          <w:rFonts w:hint="eastAsia" w:ascii="宋体" w:hAnsi="宋体" w:eastAsia="宋体" w:cs="宋体"/>
          <w:sz w:val="24"/>
          <w:szCs w:val="24"/>
        </w:rPr>
      </w:pPr>
      <w:r>
        <w:rPr>
          <w:rFonts w:hint="eastAsia" w:ascii="宋体" w:hAnsi="宋体" w:eastAsia="宋体" w:cs="宋体"/>
          <w:sz w:val="24"/>
          <w:szCs w:val="24"/>
        </w:rPr>
        <w:t>光纤接头损耗及纤长应在施工现场及时作好记录。</w:t>
      </w:r>
    </w:p>
    <w:p w14:paraId="38573903">
      <w:pPr>
        <w:pStyle w:val="5"/>
        <w:keepNext/>
        <w:keepLines/>
        <w:pageBreakBefore w:val="0"/>
        <w:widowControl w:val="0"/>
        <w:numPr>
          <w:ilvl w:val="7"/>
          <w:numId w:val="0"/>
        </w:numPr>
        <w:kinsoku/>
        <w:wordWrap/>
        <w:overflowPunct/>
        <w:topLinePunct w:val="0"/>
        <w:autoSpaceDE/>
        <w:autoSpaceDN/>
        <w:bidi w:val="0"/>
        <w:adjustRightInd w:val="0"/>
        <w:snapToGrid w:val="0"/>
        <w:spacing w:before="0" w:after="0" w:line="377" w:lineRule="auto"/>
        <w:ind w:leftChars="200"/>
        <w:textAlignment w:val="auto"/>
        <w:rPr>
          <w:rFonts w:hint="eastAsia" w:ascii="宋体" w:hAnsi="宋体" w:eastAsia="宋体" w:cs="@仿宋_GB2312"/>
          <w:b/>
          <w:bCs/>
          <w:color w:val="auto"/>
          <w:kern w:val="2"/>
          <w:sz w:val="24"/>
          <w:szCs w:val="24"/>
          <w:highlight w:val="none"/>
          <w:lang w:val="en-US" w:eastAsia="zh-CN" w:bidi="ar-SA"/>
        </w:rPr>
      </w:pPr>
      <w:r>
        <w:rPr>
          <w:rFonts w:hint="eastAsia" w:ascii="宋体" w:hAnsi="宋体" w:eastAsia="宋体" w:cs="@仿宋_GB2312"/>
          <w:b/>
          <w:bCs/>
          <w:color w:val="auto"/>
          <w:kern w:val="2"/>
          <w:sz w:val="24"/>
          <w:szCs w:val="24"/>
          <w:highlight w:val="none"/>
          <w:lang w:val="en-US" w:eastAsia="zh-CN" w:bidi="ar-SA"/>
        </w:rPr>
        <w:t>1.8.5手孔井技术标准与要求</w:t>
      </w:r>
    </w:p>
    <w:p w14:paraId="77968690">
      <w:pPr>
        <w:bidi w:val="0"/>
        <w:rPr>
          <w:sz w:val="24"/>
          <w:szCs w:val="24"/>
        </w:rPr>
      </w:pPr>
      <w:r>
        <w:rPr>
          <w:rFonts w:hint="eastAsia"/>
          <w:sz w:val="24"/>
          <w:szCs w:val="24"/>
        </w:rPr>
        <w:t>(1) 手孔上覆荷载与强度应符合设计标准。</w:t>
      </w:r>
    </w:p>
    <w:p w14:paraId="60A593FE">
      <w:pPr>
        <w:bidi w:val="0"/>
        <w:rPr>
          <w:sz w:val="24"/>
          <w:szCs w:val="24"/>
        </w:rPr>
      </w:pPr>
      <w:r>
        <w:rPr>
          <w:rFonts w:hint="eastAsia"/>
          <w:sz w:val="24"/>
          <w:szCs w:val="24"/>
        </w:rPr>
        <w:t>(2) 手孔四壁采用砖砌材料。</w:t>
      </w:r>
    </w:p>
    <w:p w14:paraId="73282D1C">
      <w:pPr>
        <w:bidi w:val="0"/>
        <w:rPr>
          <w:sz w:val="24"/>
          <w:szCs w:val="24"/>
        </w:rPr>
      </w:pPr>
      <w:r>
        <w:rPr>
          <w:rFonts w:hint="eastAsia"/>
          <w:sz w:val="24"/>
          <w:szCs w:val="24"/>
        </w:rPr>
        <w:t>(3) 手孔内部的专用光缆支架、拉力环、积水罐安装位置，应符合设计图纸要求。</w:t>
      </w:r>
    </w:p>
    <w:p w14:paraId="58302323">
      <w:pPr>
        <w:bidi w:val="0"/>
        <w:rPr>
          <w:sz w:val="24"/>
          <w:szCs w:val="24"/>
        </w:rPr>
      </w:pPr>
      <w:r>
        <w:rPr>
          <w:rFonts w:hint="eastAsia"/>
          <w:sz w:val="24"/>
          <w:szCs w:val="24"/>
        </w:rPr>
        <w:t>(4) 处于堤顶路面下的手孔，其手孔口圈顶宜高出路面10mm，防止地表水流入手孔内。</w:t>
      </w:r>
    </w:p>
    <w:p w14:paraId="3CE9865F">
      <w:pPr>
        <w:bidi w:val="0"/>
        <w:rPr>
          <w:sz w:val="24"/>
          <w:szCs w:val="24"/>
        </w:rPr>
      </w:pPr>
      <w:r>
        <w:rPr>
          <w:rFonts w:hint="eastAsia"/>
          <w:sz w:val="24"/>
          <w:szCs w:val="24"/>
        </w:rPr>
        <w:t>(5) 处于绿化带和农田内的管道均采用埋式手孔，手孔上覆混凝土盖板拼接缝采用1:2.5水泥砂浆封堵严密，以防水的渗漏。</w:t>
      </w:r>
    </w:p>
    <w:p w14:paraId="41DA2B7D">
      <w:pPr>
        <w:bidi w:val="0"/>
        <w:rPr>
          <w:sz w:val="24"/>
          <w:szCs w:val="24"/>
        </w:rPr>
      </w:pPr>
      <w:r>
        <w:rPr>
          <w:rFonts w:hint="eastAsia"/>
          <w:sz w:val="24"/>
          <w:szCs w:val="24"/>
        </w:rPr>
        <w:t>(6)为便于维护管理，在埋式手孔顶部安装通信标石。</w:t>
      </w:r>
    </w:p>
    <w:p w14:paraId="03A2210F">
      <w:pPr>
        <w:bidi w:val="0"/>
        <w:rPr>
          <w:sz w:val="24"/>
          <w:szCs w:val="24"/>
        </w:rPr>
      </w:pPr>
      <w:r>
        <w:rPr>
          <w:rFonts w:hint="eastAsia"/>
          <w:sz w:val="24"/>
          <w:szCs w:val="24"/>
        </w:rPr>
        <w:t>(7) 处于回填土范围内的手孔，为提高手孔基础的稳定性，在手孔基础下换填3:7灰土，同时在基础内做加筋处理。</w:t>
      </w:r>
    </w:p>
    <w:p w14:paraId="78FB9FE5">
      <w:pPr>
        <w:bidi w:val="0"/>
        <w:rPr>
          <w:sz w:val="24"/>
          <w:szCs w:val="24"/>
        </w:rPr>
      </w:pPr>
      <w:r>
        <w:rPr>
          <w:rFonts w:hint="eastAsia"/>
          <w:sz w:val="24"/>
          <w:szCs w:val="24"/>
        </w:rPr>
        <w:t>(8) 处于未封闭堤顶路位置上的手孔均采用带锁井盖，以防井盖被盗。</w:t>
      </w:r>
    </w:p>
    <w:p w14:paraId="09E8C07B">
      <w:pPr>
        <w:pStyle w:val="28"/>
        <w:ind w:left="0" w:leftChars="0" w:firstLine="0" w:firstLineChars="0"/>
        <w:rPr>
          <w:rFonts w:hint="default" w:ascii="宋体" w:hAnsi="宋体" w:eastAsia="宋体" w:cs="宋体"/>
          <w:lang w:val="en-US" w:eastAsia="zh-CN"/>
        </w:rPr>
      </w:pPr>
      <w:r>
        <w:rPr>
          <w:rFonts w:hint="default" w:ascii="宋体" w:hAnsi="宋体" w:eastAsia="宋体" w:cs="宋体"/>
          <w:lang w:val="en-US" w:eastAsia="zh-CN"/>
        </w:rPr>
        <w:drawing>
          <wp:inline distT="0" distB="0" distL="114300" distR="114300">
            <wp:extent cx="6179820" cy="4379595"/>
            <wp:effectExtent l="0" t="0" r="11430" b="1905"/>
            <wp:docPr id="6" name="图片 6" descr="8f9df05a-40b1-4b13-b895-ace9c6a79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f9df05a-40b1-4b13-b895-ace9c6a792b0"/>
                    <pic:cNvPicPr>
                      <a:picLocks noChangeAspect="1"/>
                    </pic:cNvPicPr>
                  </pic:nvPicPr>
                  <pic:blipFill>
                    <a:blip r:embed="rId12"/>
                    <a:stretch>
                      <a:fillRect/>
                    </a:stretch>
                  </pic:blipFill>
                  <pic:spPr>
                    <a:xfrm>
                      <a:off x="0" y="0"/>
                      <a:ext cx="6179820" cy="4379595"/>
                    </a:xfrm>
                    <a:prstGeom prst="rect">
                      <a:avLst/>
                    </a:prstGeom>
                  </pic:spPr>
                </pic:pic>
              </a:graphicData>
            </a:graphic>
          </wp:inline>
        </w:drawing>
      </w:r>
    </w:p>
    <w:p w14:paraId="234CD97E">
      <w:pPr>
        <w:pStyle w:val="28"/>
        <w:ind w:left="0" w:leftChars="0" w:firstLine="0" w:firstLineChars="0"/>
        <w:rPr>
          <w:rFonts w:hint="default" w:ascii="宋体" w:hAnsi="宋体" w:eastAsia="宋体" w:cs="宋体"/>
          <w:lang w:val="en-US" w:eastAsia="zh-CN"/>
        </w:rPr>
      </w:pPr>
    </w:p>
    <w:p w14:paraId="2D1BE845">
      <w:pPr>
        <w:pStyle w:val="28"/>
        <w:ind w:left="0" w:leftChars="0" w:firstLine="0" w:firstLineChars="0"/>
        <w:rPr>
          <w:rFonts w:hint="default" w:ascii="宋体" w:hAnsi="宋体" w:eastAsia="宋体" w:cs="宋体"/>
          <w:lang w:val="en-US" w:eastAsia="zh-CN"/>
        </w:rPr>
      </w:pPr>
    </w:p>
    <w:p w14:paraId="06701A6D">
      <w:pPr>
        <w:pStyle w:val="28"/>
        <w:ind w:left="0" w:leftChars="0" w:firstLine="0" w:firstLineChars="0"/>
        <w:rPr>
          <w:rFonts w:hint="default" w:ascii="宋体" w:hAnsi="宋体" w:eastAsia="宋体" w:cs="宋体"/>
          <w:lang w:val="en-US" w:eastAsia="zh-CN"/>
        </w:rPr>
      </w:pPr>
    </w:p>
    <w:p w14:paraId="6A04058C">
      <w:pPr>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cs="@仿宋_GB2312"/>
          <w:b/>
          <w:bCs/>
          <w:color w:val="FF0000"/>
          <w:kern w:val="2"/>
          <w:sz w:val="24"/>
          <w:szCs w:val="22"/>
          <w:highlight w:val="yellow"/>
          <w:lang w:val="en-US" w:eastAsia="zh-CN"/>
        </w:rPr>
      </w:pPr>
      <w:r>
        <w:rPr>
          <w:rFonts w:hint="eastAsia" w:cs="@仿宋_GB2312"/>
          <w:b/>
          <w:bCs/>
          <w:color w:val="FF0000"/>
          <w:kern w:val="2"/>
          <w:sz w:val="24"/>
          <w:szCs w:val="22"/>
          <w:highlight w:val="yellow"/>
          <w:lang w:val="en-US" w:eastAsia="zh-CN"/>
        </w:rPr>
        <w:t>1</w:t>
      </w:r>
      <w:r>
        <w:rPr>
          <w:rFonts w:hint="eastAsia" w:ascii="宋体" w:hAnsi="宋体" w:cs="@仿宋_GB2312"/>
          <w:b/>
          <w:bCs/>
          <w:color w:val="FF0000"/>
          <w:kern w:val="2"/>
          <w:sz w:val="24"/>
          <w:szCs w:val="22"/>
          <w:highlight w:val="yellow"/>
          <w:lang w:val="en-US" w:eastAsia="zh-CN"/>
        </w:rPr>
        <w:t>.9  220V低压配电线路改造技术要求（颍上闸中控室）</w:t>
      </w:r>
    </w:p>
    <w:p w14:paraId="3545BBE4">
      <w:pPr>
        <w:pStyle w:val="284"/>
        <w:rPr>
          <w:rFonts w:hint="default"/>
          <w:b/>
          <w:bCs/>
          <w:color w:val="auto"/>
          <w:sz w:val="24"/>
          <w:szCs w:val="24"/>
          <w:lang w:val="en-US" w:eastAsia="zh-CN"/>
        </w:rPr>
      </w:pPr>
      <w:r>
        <w:rPr>
          <w:rFonts w:hint="eastAsia" w:ascii="宋体" w:hAnsi="宋体" w:cs="@仿宋_GB2312"/>
          <w:b/>
          <w:bCs/>
          <w:color w:val="auto"/>
          <w:kern w:val="2"/>
          <w:sz w:val="24"/>
          <w:szCs w:val="24"/>
          <w:highlight w:val="yellow"/>
          <w:lang w:val="en-US" w:eastAsia="zh-CN"/>
        </w:rPr>
        <w:t>施工要求：</w:t>
      </w:r>
    </w:p>
    <w:p w14:paraId="1ACCA66E">
      <w:pPr>
        <w:pStyle w:val="284"/>
        <w:rPr>
          <w:rFonts w:hint="default"/>
          <w:sz w:val="24"/>
          <w:szCs w:val="24"/>
          <w:lang w:val="en-US" w:eastAsia="zh-CN"/>
        </w:rPr>
      </w:pPr>
      <w:r>
        <w:rPr>
          <w:rFonts w:hint="eastAsia"/>
          <w:sz w:val="24"/>
          <w:szCs w:val="24"/>
          <w:lang w:val="en-US" w:eastAsia="zh-CN"/>
        </w:rPr>
        <w:t>二楼低压配电房至三楼中控室三期网络机柜，总电源线（RVV 3*6）35米敷设，单独引出一路电源对水闸中控室电气设备进行供电，</w:t>
      </w:r>
    </w:p>
    <w:p w14:paraId="5FADE505">
      <w:pPr>
        <w:pStyle w:val="284"/>
        <w:rPr>
          <w:rFonts w:hint="eastAsia"/>
          <w:sz w:val="24"/>
          <w:szCs w:val="24"/>
          <w:lang w:val="en-US" w:eastAsia="zh-CN"/>
        </w:rPr>
      </w:pPr>
      <w:r>
        <w:rPr>
          <w:rFonts w:hint="eastAsia"/>
          <w:sz w:val="24"/>
          <w:szCs w:val="24"/>
          <w:lang w:val="en-US" w:eastAsia="zh-CN"/>
        </w:rPr>
        <w:t>三期网络机柜设置嵌入式配电箱，增加总空气开关，并在总空气开关之下安装两处分路空气开关：</w:t>
      </w:r>
    </w:p>
    <w:p w14:paraId="2E73A48C">
      <w:pPr>
        <w:pStyle w:val="284"/>
        <w:rPr>
          <w:rFonts w:hint="eastAsia"/>
          <w:sz w:val="24"/>
          <w:szCs w:val="24"/>
          <w:lang w:val="en-US" w:eastAsia="zh-CN"/>
        </w:rPr>
      </w:pPr>
      <w:r>
        <w:rPr>
          <w:rFonts w:hint="eastAsia"/>
          <w:sz w:val="24"/>
          <w:szCs w:val="24"/>
          <w:lang w:val="en-US" w:eastAsia="zh-CN"/>
        </w:rPr>
        <w:t>一路为市电供电，接入电动门、拼接大屏、空调等大功率用电设备；</w:t>
      </w:r>
    </w:p>
    <w:p w14:paraId="0518CFA4">
      <w:pPr>
        <w:pStyle w:val="284"/>
        <w:rPr>
          <w:rFonts w:hint="eastAsia"/>
          <w:sz w:val="24"/>
          <w:szCs w:val="24"/>
          <w:lang w:val="en-US" w:eastAsia="zh-CN"/>
        </w:rPr>
      </w:pPr>
      <w:r>
        <w:rPr>
          <w:rFonts w:hint="eastAsia"/>
          <w:sz w:val="24"/>
          <w:szCs w:val="24"/>
          <w:lang w:val="en-US" w:eastAsia="zh-CN"/>
        </w:rPr>
        <w:t>一路为UPS供电，接入二期网络机柜、原自动化系统网络机柜、操作台电脑等关键设备</w:t>
      </w:r>
    </w:p>
    <w:p w14:paraId="25E17884">
      <w:pPr>
        <w:pStyle w:val="28"/>
        <w:ind w:firstLine="482" w:firstLineChars="200"/>
        <w:rPr>
          <w:rFonts w:hint="eastAsia"/>
          <w:b/>
          <w:bCs/>
          <w:sz w:val="24"/>
          <w:szCs w:val="24"/>
          <w:lang w:val="en-US" w:eastAsia="zh-CN"/>
        </w:rPr>
      </w:pPr>
      <w:r>
        <w:rPr>
          <w:rFonts w:hint="eastAsia"/>
          <w:b/>
          <w:bCs/>
          <w:sz w:val="24"/>
          <w:szCs w:val="24"/>
          <w:lang w:val="en-US" w:eastAsia="zh-CN"/>
        </w:rPr>
        <w:t>技术要求：</w:t>
      </w:r>
    </w:p>
    <w:p w14:paraId="3B0711A7">
      <w:pPr>
        <w:pStyle w:val="28"/>
        <w:ind w:firstLine="480" w:firstLineChars="200"/>
        <w:rPr>
          <w:rFonts w:hint="default"/>
          <w:sz w:val="24"/>
          <w:szCs w:val="24"/>
          <w:lang w:val="en-US" w:eastAsia="zh-CN"/>
        </w:rPr>
      </w:pPr>
      <w:r>
        <w:rPr>
          <w:rFonts w:hint="eastAsia"/>
          <w:sz w:val="24"/>
          <w:szCs w:val="24"/>
          <w:lang w:val="en-US" w:eastAsia="zh-CN"/>
        </w:rPr>
        <w:t>（1）</w:t>
      </w:r>
      <w:r>
        <w:rPr>
          <w:rFonts w:hint="default"/>
          <w:sz w:val="24"/>
          <w:szCs w:val="24"/>
          <w:lang w:val="en-US" w:eastAsia="zh-CN"/>
        </w:rPr>
        <w:t>供电稳定性</w:t>
      </w:r>
    </w:p>
    <w:p w14:paraId="5A33CF04">
      <w:pPr>
        <w:pStyle w:val="28"/>
        <w:ind w:firstLine="720" w:firstLineChars="300"/>
        <w:rPr>
          <w:rFonts w:hint="default"/>
          <w:sz w:val="24"/>
          <w:szCs w:val="24"/>
          <w:lang w:val="en-US" w:eastAsia="zh-CN"/>
        </w:rPr>
      </w:pPr>
      <w:r>
        <w:rPr>
          <w:rFonts w:hint="default"/>
          <w:sz w:val="24"/>
          <w:szCs w:val="24"/>
          <w:lang w:val="en-US" w:eastAsia="zh-CN"/>
        </w:rPr>
        <w:t>需确保电压和电流在允许范围内波动，避免因外界干扰或负载变化导致设备异常。通常通过稳压电源或稳压器调节输出，维持电压稳定。 ‌</w:t>
      </w:r>
    </w:p>
    <w:p w14:paraId="28D97F2B">
      <w:pPr>
        <w:pStyle w:val="28"/>
        <w:ind w:firstLine="480" w:firstLineChars="200"/>
        <w:rPr>
          <w:rFonts w:hint="default"/>
          <w:sz w:val="24"/>
          <w:szCs w:val="24"/>
          <w:lang w:val="en-US" w:eastAsia="zh-CN"/>
        </w:rPr>
      </w:pPr>
      <w:r>
        <w:rPr>
          <w:rFonts w:hint="eastAsia"/>
          <w:sz w:val="24"/>
          <w:szCs w:val="24"/>
          <w:lang w:val="en-US" w:eastAsia="zh-CN"/>
        </w:rPr>
        <w:t>（2）</w:t>
      </w:r>
      <w:r>
        <w:rPr>
          <w:rFonts w:hint="default"/>
          <w:sz w:val="24"/>
          <w:szCs w:val="24"/>
          <w:lang w:val="en-US" w:eastAsia="zh-CN"/>
        </w:rPr>
        <w:t>电源容量</w:t>
      </w:r>
    </w:p>
    <w:p w14:paraId="31390F60">
      <w:pPr>
        <w:pStyle w:val="28"/>
        <w:ind w:firstLine="720" w:firstLineChars="300"/>
        <w:rPr>
          <w:rFonts w:hint="default"/>
          <w:sz w:val="24"/>
          <w:szCs w:val="24"/>
          <w:lang w:val="en-US" w:eastAsia="zh-CN"/>
        </w:rPr>
      </w:pPr>
      <w:r>
        <w:rPr>
          <w:rFonts w:hint="default"/>
          <w:sz w:val="24"/>
          <w:szCs w:val="24"/>
          <w:lang w:val="en-US" w:eastAsia="zh-CN"/>
        </w:rPr>
        <w:t>需匹配设备实际功率需求。若容量不足，可能导致设备性能下降或无法启动；若过大，则浪费资源并可能损害设备。</w:t>
      </w:r>
    </w:p>
    <w:p w14:paraId="63776322">
      <w:pPr>
        <w:pStyle w:val="28"/>
        <w:ind w:firstLine="480" w:firstLineChars="200"/>
        <w:rPr>
          <w:rFonts w:hint="default"/>
          <w:sz w:val="24"/>
          <w:szCs w:val="24"/>
          <w:lang w:val="en-US" w:eastAsia="zh-CN"/>
        </w:rPr>
      </w:pPr>
      <w:r>
        <w:rPr>
          <w:rFonts w:hint="eastAsia"/>
          <w:sz w:val="24"/>
          <w:szCs w:val="24"/>
          <w:lang w:val="en-US" w:eastAsia="zh-CN"/>
        </w:rPr>
        <w:t>（3）</w:t>
      </w:r>
      <w:r>
        <w:rPr>
          <w:rFonts w:hint="default"/>
          <w:sz w:val="24"/>
          <w:szCs w:val="24"/>
          <w:lang w:val="en-US" w:eastAsia="zh-CN"/>
        </w:rPr>
        <w:t>电源可靠性</w:t>
      </w:r>
    </w:p>
    <w:p w14:paraId="021DF691">
      <w:pPr>
        <w:pStyle w:val="28"/>
        <w:ind w:firstLine="720" w:firstLineChars="300"/>
        <w:rPr>
          <w:rFonts w:hint="default"/>
          <w:sz w:val="24"/>
          <w:szCs w:val="24"/>
          <w:lang w:val="en-US" w:eastAsia="zh-CN"/>
        </w:rPr>
      </w:pPr>
      <w:r>
        <w:rPr>
          <w:rFonts w:hint="default"/>
          <w:sz w:val="24"/>
          <w:szCs w:val="24"/>
          <w:lang w:val="en-US" w:eastAsia="zh-CN"/>
        </w:rPr>
        <w:t>要求电源在长时间运行中保持稳定，避免意外停电。可通过冗余电源、UPS等设备实现备用供电，确保关键负荷持续运行</w:t>
      </w:r>
      <w:r>
        <w:rPr>
          <w:rFonts w:hint="eastAsia"/>
          <w:sz w:val="24"/>
          <w:szCs w:val="24"/>
          <w:lang w:val="en-US" w:eastAsia="zh-CN"/>
        </w:rPr>
        <w:t>。</w:t>
      </w:r>
    </w:p>
    <w:p w14:paraId="0152F7E1">
      <w:pPr>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cs="@仿宋_GB2312"/>
          <w:b/>
          <w:bCs/>
          <w:color w:val="auto"/>
          <w:kern w:val="2"/>
          <w:sz w:val="24"/>
          <w:szCs w:val="24"/>
          <w:highlight w:val="none"/>
          <w:lang w:val="en-US" w:eastAsia="zh-CN"/>
        </w:rPr>
      </w:pPr>
      <w:r>
        <w:rPr>
          <w:rFonts w:hint="eastAsia" w:cs="@仿宋_GB2312"/>
          <w:b/>
          <w:bCs/>
          <w:color w:val="auto"/>
          <w:kern w:val="2"/>
          <w:sz w:val="24"/>
          <w:szCs w:val="24"/>
          <w:highlight w:val="none"/>
          <w:lang w:val="en-US" w:eastAsia="zh-CN"/>
        </w:rPr>
        <w:t>1</w:t>
      </w:r>
      <w:r>
        <w:rPr>
          <w:rFonts w:hint="eastAsia" w:ascii="宋体" w:hAnsi="宋体" w:cs="@仿宋_GB2312"/>
          <w:b/>
          <w:bCs/>
          <w:color w:val="auto"/>
          <w:kern w:val="2"/>
          <w:sz w:val="24"/>
          <w:szCs w:val="24"/>
          <w:highlight w:val="none"/>
          <w:lang w:val="en-US" w:eastAsia="zh-CN"/>
        </w:rPr>
        <w:t>.10  高空视频监控维护技术要求</w:t>
      </w:r>
    </w:p>
    <w:p w14:paraId="4B9C5F61">
      <w:pPr>
        <w:numPr>
          <w:ilvl w:val="0"/>
          <w:numId w:val="11"/>
        </w:numPr>
        <w:bidi w:val="0"/>
        <w:ind w:left="905" w:leftChars="0" w:firstLineChars="0"/>
        <w:rPr>
          <w:rFonts w:hint="eastAsia"/>
          <w:sz w:val="24"/>
          <w:szCs w:val="24"/>
          <w:lang w:val="en-US" w:eastAsia="zh-CN"/>
        </w:rPr>
      </w:pPr>
      <w:r>
        <w:rPr>
          <w:rFonts w:hint="default"/>
          <w:sz w:val="24"/>
          <w:szCs w:val="24"/>
          <w:lang w:val="en-US" w:eastAsia="zh-CN"/>
        </w:rPr>
        <w:t>维护标准应遵循GB5019894民用闭路监视电视系统工程技术规范、GAT7594安全防范工程程序与要求等相关标准。</w:t>
      </w:r>
    </w:p>
    <w:p w14:paraId="42BBC457">
      <w:pPr>
        <w:numPr>
          <w:ilvl w:val="0"/>
          <w:numId w:val="11"/>
        </w:numPr>
        <w:bidi w:val="0"/>
        <w:ind w:left="905" w:leftChars="0" w:hanging="425" w:firstLineChars="0"/>
        <w:rPr>
          <w:rFonts w:hint="default"/>
          <w:b w:val="0"/>
          <w:bCs w:val="0"/>
          <w:sz w:val="24"/>
          <w:szCs w:val="24"/>
          <w:lang w:val="en-US" w:eastAsia="zh-CN"/>
        </w:rPr>
      </w:pPr>
      <w:r>
        <w:rPr>
          <w:rFonts w:hint="default"/>
          <w:b w:val="0"/>
          <w:bCs w:val="0"/>
          <w:sz w:val="24"/>
          <w:szCs w:val="24"/>
          <w:lang w:val="en-US" w:eastAsia="zh-CN"/>
        </w:rPr>
        <w:t>要做到“四齐”，即备件齐、配件齐、工具齐、仪器齐。建立相应的备件库，储备重要而损坏后不易马上修复的设备；配置设备维修所需的分立元件和模块；配置常用的维修工具及检修仪器。</w:t>
      </w:r>
    </w:p>
    <w:p w14:paraId="0828BF30">
      <w:pPr>
        <w:numPr>
          <w:ilvl w:val="0"/>
          <w:numId w:val="11"/>
        </w:numPr>
        <w:bidi w:val="0"/>
        <w:ind w:left="905" w:leftChars="0" w:hanging="425" w:firstLineChars="0"/>
        <w:rPr>
          <w:rFonts w:hint="eastAsia" w:ascii="宋体" w:hAnsi="宋体" w:eastAsia="宋体" w:cs="宋体"/>
          <w:color w:val="auto"/>
          <w:sz w:val="24"/>
          <w:szCs w:val="24"/>
          <w:highlight w:val="none"/>
        </w:rPr>
      </w:pPr>
      <w:r>
        <w:rPr>
          <w:rFonts w:hint="default"/>
          <w:b w:val="0"/>
          <w:bCs w:val="0"/>
          <w:sz w:val="24"/>
          <w:szCs w:val="24"/>
          <w:lang w:val="en-US" w:eastAsia="zh-CN"/>
        </w:rPr>
        <w:t>在对监控系统设备进行维护过程中，要做好防潮、防尘、防腐、防雷、防干扰的工作。对于摄像机的防尘、防腐维护工作要重点做好，同时对高湿度地带要经常采取除湿措施来解决防潮问题。</w:t>
      </w:r>
    </w:p>
    <w:p w14:paraId="06FC3506">
      <w:pPr>
        <w:pStyle w:val="3"/>
        <w:numPr>
          <w:ilvl w:val="0"/>
          <w:numId w:val="0"/>
        </w:numPr>
        <w:bidi w:val="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2.设备参数要求</w:t>
      </w:r>
    </w:p>
    <w:p w14:paraId="6EDA42F5">
      <w:pPr>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default" w:ascii="宋体" w:hAnsi="宋体" w:cs="@仿宋_GB2312"/>
          <w:b/>
          <w:bCs/>
          <w:color w:val="auto"/>
          <w:kern w:val="2"/>
          <w:sz w:val="24"/>
          <w:szCs w:val="22"/>
          <w:highlight w:val="none"/>
          <w:lang w:val="en-US" w:eastAsia="zh-CN"/>
        </w:rPr>
      </w:pPr>
      <w:r>
        <w:rPr>
          <w:rFonts w:hint="eastAsia" w:cs="@仿宋_GB2312"/>
          <w:b/>
          <w:bCs/>
          <w:color w:val="auto"/>
          <w:kern w:val="2"/>
          <w:sz w:val="24"/>
          <w:szCs w:val="22"/>
          <w:highlight w:val="none"/>
          <w:lang w:val="en-US" w:eastAsia="zh-CN"/>
        </w:rPr>
        <w:t>2.1</w:t>
      </w:r>
      <w:r>
        <w:rPr>
          <w:rFonts w:hint="eastAsia" w:ascii="宋体" w:hAnsi="宋体" w:cs="@仿宋_GB2312"/>
          <w:b/>
          <w:bCs/>
          <w:color w:val="auto"/>
          <w:kern w:val="2"/>
          <w:sz w:val="24"/>
          <w:szCs w:val="22"/>
          <w:highlight w:val="none"/>
          <w:lang w:val="en-US" w:eastAsia="zh-CN"/>
        </w:rPr>
        <w:t>高清网络球</w:t>
      </w:r>
      <w:r>
        <w:rPr>
          <w:rFonts w:hint="default" w:ascii="宋体" w:hAnsi="宋体" w:cs="@仿宋_GB2312"/>
          <w:b/>
          <w:bCs/>
          <w:color w:val="auto"/>
          <w:kern w:val="2"/>
          <w:sz w:val="24"/>
          <w:szCs w:val="22"/>
          <w:highlight w:val="none"/>
          <w:lang w:val="en-US" w:eastAsia="zh-CN"/>
        </w:rPr>
        <w:t>型摄像机</w:t>
      </w:r>
      <w:r>
        <w:rPr>
          <w:rFonts w:hint="eastAsia" w:ascii="宋体" w:hAnsi="宋体" w:cs="@仿宋_GB2312"/>
          <w:b/>
          <w:bCs/>
          <w:color w:val="auto"/>
          <w:kern w:val="2"/>
          <w:sz w:val="24"/>
          <w:szCs w:val="22"/>
          <w:highlight w:val="none"/>
          <w:lang w:val="en-US" w:eastAsia="zh-CN"/>
        </w:rPr>
        <w:t>1</w:t>
      </w:r>
    </w:p>
    <w:p w14:paraId="47280CD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2"/>
          <w:highlight w:val="none"/>
          <w:lang w:val="en-US" w:eastAsia="en-US"/>
        </w:rPr>
      </w:pPr>
      <w:r>
        <w:rPr>
          <w:rFonts w:hint="eastAsia" w:ascii="宋体" w:hAnsi="宋体" w:eastAsia="宋体" w:cs="@仿宋_GB2312"/>
          <w:color w:val="auto"/>
          <w:kern w:val="2"/>
          <w:sz w:val="24"/>
          <w:szCs w:val="22"/>
          <w:highlight w:val="none"/>
          <w:lang w:val="en-US" w:eastAsia="en-US"/>
        </w:rPr>
        <w:t>为保证系统精度和长期稳定性，设备性能水平不低于海康威视、大华、宇视产品。具体技术参数需满足以下要求：</w:t>
      </w:r>
    </w:p>
    <w:p w14:paraId="27333B77">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仿宋_GB2312"/>
          <w:b/>
          <w:bCs/>
          <w:color w:val="auto"/>
          <w:kern w:val="2"/>
          <w:sz w:val="24"/>
          <w:szCs w:val="22"/>
          <w:highlight w:val="none"/>
          <w:lang w:val="en-US" w:eastAsia="zh-CN"/>
        </w:rPr>
      </w:pPr>
      <w:r>
        <w:rPr>
          <w:rFonts w:hint="eastAsia" w:ascii="宋体" w:hAnsi="宋体" w:eastAsia="宋体" w:cs="@仿宋_GB2312"/>
          <w:b/>
          <w:bCs/>
          <w:color w:val="auto"/>
          <w:kern w:val="2"/>
          <w:sz w:val="24"/>
          <w:szCs w:val="22"/>
          <w:highlight w:val="none"/>
          <w:lang w:val="en-US" w:eastAsia="en-US"/>
        </w:rPr>
        <w:t>(对于采购人参考品牌的材料，供应商可选用参考品牌或不低于参考品牌质量标准的其它品牌；采用其它品牌的应在响应文件中提供相关技术参数证明材料供磋商小组评审，</w:t>
      </w:r>
      <w:r>
        <w:rPr>
          <w:rFonts w:hint="eastAsia" w:cs="@仿宋_GB2312"/>
          <w:b/>
          <w:bCs/>
          <w:color w:val="auto"/>
          <w:kern w:val="2"/>
          <w:sz w:val="24"/>
          <w:szCs w:val="22"/>
          <w:highlight w:val="none"/>
          <w:lang w:val="en-US" w:eastAsia="zh-CN"/>
        </w:rPr>
        <w:t>未提供相关技术参数证明材料的</w:t>
      </w:r>
      <w:r>
        <w:rPr>
          <w:rFonts w:hint="eastAsia" w:ascii="宋体" w:hAnsi="宋体" w:eastAsia="宋体" w:cs="@仿宋_GB2312"/>
          <w:b/>
          <w:bCs/>
          <w:color w:val="auto"/>
          <w:kern w:val="2"/>
          <w:sz w:val="24"/>
          <w:szCs w:val="22"/>
          <w:highlight w:val="none"/>
          <w:lang w:val="en-US" w:eastAsia="en-US"/>
        </w:rPr>
        <w:t>，成交后只能从采购人参考品牌中进行选择，价格不予调整。)</w:t>
      </w:r>
    </w:p>
    <w:p w14:paraId="4D3AEC11">
      <w:pPr>
        <w:numPr>
          <w:ilvl w:val="0"/>
          <w:numId w:val="12"/>
        </w:numPr>
        <w:ind w:left="845" w:leftChars="0" w:hanging="425" w:firstLineChars="0"/>
        <w:rPr>
          <w:rFonts w:hint="default"/>
          <w:sz w:val="24"/>
          <w:szCs w:val="24"/>
          <w:lang w:val="en-US" w:eastAsia="zh-CN"/>
        </w:rPr>
      </w:pPr>
      <w:r>
        <w:rPr>
          <w:rFonts w:hint="default"/>
          <w:sz w:val="24"/>
          <w:szCs w:val="24"/>
          <w:lang w:val="en-US" w:eastAsia="zh-CN"/>
        </w:rPr>
        <w:t>不低于400万像素；</w:t>
      </w:r>
    </w:p>
    <w:p w14:paraId="1414ADE8">
      <w:pPr>
        <w:numPr>
          <w:ilvl w:val="0"/>
          <w:numId w:val="12"/>
        </w:numPr>
        <w:ind w:left="845" w:leftChars="0" w:hanging="425" w:firstLineChars="0"/>
        <w:rPr>
          <w:rFonts w:hint="default"/>
          <w:sz w:val="24"/>
          <w:szCs w:val="24"/>
          <w:lang w:val="en-US" w:eastAsia="zh-CN"/>
        </w:rPr>
      </w:pPr>
      <w:r>
        <w:rPr>
          <w:rFonts w:hint="default"/>
          <w:sz w:val="24"/>
          <w:szCs w:val="24"/>
          <w:lang w:val="en-US" w:eastAsia="zh-CN"/>
        </w:rPr>
        <w:t>支持区域入侵侦测，越界侦测，进入区域侦测和离开区域侦测等智能侦测；</w:t>
      </w:r>
    </w:p>
    <w:p w14:paraId="07622F6F">
      <w:pPr>
        <w:numPr>
          <w:ilvl w:val="0"/>
          <w:numId w:val="12"/>
        </w:numPr>
        <w:ind w:left="845" w:leftChars="0" w:hanging="425" w:firstLineChars="0"/>
        <w:rPr>
          <w:rFonts w:hint="default"/>
          <w:sz w:val="24"/>
          <w:szCs w:val="24"/>
          <w:lang w:val="en-US" w:eastAsia="zh-CN"/>
        </w:rPr>
      </w:pPr>
      <w:r>
        <w:rPr>
          <w:rFonts w:hint="default"/>
          <w:sz w:val="24"/>
          <w:szCs w:val="24"/>
          <w:lang w:val="en-US" w:eastAsia="zh-CN"/>
        </w:rPr>
        <w:t>采用高效补光阵列，红外补光；</w:t>
      </w:r>
    </w:p>
    <w:p w14:paraId="196B5320">
      <w:pPr>
        <w:numPr>
          <w:ilvl w:val="0"/>
          <w:numId w:val="12"/>
        </w:numPr>
        <w:ind w:left="845" w:leftChars="0" w:hanging="425" w:firstLineChars="0"/>
        <w:rPr>
          <w:rFonts w:hint="eastAsia"/>
          <w:sz w:val="24"/>
          <w:szCs w:val="24"/>
          <w:lang w:val="en-US" w:eastAsia="zh-CN"/>
        </w:rPr>
      </w:pPr>
      <w:r>
        <w:rPr>
          <w:rFonts w:hint="default"/>
          <w:sz w:val="24"/>
          <w:szCs w:val="24"/>
          <w:lang w:val="en-US" w:eastAsia="zh-CN"/>
        </w:rPr>
        <w:t>不低于23倍光学变倍，16倍数字变倍；</w:t>
      </w:r>
    </w:p>
    <w:p w14:paraId="62E40A45">
      <w:pPr>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default" w:ascii="宋体" w:hAnsi="宋体" w:cs="@仿宋_GB2312"/>
          <w:b/>
          <w:bCs/>
          <w:color w:val="auto"/>
          <w:kern w:val="2"/>
          <w:sz w:val="24"/>
          <w:szCs w:val="22"/>
          <w:highlight w:val="none"/>
          <w:lang w:val="en-US" w:eastAsia="zh-CN"/>
        </w:rPr>
      </w:pPr>
      <w:r>
        <w:rPr>
          <w:rFonts w:hint="eastAsia" w:cs="@仿宋_GB2312"/>
          <w:b/>
          <w:bCs/>
          <w:color w:val="auto"/>
          <w:kern w:val="2"/>
          <w:sz w:val="24"/>
          <w:szCs w:val="22"/>
          <w:highlight w:val="none"/>
          <w:lang w:val="en-US" w:eastAsia="zh-CN"/>
        </w:rPr>
        <w:t>2</w:t>
      </w:r>
      <w:r>
        <w:rPr>
          <w:rFonts w:hint="eastAsia" w:ascii="宋体" w:hAnsi="宋体" w:cs="@仿宋_GB2312"/>
          <w:b/>
          <w:bCs/>
          <w:color w:val="auto"/>
          <w:kern w:val="2"/>
          <w:sz w:val="24"/>
          <w:szCs w:val="22"/>
          <w:highlight w:val="none"/>
          <w:lang w:val="en-US" w:eastAsia="zh-CN"/>
        </w:rPr>
        <w:t>.</w:t>
      </w:r>
      <w:r>
        <w:rPr>
          <w:rFonts w:hint="eastAsia" w:cs="@仿宋_GB2312"/>
          <w:b/>
          <w:bCs/>
          <w:color w:val="auto"/>
          <w:kern w:val="2"/>
          <w:sz w:val="24"/>
          <w:szCs w:val="22"/>
          <w:highlight w:val="none"/>
          <w:lang w:val="en-US" w:eastAsia="zh-CN"/>
        </w:rPr>
        <w:t>2</w:t>
      </w:r>
      <w:r>
        <w:rPr>
          <w:rFonts w:hint="eastAsia" w:ascii="宋体" w:hAnsi="宋体" w:cs="@仿宋_GB2312"/>
          <w:b/>
          <w:bCs/>
          <w:color w:val="auto"/>
          <w:kern w:val="2"/>
          <w:sz w:val="24"/>
          <w:szCs w:val="22"/>
          <w:highlight w:val="none"/>
          <w:lang w:val="en-US" w:eastAsia="zh-CN"/>
        </w:rPr>
        <w:t xml:space="preserve"> 高清网络球</w:t>
      </w:r>
      <w:r>
        <w:rPr>
          <w:rFonts w:hint="default" w:ascii="宋体" w:hAnsi="宋体" w:cs="@仿宋_GB2312"/>
          <w:b/>
          <w:bCs/>
          <w:color w:val="auto"/>
          <w:kern w:val="2"/>
          <w:sz w:val="24"/>
          <w:szCs w:val="22"/>
          <w:highlight w:val="none"/>
          <w:lang w:val="en-US" w:eastAsia="zh-CN"/>
        </w:rPr>
        <w:t>型摄像机</w:t>
      </w:r>
      <w:r>
        <w:rPr>
          <w:rFonts w:hint="eastAsia" w:ascii="宋体" w:hAnsi="宋体" w:cs="@仿宋_GB2312"/>
          <w:b/>
          <w:bCs/>
          <w:color w:val="auto"/>
          <w:kern w:val="2"/>
          <w:sz w:val="24"/>
          <w:szCs w:val="22"/>
          <w:highlight w:val="none"/>
          <w:lang w:val="en-US" w:eastAsia="zh-CN"/>
        </w:rPr>
        <w:t>2</w:t>
      </w:r>
    </w:p>
    <w:p w14:paraId="08ACBD7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2"/>
          <w:highlight w:val="none"/>
          <w:lang w:val="en-US" w:eastAsia="en-US"/>
        </w:rPr>
      </w:pPr>
      <w:r>
        <w:rPr>
          <w:rFonts w:hint="eastAsia" w:ascii="宋体" w:hAnsi="宋体" w:eastAsia="宋体" w:cs="@仿宋_GB2312"/>
          <w:color w:val="auto"/>
          <w:kern w:val="2"/>
          <w:sz w:val="24"/>
          <w:szCs w:val="22"/>
          <w:highlight w:val="none"/>
          <w:lang w:val="en-US" w:eastAsia="en-US"/>
        </w:rPr>
        <w:t>为保证系统精度和长期稳定性，设备性能水平不低于海康威视、大华、宇视产品。具体技术参数需满足以下要求：</w:t>
      </w:r>
    </w:p>
    <w:p w14:paraId="7A2C4897">
      <w:pPr>
        <w:pStyle w:val="284"/>
        <w:rPr>
          <w:rFonts w:hint="eastAsia"/>
          <w:lang w:val="en-US" w:eastAsia="en-US"/>
        </w:rPr>
      </w:pPr>
      <w:r>
        <w:rPr>
          <w:rFonts w:hint="eastAsia" w:ascii="宋体" w:hAnsi="宋体" w:eastAsia="宋体" w:cs="@仿宋_GB2312"/>
          <w:b/>
          <w:bCs/>
          <w:color w:val="auto"/>
          <w:kern w:val="2"/>
          <w:sz w:val="24"/>
          <w:szCs w:val="22"/>
          <w:highlight w:val="none"/>
          <w:lang w:val="en-US" w:eastAsia="en-US"/>
        </w:rPr>
        <w:t>(对于采购人参考品牌的材料，供应商可选用参考品牌或不低于参考品牌质量标准的其它品牌；采用其它品牌的应在响应文件中提供相关技术参数证明材料供磋商小组评审，</w:t>
      </w:r>
      <w:r>
        <w:rPr>
          <w:rFonts w:hint="eastAsia" w:ascii="宋体" w:hAnsi="宋体" w:cs="@仿宋_GB2312"/>
          <w:b/>
          <w:bCs/>
          <w:color w:val="auto"/>
          <w:kern w:val="2"/>
          <w:sz w:val="24"/>
          <w:szCs w:val="22"/>
          <w:highlight w:val="none"/>
          <w:lang w:val="en-US" w:eastAsia="zh-CN"/>
        </w:rPr>
        <w:t>未提供相关技术参数证明材料的</w:t>
      </w:r>
      <w:r>
        <w:rPr>
          <w:rFonts w:hint="eastAsia" w:ascii="宋体" w:hAnsi="宋体" w:eastAsia="宋体" w:cs="@仿宋_GB2312"/>
          <w:b/>
          <w:bCs/>
          <w:color w:val="auto"/>
          <w:kern w:val="2"/>
          <w:sz w:val="24"/>
          <w:szCs w:val="22"/>
          <w:highlight w:val="none"/>
          <w:lang w:val="en-US" w:eastAsia="en-US"/>
        </w:rPr>
        <w:t>，成交后只能从采购人参考品牌中进行选择，价格不予调整。</w:t>
      </w:r>
    </w:p>
    <w:p w14:paraId="2FEC9A4A">
      <w:pPr>
        <w:numPr>
          <w:ilvl w:val="0"/>
          <w:numId w:val="13"/>
        </w:numPr>
        <w:ind w:left="845" w:leftChars="0" w:hanging="425" w:firstLineChars="0"/>
        <w:rPr>
          <w:rFonts w:hint="default"/>
          <w:sz w:val="24"/>
          <w:szCs w:val="24"/>
          <w:lang w:val="en-US" w:eastAsia="zh-CN"/>
        </w:rPr>
      </w:pPr>
      <w:r>
        <w:rPr>
          <w:rFonts w:hint="default"/>
          <w:sz w:val="24"/>
          <w:szCs w:val="24"/>
          <w:lang w:val="en-US" w:eastAsia="zh-CN"/>
        </w:rPr>
        <w:t>不低于400万像素；</w:t>
      </w:r>
    </w:p>
    <w:p w14:paraId="71481C99">
      <w:pPr>
        <w:numPr>
          <w:ilvl w:val="0"/>
          <w:numId w:val="13"/>
        </w:numPr>
        <w:ind w:left="845" w:leftChars="0" w:hanging="425" w:firstLineChars="0"/>
        <w:rPr>
          <w:rFonts w:hint="default"/>
          <w:sz w:val="24"/>
          <w:szCs w:val="24"/>
          <w:lang w:val="en-US" w:eastAsia="zh-CN"/>
        </w:rPr>
      </w:pPr>
      <w:r>
        <w:rPr>
          <w:rFonts w:hint="default"/>
          <w:sz w:val="24"/>
          <w:szCs w:val="24"/>
          <w:lang w:val="en-US" w:eastAsia="zh-CN"/>
        </w:rPr>
        <w:t>支持区域入侵侦测，越界侦测，进入区域侦测和离开区域侦测等智能侦测；</w:t>
      </w:r>
    </w:p>
    <w:p w14:paraId="1E87B2AD">
      <w:pPr>
        <w:numPr>
          <w:ilvl w:val="0"/>
          <w:numId w:val="13"/>
        </w:numPr>
        <w:ind w:left="845" w:leftChars="0" w:hanging="425" w:firstLineChars="0"/>
        <w:rPr>
          <w:rFonts w:hint="default"/>
          <w:sz w:val="24"/>
          <w:szCs w:val="24"/>
          <w:lang w:val="en-US" w:eastAsia="zh-CN"/>
        </w:rPr>
      </w:pPr>
      <w:r>
        <w:rPr>
          <w:rFonts w:hint="default"/>
          <w:sz w:val="24"/>
          <w:szCs w:val="24"/>
          <w:lang w:val="en-US" w:eastAsia="zh-CN"/>
        </w:rPr>
        <w:t>采用高效补光阵列，红外补光；</w:t>
      </w:r>
    </w:p>
    <w:p w14:paraId="2DBFA85A">
      <w:pPr>
        <w:numPr>
          <w:ilvl w:val="0"/>
          <w:numId w:val="13"/>
        </w:numPr>
        <w:ind w:left="845" w:leftChars="0" w:hanging="425" w:firstLineChars="0"/>
        <w:rPr>
          <w:rFonts w:hint="default"/>
          <w:sz w:val="24"/>
          <w:szCs w:val="24"/>
          <w:lang w:val="en-US" w:eastAsia="zh-CN"/>
        </w:rPr>
      </w:pPr>
      <w:r>
        <w:rPr>
          <w:rFonts w:hint="default"/>
          <w:sz w:val="24"/>
          <w:szCs w:val="24"/>
          <w:lang w:val="en-US" w:eastAsia="zh-CN"/>
        </w:rPr>
        <w:t>不低于23倍光学变倍，16倍数字变倍；</w:t>
      </w:r>
    </w:p>
    <w:p w14:paraId="07F4C65B">
      <w:pPr>
        <w:pStyle w:val="28"/>
        <w:ind w:firstLine="480" w:firstLineChars="200"/>
        <w:rPr>
          <w:rFonts w:hint="default"/>
          <w:color w:val="FF0000"/>
          <w:sz w:val="24"/>
          <w:szCs w:val="24"/>
          <w:lang w:val="en-US" w:eastAsia="zh-CN"/>
        </w:rPr>
      </w:pPr>
      <w:r>
        <w:rPr>
          <w:rFonts w:hint="eastAsia"/>
          <w:color w:val="FF0000"/>
          <w:sz w:val="24"/>
          <w:szCs w:val="24"/>
          <w:lang w:val="en-US" w:eastAsia="zh-CN"/>
        </w:rPr>
        <w:t>（5）支持SIM卡直接插入；</w:t>
      </w:r>
    </w:p>
    <w:p w14:paraId="2984212A">
      <w:pPr>
        <w:pStyle w:val="28"/>
        <w:ind w:firstLine="480" w:firstLineChars="200"/>
        <w:rPr>
          <w:rFonts w:hint="eastAsia"/>
          <w:sz w:val="24"/>
          <w:szCs w:val="24"/>
          <w:lang w:val="en-US" w:eastAsia="zh-CN"/>
        </w:rPr>
      </w:pPr>
      <w:r>
        <w:rPr>
          <w:rFonts w:hint="eastAsia"/>
          <w:color w:val="FF0000"/>
          <w:sz w:val="24"/>
          <w:szCs w:val="24"/>
          <w:lang w:val="en-US" w:eastAsia="zh-CN"/>
        </w:rPr>
        <w:t>（6）不小于256G存储SD卡</w:t>
      </w:r>
    </w:p>
    <w:p w14:paraId="650F1B7F">
      <w:pPr>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default"/>
          <w:b/>
          <w:bCs/>
          <w:sz w:val="24"/>
          <w:szCs w:val="24"/>
          <w:lang w:val="en-US" w:eastAsia="zh-CN"/>
        </w:rPr>
      </w:pPr>
      <w:r>
        <w:rPr>
          <w:rFonts w:hint="eastAsia"/>
          <w:b/>
          <w:bCs/>
          <w:sz w:val="24"/>
          <w:szCs w:val="24"/>
          <w:lang w:val="en-US" w:eastAsia="zh-CN"/>
        </w:rPr>
        <w:t>2.3</w:t>
      </w:r>
      <w:r>
        <w:rPr>
          <w:rFonts w:hint="default"/>
          <w:b/>
          <w:bCs/>
          <w:sz w:val="24"/>
          <w:szCs w:val="24"/>
          <w:lang w:val="en-US" w:eastAsia="zh-CN"/>
        </w:rPr>
        <w:t>高清网络半球形摄像机</w:t>
      </w:r>
    </w:p>
    <w:p w14:paraId="1864A19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2"/>
          <w:highlight w:val="none"/>
          <w:lang w:val="en-US" w:eastAsia="en-US"/>
        </w:rPr>
      </w:pPr>
      <w:r>
        <w:rPr>
          <w:rFonts w:hint="eastAsia" w:ascii="宋体" w:hAnsi="宋体" w:eastAsia="宋体" w:cs="@仿宋_GB2312"/>
          <w:color w:val="auto"/>
          <w:kern w:val="2"/>
          <w:sz w:val="24"/>
          <w:szCs w:val="22"/>
          <w:highlight w:val="none"/>
          <w:lang w:val="en-US" w:eastAsia="en-US"/>
        </w:rPr>
        <w:t>为保证系统精度和长期稳定性，设备性能水平不低于海康威视、大华、宇视产品。具体技术参数需满足以下要求：</w:t>
      </w:r>
    </w:p>
    <w:p w14:paraId="345E0A20">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仿宋_GB2312"/>
          <w:b/>
          <w:bCs/>
          <w:color w:val="auto"/>
          <w:kern w:val="2"/>
          <w:sz w:val="24"/>
          <w:szCs w:val="22"/>
          <w:highlight w:val="none"/>
          <w:lang w:val="en-US" w:eastAsia="en-US"/>
        </w:rPr>
      </w:pPr>
      <w:r>
        <w:rPr>
          <w:rFonts w:hint="eastAsia" w:ascii="宋体" w:hAnsi="宋体" w:eastAsia="宋体" w:cs="@仿宋_GB2312"/>
          <w:b/>
          <w:bCs/>
          <w:color w:val="auto"/>
          <w:kern w:val="2"/>
          <w:sz w:val="24"/>
          <w:szCs w:val="22"/>
          <w:highlight w:val="none"/>
          <w:lang w:val="en-US" w:eastAsia="en-US"/>
        </w:rPr>
        <w:t>(对于采购人参考品牌的材料，供应商可选用参考品牌或不低于参考品牌质量标准的其它品牌；采用其它品牌的应在响应文件中提供相关技术参数证明材料供磋商小组评审，</w:t>
      </w:r>
      <w:r>
        <w:rPr>
          <w:rFonts w:hint="eastAsia" w:cs="@仿宋_GB2312"/>
          <w:b/>
          <w:bCs/>
          <w:color w:val="auto"/>
          <w:kern w:val="2"/>
          <w:sz w:val="24"/>
          <w:szCs w:val="22"/>
          <w:highlight w:val="none"/>
          <w:lang w:val="en-US" w:eastAsia="zh-CN"/>
        </w:rPr>
        <w:t>未提供相关技术参数证明材料的</w:t>
      </w:r>
      <w:r>
        <w:rPr>
          <w:rFonts w:hint="eastAsia" w:ascii="宋体" w:hAnsi="宋体" w:eastAsia="宋体" w:cs="@仿宋_GB2312"/>
          <w:b/>
          <w:bCs/>
          <w:color w:val="auto"/>
          <w:kern w:val="2"/>
          <w:sz w:val="24"/>
          <w:szCs w:val="22"/>
          <w:highlight w:val="none"/>
          <w:lang w:val="en-US" w:eastAsia="en-US"/>
        </w:rPr>
        <w:t>，成交后只能从采购人参考品牌中进行选择，价格不予调整。)</w:t>
      </w:r>
    </w:p>
    <w:p w14:paraId="7B273C7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2"/>
          <w:highlight w:val="none"/>
          <w:lang w:val="en-US" w:eastAsia="zh-CN"/>
        </w:rPr>
      </w:pPr>
      <w:r>
        <w:rPr>
          <w:rFonts w:hint="default" w:ascii="宋体" w:hAnsi="宋体" w:eastAsia="宋体" w:cs="@仿宋_GB2312"/>
          <w:color w:val="auto"/>
          <w:kern w:val="2"/>
          <w:sz w:val="24"/>
          <w:szCs w:val="22"/>
          <w:highlight w:val="none"/>
          <w:lang w:val="en-US" w:eastAsia="zh-CN"/>
        </w:rPr>
        <w:t>(1)</w:t>
      </w:r>
      <w:r>
        <w:rPr>
          <w:rFonts w:hint="eastAsia" w:ascii="宋体" w:hAnsi="宋体" w:eastAsia="宋体" w:cs="@仿宋_GB2312"/>
          <w:color w:val="auto"/>
          <w:kern w:val="2"/>
          <w:sz w:val="24"/>
          <w:szCs w:val="22"/>
          <w:highlight w:val="none"/>
          <w:lang w:val="en-US" w:eastAsia="zh-CN"/>
        </w:rPr>
        <w:t>像素不低于400万；图像传感器CMOS尺寸不小于1/2.7英寸；低照度效果好， 图像清晰度高；</w:t>
      </w:r>
    </w:p>
    <w:p w14:paraId="2B1E285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2"/>
          <w:highlight w:val="none"/>
          <w:lang w:val="en-US" w:eastAsia="zh-CN"/>
        </w:rPr>
      </w:pPr>
      <w:r>
        <w:rPr>
          <w:rFonts w:hint="default" w:ascii="宋体" w:hAnsi="宋体" w:eastAsia="宋体" w:cs="@仿宋_GB2312"/>
          <w:color w:val="auto"/>
          <w:kern w:val="2"/>
          <w:sz w:val="24"/>
          <w:szCs w:val="22"/>
          <w:highlight w:val="none"/>
          <w:lang w:val="en-US" w:eastAsia="zh-CN"/>
        </w:rPr>
        <w:t>(2)</w:t>
      </w:r>
      <w:r>
        <w:rPr>
          <w:rFonts w:hint="eastAsia" w:ascii="宋体" w:hAnsi="宋体" w:eastAsia="宋体" w:cs="@仿宋_GB2312"/>
          <w:color w:val="auto"/>
          <w:kern w:val="2"/>
          <w:sz w:val="24"/>
          <w:szCs w:val="22"/>
          <w:highlight w:val="none"/>
          <w:lang w:val="en-US" w:eastAsia="zh-CN"/>
        </w:rPr>
        <w:t>最大输出图像分辨率不低于2592X1520@20fps；</w:t>
      </w:r>
    </w:p>
    <w:p w14:paraId="1AB23B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2"/>
          <w:highlight w:val="none"/>
          <w:lang w:val="en-US" w:eastAsia="zh-CN"/>
        </w:rPr>
      </w:pPr>
      <w:r>
        <w:rPr>
          <w:rFonts w:hint="default" w:ascii="宋体" w:hAnsi="宋体" w:eastAsia="宋体" w:cs="@仿宋_GB2312"/>
          <w:color w:val="auto"/>
          <w:kern w:val="2"/>
          <w:sz w:val="24"/>
          <w:szCs w:val="22"/>
          <w:highlight w:val="none"/>
          <w:lang w:val="en-US" w:eastAsia="zh-CN"/>
        </w:rPr>
        <w:t>(3)</w:t>
      </w:r>
      <w:r>
        <w:rPr>
          <w:rFonts w:hint="eastAsia" w:ascii="宋体" w:hAnsi="宋体" w:eastAsia="宋体" w:cs="@仿宋_GB2312"/>
          <w:color w:val="auto"/>
          <w:kern w:val="2"/>
          <w:sz w:val="24"/>
          <w:szCs w:val="22"/>
          <w:highlight w:val="none"/>
          <w:lang w:val="en-US" w:eastAsia="zh-CN"/>
        </w:rPr>
        <w:t>支持Smart H. 265/H. 264H智能编码，R0I区域增强，SVC自适应编码，适用不同 带宽和存储环境；</w:t>
      </w:r>
    </w:p>
    <w:p w14:paraId="18218B4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2"/>
          <w:highlight w:val="none"/>
          <w:lang w:val="en-US" w:eastAsia="zh-CN"/>
        </w:rPr>
      </w:pPr>
      <w:r>
        <w:rPr>
          <w:rFonts w:hint="default" w:ascii="宋体" w:hAnsi="宋体" w:eastAsia="宋体" w:cs="@仿宋_GB2312"/>
          <w:color w:val="auto"/>
          <w:kern w:val="2"/>
          <w:sz w:val="24"/>
          <w:szCs w:val="22"/>
          <w:highlight w:val="none"/>
          <w:lang w:val="en-US" w:eastAsia="zh-CN"/>
        </w:rPr>
        <w:t>(4)</w:t>
      </w:r>
      <w:r>
        <w:rPr>
          <w:rFonts w:hint="eastAsia" w:ascii="宋体" w:hAnsi="宋体" w:eastAsia="宋体" w:cs="@仿宋_GB2312"/>
          <w:color w:val="auto"/>
          <w:kern w:val="2"/>
          <w:sz w:val="24"/>
          <w:szCs w:val="22"/>
          <w:highlight w:val="none"/>
          <w:lang w:val="en-US" w:eastAsia="zh-CN"/>
        </w:rPr>
        <w:t>最大红外监控距离不低于50米；</w:t>
      </w:r>
    </w:p>
    <w:p w14:paraId="2C2D92F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2"/>
          <w:highlight w:val="none"/>
          <w:lang w:val="en-US" w:eastAsia="zh-CN"/>
        </w:rPr>
      </w:pPr>
      <w:r>
        <w:rPr>
          <w:rFonts w:hint="default" w:ascii="宋体" w:hAnsi="宋体" w:eastAsia="宋体" w:cs="@仿宋_GB2312"/>
          <w:color w:val="auto"/>
          <w:kern w:val="2"/>
          <w:sz w:val="24"/>
          <w:szCs w:val="22"/>
          <w:highlight w:val="none"/>
          <w:lang w:val="en-US" w:eastAsia="zh-CN"/>
        </w:rPr>
        <w:t>(5)</w:t>
      </w:r>
      <w:r>
        <w:rPr>
          <w:rFonts w:hint="eastAsia" w:ascii="宋体" w:hAnsi="宋体" w:eastAsia="宋体" w:cs="@仿宋_GB2312"/>
          <w:color w:val="auto"/>
          <w:kern w:val="2"/>
          <w:sz w:val="24"/>
          <w:szCs w:val="22"/>
          <w:highlight w:val="none"/>
          <w:lang w:val="en-US" w:eastAsia="zh-CN"/>
        </w:rPr>
        <w:t>支持SmartIR,自动调整红外远近补光及画面均匀性；</w:t>
      </w:r>
    </w:p>
    <w:p w14:paraId="2EF3564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2"/>
          <w:highlight w:val="none"/>
          <w:lang w:val="en-US" w:eastAsia="zh-CN"/>
        </w:rPr>
      </w:pPr>
      <w:r>
        <w:rPr>
          <w:rFonts w:hint="default" w:ascii="宋体" w:hAnsi="宋体" w:eastAsia="宋体" w:cs="@仿宋_GB2312"/>
          <w:color w:val="auto"/>
          <w:kern w:val="2"/>
          <w:sz w:val="24"/>
          <w:szCs w:val="22"/>
          <w:highlight w:val="none"/>
          <w:lang w:val="en-US" w:eastAsia="zh-CN"/>
        </w:rPr>
        <w:t>(6)</w:t>
      </w:r>
      <w:r>
        <w:rPr>
          <w:rFonts w:hint="eastAsia" w:ascii="宋体" w:hAnsi="宋体" w:eastAsia="宋体" w:cs="@仿宋_GB2312"/>
          <w:color w:val="auto"/>
          <w:kern w:val="2"/>
          <w:sz w:val="24"/>
          <w:szCs w:val="22"/>
          <w:highlight w:val="none"/>
          <w:lang w:val="en-US" w:eastAsia="zh-CN"/>
        </w:rPr>
        <w:t>支持走廊模式，宽动态，3D降噪，强光抑制，背光补偿，数字水印，适用不同监 控环境；</w:t>
      </w:r>
    </w:p>
    <w:p w14:paraId="2F41EB6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2"/>
          <w:highlight w:val="none"/>
          <w:lang w:val="en-US" w:eastAsia="zh-CN"/>
        </w:rPr>
      </w:pPr>
      <w:r>
        <w:rPr>
          <w:rFonts w:hint="default" w:ascii="宋体" w:hAnsi="宋体" w:eastAsia="宋体" w:cs="@仿宋_GB2312"/>
          <w:color w:val="auto"/>
          <w:kern w:val="2"/>
          <w:sz w:val="24"/>
          <w:szCs w:val="22"/>
          <w:highlight w:val="none"/>
          <w:lang w:val="en-US" w:eastAsia="zh-CN"/>
        </w:rPr>
        <w:t>(7)</w:t>
      </w:r>
      <w:r>
        <w:rPr>
          <w:rFonts w:hint="eastAsia" w:ascii="宋体" w:hAnsi="宋体" w:eastAsia="宋体" w:cs="@仿宋_GB2312"/>
          <w:color w:val="auto"/>
          <w:kern w:val="2"/>
          <w:sz w:val="24"/>
          <w:szCs w:val="22"/>
          <w:highlight w:val="none"/>
          <w:lang w:val="en-US" w:eastAsia="zh-CN"/>
        </w:rPr>
        <w:t>支持多种异常检测，无SD卡，SD卡空间不足，SD卡出错，网络断开，IP冲突， 非法访问，电压检测；</w:t>
      </w:r>
    </w:p>
    <w:p w14:paraId="5155294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2"/>
          <w:highlight w:val="none"/>
          <w:lang w:val="en-US" w:eastAsia="zh-CN"/>
        </w:rPr>
      </w:pPr>
      <w:r>
        <w:rPr>
          <w:rFonts w:hint="default" w:ascii="宋体" w:hAnsi="宋体" w:eastAsia="宋体" w:cs="@仿宋_GB2312"/>
          <w:color w:val="auto"/>
          <w:kern w:val="2"/>
          <w:sz w:val="24"/>
          <w:szCs w:val="22"/>
          <w:highlight w:val="none"/>
          <w:lang w:val="en-US" w:eastAsia="zh-CN"/>
        </w:rPr>
        <w:t>(8)</w:t>
      </w:r>
      <w:r>
        <w:rPr>
          <w:rFonts w:hint="eastAsia" w:ascii="宋体" w:hAnsi="宋体" w:eastAsia="宋体" w:cs="@仿宋_GB2312"/>
          <w:color w:val="auto"/>
          <w:kern w:val="2"/>
          <w:sz w:val="24"/>
          <w:szCs w:val="22"/>
          <w:highlight w:val="none"/>
          <w:lang w:val="en-US" w:eastAsia="zh-CN"/>
        </w:rPr>
        <w:t>支持多种智能功能，区域入侵，绊线入侵，物品遗留，物品搬移，场景变更，徘 徊检测；</w:t>
      </w:r>
    </w:p>
    <w:p w14:paraId="7F589AD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2"/>
          <w:highlight w:val="none"/>
          <w:lang w:val="en-US" w:eastAsia="zh-CN"/>
        </w:rPr>
      </w:pPr>
      <w:r>
        <w:rPr>
          <w:rFonts w:hint="default" w:ascii="宋体" w:hAnsi="宋体" w:eastAsia="宋体" w:cs="@仿宋_GB2312"/>
          <w:color w:val="auto"/>
          <w:kern w:val="2"/>
          <w:sz w:val="24"/>
          <w:szCs w:val="22"/>
          <w:highlight w:val="none"/>
          <w:lang w:val="en-US" w:eastAsia="zh-CN"/>
        </w:rPr>
        <w:t>(9)</w:t>
      </w:r>
      <w:r>
        <w:rPr>
          <w:rFonts w:hint="eastAsia" w:ascii="宋体" w:hAnsi="宋体" w:eastAsia="宋体" w:cs="@仿宋_GB2312"/>
          <w:color w:val="auto"/>
          <w:kern w:val="2"/>
          <w:sz w:val="24"/>
          <w:szCs w:val="22"/>
          <w:highlight w:val="none"/>
          <w:lang w:val="en-US" w:eastAsia="zh-CN"/>
        </w:rPr>
        <w:t>支持DC12V和POE供电方式，宽压设计；</w:t>
      </w:r>
    </w:p>
    <w:p w14:paraId="3FA2CC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2"/>
          <w:highlight w:val="none"/>
          <w:lang w:val="en-US" w:eastAsia="en-US"/>
        </w:rPr>
      </w:pPr>
      <w:r>
        <w:rPr>
          <w:rFonts w:hint="default" w:ascii="宋体" w:hAnsi="宋体" w:eastAsia="宋体" w:cs="@仿宋_GB2312"/>
          <w:color w:val="auto"/>
          <w:kern w:val="2"/>
          <w:sz w:val="24"/>
          <w:szCs w:val="22"/>
          <w:highlight w:val="none"/>
          <w:lang w:val="en-US" w:eastAsia="zh-CN"/>
        </w:rPr>
        <w:t>(10)</w:t>
      </w:r>
      <w:r>
        <w:rPr>
          <w:rFonts w:hint="eastAsia" w:ascii="宋体" w:hAnsi="宋体" w:eastAsia="宋体" w:cs="@仿宋_GB2312"/>
          <w:color w:val="auto"/>
          <w:kern w:val="2"/>
          <w:sz w:val="24"/>
          <w:szCs w:val="22"/>
          <w:highlight w:val="none"/>
          <w:lang w:val="en-US" w:eastAsia="zh-CN"/>
        </w:rPr>
        <w:t>防护等级不低于IP67。</w:t>
      </w:r>
    </w:p>
    <w:p w14:paraId="7A95492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宋体" w:hAnsi="宋体" w:eastAsia="宋体" w:cs="@仿宋_GB2312"/>
          <w:color w:val="auto"/>
          <w:kern w:val="2"/>
          <w:sz w:val="24"/>
          <w:szCs w:val="22"/>
          <w:highlight w:val="none"/>
          <w:lang w:val="en-US" w:eastAsia="zh-CN"/>
        </w:rPr>
        <w:t>（11）质保一年（响应文件中需提供承诺函）</w:t>
      </w:r>
    </w:p>
    <w:p w14:paraId="3176508E">
      <w:pPr>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default" w:ascii="宋体" w:hAnsi="宋体" w:cs="@仿宋_GB2312"/>
          <w:b/>
          <w:bCs/>
          <w:color w:val="auto"/>
          <w:kern w:val="2"/>
          <w:sz w:val="24"/>
          <w:szCs w:val="22"/>
          <w:highlight w:val="none"/>
          <w:lang w:val="en-US" w:eastAsia="zh-CN"/>
        </w:rPr>
      </w:pPr>
      <w:r>
        <w:rPr>
          <w:rFonts w:hint="eastAsia" w:cs="@仿宋_GB2312"/>
          <w:b/>
          <w:bCs/>
          <w:color w:val="auto"/>
          <w:kern w:val="2"/>
          <w:sz w:val="24"/>
          <w:szCs w:val="22"/>
          <w:highlight w:val="none"/>
          <w:lang w:val="en-US" w:eastAsia="zh-CN"/>
        </w:rPr>
        <w:t>2</w:t>
      </w:r>
      <w:r>
        <w:rPr>
          <w:rFonts w:hint="eastAsia" w:ascii="宋体" w:hAnsi="宋体" w:cs="@仿宋_GB2312"/>
          <w:b/>
          <w:bCs/>
          <w:color w:val="auto"/>
          <w:kern w:val="2"/>
          <w:sz w:val="24"/>
          <w:szCs w:val="22"/>
          <w:highlight w:val="none"/>
          <w:lang w:val="en-US" w:eastAsia="zh-CN"/>
        </w:rPr>
        <w:t>.</w:t>
      </w:r>
      <w:r>
        <w:rPr>
          <w:rFonts w:hint="eastAsia" w:cs="@仿宋_GB2312"/>
          <w:b/>
          <w:bCs/>
          <w:color w:val="auto"/>
          <w:kern w:val="2"/>
          <w:sz w:val="24"/>
          <w:szCs w:val="22"/>
          <w:highlight w:val="none"/>
          <w:lang w:val="en-US" w:eastAsia="zh-CN"/>
        </w:rPr>
        <w:t>4</w:t>
      </w:r>
      <w:r>
        <w:rPr>
          <w:rFonts w:hint="eastAsia" w:ascii="宋体" w:hAnsi="宋体" w:cs="@仿宋_GB2312"/>
          <w:b/>
          <w:bCs/>
          <w:color w:val="auto"/>
          <w:kern w:val="2"/>
          <w:sz w:val="24"/>
          <w:szCs w:val="22"/>
          <w:highlight w:val="none"/>
          <w:lang w:val="en-US" w:eastAsia="zh-CN"/>
        </w:rPr>
        <w:t>高清网络</w:t>
      </w:r>
      <w:r>
        <w:rPr>
          <w:rFonts w:hint="default" w:ascii="宋体" w:hAnsi="宋体" w:cs="@仿宋_GB2312"/>
          <w:b/>
          <w:bCs/>
          <w:color w:val="auto"/>
          <w:kern w:val="2"/>
          <w:sz w:val="24"/>
          <w:szCs w:val="22"/>
          <w:highlight w:val="none"/>
          <w:lang w:val="en-US" w:eastAsia="zh-CN"/>
        </w:rPr>
        <w:t>枪型摄像机</w:t>
      </w:r>
    </w:p>
    <w:p w14:paraId="5DFBCEA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2"/>
          <w:highlight w:val="none"/>
          <w:lang w:val="en-US" w:eastAsia="en-US"/>
        </w:rPr>
      </w:pPr>
      <w:r>
        <w:rPr>
          <w:rFonts w:hint="eastAsia" w:ascii="宋体" w:hAnsi="宋体" w:eastAsia="宋体" w:cs="@仿宋_GB2312"/>
          <w:color w:val="auto"/>
          <w:kern w:val="2"/>
          <w:sz w:val="24"/>
          <w:szCs w:val="22"/>
          <w:highlight w:val="none"/>
          <w:lang w:val="en-US" w:eastAsia="en-US"/>
        </w:rPr>
        <w:t>为保证系统精度和长期稳定性，设备性能水平不低于海康威视、大华、宇视产品。具体技术参数需满足以下要求：</w:t>
      </w:r>
    </w:p>
    <w:p w14:paraId="1012E621">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仿宋_GB2312"/>
          <w:b/>
          <w:bCs/>
          <w:color w:val="auto"/>
          <w:kern w:val="2"/>
          <w:sz w:val="24"/>
          <w:szCs w:val="22"/>
          <w:highlight w:val="none"/>
          <w:lang w:val="en-US" w:eastAsia="zh-CN"/>
        </w:rPr>
      </w:pPr>
      <w:r>
        <w:rPr>
          <w:rFonts w:hint="eastAsia" w:ascii="宋体" w:hAnsi="宋体" w:eastAsia="宋体" w:cs="@仿宋_GB2312"/>
          <w:b/>
          <w:bCs/>
          <w:color w:val="auto"/>
          <w:kern w:val="2"/>
          <w:sz w:val="24"/>
          <w:szCs w:val="22"/>
          <w:highlight w:val="none"/>
          <w:lang w:val="en-US" w:eastAsia="en-US"/>
        </w:rPr>
        <w:t>(对于采购人参考品牌的材料，供应商可选用参考品牌或不低于参考品牌质量标准的其它品牌；采用其它品牌的应在响应文件中提供相关技术参数证明材料供磋商小组评审，</w:t>
      </w:r>
      <w:r>
        <w:rPr>
          <w:rFonts w:hint="eastAsia" w:cs="@仿宋_GB2312"/>
          <w:b/>
          <w:bCs/>
          <w:color w:val="auto"/>
          <w:kern w:val="2"/>
          <w:sz w:val="24"/>
          <w:szCs w:val="22"/>
          <w:highlight w:val="none"/>
          <w:lang w:val="en-US" w:eastAsia="zh-CN"/>
        </w:rPr>
        <w:t>未提供相关技术参数证明材料的</w:t>
      </w:r>
      <w:r>
        <w:rPr>
          <w:rFonts w:hint="eastAsia" w:ascii="宋体" w:hAnsi="宋体" w:eastAsia="宋体" w:cs="@仿宋_GB2312"/>
          <w:b/>
          <w:bCs/>
          <w:color w:val="auto"/>
          <w:kern w:val="2"/>
          <w:sz w:val="24"/>
          <w:szCs w:val="22"/>
          <w:highlight w:val="none"/>
          <w:lang w:val="en-US" w:eastAsia="en-US"/>
        </w:rPr>
        <w:t>，成交后只能从采购人参考品牌中进行选择，价格不予调整。)</w:t>
      </w:r>
    </w:p>
    <w:p w14:paraId="38D5C4C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zh-CN"/>
        </w:rPr>
      </w:pPr>
      <w:r>
        <w:rPr>
          <w:rFonts w:hint="default" w:ascii="宋体" w:hAnsi="宋体" w:eastAsia="宋体" w:cs="@仿宋_GB2312"/>
          <w:color w:val="auto"/>
          <w:kern w:val="2"/>
          <w:sz w:val="24"/>
          <w:szCs w:val="22"/>
          <w:highlight w:val="none"/>
          <w:lang w:val="en-US" w:eastAsia="zh-CN"/>
        </w:rPr>
        <w:t>(1)像素不低于400万；图像传感器CMOS尺寸不小于1/3英寸，低照度效果好，图像清晰度高；</w:t>
      </w:r>
    </w:p>
    <w:p w14:paraId="51B3D79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zh-CN"/>
        </w:rPr>
      </w:pPr>
      <w:r>
        <w:rPr>
          <w:rFonts w:hint="default" w:ascii="宋体" w:hAnsi="宋体" w:eastAsia="宋体" w:cs="@仿宋_GB2312"/>
          <w:color w:val="auto"/>
          <w:kern w:val="2"/>
          <w:sz w:val="24"/>
          <w:szCs w:val="22"/>
          <w:highlight w:val="none"/>
          <w:lang w:val="en-US" w:eastAsia="zh-CN"/>
        </w:rPr>
        <w:t>(2)最大输出图像分辨率不低于2560X1440@25fps;</w:t>
      </w:r>
    </w:p>
    <w:p w14:paraId="479DFAF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zh-CN"/>
        </w:rPr>
      </w:pPr>
      <w:r>
        <w:rPr>
          <w:rFonts w:hint="default" w:ascii="宋体" w:hAnsi="宋体" w:eastAsia="宋体" w:cs="@仿宋_GB2312"/>
          <w:color w:val="auto"/>
          <w:kern w:val="2"/>
          <w:sz w:val="24"/>
          <w:szCs w:val="22"/>
          <w:highlight w:val="none"/>
          <w:lang w:val="en-US" w:eastAsia="zh-CN"/>
        </w:rPr>
        <w:t>(3)支持 H.265编码，压缩比高，占用存储空间小；</w:t>
      </w:r>
    </w:p>
    <w:p w14:paraId="3830E8A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zh-CN"/>
        </w:rPr>
      </w:pPr>
      <w:r>
        <w:rPr>
          <w:rFonts w:hint="default" w:ascii="宋体" w:hAnsi="宋体" w:eastAsia="宋体" w:cs="@仿宋_GB2312"/>
          <w:color w:val="auto"/>
          <w:kern w:val="2"/>
          <w:sz w:val="24"/>
          <w:szCs w:val="22"/>
          <w:highlight w:val="none"/>
          <w:lang w:val="en-US" w:eastAsia="zh-CN"/>
        </w:rPr>
        <w:t>(4)内置高效红外补光灯，最大红外监控距离不低于50米；</w:t>
      </w:r>
    </w:p>
    <w:p w14:paraId="4CFBAE7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zh-CN"/>
        </w:rPr>
      </w:pPr>
      <w:r>
        <w:rPr>
          <w:rFonts w:hint="default" w:ascii="宋体" w:hAnsi="宋体" w:eastAsia="宋体" w:cs="@仿宋_GB2312"/>
          <w:color w:val="auto"/>
          <w:kern w:val="2"/>
          <w:sz w:val="24"/>
          <w:szCs w:val="22"/>
          <w:highlight w:val="none"/>
          <w:lang w:val="en-US" w:eastAsia="zh-CN"/>
        </w:rPr>
        <w:t>(5)支持 ROI,SMART H.264+/H.265+,灵活编码，适用不同带宽和存储环境；</w:t>
      </w:r>
    </w:p>
    <w:p w14:paraId="4A2A33C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zh-CN"/>
        </w:rPr>
      </w:pPr>
      <w:r>
        <w:rPr>
          <w:rFonts w:hint="default" w:ascii="宋体" w:hAnsi="宋体" w:eastAsia="宋体" w:cs="@仿宋_GB2312"/>
          <w:color w:val="auto"/>
          <w:kern w:val="2"/>
          <w:sz w:val="24"/>
          <w:szCs w:val="22"/>
          <w:highlight w:val="none"/>
          <w:lang w:val="en-US" w:eastAsia="zh-CN"/>
        </w:rPr>
        <w:t>(6)支持数字宽动态，3D降噪，强光抑制，背光补偿，数字水印，适用不同监控环境；</w:t>
      </w:r>
    </w:p>
    <w:p w14:paraId="79C7EB2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zh-CN"/>
        </w:rPr>
      </w:pPr>
      <w:r>
        <w:rPr>
          <w:rFonts w:hint="default" w:ascii="宋体" w:hAnsi="宋体" w:eastAsia="宋体" w:cs="@仿宋_GB2312"/>
          <w:color w:val="auto"/>
          <w:kern w:val="2"/>
          <w:sz w:val="24"/>
          <w:szCs w:val="22"/>
          <w:highlight w:val="none"/>
          <w:lang w:val="en-US" w:eastAsia="zh-CN"/>
        </w:rPr>
        <w:t>(7)支持多种异常检测：动态检测，视频遮挡，网络断开，IP冲突，音频异常侦测，非法访问；</w:t>
      </w:r>
    </w:p>
    <w:p w14:paraId="71C7BE9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zh-CN"/>
        </w:rPr>
      </w:pPr>
      <w:r>
        <w:rPr>
          <w:rFonts w:hint="default" w:ascii="宋体" w:hAnsi="宋体" w:eastAsia="宋体" w:cs="@仿宋_GB2312"/>
          <w:color w:val="auto"/>
          <w:kern w:val="2"/>
          <w:sz w:val="24"/>
          <w:szCs w:val="22"/>
          <w:highlight w:val="none"/>
          <w:lang w:val="en-US" w:eastAsia="zh-CN"/>
        </w:rPr>
        <w:t>(8)内置 MIC:</w:t>
      </w:r>
    </w:p>
    <w:p w14:paraId="66A5734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2"/>
          <w:highlight w:val="none"/>
          <w:lang w:val="en-US" w:eastAsia="zh-CN"/>
        </w:rPr>
      </w:pPr>
      <w:r>
        <w:rPr>
          <w:rFonts w:hint="eastAsia" w:ascii="宋体" w:hAnsi="宋体" w:eastAsia="宋体" w:cs="@仿宋_GB2312"/>
          <w:color w:val="auto"/>
          <w:kern w:val="2"/>
          <w:sz w:val="24"/>
          <w:szCs w:val="22"/>
          <w:highlight w:val="none"/>
          <w:lang w:val="en-US" w:eastAsia="zh-CN"/>
        </w:rPr>
        <w:t>(9)支持 DC12V和 POE 供电方式；</w:t>
      </w:r>
    </w:p>
    <w:p w14:paraId="7ACB0E7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color w:val="auto"/>
          <w:kern w:val="2"/>
          <w:sz w:val="24"/>
          <w:szCs w:val="22"/>
          <w:highlight w:val="none"/>
          <w:lang w:val="en-US" w:eastAsia="zh-CN"/>
        </w:rPr>
      </w:pPr>
      <w:r>
        <w:rPr>
          <w:rFonts w:hint="eastAsia" w:ascii="宋体" w:hAnsi="宋体" w:eastAsia="宋体" w:cs="@仿宋_GB2312"/>
          <w:color w:val="auto"/>
          <w:kern w:val="2"/>
          <w:sz w:val="24"/>
          <w:szCs w:val="22"/>
          <w:highlight w:val="none"/>
          <w:lang w:val="en-US" w:eastAsia="zh-CN"/>
        </w:rPr>
        <w:t>(10)防护等级不低于IP67</w:t>
      </w:r>
      <w:r>
        <w:rPr>
          <w:rFonts w:hint="default" w:ascii="宋体" w:hAnsi="宋体" w:eastAsia="宋体" w:cs="@仿宋_GB2312"/>
          <w:color w:val="auto"/>
          <w:kern w:val="2"/>
          <w:sz w:val="24"/>
          <w:szCs w:val="22"/>
          <w:highlight w:val="none"/>
          <w:lang w:val="en-US" w:eastAsia="zh-CN"/>
        </w:rPr>
        <w:t>。</w:t>
      </w:r>
    </w:p>
    <w:p w14:paraId="4866AED6">
      <w:pPr>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仿宋" w:hAnsi="仿宋" w:eastAsia="宋体" w:cs="Times New Roman"/>
          <w:b/>
          <w:bCs/>
          <w:kern w:val="2"/>
          <w:sz w:val="24"/>
          <w:szCs w:val="22"/>
          <w:lang w:val="en-US" w:eastAsia="zh-CN" w:bidi="ar-SA"/>
        </w:rPr>
      </w:pPr>
      <w:r>
        <w:rPr>
          <w:rFonts w:hint="eastAsia" w:cs="@仿宋_GB2312"/>
          <w:b/>
          <w:bCs/>
          <w:color w:val="auto"/>
          <w:kern w:val="2"/>
          <w:sz w:val="24"/>
          <w:szCs w:val="22"/>
          <w:highlight w:val="none"/>
          <w:lang w:val="en-US" w:eastAsia="zh-CN"/>
        </w:rPr>
        <w:t>2</w:t>
      </w:r>
      <w:r>
        <w:rPr>
          <w:rFonts w:hint="eastAsia" w:ascii="宋体" w:hAnsi="宋体" w:cs="@仿宋_GB2312"/>
          <w:b/>
          <w:bCs/>
          <w:color w:val="auto"/>
          <w:kern w:val="2"/>
          <w:sz w:val="24"/>
          <w:szCs w:val="22"/>
          <w:highlight w:val="none"/>
          <w:lang w:val="en-US" w:eastAsia="zh-CN"/>
        </w:rPr>
        <w:t>.</w:t>
      </w:r>
      <w:r>
        <w:rPr>
          <w:rFonts w:hint="eastAsia" w:cs="@仿宋_GB2312"/>
          <w:b/>
          <w:bCs/>
          <w:color w:val="auto"/>
          <w:kern w:val="2"/>
          <w:sz w:val="24"/>
          <w:szCs w:val="22"/>
          <w:highlight w:val="none"/>
          <w:lang w:val="en-US" w:eastAsia="zh-CN"/>
        </w:rPr>
        <w:t>5</w:t>
      </w:r>
      <w:r>
        <w:rPr>
          <w:rFonts w:hint="eastAsia" w:ascii="宋体" w:hAnsi="宋体" w:cs="@仿宋_GB2312"/>
          <w:b/>
          <w:bCs/>
          <w:color w:val="auto"/>
          <w:kern w:val="2"/>
          <w:sz w:val="24"/>
          <w:szCs w:val="22"/>
          <w:highlight w:val="none"/>
          <w:lang w:val="en-US" w:eastAsia="zh-CN"/>
        </w:rPr>
        <w:t xml:space="preserve"> 路硬盘录像机1</w:t>
      </w:r>
    </w:p>
    <w:p w14:paraId="1ECB33A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2"/>
          <w:highlight w:val="none"/>
          <w:lang w:val="en-US" w:eastAsia="en-US"/>
        </w:rPr>
      </w:pPr>
      <w:r>
        <w:rPr>
          <w:rFonts w:hint="eastAsia" w:cs="@仿宋_GB2312"/>
          <w:color w:val="auto"/>
          <w:kern w:val="2"/>
          <w:sz w:val="24"/>
          <w:szCs w:val="22"/>
          <w:highlight w:val="none"/>
          <w:lang w:val="en-US" w:eastAsia="zh-CN"/>
        </w:rPr>
        <w:t>采购人提供硬盘，</w:t>
      </w:r>
      <w:r>
        <w:rPr>
          <w:rFonts w:hint="eastAsia" w:ascii="宋体" w:hAnsi="宋体" w:eastAsia="宋体" w:cs="@仿宋_GB2312"/>
          <w:color w:val="auto"/>
          <w:kern w:val="2"/>
          <w:sz w:val="24"/>
          <w:szCs w:val="22"/>
          <w:highlight w:val="none"/>
          <w:lang w:val="en-US" w:eastAsia="en-US"/>
        </w:rPr>
        <w:t>为保证系统精度和长期稳定性，设备性能水平不低于海康威视、大华、宇视产品。具体技术参数需满足以下要求：</w:t>
      </w:r>
    </w:p>
    <w:p w14:paraId="0187597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宋体" w:cs="Times New Roman"/>
          <w:b/>
          <w:bCs/>
          <w:kern w:val="2"/>
          <w:sz w:val="24"/>
          <w:szCs w:val="22"/>
          <w:lang w:val="en-US" w:eastAsia="zh-CN" w:bidi="ar-SA"/>
        </w:rPr>
      </w:pPr>
      <w:r>
        <w:rPr>
          <w:rFonts w:hint="eastAsia" w:ascii="宋体" w:hAnsi="宋体" w:eastAsia="宋体" w:cs="@仿宋_GB2312"/>
          <w:b/>
          <w:bCs/>
          <w:color w:val="auto"/>
          <w:kern w:val="2"/>
          <w:sz w:val="24"/>
          <w:szCs w:val="22"/>
          <w:highlight w:val="none"/>
          <w:lang w:val="en-US" w:eastAsia="en-US"/>
        </w:rPr>
        <w:t>(对于采购人参考品牌的材料，供应商可选用参考品牌或不低于参考品牌质量标准的其它品牌；采用其它品牌的应在响应文件中提供相关技术参数证明材料供磋商小组评审，</w:t>
      </w:r>
      <w:r>
        <w:rPr>
          <w:rFonts w:hint="eastAsia" w:cs="@仿宋_GB2312"/>
          <w:b/>
          <w:bCs/>
          <w:color w:val="auto"/>
          <w:kern w:val="2"/>
          <w:sz w:val="24"/>
          <w:szCs w:val="22"/>
          <w:highlight w:val="none"/>
          <w:lang w:val="en-US" w:eastAsia="zh-CN"/>
        </w:rPr>
        <w:t>未提供相关技术参数证明材料的</w:t>
      </w:r>
      <w:r>
        <w:rPr>
          <w:rFonts w:hint="eastAsia" w:ascii="宋体" w:hAnsi="宋体" w:eastAsia="宋体" w:cs="@仿宋_GB2312"/>
          <w:b/>
          <w:bCs/>
          <w:color w:val="auto"/>
          <w:kern w:val="2"/>
          <w:sz w:val="24"/>
          <w:szCs w:val="22"/>
          <w:highlight w:val="none"/>
          <w:lang w:val="en-US" w:eastAsia="en-US"/>
        </w:rPr>
        <w:t>，成交后只能从采购人参考品牌中进行选择，价格不予调整。)</w:t>
      </w:r>
    </w:p>
    <w:p w14:paraId="07CDAA27">
      <w:pPr>
        <w:numPr>
          <w:ilvl w:val="0"/>
          <w:numId w:val="14"/>
        </w:numPr>
        <w:bidi w:val="0"/>
        <w:ind w:left="845" w:leftChars="0" w:hanging="425" w:firstLineChars="0"/>
        <w:rPr>
          <w:rFonts w:hint="default"/>
          <w:sz w:val="24"/>
          <w:szCs w:val="24"/>
          <w:lang w:val="en-US" w:eastAsia="zh-CN"/>
        </w:rPr>
      </w:pPr>
      <w:r>
        <w:rPr>
          <w:rFonts w:hint="default"/>
          <w:sz w:val="24"/>
          <w:szCs w:val="24"/>
          <w:lang w:val="en-US" w:eastAsia="zh-CN"/>
        </w:rPr>
        <w:t>可接入</w:t>
      </w:r>
      <w:r>
        <w:rPr>
          <w:rFonts w:hint="eastAsia"/>
          <w:sz w:val="24"/>
          <w:szCs w:val="24"/>
          <w:lang w:val="en-US" w:eastAsia="zh-CN"/>
        </w:rPr>
        <w:t>64</w:t>
      </w:r>
      <w:r>
        <w:rPr>
          <w:rFonts w:hint="default"/>
          <w:sz w:val="24"/>
          <w:szCs w:val="24"/>
          <w:lang w:val="en-US" w:eastAsia="zh-CN"/>
        </w:rPr>
        <w:t>路分辨率为1920×1080的视频图像；支持最大接入带宽320Mbps，最大存储带宽320Mbps，最大转发带宽256Mbps，最大回放带宽256Mbps；可同时解码输出24路H.265编码、30fps、1920×1080格式的视频图像，或同时解码输出8路 H.265编码、25fps、4096×2160或者3840×2160格式的视频图像，或同时解码输出6路 H.265编码、20fps、4000×3000格式的视频图像，或同时解码输出2路H.265编码、25fps、8160×3616格式的视频图像</w:t>
      </w:r>
    </w:p>
    <w:p w14:paraId="4EE39D59">
      <w:pPr>
        <w:numPr>
          <w:ilvl w:val="0"/>
          <w:numId w:val="14"/>
        </w:numPr>
        <w:bidi w:val="0"/>
        <w:ind w:left="845" w:leftChars="0" w:hanging="425" w:firstLineChars="0"/>
        <w:rPr>
          <w:rFonts w:hint="default"/>
          <w:sz w:val="24"/>
          <w:szCs w:val="24"/>
          <w:lang w:val="en-US" w:eastAsia="zh-CN"/>
        </w:rPr>
      </w:pPr>
      <w:r>
        <w:rPr>
          <w:rFonts w:hint="default"/>
          <w:sz w:val="24"/>
          <w:szCs w:val="24"/>
          <w:lang w:val="en-US" w:eastAsia="zh-CN"/>
        </w:rPr>
        <w:t>支持H.265高效视频编码码流，支持H.265、 H.264 IP设备混合接入；</w:t>
      </w:r>
    </w:p>
    <w:p w14:paraId="00F2B2DC">
      <w:pPr>
        <w:numPr>
          <w:ilvl w:val="0"/>
          <w:numId w:val="14"/>
        </w:numPr>
        <w:bidi w:val="0"/>
        <w:ind w:left="845" w:leftChars="0" w:hanging="425" w:firstLineChars="0"/>
        <w:rPr>
          <w:rFonts w:hint="default"/>
          <w:sz w:val="24"/>
          <w:szCs w:val="24"/>
          <w:lang w:val="en-US" w:eastAsia="zh-CN"/>
        </w:rPr>
      </w:pPr>
      <w:r>
        <w:rPr>
          <w:rFonts w:hint="default"/>
          <w:sz w:val="24"/>
          <w:szCs w:val="24"/>
          <w:lang w:val="en-US" w:eastAsia="zh-CN"/>
        </w:rPr>
        <w:t>最大支持800万像素高清网络视频的预览、存储与回放；</w:t>
      </w:r>
    </w:p>
    <w:p w14:paraId="41DD6C2A">
      <w:pPr>
        <w:numPr>
          <w:ilvl w:val="0"/>
          <w:numId w:val="14"/>
        </w:numPr>
        <w:bidi w:val="0"/>
        <w:ind w:left="845" w:leftChars="0" w:hanging="425" w:firstLineChars="0"/>
        <w:rPr>
          <w:rFonts w:hint="default"/>
          <w:sz w:val="24"/>
          <w:szCs w:val="24"/>
          <w:lang w:val="en-US" w:eastAsia="zh-CN"/>
        </w:rPr>
      </w:pPr>
      <w:r>
        <w:rPr>
          <w:rFonts w:hint="default"/>
          <w:sz w:val="24"/>
          <w:szCs w:val="24"/>
          <w:lang w:val="en-US" w:eastAsia="zh-CN"/>
        </w:rPr>
        <w:t>支持HDMI与VGA异源输出， HDMI支持4K超高清显示输出， VGA支持高清1080p显示输出；</w:t>
      </w:r>
    </w:p>
    <w:p w14:paraId="7340C762">
      <w:pPr>
        <w:numPr>
          <w:ilvl w:val="0"/>
          <w:numId w:val="14"/>
        </w:numPr>
        <w:bidi w:val="0"/>
        <w:ind w:left="845" w:leftChars="0" w:hanging="425" w:firstLineChars="0"/>
        <w:rPr>
          <w:rFonts w:hint="default"/>
          <w:sz w:val="24"/>
          <w:szCs w:val="24"/>
          <w:lang w:val="en-US" w:eastAsia="zh-CN"/>
        </w:rPr>
      </w:pPr>
      <w:r>
        <w:rPr>
          <w:rFonts w:hint="default"/>
          <w:sz w:val="24"/>
          <w:szCs w:val="24"/>
          <w:lang w:val="en-US" w:eastAsia="zh-CN"/>
        </w:rPr>
        <w:t>支持8个SATA接口，最大支持满配8T硬盘；</w:t>
      </w:r>
    </w:p>
    <w:p w14:paraId="6368F86E">
      <w:pPr>
        <w:numPr>
          <w:ilvl w:val="0"/>
          <w:numId w:val="14"/>
        </w:numPr>
        <w:bidi w:val="0"/>
        <w:ind w:left="845" w:leftChars="0" w:hanging="425" w:firstLineChars="0"/>
        <w:rPr>
          <w:rFonts w:hint="default"/>
          <w:sz w:val="24"/>
          <w:szCs w:val="24"/>
          <w:lang w:val="en-US" w:eastAsia="zh-CN"/>
        </w:rPr>
      </w:pPr>
      <w:r>
        <w:rPr>
          <w:rFonts w:hint="default"/>
          <w:sz w:val="24"/>
          <w:szCs w:val="24"/>
          <w:lang w:val="en-US" w:eastAsia="zh-CN"/>
        </w:rPr>
        <w:t>支持IP设备集中管理，包括IP设备参数配置、信息的导入/导出和升级等功能；</w:t>
      </w:r>
    </w:p>
    <w:p w14:paraId="1E7C7F5D">
      <w:pPr>
        <w:numPr>
          <w:ilvl w:val="0"/>
          <w:numId w:val="14"/>
        </w:numPr>
        <w:bidi w:val="0"/>
        <w:ind w:left="845" w:leftChars="0" w:hanging="425" w:firstLineChars="0"/>
        <w:rPr>
          <w:rFonts w:hint="default"/>
          <w:sz w:val="24"/>
          <w:szCs w:val="24"/>
          <w:lang w:val="en-US" w:eastAsia="zh-CN"/>
        </w:rPr>
      </w:pPr>
      <w:r>
        <w:rPr>
          <w:rFonts w:hint="default"/>
          <w:sz w:val="24"/>
          <w:szCs w:val="24"/>
          <w:lang w:val="en-US" w:eastAsia="zh-CN"/>
        </w:rPr>
        <w:t>支持最大16路同步回放和多路同步倒放；</w:t>
      </w:r>
    </w:p>
    <w:p w14:paraId="45EC3CCF">
      <w:pPr>
        <w:numPr>
          <w:ilvl w:val="0"/>
          <w:numId w:val="14"/>
        </w:numPr>
        <w:bidi w:val="0"/>
        <w:ind w:left="845" w:leftChars="0" w:hanging="425" w:firstLineChars="0"/>
        <w:rPr>
          <w:rFonts w:hint="default"/>
          <w:sz w:val="24"/>
          <w:szCs w:val="24"/>
          <w:lang w:val="en-US" w:eastAsia="zh-CN"/>
        </w:rPr>
      </w:pPr>
      <w:r>
        <w:rPr>
          <w:rFonts w:hint="default"/>
          <w:sz w:val="24"/>
          <w:szCs w:val="24"/>
          <w:lang w:val="en-US" w:eastAsia="zh-CN"/>
        </w:rPr>
        <w:t>支持智能搜索、回放及备份功能，有效提高录像检索与回放效率；</w:t>
      </w:r>
    </w:p>
    <w:p w14:paraId="38D68A7E">
      <w:pPr>
        <w:numPr>
          <w:ilvl w:val="0"/>
          <w:numId w:val="14"/>
        </w:numPr>
        <w:bidi w:val="0"/>
        <w:ind w:left="845" w:leftChars="0" w:hanging="425" w:firstLineChars="0"/>
        <w:rPr>
          <w:rFonts w:hint="default"/>
          <w:sz w:val="24"/>
          <w:szCs w:val="24"/>
          <w:lang w:val="en-US" w:eastAsia="zh-CN"/>
        </w:rPr>
      </w:pPr>
      <w:r>
        <w:rPr>
          <w:rFonts w:hint="default"/>
          <w:sz w:val="24"/>
          <w:szCs w:val="24"/>
          <w:lang w:val="en-US" w:eastAsia="zh-CN"/>
        </w:rPr>
        <w:t>支持萤石云服务，可实现手机远程预览回放；</w:t>
      </w:r>
    </w:p>
    <w:p w14:paraId="0C8607E3">
      <w:pPr>
        <w:numPr>
          <w:ilvl w:val="0"/>
          <w:numId w:val="14"/>
        </w:numPr>
        <w:bidi w:val="0"/>
        <w:ind w:left="845" w:leftChars="0" w:hanging="425" w:firstLineChars="0"/>
        <w:rPr>
          <w:rFonts w:hint="default"/>
          <w:sz w:val="24"/>
          <w:szCs w:val="24"/>
          <w:lang w:val="en-US" w:eastAsia="zh-CN"/>
        </w:rPr>
      </w:pPr>
      <w:r>
        <w:rPr>
          <w:rFonts w:hint="default"/>
          <w:sz w:val="24"/>
          <w:szCs w:val="24"/>
          <w:lang w:val="en-US" w:eastAsia="zh-CN"/>
        </w:rPr>
        <w:t>支持萤石、 Ehome以及GB28181协议，轻松实现平台接入。</w:t>
      </w:r>
    </w:p>
    <w:p w14:paraId="2E8AF346">
      <w:pPr>
        <w:pStyle w:val="284"/>
        <w:rPr>
          <w:rFonts w:hint="default"/>
          <w:lang w:val="en-US" w:eastAsia="zh-CN"/>
        </w:rPr>
      </w:pPr>
    </w:p>
    <w:p w14:paraId="37147415">
      <w:pPr>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default"/>
          <w:color w:val="FF0000"/>
          <w:highlight w:val="yellow"/>
          <w:lang w:val="en-US" w:eastAsia="zh-CN"/>
        </w:rPr>
      </w:pPr>
      <w:r>
        <w:rPr>
          <w:rFonts w:hint="eastAsia" w:cs="@仿宋_GB2312"/>
          <w:b/>
          <w:bCs/>
          <w:color w:val="auto"/>
          <w:kern w:val="2"/>
          <w:sz w:val="24"/>
          <w:szCs w:val="22"/>
          <w:highlight w:val="yellow"/>
          <w:lang w:val="en-US" w:eastAsia="zh-CN"/>
        </w:rPr>
        <w:t>2</w:t>
      </w:r>
      <w:r>
        <w:rPr>
          <w:rFonts w:hint="eastAsia" w:ascii="宋体" w:hAnsi="宋体" w:cs="@仿宋_GB2312"/>
          <w:b/>
          <w:bCs/>
          <w:color w:val="auto"/>
          <w:kern w:val="2"/>
          <w:sz w:val="24"/>
          <w:szCs w:val="22"/>
          <w:highlight w:val="yellow"/>
          <w:lang w:val="en-US" w:eastAsia="zh-CN"/>
        </w:rPr>
        <w:t>.</w:t>
      </w:r>
      <w:r>
        <w:rPr>
          <w:rFonts w:hint="eastAsia" w:cs="@仿宋_GB2312"/>
          <w:b/>
          <w:bCs/>
          <w:color w:val="auto"/>
          <w:kern w:val="2"/>
          <w:sz w:val="24"/>
          <w:szCs w:val="22"/>
          <w:highlight w:val="yellow"/>
          <w:lang w:val="en-US" w:eastAsia="zh-CN"/>
        </w:rPr>
        <w:t>6</w:t>
      </w:r>
      <w:r>
        <w:rPr>
          <w:rFonts w:hint="eastAsia" w:ascii="宋体" w:hAnsi="宋体" w:cs="@仿宋_GB2312"/>
          <w:b/>
          <w:bCs/>
          <w:color w:val="auto"/>
          <w:kern w:val="2"/>
          <w:sz w:val="24"/>
          <w:szCs w:val="22"/>
          <w:highlight w:val="yellow"/>
          <w:lang w:val="en-US" w:eastAsia="zh-CN"/>
        </w:rPr>
        <w:t xml:space="preserve"> 路硬盘录像机2</w:t>
      </w:r>
    </w:p>
    <w:p w14:paraId="6BBA893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2"/>
          <w:highlight w:val="none"/>
          <w:lang w:val="en-US" w:eastAsia="en-US"/>
        </w:rPr>
      </w:pPr>
      <w:r>
        <w:rPr>
          <w:rFonts w:hint="eastAsia" w:ascii="宋体" w:hAnsi="宋体" w:eastAsia="宋体" w:cs="@仿宋_GB2312"/>
          <w:color w:val="auto"/>
          <w:kern w:val="2"/>
          <w:sz w:val="24"/>
          <w:szCs w:val="22"/>
          <w:highlight w:val="none"/>
          <w:lang w:val="en-US" w:eastAsia="en-US"/>
        </w:rPr>
        <w:t>为保证系统精度和长期稳定性，设备性能水平不低于海康威视、大华、宇视产品。具体技术参数需满足以下要求：</w:t>
      </w:r>
    </w:p>
    <w:p w14:paraId="00C8C92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宋体" w:cs="Times New Roman"/>
          <w:b/>
          <w:bCs/>
          <w:kern w:val="2"/>
          <w:sz w:val="24"/>
          <w:szCs w:val="24"/>
          <w:lang w:val="en-US" w:eastAsia="zh-CN" w:bidi="ar-SA"/>
        </w:rPr>
      </w:pPr>
      <w:r>
        <w:rPr>
          <w:rFonts w:hint="eastAsia" w:ascii="宋体" w:hAnsi="宋体" w:eastAsia="宋体" w:cs="@仿宋_GB2312"/>
          <w:b/>
          <w:bCs/>
          <w:color w:val="auto"/>
          <w:kern w:val="2"/>
          <w:sz w:val="24"/>
          <w:szCs w:val="22"/>
          <w:highlight w:val="none"/>
          <w:lang w:val="en-US" w:eastAsia="en-US"/>
        </w:rPr>
        <w:t>(对于采购人参考品牌的材料，供应商可选用参考品牌或不低于参考品牌质量标准的其它品牌；采用其它品牌的应在响应文件中提供相关技术参数证明材料供磋商小组评审，</w:t>
      </w:r>
      <w:r>
        <w:rPr>
          <w:rFonts w:hint="eastAsia" w:cs="@仿宋_GB2312"/>
          <w:b/>
          <w:bCs/>
          <w:color w:val="auto"/>
          <w:kern w:val="2"/>
          <w:sz w:val="24"/>
          <w:szCs w:val="22"/>
          <w:highlight w:val="none"/>
          <w:lang w:val="en-US" w:eastAsia="zh-CN"/>
        </w:rPr>
        <w:t>未提供相关技术参数证明材料的</w:t>
      </w:r>
      <w:r>
        <w:rPr>
          <w:rFonts w:hint="eastAsia" w:ascii="宋体" w:hAnsi="宋体" w:eastAsia="宋体" w:cs="@仿宋_GB2312"/>
          <w:b/>
          <w:bCs/>
          <w:color w:val="auto"/>
          <w:kern w:val="2"/>
          <w:sz w:val="24"/>
          <w:szCs w:val="22"/>
          <w:highlight w:val="none"/>
          <w:lang w:val="en-US" w:eastAsia="en-US"/>
        </w:rPr>
        <w:t>，成交后只能从采购人参考品牌中进行选择，价格不予调整。)</w:t>
      </w:r>
    </w:p>
    <w:p w14:paraId="52D96ABE">
      <w:pPr>
        <w:numPr>
          <w:ilvl w:val="0"/>
          <w:numId w:val="15"/>
        </w:numPr>
        <w:bidi w:val="0"/>
        <w:ind w:left="845" w:leftChars="0" w:hanging="425" w:firstLineChars="0"/>
        <w:rPr>
          <w:rFonts w:hint="default"/>
          <w:sz w:val="24"/>
          <w:szCs w:val="24"/>
          <w:lang w:val="en-US" w:eastAsia="zh-CN"/>
        </w:rPr>
      </w:pPr>
      <w:r>
        <w:rPr>
          <w:rFonts w:hint="default"/>
          <w:sz w:val="24"/>
          <w:szCs w:val="24"/>
          <w:lang w:val="en-US" w:eastAsia="zh-CN"/>
        </w:rPr>
        <w:t>可接入</w:t>
      </w:r>
      <w:r>
        <w:rPr>
          <w:rFonts w:hint="eastAsia"/>
          <w:sz w:val="24"/>
          <w:szCs w:val="24"/>
          <w:lang w:val="en-US" w:eastAsia="zh-CN"/>
        </w:rPr>
        <w:t>16</w:t>
      </w:r>
      <w:r>
        <w:rPr>
          <w:rFonts w:hint="default"/>
          <w:sz w:val="24"/>
          <w:szCs w:val="24"/>
          <w:lang w:val="en-US" w:eastAsia="zh-CN"/>
        </w:rPr>
        <w:t>路分辨率为1920×1080的视频图像；支持最大接入带宽320Mbps，最大存储带宽320Mbps，最大转发带宽256Mbps，最大回放带宽256Mbps；可同时解码输出24路H.265编码、30fps、1920×1080格式的视频图像，或同时解码输出8路 H.265编码、25fps、4096×2160或者3840×2160格式的视频图像，或同时解码输出6路 H.265编码、20fps、4000×3000格式的视频图像，或同时解码输出2路H.265编码、25fps、8160×3616格式的视频图像</w:t>
      </w:r>
    </w:p>
    <w:p w14:paraId="010D87A0">
      <w:pPr>
        <w:numPr>
          <w:ilvl w:val="0"/>
          <w:numId w:val="15"/>
        </w:numPr>
        <w:bidi w:val="0"/>
        <w:ind w:left="845" w:leftChars="0" w:hanging="425" w:firstLineChars="0"/>
        <w:rPr>
          <w:rFonts w:hint="default"/>
          <w:sz w:val="24"/>
          <w:szCs w:val="24"/>
          <w:lang w:val="en-US" w:eastAsia="zh-CN"/>
        </w:rPr>
      </w:pPr>
      <w:r>
        <w:rPr>
          <w:rFonts w:hint="eastAsia"/>
          <w:sz w:val="24"/>
          <w:szCs w:val="24"/>
          <w:lang w:val="en-US" w:eastAsia="zh-CN"/>
        </w:rPr>
        <w:t>存储：配置4块4T硬盘；</w:t>
      </w:r>
    </w:p>
    <w:p w14:paraId="7A645E21">
      <w:pPr>
        <w:numPr>
          <w:ilvl w:val="0"/>
          <w:numId w:val="15"/>
        </w:numPr>
        <w:bidi w:val="0"/>
        <w:ind w:left="845" w:leftChars="0" w:hanging="425" w:firstLineChars="0"/>
        <w:rPr>
          <w:rFonts w:hint="default"/>
          <w:sz w:val="24"/>
          <w:szCs w:val="24"/>
          <w:lang w:val="en-US" w:eastAsia="zh-CN"/>
        </w:rPr>
      </w:pPr>
      <w:r>
        <w:rPr>
          <w:rFonts w:hint="default"/>
          <w:sz w:val="24"/>
          <w:szCs w:val="24"/>
          <w:lang w:val="en-US" w:eastAsia="zh-CN"/>
        </w:rPr>
        <w:t>支持H.265高效视频编码码流，支持H.265、 H.264 IP设备混合接入；</w:t>
      </w:r>
    </w:p>
    <w:p w14:paraId="12031A09">
      <w:pPr>
        <w:numPr>
          <w:ilvl w:val="0"/>
          <w:numId w:val="15"/>
        </w:numPr>
        <w:bidi w:val="0"/>
        <w:ind w:left="845" w:leftChars="0" w:hanging="425" w:firstLineChars="0"/>
        <w:rPr>
          <w:rFonts w:hint="default"/>
          <w:sz w:val="24"/>
          <w:szCs w:val="24"/>
          <w:lang w:val="en-US" w:eastAsia="zh-CN"/>
        </w:rPr>
      </w:pPr>
      <w:r>
        <w:rPr>
          <w:rFonts w:hint="default"/>
          <w:sz w:val="24"/>
          <w:szCs w:val="24"/>
          <w:lang w:val="en-US" w:eastAsia="zh-CN"/>
        </w:rPr>
        <w:t>最大支持800万像素高清网络视频的预览、存储与回放；</w:t>
      </w:r>
    </w:p>
    <w:p w14:paraId="17874658">
      <w:pPr>
        <w:numPr>
          <w:ilvl w:val="0"/>
          <w:numId w:val="15"/>
        </w:numPr>
        <w:bidi w:val="0"/>
        <w:ind w:left="845" w:leftChars="0" w:hanging="425" w:firstLineChars="0"/>
        <w:rPr>
          <w:rFonts w:hint="default"/>
          <w:sz w:val="24"/>
          <w:szCs w:val="24"/>
          <w:lang w:val="en-US" w:eastAsia="zh-CN"/>
        </w:rPr>
      </w:pPr>
      <w:r>
        <w:rPr>
          <w:rFonts w:hint="default"/>
          <w:sz w:val="24"/>
          <w:szCs w:val="24"/>
          <w:lang w:val="en-US" w:eastAsia="zh-CN"/>
        </w:rPr>
        <w:t>支持HDMI与VGA异源输出， HDMI支持4K超高清显示输出， VGA支持高清1080p显示输出；</w:t>
      </w:r>
    </w:p>
    <w:p w14:paraId="4FD008E0">
      <w:pPr>
        <w:numPr>
          <w:ilvl w:val="0"/>
          <w:numId w:val="15"/>
        </w:numPr>
        <w:bidi w:val="0"/>
        <w:ind w:left="845" w:leftChars="0" w:hanging="425" w:firstLineChars="0"/>
        <w:rPr>
          <w:rFonts w:hint="default"/>
          <w:sz w:val="24"/>
          <w:szCs w:val="24"/>
          <w:lang w:val="en-US" w:eastAsia="zh-CN"/>
        </w:rPr>
      </w:pPr>
      <w:r>
        <w:rPr>
          <w:rFonts w:hint="default"/>
          <w:sz w:val="24"/>
          <w:szCs w:val="24"/>
          <w:lang w:val="en-US" w:eastAsia="zh-CN"/>
        </w:rPr>
        <w:t>支持IP设备集中管理，包括IP设备参数配置、信息的导入/导出和升级等功能；</w:t>
      </w:r>
    </w:p>
    <w:p w14:paraId="0B1FAC59">
      <w:pPr>
        <w:numPr>
          <w:ilvl w:val="0"/>
          <w:numId w:val="15"/>
        </w:numPr>
        <w:bidi w:val="0"/>
        <w:ind w:left="845" w:leftChars="0" w:hanging="425" w:firstLineChars="0"/>
        <w:rPr>
          <w:rFonts w:hint="default"/>
          <w:sz w:val="24"/>
          <w:szCs w:val="24"/>
          <w:lang w:val="en-US" w:eastAsia="zh-CN"/>
        </w:rPr>
      </w:pPr>
      <w:r>
        <w:rPr>
          <w:rFonts w:hint="default"/>
          <w:sz w:val="24"/>
          <w:szCs w:val="24"/>
          <w:lang w:val="en-US" w:eastAsia="zh-CN"/>
        </w:rPr>
        <w:t>支持最大16路同步回放和多路同步倒放；</w:t>
      </w:r>
    </w:p>
    <w:p w14:paraId="6542EAC1">
      <w:pPr>
        <w:numPr>
          <w:ilvl w:val="0"/>
          <w:numId w:val="15"/>
        </w:numPr>
        <w:bidi w:val="0"/>
        <w:ind w:left="845" w:leftChars="0" w:hanging="425" w:firstLineChars="0"/>
        <w:rPr>
          <w:rFonts w:hint="default"/>
          <w:sz w:val="24"/>
          <w:szCs w:val="24"/>
          <w:lang w:val="en-US" w:eastAsia="zh-CN"/>
        </w:rPr>
      </w:pPr>
      <w:r>
        <w:rPr>
          <w:rFonts w:hint="default"/>
          <w:sz w:val="24"/>
          <w:szCs w:val="24"/>
          <w:lang w:val="en-US" w:eastAsia="zh-CN"/>
        </w:rPr>
        <w:t>支持智能搜索、回放及备份功能，有效提高录像检索与回放效率；</w:t>
      </w:r>
    </w:p>
    <w:p w14:paraId="3C0E55B5">
      <w:pPr>
        <w:numPr>
          <w:ilvl w:val="0"/>
          <w:numId w:val="15"/>
        </w:numPr>
        <w:bidi w:val="0"/>
        <w:ind w:left="845" w:leftChars="0" w:hanging="425" w:firstLineChars="0"/>
        <w:rPr>
          <w:rFonts w:hint="default"/>
          <w:sz w:val="24"/>
          <w:szCs w:val="24"/>
          <w:lang w:val="en-US" w:eastAsia="zh-CN"/>
        </w:rPr>
      </w:pPr>
      <w:r>
        <w:rPr>
          <w:rFonts w:hint="default"/>
          <w:sz w:val="24"/>
          <w:szCs w:val="24"/>
          <w:lang w:val="en-US" w:eastAsia="zh-CN"/>
        </w:rPr>
        <w:t>支持萤石云服务，可实现手机远程预览回放；</w:t>
      </w:r>
    </w:p>
    <w:p w14:paraId="59CB2626">
      <w:pPr>
        <w:numPr>
          <w:ilvl w:val="0"/>
          <w:numId w:val="15"/>
        </w:numPr>
        <w:bidi w:val="0"/>
        <w:ind w:left="845" w:leftChars="0" w:hanging="425" w:firstLineChars="0"/>
        <w:rPr>
          <w:rFonts w:hint="default"/>
          <w:sz w:val="24"/>
          <w:szCs w:val="24"/>
          <w:lang w:val="en-US" w:eastAsia="zh-CN"/>
        </w:rPr>
      </w:pPr>
      <w:r>
        <w:rPr>
          <w:rFonts w:hint="default"/>
          <w:sz w:val="24"/>
          <w:szCs w:val="24"/>
          <w:lang w:val="en-US" w:eastAsia="zh-CN"/>
        </w:rPr>
        <w:t>支持萤石、 Ehome以及GB28181协议，轻松实现平台接入。</w:t>
      </w:r>
    </w:p>
    <w:p w14:paraId="66FA61C2">
      <w:pPr>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b/>
          <w:bCs/>
          <w:sz w:val="24"/>
          <w:szCs w:val="24"/>
          <w:lang w:val="en-US" w:eastAsia="zh-CN"/>
        </w:rPr>
      </w:pPr>
      <w:r>
        <w:rPr>
          <w:rFonts w:hint="eastAsia"/>
          <w:b/>
          <w:bCs/>
          <w:sz w:val="24"/>
          <w:szCs w:val="24"/>
          <w:lang w:val="en-US" w:eastAsia="zh-CN"/>
        </w:rPr>
        <w:t>2.7 UPS不间断电源</w:t>
      </w:r>
    </w:p>
    <w:p w14:paraId="0A3949E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2"/>
          <w:highlight w:val="none"/>
          <w:lang w:val="en-US" w:eastAsia="en-US"/>
        </w:rPr>
      </w:pPr>
      <w:r>
        <w:rPr>
          <w:rFonts w:hint="eastAsia" w:ascii="宋体" w:hAnsi="宋体" w:eastAsia="宋体" w:cs="@仿宋_GB2312"/>
          <w:color w:val="auto"/>
          <w:kern w:val="2"/>
          <w:sz w:val="24"/>
          <w:szCs w:val="22"/>
          <w:highlight w:val="none"/>
          <w:lang w:val="en-US" w:eastAsia="en-US"/>
        </w:rPr>
        <w:t>为保证系统精度和长期稳定性，设备性能水平不低于</w:t>
      </w:r>
      <w:r>
        <w:rPr>
          <w:rFonts w:hint="eastAsia" w:ascii="宋体" w:hAnsi="宋体" w:cs="@仿宋_GB2312"/>
          <w:color w:val="auto"/>
          <w:kern w:val="2"/>
          <w:sz w:val="24"/>
          <w:szCs w:val="22"/>
          <w:highlight w:val="none"/>
          <w:lang w:val="en-US" w:eastAsia="zh-CN"/>
        </w:rPr>
        <w:t>施耐德</w:t>
      </w:r>
      <w:r>
        <w:rPr>
          <w:rFonts w:hint="eastAsia" w:ascii="宋体" w:hAnsi="宋体" w:eastAsia="宋体" w:cs="@仿宋_GB2312"/>
          <w:color w:val="auto"/>
          <w:kern w:val="2"/>
          <w:sz w:val="24"/>
          <w:szCs w:val="22"/>
          <w:highlight w:val="none"/>
          <w:lang w:val="en-US" w:eastAsia="en-US"/>
        </w:rPr>
        <w:t>、</w:t>
      </w:r>
      <w:r>
        <w:rPr>
          <w:rFonts w:hint="eastAsia" w:cs="@仿宋_GB2312"/>
          <w:color w:val="auto"/>
          <w:kern w:val="2"/>
          <w:sz w:val="24"/>
          <w:szCs w:val="22"/>
          <w:highlight w:val="none"/>
          <w:lang w:val="en-US" w:eastAsia="zh-CN"/>
        </w:rPr>
        <w:t>山特、易事特</w:t>
      </w:r>
      <w:r>
        <w:rPr>
          <w:rFonts w:hint="eastAsia" w:ascii="宋体" w:hAnsi="宋体" w:eastAsia="宋体" w:cs="@仿宋_GB2312"/>
          <w:color w:val="auto"/>
          <w:kern w:val="2"/>
          <w:sz w:val="24"/>
          <w:szCs w:val="22"/>
          <w:highlight w:val="none"/>
          <w:lang w:val="en-US" w:eastAsia="en-US"/>
        </w:rPr>
        <w:t>产品。具体技术参数需满足以下要求：</w:t>
      </w:r>
    </w:p>
    <w:p w14:paraId="13FDA7C6">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仿宋_GB2312"/>
          <w:b/>
          <w:bCs/>
          <w:color w:val="auto"/>
          <w:kern w:val="2"/>
          <w:sz w:val="24"/>
          <w:szCs w:val="22"/>
          <w:highlight w:val="none"/>
          <w:lang w:val="en-US" w:eastAsia="zh-CN"/>
        </w:rPr>
      </w:pPr>
      <w:r>
        <w:rPr>
          <w:rFonts w:hint="eastAsia" w:ascii="宋体" w:hAnsi="宋体" w:eastAsia="宋体" w:cs="@仿宋_GB2312"/>
          <w:b/>
          <w:bCs/>
          <w:color w:val="auto"/>
          <w:kern w:val="2"/>
          <w:sz w:val="24"/>
          <w:szCs w:val="22"/>
          <w:highlight w:val="none"/>
          <w:lang w:val="en-US" w:eastAsia="en-US"/>
        </w:rPr>
        <w:t>(对于采购人参考品牌的材料，供应商可选用参考品牌或不低于参考品牌质量标准的其它品牌；采用其它品牌的应在响应文件中提供相关技术参数证明材料供磋商小组评审，</w:t>
      </w:r>
      <w:r>
        <w:rPr>
          <w:rFonts w:hint="eastAsia" w:cs="@仿宋_GB2312"/>
          <w:b/>
          <w:bCs/>
          <w:color w:val="auto"/>
          <w:kern w:val="2"/>
          <w:sz w:val="24"/>
          <w:szCs w:val="22"/>
          <w:highlight w:val="none"/>
          <w:lang w:val="en-US" w:eastAsia="zh-CN"/>
        </w:rPr>
        <w:t>未提供相关技术参数证明材料的</w:t>
      </w:r>
      <w:r>
        <w:rPr>
          <w:rFonts w:hint="eastAsia" w:ascii="宋体" w:hAnsi="宋体" w:eastAsia="宋体" w:cs="@仿宋_GB2312"/>
          <w:b/>
          <w:bCs/>
          <w:color w:val="auto"/>
          <w:kern w:val="2"/>
          <w:sz w:val="24"/>
          <w:szCs w:val="22"/>
          <w:highlight w:val="none"/>
          <w:lang w:val="en-US" w:eastAsia="en-US"/>
        </w:rPr>
        <w:t>，成交后只能从采购人参考品牌中进行选择，价格不予调整。)</w:t>
      </w:r>
    </w:p>
    <w:p w14:paraId="2745F981">
      <w:pPr>
        <w:pStyle w:val="28"/>
        <w:numPr>
          <w:ilvl w:val="0"/>
          <w:numId w:val="16"/>
        </w:numPr>
        <w:rPr>
          <w:rFonts w:hint="eastAsia"/>
          <w:sz w:val="24"/>
          <w:szCs w:val="24"/>
          <w:lang w:val="en-US" w:eastAsia="zh-CN"/>
        </w:rPr>
      </w:pPr>
      <w:r>
        <w:rPr>
          <w:rFonts w:hint="eastAsia"/>
          <w:sz w:val="24"/>
          <w:szCs w:val="24"/>
          <w:lang w:val="en-US" w:eastAsia="zh-CN"/>
        </w:rPr>
        <w:t>卢沟涵UPS电源</w:t>
      </w:r>
    </w:p>
    <w:p w14:paraId="3CD72757">
      <w:pPr>
        <w:pStyle w:val="28"/>
        <w:numPr>
          <w:ilvl w:val="0"/>
          <w:numId w:val="0"/>
        </w:numPr>
        <w:ind w:firstLine="720" w:firstLineChars="300"/>
        <w:rPr>
          <w:rFonts w:hint="default"/>
          <w:sz w:val="24"/>
          <w:szCs w:val="24"/>
          <w:lang w:val="en-US" w:eastAsia="zh-CN"/>
        </w:rPr>
      </w:pPr>
      <w:r>
        <w:rPr>
          <w:rFonts w:hint="eastAsia"/>
          <w:sz w:val="24"/>
          <w:szCs w:val="24"/>
          <w:lang w:val="en-US" w:eastAsia="zh-CN"/>
        </w:rPr>
        <w:t>机架式；功率2000VA/1600W；内置电池。</w:t>
      </w:r>
    </w:p>
    <w:p w14:paraId="0884AF58">
      <w:pPr>
        <w:pStyle w:val="28"/>
        <w:numPr>
          <w:ilvl w:val="0"/>
          <w:numId w:val="16"/>
        </w:numPr>
        <w:rPr>
          <w:rFonts w:hint="default"/>
          <w:sz w:val="24"/>
          <w:szCs w:val="24"/>
          <w:lang w:val="en-US" w:eastAsia="zh-CN"/>
        </w:rPr>
      </w:pPr>
      <w:r>
        <w:rPr>
          <w:rFonts w:hint="eastAsia"/>
          <w:sz w:val="24"/>
          <w:szCs w:val="24"/>
          <w:lang w:val="en-US" w:eastAsia="zh-CN"/>
        </w:rPr>
        <w:t>五河分洪闸</w:t>
      </w:r>
    </w:p>
    <w:p w14:paraId="0E98318B">
      <w:pPr>
        <w:pStyle w:val="28"/>
        <w:numPr>
          <w:ilvl w:val="0"/>
          <w:numId w:val="0"/>
        </w:numPr>
        <w:ind w:firstLine="720" w:firstLineChars="300"/>
        <w:rPr>
          <w:rFonts w:hint="default"/>
          <w:sz w:val="24"/>
          <w:szCs w:val="24"/>
          <w:lang w:val="en-US" w:eastAsia="zh-CN"/>
        </w:rPr>
      </w:pPr>
      <w:r>
        <w:rPr>
          <w:rFonts w:hint="eastAsia"/>
          <w:sz w:val="24"/>
          <w:szCs w:val="24"/>
          <w:lang w:val="en-US" w:eastAsia="zh-CN"/>
        </w:rPr>
        <w:t>塔式；6000VA/4800W;后备1小时电池。</w:t>
      </w:r>
    </w:p>
    <w:p w14:paraId="319BB1E5">
      <w:pPr>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b/>
          <w:bCs/>
          <w:sz w:val="24"/>
          <w:szCs w:val="24"/>
          <w:lang w:val="en-US" w:eastAsia="zh-CN"/>
        </w:rPr>
      </w:pPr>
      <w:r>
        <w:rPr>
          <w:rFonts w:hint="eastAsia"/>
          <w:b/>
          <w:bCs/>
          <w:sz w:val="24"/>
          <w:szCs w:val="24"/>
          <w:lang w:val="en-US" w:eastAsia="zh-CN"/>
        </w:rPr>
        <w:t>2.8闸位计</w:t>
      </w:r>
    </w:p>
    <w:p w14:paraId="712D5FA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2"/>
          <w:highlight w:val="none"/>
          <w:lang w:val="en-US" w:eastAsia="en-US"/>
        </w:rPr>
      </w:pPr>
      <w:r>
        <w:rPr>
          <w:rFonts w:hint="eastAsia" w:ascii="宋体" w:hAnsi="宋体" w:eastAsia="宋体" w:cs="@仿宋_GB2312"/>
          <w:color w:val="auto"/>
          <w:kern w:val="2"/>
          <w:sz w:val="24"/>
          <w:szCs w:val="22"/>
          <w:highlight w:val="none"/>
          <w:lang w:val="en-US" w:eastAsia="en-US"/>
        </w:rPr>
        <w:t>为保证系统精度和长期稳定性，设备性能水平不低于</w:t>
      </w:r>
      <w:r>
        <w:rPr>
          <w:rFonts w:hint="eastAsia" w:ascii="宋体" w:hAnsi="宋体" w:cs="@仿宋_GB2312"/>
          <w:color w:val="auto"/>
          <w:kern w:val="2"/>
          <w:sz w:val="24"/>
          <w:szCs w:val="22"/>
          <w:highlight w:val="none"/>
          <w:lang w:val="en-US" w:eastAsia="zh-CN"/>
        </w:rPr>
        <w:t>徐州海河</w:t>
      </w:r>
      <w:r>
        <w:rPr>
          <w:rFonts w:hint="eastAsia" w:ascii="宋体" w:hAnsi="宋体" w:eastAsia="宋体" w:cs="@仿宋_GB2312"/>
          <w:color w:val="auto"/>
          <w:kern w:val="2"/>
          <w:sz w:val="24"/>
          <w:szCs w:val="22"/>
          <w:highlight w:val="none"/>
          <w:lang w:val="en-US" w:eastAsia="en-US"/>
        </w:rPr>
        <w:t>、</w:t>
      </w:r>
      <w:r>
        <w:rPr>
          <w:rFonts w:hint="eastAsia" w:ascii="宋体" w:hAnsi="宋体" w:cs="@仿宋_GB2312"/>
          <w:color w:val="auto"/>
          <w:kern w:val="2"/>
          <w:sz w:val="24"/>
          <w:szCs w:val="22"/>
          <w:highlight w:val="none"/>
          <w:lang w:val="en-US" w:eastAsia="zh-CN"/>
        </w:rPr>
        <w:t>徐州精伦</w:t>
      </w:r>
      <w:r>
        <w:rPr>
          <w:rFonts w:hint="eastAsia" w:ascii="宋体" w:hAnsi="宋体" w:eastAsia="宋体" w:cs="@仿宋_GB2312"/>
          <w:color w:val="auto"/>
          <w:kern w:val="2"/>
          <w:sz w:val="24"/>
          <w:szCs w:val="22"/>
          <w:highlight w:val="none"/>
          <w:lang w:val="en-US" w:eastAsia="en-US"/>
        </w:rPr>
        <w:t>、</w:t>
      </w:r>
      <w:r>
        <w:rPr>
          <w:rFonts w:hint="eastAsia" w:ascii="宋体" w:hAnsi="宋体" w:cs="@仿宋_GB2312"/>
          <w:color w:val="auto"/>
          <w:kern w:val="2"/>
          <w:sz w:val="24"/>
          <w:szCs w:val="22"/>
          <w:highlight w:val="none"/>
          <w:lang w:val="en-US" w:eastAsia="zh-CN"/>
        </w:rPr>
        <w:t>徐州淮海电子</w:t>
      </w:r>
      <w:r>
        <w:rPr>
          <w:rFonts w:hint="eastAsia" w:ascii="宋体" w:hAnsi="宋体" w:eastAsia="宋体" w:cs="@仿宋_GB2312"/>
          <w:color w:val="auto"/>
          <w:kern w:val="2"/>
          <w:sz w:val="24"/>
          <w:szCs w:val="22"/>
          <w:highlight w:val="none"/>
          <w:lang w:val="en-US" w:eastAsia="en-US"/>
        </w:rPr>
        <w:t>产品。具体技术参数需满足以下要求：</w:t>
      </w:r>
    </w:p>
    <w:p w14:paraId="14A3196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lang w:val="en-US" w:eastAsia="zh-CN"/>
        </w:rPr>
      </w:pPr>
      <w:r>
        <w:rPr>
          <w:rFonts w:hint="eastAsia" w:ascii="宋体" w:hAnsi="宋体" w:eastAsia="宋体" w:cs="@仿宋_GB2312"/>
          <w:b/>
          <w:bCs/>
          <w:color w:val="auto"/>
          <w:kern w:val="2"/>
          <w:sz w:val="24"/>
          <w:szCs w:val="22"/>
          <w:highlight w:val="none"/>
          <w:lang w:val="en-US" w:eastAsia="en-US"/>
        </w:rPr>
        <w:t>(对于采购人参考品牌的材料，供应商可选用参考品牌或不低于参考品牌质量标准的其它品牌；采用其它品牌的应在响应文件中提供相关技术参数证明材料供磋商小组评审，</w:t>
      </w:r>
      <w:r>
        <w:rPr>
          <w:rFonts w:hint="eastAsia" w:cs="@仿宋_GB2312"/>
          <w:b/>
          <w:bCs/>
          <w:color w:val="auto"/>
          <w:kern w:val="2"/>
          <w:sz w:val="24"/>
          <w:szCs w:val="22"/>
          <w:highlight w:val="none"/>
          <w:lang w:val="en-US" w:eastAsia="zh-CN"/>
        </w:rPr>
        <w:t>未提供相关技术参数证明材料的</w:t>
      </w:r>
      <w:r>
        <w:rPr>
          <w:rFonts w:hint="eastAsia" w:ascii="宋体" w:hAnsi="宋体" w:eastAsia="宋体" w:cs="@仿宋_GB2312"/>
          <w:b/>
          <w:bCs/>
          <w:color w:val="auto"/>
          <w:kern w:val="2"/>
          <w:sz w:val="24"/>
          <w:szCs w:val="22"/>
          <w:highlight w:val="none"/>
          <w:lang w:val="en-US" w:eastAsia="en-US"/>
        </w:rPr>
        <w:t>，成交后只能从采购人参考品牌中进行选择，价格不予调整。)</w:t>
      </w:r>
    </w:p>
    <w:p w14:paraId="29C526E1">
      <w:pPr>
        <w:numPr>
          <w:ilvl w:val="0"/>
          <w:numId w:val="17"/>
        </w:numPr>
        <w:bidi w:val="0"/>
        <w:ind w:left="1145" w:leftChars="0" w:firstLineChars="0"/>
        <w:rPr>
          <w:rFonts w:hint="default"/>
          <w:sz w:val="24"/>
          <w:szCs w:val="24"/>
          <w:lang w:val="en-US" w:eastAsia="zh-CN"/>
        </w:rPr>
      </w:pPr>
      <w:r>
        <w:rPr>
          <w:rFonts w:hint="default"/>
          <w:sz w:val="24"/>
          <w:szCs w:val="24"/>
          <w:lang w:val="en-US" w:eastAsia="zh-CN"/>
        </w:rPr>
        <w:t>光电编码器，每周1024组编码，连续64周;</w:t>
      </w:r>
    </w:p>
    <w:p w14:paraId="749C1C10">
      <w:pPr>
        <w:numPr>
          <w:ilvl w:val="0"/>
          <w:numId w:val="17"/>
        </w:numPr>
        <w:bidi w:val="0"/>
        <w:ind w:left="1145" w:leftChars="0" w:firstLineChars="0"/>
        <w:rPr>
          <w:rFonts w:hint="default"/>
          <w:sz w:val="24"/>
          <w:szCs w:val="24"/>
          <w:lang w:val="en-US" w:eastAsia="zh-CN"/>
        </w:rPr>
      </w:pPr>
      <w:r>
        <w:rPr>
          <w:rFonts w:hint="default"/>
          <w:sz w:val="24"/>
          <w:szCs w:val="24"/>
          <w:lang w:val="en-US" w:eastAsia="zh-CN"/>
        </w:rPr>
        <w:t>分辨力:开度1cm;</w:t>
      </w:r>
    </w:p>
    <w:p w14:paraId="284F924C">
      <w:pPr>
        <w:numPr>
          <w:ilvl w:val="0"/>
          <w:numId w:val="17"/>
        </w:numPr>
        <w:bidi w:val="0"/>
        <w:ind w:left="1145" w:leftChars="0" w:firstLineChars="0"/>
        <w:rPr>
          <w:rFonts w:hint="default"/>
          <w:sz w:val="24"/>
          <w:szCs w:val="24"/>
          <w:lang w:val="en-US" w:eastAsia="zh-CN"/>
        </w:rPr>
      </w:pPr>
      <w:r>
        <w:rPr>
          <w:rFonts w:hint="default"/>
          <w:sz w:val="24"/>
          <w:szCs w:val="24"/>
          <w:lang w:val="en-US" w:eastAsia="zh-CN"/>
        </w:rPr>
        <w:t>测量精度:+1cm;</w:t>
      </w:r>
    </w:p>
    <w:p w14:paraId="3C353579">
      <w:pPr>
        <w:numPr>
          <w:ilvl w:val="0"/>
          <w:numId w:val="17"/>
        </w:numPr>
        <w:bidi w:val="0"/>
        <w:ind w:left="1145" w:leftChars="0" w:firstLineChars="0"/>
        <w:rPr>
          <w:rFonts w:hint="default"/>
          <w:sz w:val="24"/>
          <w:szCs w:val="24"/>
          <w:lang w:val="en-US" w:eastAsia="zh-CN"/>
        </w:rPr>
      </w:pPr>
      <w:r>
        <w:rPr>
          <w:rFonts w:hint="default"/>
          <w:sz w:val="24"/>
          <w:szCs w:val="24"/>
          <w:lang w:val="en-US" w:eastAsia="zh-CN"/>
        </w:rPr>
        <w:t>量程:0~10m。</w:t>
      </w:r>
    </w:p>
    <w:p w14:paraId="19C975CA">
      <w:pPr>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default"/>
          <w:b/>
          <w:bCs/>
          <w:sz w:val="24"/>
          <w:szCs w:val="24"/>
          <w:lang w:val="en-US" w:eastAsia="zh-CN"/>
        </w:rPr>
      </w:pPr>
      <w:r>
        <w:rPr>
          <w:rFonts w:hint="eastAsia"/>
          <w:b/>
          <w:bCs/>
          <w:sz w:val="24"/>
          <w:szCs w:val="24"/>
          <w:lang w:val="en-US" w:eastAsia="zh-CN"/>
        </w:rPr>
        <w:t>2.9</w:t>
      </w:r>
      <w:r>
        <w:rPr>
          <w:rFonts w:hint="default"/>
          <w:b/>
          <w:bCs/>
          <w:sz w:val="24"/>
          <w:szCs w:val="24"/>
          <w:lang w:val="en-US" w:eastAsia="zh-CN"/>
        </w:rPr>
        <w:t>太阳能板</w:t>
      </w:r>
    </w:p>
    <w:p w14:paraId="2885F4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color w:val="auto"/>
          <w:kern w:val="2"/>
          <w:sz w:val="24"/>
          <w:szCs w:val="24"/>
          <w:highlight w:val="none"/>
          <w:lang w:val="en-US" w:eastAsia="en-US"/>
        </w:rPr>
      </w:pPr>
      <w:r>
        <w:rPr>
          <w:rFonts w:hint="eastAsia" w:ascii="宋体" w:hAnsi="宋体" w:eastAsia="宋体" w:cs="@仿宋_GB2312"/>
          <w:color w:val="auto"/>
          <w:kern w:val="2"/>
          <w:sz w:val="24"/>
          <w:szCs w:val="24"/>
          <w:highlight w:val="none"/>
          <w:lang w:val="en-US" w:eastAsia="en-US"/>
        </w:rPr>
        <w:t>为保证系统精度和长期稳定性。具体技术参数需满足以下要求：</w:t>
      </w:r>
    </w:p>
    <w:p w14:paraId="219586F6">
      <w:pPr>
        <w:bidi w:val="0"/>
        <w:rPr>
          <w:rFonts w:hint="default"/>
          <w:sz w:val="24"/>
          <w:szCs w:val="24"/>
          <w:lang w:val="en-US" w:eastAsia="zh-CN"/>
        </w:rPr>
      </w:pPr>
      <w:r>
        <w:rPr>
          <w:rFonts w:hint="default"/>
          <w:sz w:val="24"/>
          <w:szCs w:val="24"/>
          <w:lang w:val="en-US" w:eastAsia="zh-CN"/>
        </w:rPr>
        <w:t>单晶200w；工作温度范围:-40℃~+85℃；太阳能板充电效率:≧22%</w:t>
      </w:r>
    </w:p>
    <w:p w14:paraId="2420013B">
      <w:pPr>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b/>
          <w:bCs/>
          <w:sz w:val="24"/>
          <w:szCs w:val="24"/>
          <w:lang w:val="en-US" w:eastAsia="zh-CN"/>
        </w:rPr>
      </w:pPr>
      <w:r>
        <w:rPr>
          <w:rFonts w:hint="eastAsia"/>
          <w:b/>
          <w:bCs/>
          <w:sz w:val="24"/>
          <w:szCs w:val="24"/>
          <w:lang w:val="en-US" w:eastAsia="zh-CN"/>
        </w:rPr>
        <w:t>2.10高清混合矩阵</w:t>
      </w:r>
    </w:p>
    <w:p w14:paraId="4B686B94">
      <w:pPr>
        <w:pStyle w:val="28"/>
        <w:numPr>
          <w:ilvl w:val="0"/>
          <w:numId w:val="0"/>
        </w:numPr>
        <w:ind w:left="845" w:leftChars="0" w:hanging="425" w:firstLineChars="0"/>
        <w:rPr>
          <w:rFonts w:hint="eastAsia"/>
          <w:sz w:val="24"/>
          <w:szCs w:val="24"/>
          <w:lang w:val="en-US" w:eastAsia="zh-CN"/>
        </w:rPr>
      </w:pPr>
      <w:r>
        <w:rPr>
          <w:rFonts w:hint="default" w:ascii="宋体" w:hAnsi="Courier New" w:eastAsiaTheme="minorEastAsia" w:cstheme="minorBidi"/>
          <w:sz w:val="24"/>
          <w:szCs w:val="24"/>
          <w:lang w:val="en-US" w:eastAsia="zh-CN" w:bidi="ar-SA"/>
        </w:rPr>
        <w:t>(1)</w:t>
      </w:r>
      <w:r>
        <w:rPr>
          <w:rFonts w:hint="eastAsia"/>
          <w:sz w:val="24"/>
          <w:szCs w:val="24"/>
          <w:lang w:val="en-US" w:eastAsia="zh-CN"/>
        </w:rPr>
        <w:t>输入接口：HDMI*8；</w:t>
      </w:r>
    </w:p>
    <w:p w14:paraId="40B23C72">
      <w:pPr>
        <w:pStyle w:val="28"/>
        <w:numPr>
          <w:ilvl w:val="0"/>
          <w:numId w:val="0"/>
        </w:numPr>
        <w:ind w:left="845" w:leftChars="0" w:hanging="425" w:firstLineChars="0"/>
        <w:rPr>
          <w:rFonts w:hint="eastAsia"/>
          <w:sz w:val="24"/>
          <w:szCs w:val="24"/>
          <w:lang w:val="en-US" w:eastAsia="zh-CN"/>
        </w:rPr>
      </w:pPr>
      <w:r>
        <w:rPr>
          <w:rFonts w:hint="default" w:ascii="宋体" w:hAnsi="Courier New" w:eastAsiaTheme="minorEastAsia" w:cstheme="minorBidi"/>
          <w:sz w:val="24"/>
          <w:szCs w:val="24"/>
          <w:lang w:val="en-US" w:eastAsia="zh-CN" w:bidi="ar-SA"/>
        </w:rPr>
        <w:t>(2)</w:t>
      </w:r>
      <w:r>
        <w:rPr>
          <w:rFonts w:hint="eastAsia"/>
          <w:sz w:val="24"/>
          <w:szCs w:val="24"/>
          <w:lang w:val="en-US" w:eastAsia="zh-CN"/>
        </w:rPr>
        <w:t>输出接口：HDMI*8、3.5MM*1；</w:t>
      </w:r>
    </w:p>
    <w:p w14:paraId="4F068080">
      <w:pPr>
        <w:pStyle w:val="28"/>
        <w:numPr>
          <w:ilvl w:val="0"/>
          <w:numId w:val="0"/>
        </w:numPr>
        <w:ind w:left="845" w:leftChars="0" w:hanging="425" w:firstLineChars="0"/>
        <w:rPr>
          <w:rFonts w:hint="eastAsia"/>
          <w:sz w:val="24"/>
          <w:szCs w:val="24"/>
          <w:lang w:val="en-US" w:eastAsia="zh-CN"/>
        </w:rPr>
      </w:pPr>
      <w:r>
        <w:rPr>
          <w:rFonts w:hint="default" w:ascii="宋体" w:hAnsi="Courier New" w:eastAsiaTheme="minorEastAsia" w:cstheme="minorBidi"/>
          <w:sz w:val="24"/>
          <w:szCs w:val="24"/>
          <w:lang w:val="en-US" w:eastAsia="zh-CN" w:bidi="ar-SA"/>
        </w:rPr>
        <w:t>(3)</w:t>
      </w:r>
      <w:r>
        <w:rPr>
          <w:rFonts w:hint="eastAsia"/>
          <w:sz w:val="24"/>
          <w:szCs w:val="24"/>
          <w:lang w:val="en-US" w:eastAsia="zh-CN"/>
        </w:rPr>
        <w:t>分辨率：4K*2K@30Hz；</w:t>
      </w:r>
    </w:p>
    <w:p w14:paraId="423AD423">
      <w:pPr>
        <w:pStyle w:val="28"/>
        <w:numPr>
          <w:ilvl w:val="0"/>
          <w:numId w:val="0"/>
        </w:numPr>
        <w:ind w:left="845" w:leftChars="0" w:hanging="425" w:firstLineChars="0"/>
        <w:rPr>
          <w:rFonts w:hint="eastAsia"/>
          <w:sz w:val="24"/>
          <w:szCs w:val="24"/>
          <w:lang w:val="en-US" w:eastAsia="zh-CN"/>
        </w:rPr>
      </w:pPr>
      <w:r>
        <w:rPr>
          <w:rFonts w:hint="default" w:ascii="宋体" w:hAnsi="Courier New" w:eastAsiaTheme="minorEastAsia" w:cstheme="minorBidi"/>
          <w:sz w:val="24"/>
          <w:szCs w:val="24"/>
          <w:lang w:val="en-US" w:eastAsia="zh-CN" w:bidi="ar-SA"/>
        </w:rPr>
        <w:t>(4)</w:t>
      </w:r>
      <w:r>
        <w:rPr>
          <w:rFonts w:hint="eastAsia"/>
          <w:sz w:val="24"/>
          <w:szCs w:val="24"/>
          <w:lang w:val="en-US" w:eastAsia="zh-CN"/>
        </w:rPr>
        <w:t>音频：HDMI内置音频和3.5MM音频解嵌；</w:t>
      </w:r>
    </w:p>
    <w:p w14:paraId="1910F93F">
      <w:pPr>
        <w:pStyle w:val="28"/>
        <w:numPr>
          <w:ilvl w:val="0"/>
          <w:numId w:val="0"/>
        </w:numPr>
        <w:ind w:left="845" w:leftChars="0" w:hanging="425" w:firstLineChars="0"/>
        <w:rPr>
          <w:rFonts w:hint="eastAsia"/>
          <w:sz w:val="24"/>
          <w:szCs w:val="24"/>
          <w:lang w:val="en-US" w:eastAsia="zh-CN"/>
        </w:rPr>
      </w:pPr>
      <w:r>
        <w:rPr>
          <w:rFonts w:hint="default" w:ascii="宋体" w:hAnsi="Courier New" w:eastAsiaTheme="minorEastAsia" w:cstheme="minorBidi"/>
          <w:sz w:val="24"/>
          <w:szCs w:val="24"/>
          <w:lang w:val="en-US" w:eastAsia="zh-CN" w:bidi="ar-SA"/>
        </w:rPr>
        <w:t>(5)</w:t>
      </w:r>
      <w:r>
        <w:rPr>
          <w:rFonts w:hint="eastAsia"/>
          <w:sz w:val="24"/>
          <w:szCs w:val="24"/>
          <w:lang w:val="en-US" w:eastAsia="zh-CN"/>
        </w:rPr>
        <w:t>控制方式:可视化按键、红外遥控、RS 232、局域网、WEB等；</w:t>
      </w:r>
    </w:p>
    <w:p w14:paraId="20A53788">
      <w:pPr>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b/>
          <w:bCs/>
          <w:sz w:val="24"/>
          <w:szCs w:val="24"/>
          <w:lang w:val="en-US" w:eastAsia="zh-CN"/>
        </w:rPr>
      </w:pPr>
      <w:r>
        <w:rPr>
          <w:rFonts w:hint="eastAsia"/>
          <w:b/>
          <w:bCs/>
          <w:sz w:val="24"/>
          <w:szCs w:val="24"/>
          <w:lang w:val="en-US" w:eastAsia="zh-CN"/>
        </w:rPr>
        <w:t>2.11 无线AP</w:t>
      </w:r>
    </w:p>
    <w:p w14:paraId="01AFBED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ascii="宋体" w:hAnsi="宋体" w:eastAsia="宋体" w:cs="@仿宋_GB2312"/>
          <w:color w:val="auto"/>
          <w:kern w:val="2"/>
          <w:sz w:val="24"/>
          <w:szCs w:val="24"/>
          <w:highlight w:val="none"/>
          <w:lang w:val="en-US" w:eastAsia="en-US"/>
        </w:rPr>
        <w:t>为保证系统精度和长期稳定性，设备性能水平不低于</w:t>
      </w:r>
      <w:r>
        <w:rPr>
          <w:rFonts w:hint="eastAsia" w:ascii="宋体" w:hAnsi="宋体" w:cs="@仿宋_GB2312"/>
          <w:color w:val="auto"/>
          <w:kern w:val="2"/>
          <w:sz w:val="24"/>
          <w:szCs w:val="24"/>
          <w:highlight w:val="none"/>
          <w:lang w:val="en-US" w:eastAsia="zh-CN"/>
        </w:rPr>
        <w:t>华三</w:t>
      </w:r>
      <w:r>
        <w:rPr>
          <w:rFonts w:hint="eastAsia" w:ascii="宋体" w:hAnsi="宋体" w:eastAsia="宋体" w:cs="@仿宋_GB2312"/>
          <w:color w:val="auto"/>
          <w:kern w:val="2"/>
          <w:sz w:val="24"/>
          <w:szCs w:val="24"/>
          <w:highlight w:val="none"/>
          <w:lang w:val="en-US" w:eastAsia="en-US"/>
        </w:rPr>
        <w:t>、</w:t>
      </w:r>
      <w:r>
        <w:rPr>
          <w:rFonts w:hint="eastAsia" w:ascii="宋体" w:hAnsi="宋体" w:cs="@仿宋_GB2312"/>
          <w:color w:val="auto"/>
          <w:kern w:val="2"/>
          <w:sz w:val="24"/>
          <w:szCs w:val="24"/>
          <w:highlight w:val="none"/>
          <w:lang w:val="en-US" w:eastAsia="zh-CN"/>
        </w:rPr>
        <w:t>华为</w:t>
      </w:r>
      <w:r>
        <w:rPr>
          <w:rFonts w:hint="eastAsia" w:ascii="宋体" w:hAnsi="宋体" w:eastAsia="宋体" w:cs="@仿宋_GB2312"/>
          <w:color w:val="auto"/>
          <w:kern w:val="2"/>
          <w:sz w:val="24"/>
          <w:szCs w:val="24"/>
          <w:highlight w:val="none"/>
          <w:lang w:val="en-US" w:eastAsia="en-US"/>
        </w:rPr>
        <w:t>、</w:t>
      </w:r>
      <w:r>
        <w:rPr>
          <w:rFonts w:hint="eastAsia" w:ascii="宋体" w:hAnsi="宋体" w:cs="@仿宋_GB2312"/>
          <w:color w:val="auto"/>
          <w:kern w:val="2"/>
          <w:sz w:val="24"/>
          <w:szCs w:val="24"/>
          <w:highlight w:val="none"/>
          <w:lang w:val="en-US" w:eastAsia="zh-CN"/>
        </w:rPr>
        <w:t>TP-LINK</w:t>
      </w:r>
      <w:r>
        <w:rPr>
          <w:rFonts w:hint="eastAsia" w:ascii="宋体" w:hAnsi="宋体" w:eastAsia="宋体" w:cs="@仿宋_GB2312"/>
          <w:color w:val="auto"/>
          <w:kern w:val="2"/>
          <w:sz w:val="24"/>
          <w:szCs w:val="24"/>
          <w:highlight w:val="none"/>
          <w:lang w:val="en-US" w:eastAsia="en-US"/>
        </w:rPr>
        <w:t>产品。具体技术参数需满足以下要求：</w:t>
      </w:r>
    </w:p>
    <w:p w14:paraId="75CC7361">
      <w:pPr>
        <w:pStyle w:val="284"/>
        <w:rPr>
          <w:rFonts w:hint="default"/>
          <w:sz w:val="24"/>
          <w:szCs w:val="24"/>
          <w:lang w:val="en-US" w:eastAsia="zh-CN"/>
        </w:rPr>
      </w:pPr>
      <w:r>
        <w:rPr>
          <w:rFonts w:hint="eastAsia" w:ascii="宋体" w:hAnsi="宋体" w:eastAsia="宋体" w:cs="@仿宋_GB2312"/>
          <w:b/>
          <w:bCs/>
          <w:color w:val="auto"/>
          <w:kern w:val="2"/>
          <w:sz w:val="24"/>
          <w:szCs w:val="24"/>
          <w:highlight w:val="none"/>
          <w:lang w:val="en-US" w:eastAsia="en-US"/>
        </w:rPr>
        <w:t>对于采购人参考品牌的材料，供应商可选用参考品牌或不低于参考品牌质量标准的其它品牌；采用其它品牌的应在响应文件中提供相关技术参数证明材料供磋商小组评审，</w:t>
      </w:r>
      <w:r>
        <w:rPr>
          <w:rFonts w:hint="eastAsia" w:ascii="宋体" w:hAnsi="宋体" w:cs="@仿宋_GB2312"/>
          <w:b/>
          <w:bCs/>
          <w:color w:val="auto"/>
          <w:kern w:val="2"/>
          <w:sz w:val="24"/>
          <w:szCs w:val="24"/>
          <w:highlight w:val="none"/>
          <w:lang w:val="en-US" w:eastAsia="zh-CN"/>
        </w:rPr>
        <w:t>未提供相关技术参数证明材料的</w:t>
      </w:r>
      <w:r>
        <w:rPr>
          <w:rFonts w:hint="eastAsia" w:ascii="宋体" w:hAnsi="宋体" w:eastAsia="宋体" w:cs="@仿宋_GB2312"/>
          <w:b/>
          <w:bCs/>
          <w:color w:val="auto"/>
          <w:kern w:val="2"/>
          <w:sz w:val="24"/>
          <w:szCs w:val="24"/>
          <w:highlight w:val="none"/>
          <w:lang w:val="en-US" w:eastAsia="en-US"/>
        </w:rPr>
        <w:t>，成交后只能从采购人参考品牌中进行选择，价格不予调整。</w:t>
      </w:r>
    </w:p>
    <w:p w14:paraId="2D5B2663">
      <w:pPr>
        <w:pStyle w:val="28"/>
        <w:numPr>
          <w:ilvl w:val="0"/>
          <w:numId w:val="18"/>
        </w:numPr>
        <w:ind w:left="845" w:leftChars="0" w:hanging="425" w:firstLineChars="0"/>
        <w:rPr>
          <w:rFonts w:hint="default"/>
          <w:sz w:val="24"/>
          <w:szCs w:val="24"/>
          <w:lang w:val="en-US" w:eastAsia="zh-CN"/>
        </w:rPr>
      </w:pPr>
      <w:r>
        <w:rPr>
          <w:rFonts w:hint="eastAsia" w:cs="宋体" w:asciiTheme="minorEastAsia" w:hAnsiTheme="minorEastAsia" w:eastAsiaTheme="minorEastAsia"/>
          <w:color w:val="000000"/>
          <w:kern w:val="0"/>
          <w:sz w:val="24"/>
          <w:szCs w:val="24"/>
        </w:rPr>
        <w:t>双频千兆吸顶AP路由器；</w:t>
      </w:r>
    </w:p>
    <w:p w14:paraId="155761B4">
      <w:pPr>
        <w:pStyle w:val="28"/>
        <w:numPr>
          <w:ilvl w:val="0"/>
          <w:numId w:val="18"/>
        </w:numPr>
        <w:ind w:left="845" w:leftChars="0" w:hanging="425" w:firstLineChars="0"/>
        <w:rPr>
          <w:rFonts w:hint="default"/>
          <w:sz w:val="24"/>
          <w:szCs w:val="24"/>
          <w:lang w:val="en-US" w:eastAsia="zh-CN"/>
        </w:rPr>
      </w:pPr>
      <w:r>
        <w:rPr>
          <w:rFonts w:hint="eastAsia" w:cs="宋体" w:asciiTheme="minorEastAsia" w:hAnsiTheme="minorEastAsia" w:eastAsiaTheme="minorEastAsia"/>
          <w:color w:val="000000"/>
          <w:kern w:val="0"/>
          <w:sz w:val="24"/>
          <w:szCs w:val="24"/>
        </w:rPr>
        <w:t>无线速率：</w:t>
      </w:r>
      <w:r>
        <w:rPr>
          <w:rFonts w:cs="宋体" w:asciiTheme="minorEastAsia" w:hAnsiTheme="minorEastAsia" w:eastAsiaTheme="minorEastAsia"/>
          <w:color w:val="000000"/>
          <w:kern w:val="0"/>
          <w:sz w:val="24"/>
          <w:szCs w:val="24"/>
        </w:rPr>
        <w:t>≥</w:t>
      </w:r>
      <w:r>
        <w:rPr>
          <w:rFonts w:hint="eastAsia" w:cs="宋体" w:asciiTheme="minorEastAsia" w:hAnsiTheme="minorEastAsia" w:eastAsiaTheme="minorEastAsia"/>
          <w:color w:val="000000"/>
          <w:kern w:val="0"/>
          <w:sz w:val="24"/>
          <w:szCs w:val="24"/>
        </w:rPr>
        <w:t>1200M；</w:t>
      </w:r>
    </w:p>
    <w:p w14:paraId="22A9CF27">
      <w:pPr>
        <w:pStyle w:val="28"/>
        <w:numPr>
          <w:ilvl w:val="0"/>
          <w:numId w:val="18"/>
        </w:numPr>
        <w:ind w:left="845" w:leftChars="0" w:hanging="425" w:firstLineChars="0"/>
        <w:rPr>
          <w:rFonts w:hint="default"/>
          <w:sz w:val="24"/>
          <w:szCs w:val="24"/>
          <w:lang w:val="en-US" w:eastAsia="zh-CN"/>
        </w:rPr>
      </w:pPr>
      <w:r>
        <w:rPr>
          <w:rFonts w:hint="eastAsia" w:cs="宋体" w:asciiTheme="minorEastAsia" w:hAnsiTheme="minorEastAsia" w:eastAsiaTheme="minorEastAsia"/>
          <w:color w:val="000000"/>
          <w:kern w:val="0"/>
          <w:sz w:val="24"/>
          <w:szCs w:val="24"/>
        </w:rPr>
        <w:t>供电方式：POE供电；</w:t>
      </w:r>
    </w:p>
    <w:p w14:paraId="69355870">
      <w:pPr>
        <w:pStyle w:val="28"/>
        <w:numPr>
          <w:ilvl w:val="0"/>
          <w:numId w:val="18"/>
        </w:numPr>
        <w:ind w:left="845" w:leftChars="0" w:hanging="425" w:firstLineChars="0"/>
        <w:rPr>
          <w:rFonts w:hint="default"/>
          <w:sz w:val="24"/>
          <w:szCs w:val="24"/>
          <w:lang w:val="en-US" w:eastAsia="zh-CN"/>
        </w:rPr>
      </w:pPr>
      <w:r>
        <w:rPr>
          <w:rFonts w:hint="eastAsia" w:cs="宋体" w:asciiTheme="minorEastAsia" w:hAnsiTheme="minorEastAsia" w:eastAsiaTheme="minorEastAsia"/>
          <w:color w:val="000000"/>
          <w:kern w:val="0"/>
          <w:sz w:val="24"/>
          <w:szCs w:val="24"/>
        </w:rPr>
        <w:t>支持胖AP模式(FAT AP)、瘦AP模式(FIT AP)；</w:t>
      </w:r>
    </w:p>
    <w:p w14:paraId="6867ED44">
      <w:pPr>
        <w:pStyle w:val="28"/>
        <w:rPr>
          <w:rFonts w:hint="eastAsia"/>
          <w:b/>
          <w:bCs/>
          <w:color w:val="auto"/>
          <w:sz w:val="24"/>
          <w:szCs w:val="24"/>
          <w:lang w:val="en-US" w:eastAsia="zh-CN"/>
        </w:rPr>
      </w:pPr>
      <w:r>
        <w:rPr>
          <w:rFonts w:hint="eastAsia" w:cs="宋体" w:asciiTheme="minorEastAsia" w:hAnsiTheme="minorEastAsia" w:eastAsiaTheme="minorEastAsia"/>
          <w:color w:val="auto"/>
          <w:kern w:val="0"/>
          <w:sz w:val="24"/>
          <w:szCs w:val="24"/>
          <w:lang w:val="en-US" w:eastAsia="zh-CN"/>
        </w:rPr>
        <w:t>原无线AP型号为</w:t>
      </w:r>
      <w:r>
        <w:rPr>
          <w:rFonts w:ascii="宋体" w:hAnsi="宋体" w:eastAsia="宋体" w:cs="宋体"/>
          <w:b/>
          <w:bCs/>
          <w:color w:val="auto"/>
          <w:sz w:val="24"/>
          <w:szCs w:val="24"/>
        </w:rPr>
        <w:t>H3C</w:t>
      </w:r>
      <w:r>
        <w:rPr>
          <w:rFonts w:hint="eastAsia" w:ascii="宋体" w:hAnsi="宋体" w:eastAsia="宋体" w:cs="宋体"/>
          <w:b/>
          <w:bCs/>
          <w:color w:val="auto"/>
          <w:sz w:val="24"/>
          <w:szCs w:val="24"/>
          <w:lang w:val="en-US" w:eastAsia="zh-CN"/>
        </w:rPr>
        <w:t xml:space="preserve"> </w:t>
      </w:r>
      <w:r>
        <w:rPr>
          <w:rFonts w:ascii="宋体" w:hAnsi="宋体" w:eastAsia="宋体" w:cs="宋体"/>
          <w:b/>
          <w:bCs/>
          <w:color w:val="auto"/>
          <w:sz w:val="24"/>
          <w:szCs w:val="24"/>
        </w:rPr>
        <w:t>EWP-UAP672</w:t>
      </w:r>
      <w:r>
        <w:rPr>
          <w:rFonts w:hint="eastAsia" w:ascii="宋体" w:hAnsi="宋体" w:eastAsia="宋体" w:cs="宋体"/>
          <w:b/>
          <w:bCs/>
          <w:color w:val="auto"/>
          <w:sz w:val="24"/>
          <w:szCs w:val="24"/>
          <w:lang w:eastAsia="zh-CN"/>
        </w:rPr>
        <w:t>，</w:t>
      </w:r>
      <w:r>
        <w:rPr>
          <w:rFonts w:hint="eastAsia"/>
          <w:b/>
          <w:bCs/>
          <w:color w:val="auto"/>
          <w:sz w:val="24"/>
          <w:szCs w:val="24"/>
          <w:lang w:val="en-US" w:eastAsia="zh-CN"/>
        </w:rPr>
        <w:t>供应商结合采购文件提供的性能要求，提供的备件等同或优于原设备，确保满足现场使用需求。</w:t>
      </w:r>
    </w:p>
    <w:p w14:paraId="1A9E7D83">
      <w:pPr>
        <w:pStyle w:val="28"/>
        <w:rPr>
          <w:rFonts w:hint="eastAsia"/>
          <w:b/>
          <w:bCs/>
          <w:color w:val="auto"/>
          <w:sz w:val="24"/>
          <w:szCs w:val="24"/>
          <w:lang w:val="en-US" w:eastAsia="zh-CN"/>
        </w:rPr>
      </w:pPr>
      <w:r>
        <w:rPr>
          <w:rFonts w:hint="eastAsia"/>
          <w:b/>
          <w:bCs/>
          <w:sz w:val="24"/>
          <w:szCs w:val="24"/>
          <w:lang w:val="en-US" w:eastAsia="zh-CN"/>
        </w:rPr>
        <w:t xml:space="preserve">2.12 </w:t>
      </w:r>
      <w:r>
        <w:rPr>
          <w:rFonts w:hint="eastAsia"/>
          <w:b/>
          <w:bCs/>
          <w:color w:val="auto"/>
          <w:sz w:val="24"/>
          <w:szCs w:val="24"/>
          <w:lang w:val="en-US" w:eastAsia="zh-CN"/>
        </w:rPr>
        <w:t>视频管理平台升级</w:t>
      </w:r>
    </w:p>
    <w:p w14:paraId="3CAC8F85">
      <w:pPr>
        <w:pStyle w:val="28"/>
        <w:rPr>
          <w:rFonts w:hint="eastAsia"/>
          <w:b/>
          <w:bCs/>
          <w:color w:val="auto"/>
          <w:sz w:val="24"/>
          <w:szCs w:val="24"/>
          <w:lang w:val="en-US" w:eastAsia="zh-CN"/>
        </w:rPr>
      </w:pPr>
    </w:p>
    <w:p w14:paraId="1A642A89">
      <w:pPr>
        <w:pStyle w:val="28"/>
        <w:numPr>
          <w:ilvl w:val="0"/>
          <w:numId w:val="0"/>
        </w:numPr>
        <w:ind w:left="845" w:leftChars="0" w:hanging="425" w:firstLineChars="0"/>
        <w:rPr>
          <w:rFonts w:hint="eastAsia"/>
          <w:sz w:val="24"/>
          <w:szCs w:val="24"/>
          <w:lang w:val="en-US" w:eastAsia="zh-CN"/>
        </w:rPr>
      </w:pPr>
      <w:r>
        <w:rPr>
          <w:rFonts w:hint="eastAsia"/>
          <w:sz w:val="24"/>
          <w:szCs w:val="24"/>
          <w:lang w:val="en-US" w:eastAsia="zh-CN"/>
        </w:rPr>
        <w:t>原视频管理平台平台为海康iSecure CenterV1.30版本，支持1000路视频监控接入，升级后的性能不低于：</w:t>
      </w:r>
    </w:p>
    <w:p w14:paraId="66B0EFBF">
      <w:pPr>
        <w:pStyle w:val="28"/>
        <w:numPr>
          <w:ilvl w:val="0"/>
          <w:numId w:val="0"/>
        </w:numPr>
        <w:ind w:left="845" w:leftChars="0" w:hanging="425" w:firstLineChars="0"/>
        <w:rPr>
          <w:rFonts w:hint="eastAsia"/>
          <w:sz w:val="24"/>
          <w:szCs w:val="24"/>
          <w:lang w:val="en-US" w:eastAsia="zh-CN"/>
        </w:rPr>
      </w:pPr>
      <w:r>
        <w:rPr>
          <w:rFonts w:hint="default" w:ascii="宋体" w:hAnsi="Courier New" w:eastAsiaTheme="minorEastAsia" w:cstheme="minorBidi"/>
          <w:sz w:val="24"/>
          <w:szCs w:val="24"/>
          <w:lang w:val="en-US" w:eastAsia="zh-CN" w:bidi="ar-SA"/>
        </w:rPr>
        <w:t>(</w:t>
      </w:r>
      <w:r>
        <w:rPr>
          <w:rFonts w:hint="eastAsia" w:cstheme="minorBidi"/>
          <w:sz w:val="24"/>
          <w:szCs w:val="24"/>
          <w:lang w:val="en-US" w:eastAsia="zh-CN" w:bidi="ar-SA"/>
        </w:rPr>
        <w:t>1</w:t>
      </w:r>
      <w:r>
        <w:rPr>
          <w:rFonts w:hint="default" w:ascii="宋体" w:hAnsi="Courier New" w:eastAsiaTheme="minorEastAsia" w:cstheme="minorBidi"/>
          <w:sz w:val="24"/>
          <w:szCs w:val="24"/>
          <w:lang w:val="en-US" w:eastAsia="zh-CN" w:bidi="ar-SA"/>
        </w:rPr>
        <w:t>)</w:t>
      </w:r>
      <w:r>
        <w:rPr>
          <w:rFonts w:hint="eastAsia"/>
          <w:sz w:val="24"/>
          <w:szCs w:val="24"/>
          <w:lang w:val="en-US" w:eastAsia="zh-CN"/>
        </w:rPr>
        <w:t>升级原有平台，视频、级联、设备网络管理、视频质量诊断授权扩容到1000路；同时确保视频与省厅平台互通；</w:t>
      </w:r>
    </w:p>
    <w:p w14:paraId="307BEBF3">
      <w:pPr>
        <w:pStyle w:val="28"/>
        <w:numPr>
          <w:ilvl w:val="0"/>
          <w:numId w:val="0"/>
        </w:numPr>
        <w:ind w:left="845" w:leftChars="0" w:hanging="425" w:firstLineChars="0"/>
        <w:rPr>
          <w:rFonts w:hint="eastAsia"/>
          <w:sz w:val="24"/>
          <w:szCs w:val="24"/>
          <w:lang w:val="en-US" w:eastAsia="zh-CN"/>
        </w:rPr>
      </w:pPr>
      <w:r>
        <w:rPr>
          <w:rFonts w:hint="default" w:ascii="宋体" w:hAnsi="Courier New" w:eastAsiaTheme="minorEastAsia" w:cstheme="minorBidi"/>
          <w:sz w:val="24"/>
          <w:szCs w:val="24"/>
          <w:lang w:val="en-US" w:eastAsia="zh-CN" w:bidi="ar-SA"/>
        </w:rPr>
        <w:t>(</w:t>
      </w:r>
      <w:r>
        <w:rPr>
          <w:rFonts w:hint="eastAsia" w:cstheme="minorBidi"/>
          <w:sz w:val="24"/>
          <w:szCs w:val="24"/>
          <w:lang w:val="en-US" w:eastAsia="zh-CN" w:bidi="ar-SA"/>
        </w:rPr>
        <w:t>2</w:t>
      </w:r>
      <w:r>
        <w:rPr>
          <w:rFonts w:hint="default" w:ascii="宋体" w:hAnsi="Courier New" w:eastAsiaTheme="minorEastAsia" w:cstheme="minorBidi"/>
          <w:sz w:val="24"/>
          <w:szCs w:val="24"/>
          <w:lang w:val="en-US" w:eastAsia="zh-CN" w:bidi="ar-SA"/>
        </w:rPr>
        <w:t>)</w:t>
      </w:r>
      <w:r>
        <w:rPr>
          <w:rFonts w:hint="eastAsia"/>
          <w:sz w:val="24"/>
          <w:szCs w:val="24"/>
          <w:lang w:val="en-US" w:eastAsia="zh-CN"/>
        </w:rPr>
        <w:t>支持从现有智能分析设备，智能IPC等，接收、展示河湖智能预警事件。如漂浮物识别、钓鱼识别等。</w:t>
      </w:r>
    </w:p>
    <w:p w14:paraId="393B4C0B">
      <w:pPr>
        <w:pStyle w:val="28"/>
        <w:numPr>
          <w:ilvl w:val="0"/>
          <w:numId w:val="0"/>
        </w:numPr>
        <w:ind w:left="845" w:leftChars="0" w:hanging="425" w:firstLineChars="0"/>
        <w:rPr>
          <w:rFonts w:hint="eastAsia"/>
          <w:sz w:val="24"/>
          <w:szCs w:val="24"/>
          <w:lang w:val="en-US" w:eastAsia="zh-CN"/>
        </w:rPr>
      </w:pPr>
      <w:r>
        <w:rPr>
          <w:rFonts w:hint="default" w:ascii="宋体" w:hAnsi="Courier New" w:eastAsiaTheme="minorEastAsia" w:cstheme="minorBidi"/>
          <w:sz w:val="24"/>
          <w:szCs w:val="24"/>
          <w:lang w:val="en-US" w:eastAsia="zh-CN" w:bidi="ar-SA"/>
        </w:rPr>
        <w:t>(</w:t>
      </w:r>
      <w:r>
        <w:rPr>
          <w:rFonts w:hint="eastAsia" w:cstheme="minorBidi"/>
          <w:sz w:val="24"/>
          <w:szCs w:val="24"/>
          <w:lang w:val="en-US" w:eastAsia="zh-CN" w:bidi="ar-SA"/>
        </w:rPr>
        <w:t>3</w:t>
      </w:r>
      <w:r>
        <w:rPr>
          <w:rFonts w:hint="default" w:ascii="宋体" w:hAnsi="Courier New" w:eastAsiaTheme="minorEastAsia" w:cstheme="minorBidi"/>
          <w:sz w:val="24"/>
          <w:szCs w:val="24"/>
          <w:lang w:val="en-US" w:eastAsia="zh-CN" w:bidi="ar-SA"/>
        </w:rPr>
        <w:t>)</w:t>
      </w:r>
      <w:r>
        <w:rPr>
          <w:rFonts w:hint="eastAsia"/>
          <w:sz w:val="24"/>
          <w:szCs w:val="24"/>
          <w:lang w:val="en-US" w:eastAsia="zh-CN"/>
        </w:rPr>
        <w:t>支持ai模型调度功能模块，涉及模型管理、模型下发、任务下发、规则事件配置、预案配置等模块，支持aiop的定时抓图分析。</w:t>
      </w:r>
    </w:p>
    <w:p w14:paraId="7189B87F">
      <w:pPr>
        <w:pStyle w:val="28"/>
        <w:numPr>
          <w:ilvl w:val="0"/>
          <w:numId w:val="0"/>
        </w:numPr>
        <w:ind w:left="845" w:leftChars="0" w:hanging="425" w:firstLineChars="0"/>
        <w:rPr>
          <w:rFonts w:hint="eastAsia"/>
          <w:sz w:val="24"/>
          <w:szCs w:val="24"/>
          <w:lang w:val="en-US" w:eastAsia="zh-CN"/>
        </w:rPr>
      </w:pPr>
      <w:r>
        <w:rPr>
          <w:rFonts w:hint="default" w:ascii="宋体" w:hAnsi="Courier New" w:eastAsiaTheme="minorEastAsia" w:cstheme="minorBidi"/>
          <w:sz w:val="24"/>
          <w:szCs w:val="24"/>
          <w:lang w:val="en-US" w:eastAsia="zh-CN" w:bidi="ar-SA"/>
        </w:rPr>
        <w:t>(</w:t>
      </w:r>
      <w:r>
        <w:rPr>
          <w:rFonts w:hint="eastAsia" w:cstheme="minorBidi"/>
          <w:sz w:val="24"/>
          <w:szCs w:val="24"/>
          <w:lang w:val="en-US" w:eastAsia="zh-CN" w:bidi="ar-SA"/>
        </w:rPr>
        <w:t>4</w:t>
      </w:r>
      <w:r>
        <w:rPr>
          <w:rFonts w:hint="default" w:ascii="宋体" w:hAnsi="Courier New" w:eastAsiaTheme="minorEastAsia" w:cstheme="minorBidi"/>
          <w:sz w:val="24"/>
          <w:szCs w:val="24"/>
          <w:lang w:val="en-US" w:eastAsia="zh-CN" w:bidi="ar-SA"/>
        </w:rPr>
        <w:t>)</w:t>
      </w:r>
      <w:r>
        <w:rPr>
          <w:rFonts w:hint="eastAsia"/>
          <w:sz w:val="24"/>
          <w:szCs w:val="24"/>
          <w:lang w:val="en-US" w:eastAsia="zh-CN"/>
        </w:rPr>
        <w:t>支持最大监控点管理扩展能力: 50万；最大设备管理扩展能力: 20万；</w:t>
      </w:r>
    </w:p>
    <w:p w14:paraId="5B8A1DCE">
      <w:pPr>
        <w:pStyle w:val="28"/>
        <w:numPr>
          <w:ilvl w:val="0"/>
          <w:numId w:val="0"/>
        </w:numPr>
        <w:ind w:left="845" w:leftChars="0" w:hanging="425" w:firstLineChars="0"/>
        <w:rPr>
          <w:rFonts w:hint="eastAsia"/>
          <w:sz w:val="24"/>
          <w:szCs w:val="24"/>
          <w:lang w:val="en-US" w:eastAsia="zh-CN"/>
        </w:rPr>
      </w:pPr>
      <w:r>
        <w:rPr>
          <w:rFonts w:hint="default" w:ascii="宋体" w:hAnsi="Courier New" w:eastAsiaTheme="minorEastAsia" w:cstheme="minorBidi"/>
          <w:sz w:val="24"/>
          <w:szCs w:val="24"/>
          <w:lang w:val="en-US" w:eastAsia="zh-CN" w:bidi="ar-SA"/>
        </w:rPr>
        <w:t>(</w:t>
      </w:r>
      <w:r>
        <w:rPr>
          <w:rFonts w:hint="eastAsia" w:cstheme="minorBidi"/>
          <w:sz w:val="24"/>
          <w:szCs w:val="24"/>
          <w:lang w:val="en-US" w:eastAsia="zh-CN" w:bidi="ar-SA"/>
        </w:rPr>
        <w:t>5</w:t>
      </w:r>
      <w:r>
        <w:rPr>
          <w:rFonts w:hint="default" w:ascii="宋体" w:hAnsi="Courier New" w:eastAsiaTheme="minorEastAsia" w:cstheme="minorBidi"/>
          <w:sz w:val="24"/>
          <w:szCs w:val="24"/>
          <w:lang w:val="en-US" w:eastAsia="zh-CN" w:bidi="ar-SA"/>
        </w:rPr>
        <w:t>)</w:t>
      </w:r>
      <w:r>
        <w:rPr>
          <w:rFonts w:hint="eastAsia"/>
          <w:sz w:val="24"/>
          <w:szCs w:val="24"/>
          <w:lang w:val="en-US" w:eastAsia="zh-CN"/>
        </w:rPr>
        <w:t>支持上下级域注册管理能力，实现平台数据级联；支持资源同步能力；</w:t>
      </w:r>
    </w:p>
    <w:p w14:paraId="342CB231">
      <w:pPr>
        <w:pStyle w:val="28"/>
        <w:numPr>
          <w:ilvl w:val="0"/>
          <w:numId w:val="0"/>
        </w:numPr>
        <w:ind w:left="845" w:leftChars="0" w:hanging="425" w:firstLineChars="0"/>
        <w:rPr>
          <w:rFonts w:hint="eastAsia"/>
          <w:sz w:val="24"/>
          <w:szCs w:val="24"/>
          <w:lang w:val="en-US" w:eastAsia="zh-CN"/>
        </w:rPr>
      </w:pPr>
      <w:r>
        <w:rPr>
          <w:rFonts w:hint="default" w:ascii="宋体" w:hAnsi="Courier New" w:eastAsiaTheme="minorEastAsia" w:cstheme="minorBidi"/>
          <w:sz w:val="24"/>
          <w:szCs w:val="24"/>
          <w:lang w:val="en-US" w:eastAsia="zh-CN" w:bidi="ar-SA"/>
        </w:rPr>
        <w:t>(</w:t>
      </w:r>
      <w:r>
        <w:rPr>
          <w:rFonts w:hint="eastAsia" w:cstheme="minorBidi"/>
          <w:sz w:val="24"/>
          <w:szCs w:val="24"/>
          <w:lang w:val="en-US" w:eastAsia="zh-CN" w:bidi="ar-SA"/>
        </w:rPr>
        <w:t>6</w:t>
      </w:r>
      <w:r>
        <w:rPr>
          <w:rFonts w:hint="default" w:ascii="宋体" w:hAnsi="Courier New" w:eastAsiaTheme="minorEastAsia" w:cstheme="minorBidi"/>
          <w:sz w:val="24"/>
          <w:szCs w:val="24"/>
          <w:lang w:val="en-US" w:eastAsia="zh-CN" w:bidi="ar-SA"/>
        </w:rPr>
        <w:t>)</w:t>
      </w:r>
      <w:r>
        <w:rPr>
          <w:rFonts w:hint="eastAsia"/>
          <w:sz w:val="24"/>
          <w:szCs w:val="24"/>
          <w:lang w:val="en-US" w:eastAsia="zh-CN"/>
        </w:rPr>
        <w:t>支持级联视频点位实时预览、录像回放、录像下载、语音对讲能力；</w:t>
      </w:r>
    </w:p>
    <w:p w14:paraId="0E08E8CC">
      <w:pPr>
        <w:pStyle w:val="28"/>
        <w:numPr>
          <w:ilvl w:val="0"/>
          <w:numId w:val="0"/>
        </w:numPr>
        <w:ind w:left="845" w:leftChars="0" w:hanging="425" w:firstLineChars="0"/>
        <w:rPr>
          <w:rFonts w:hint="eastAsia"/>
          <w:sz w:val="24"/>
          <w:szCs w:val="24"/>
          <w:lang w:val="en-US" w:eastAsia="zh-CN"/>
        </w:rPr>
      </w:pPr>
      <w:r>
        <w:rPr>
          <w:rFonts w:hint="default" w:ascii="宋体" w:hAnsi="Courier New" w:eastAsiaTheme="minorEastAsia" w:cstheme="minorBidi"/>
          <w:sz w:val="24"/>
          <w:szCs w:val="24"/>
          <w:lang w:val="en-US" w:eastAsia="zh-CN" w:bidi="ar-SA"/>
        </w:rPr>
        <w:t>(</w:t>
      </w:r>
      <w:r>
        <w:rPr>
          <w:rFonts w:hint="eastAsia" w:cstheme="minorBidi"/>
          <w:sz w:val="24"/>
          <w:szCs w:val="24"/>
          <w:lang w:val="en-US" w:eastAsia="zh-CN" w:bidi="ar-SA"/>
        </w:rPr>
        <w:t>7</w:t>
      </w:r>
      <w:r>
        <w:rPr>
          <w:rFonts w:hint="default" w:ascii="宋体" w:hAnsi="Courier New" w:eastAsiaTheme="minorEastAsia" w:cstheme="minorBidi"/>
          <w:sz w:val="24"/>
          <w:szCs w:val="24"/>
          <w:lang w:val="en-US" w:eastAsia="zh-CN" w:bidi="ar-SA"/>
        </w:rPr>
        <w:t>)</w:t>
      </w:r>
      <w:r>
        <w:rPr>
          <w:rFonts w:hint="eastAsia"/>
          <w:sz w:val="24"/>
          <w:szCs w:val="24"/>
          <w:lang w:val="en-US" w:eastAsia="zh-CN"/>
        </w:rPr>
        <w:t>支持级联视频点位设备操作控制能力；对级联的视频点位进行管理；</w:t>
      </w:r>
    </w:p>
    <w:p w14:paraId="27FA8EFD">
      <w:pPr>
        <w:pStyle w:val="28"/>
        <w:numPr>
          <w:ilvl w:val="0"/>
          <w:numId w:val="0"/>
        </w:numPr>
        <w:ind w:left="845" w:leftChars="0" w:hanging="425" w:firstLineChars="0"/>
        <w:rPr>
          <w:rFonts w:hint="eastAsia"/>
          <w:sz w:val="24"/>
          <w:szCs w:val="24"/>
          <w:lang w:val="en-US" w:eastAsia="zh-CN"/>
        </w:rPr>
      </w:pPr>
      <w:r>
        <w:rPr>
          <w:rFonts w:hint="default" w:ascii="宋体" w:hAnsi="Courier New" w:eastAsiaTheme="minorEastAsia" w:cstheme="minorBidi"/>
          <w:sz w:val="24"/>
          <w:szCs w:val="24"/>
          <w:lang w:val="en-US" w:eastAsia="zh-CN" w:bidi="ar-SA"/>
        </w:rPr>
        <w:t>(</w:t>
      </w:r>
      <w:r>
        <w:rPr>
          <w:rFonts w:hint="eastAsia" w:cstheme="minorBidi"/>
          <w:sz w:val="24"/>
          <w:szCs w:val="24"/>
          <w:lang w:val="en-US" w:eastAsia="zh-CN" w:bidi="ar-SA"/>
        </w:rPr>
        <w:t>8</w:t>
      </w:r>
      <w:r>
        <w:rPr>
          <w:rFonts w:hint="default" w:ascii="宋体" w:hAnsi="Courier New" w:eastAsiaTheme="minorEastAsia" w:cstheme="minorBidi"/>
          <w:sz w:val="24"/>
          <w:szCs w:val="24"/>
          <w:lang w:val="en-US" w:eastAsia="zh-CN" w:bidi="ar-SA"/>
        </w:rPr>
        <w:t>)</w:t>
      </w:r>
      <w:r>
        <w:rPr>
          <w:rFonts w:hint="eastAsia"/>
          <w:sz w:val="24"/>
          <w:szCs w:val="24"/>
          <w:lang w:val="en-US" w:eastAsia="zh-CN"/>
        </w:rPr>
        <w:t>支持对接入平台的视频设备进行在线巡检，及时发现故障设备和掉线设备，使运维工作更加高效，便利。</w:t>
      </w:r>
    </w:p>
    <w:p w14:paraId="07BACC7D">
      <w:pPr>
        <w:pStyle w:val="28"/>
        <w:numPr>
          <w:ilvl w:val="0"/>
          <w:numId w:val="0"/>
        </w:numPr>
        <w:ind w:left="845" w:leftChars="0" w:hanging="425" w:firstLineChars="0"/>
        <w:rPr>
          <w:rFonts w:hint="eastAsia"/>
          <w:sz w:val="24"/>
          <w:szCs w:val="24"/>
          <w:lang w:val="en-US" w:eastAsia="zh-CN"/>
        </w:rPr>
      </w:pPr>
      <w:r>
        <w:rPr>
          <w:rFonts w:hint="default" w:ascii="宋体" w:hAnsi="Courier New" w:eastAsiaTheme="minorEastAsia" w:cstheme="minorBidi"/>
          <w:sz w:val="24"/>
          <w:szCs w:val="24"/>
          <w:lang w:val="en-US" w:eastAsia="zh-CN" w:bidi="ar-SA"/>
        </w:rPr>
        <w:t>(</w:t>
      </w:r>
      <w:r>
        <w:rPr>
          <w:rFonts w:hint="eastAsia" w:cstheme="minorBidi"/>
          <w:sz w:val="24"/>
          <w:szCs w:val="24"/>
          <w:lang w:val="en-US" w:eastAsia="zh-CN" w:bidi="ar-SA"/>
        </w:rPr>
        <w:t>9</w:t>
      </w:r>
      <w:r>
        <w:rPr>
          <w:rFonts w:hint="default" w:ascii="宋体" w:hAnsi="Courier New" w:eastAsiaTheme="minorEastAsia" w:cstheme="minorBidi"/>
          <w:sz w:val="24"/>
          <w:szCs w:val="24"/>
          <w:lang w:val="en-US" w:eastAsia="zh-CN" w:bidi="ar-SA"/>
        </w:rPr>
        <w:t>)</w:t>
      </w:r>
      <w:r>
        <w:rPr>
          <w:rFonts w:hint="eastAsia"/>
          <w:sz w:val="24"/>
          <w:szCs w:val="24"/>
          <w:lang w:val="en-US" w:eastAsia="zh-CN"/>
        </w:rPr>
        <w:t>支持监控点通道的图像质量诊断结果统计和查看；</w:t>
      </w:r>
    </w:p>
    <w:p w14:paraId="2F4D6649">
      <w:pPr>
        <w:pStyle w:val="28"/>
        <w:numPr>
          <w:ilvl w:val="0"/>
          <w:numId w:val="0"/>
        </w:numPr>
        <w:ind w:left="845" w:leftChars="0" w:hanging="425" w:firstLineChars="0"/>
        <w:rPr>
          <w:rFonts w:hint="eastAsia"/>
          <w:sz w:val="24"/>
          <w:szCs w:val="24"/>
          <w:lang w:val="en-US" w:eastAsia="zh-CN"/>
        </w:rPr>
      </w:pPr>
      <w:r>
        <w:rPr>
          <w:rFonts w:hint="default" w:ascii="宋体" w:hAnsi="Courier New" w:eastAsiaTheme="minorEastAsia" w:cstheme="minorBidi"/>
          <w:sz w:val="24"/>
          <w:szCs w:val="24"/>
          <w:lang w:val="en-US" w:eastAsia="zh-CN" w:bidi="ar-SA"/>
        </w:rPr>
        <w:t>(1</w:t>
      </w:r>
      <w:r>
        <w:rPr>
          <w:rFonts w:hint="eastAsia" w:cstheme="minorBidi"/>
          <w:sz w:val="24"/>
          <w:szCs w:val="24"/>
          <w:lang w:val="en-US" w:eastAsia="zh-CN" w:bidi="ar-SA"/>
        </w:rPr>
        <w:t>0</w:t>
      </w:r>
      <w:r>
        <w:rPr>
          <w:rFonts w:hint="default" w:ascii="宋体" w:hAnsi="Courier New" w:eastAsiaTheme="minorEastAsia" w:cstheme="minorBidi"/>
          <w:sz w:val="24"/>
          <w:szCs w:val="24"/>
          <w:lang w:val="en-US" w:eastAsia="zh-CN" w:bidi="ar-SA"/>
        </w:rPr>
        <w:t>)</w:t>
      </w:r>
      <w:r>
        <w:rPr>
          <w:rFonts w:hint="eastAsia"/>
          <w:sz w:val="24"/>
          <w:szCs w:val="24"/>
          <w:lang w:val="en-US" w:eastAsia="zh-CN"/>
        </w:rPr>
        <w:t>支持图像模糊、图像过亮、图像偏色、图像过暗、图像过亮、视频抖动、视频丢帧、场景变换、视频遮挡、对比度、条纹干扰、噪声干扰、信号丢失、黑白图像指标诊断。</w:t>
      </w:r>
    </w:p>
    <w:p w14:paraId="5FAFABF7">
      <w:pPr>
        <w:pStyle w:val="28"/>
        <w:numPr>
          <w:ilvl w:val="0"/>
          <w:numId w:val="0"/>
        </w:numPr>
        <w:ind w:left="845" w:leftChars="0" w:hanging="425" w:firstLineChars="0"/>
        <w:rPr>
          <w:rFonts w:hint="eastAsia"/>
          <w:sz w:val="24"/>
          <w:szCs w:val="24"/>
          <w:lang w:val="en-US" w:eastAsia="zh-CN"/>
        </w:rPr>
      </w:pPr>
      <w:r>
        <w:rPr>
          <w:rFonts w:hint="default" w:ascii="宋体" w:hAnsi="Courier New" w:eastAsiaTheme="minorEastAsia" w:cstheme="minorBidi"/>
          <w:sz w:val="24"/>
          <w:szCs w:val="24"/>
          <w:lang w:val="en-US" w:eastAsia="zh-CN" w:bidi="ar-SA"/>
        </w:rPr>
        <w:t>(1</w:t>
      </w:r>
      <w:r>
        <w:rPr>
          <w:rFonts w:hint="eastAsia" w:cstheme="minorBidi"/>
          <w:sz w:val="24"/>
          <w:szCs w:val="24"/>
          <w:lang w:val="en-US" w:eastAsia="zh-CN" w:bidi="ar-SA"/>
        </w:rPr>
        <w:t>1</w:t>
      </w:r>
      <w:r>
        <w:rPr>
          <w:rFonts w:hint="default" w:ascii="宋体" w:hAnsi="Courier New" w:eastAsiaTheme="minorEastAsia" w:cstheme="minorBidi"/>
          <w:sz w:val="24"/>
          <w:szCs w:val="24"/>
          <w:lang w:val="en-US" w:eastAsia="zh-CN" w:bidi="ar-SA"/>
        </w:rPr>
        <w:t>)</w:t>
      </w:r>
      <w:r>
        <w:rPr>
          <w:rFonts w:hint="eastAsia"/>
          <w:sz w:val="24"/>
          <w:szCs w:val="24"/>
          <w:lang w:val="en-US" w:eastAsia="zh-CN"/>
        </w:rPr>
        <w:t>支持诊断对比图查看和诊断结果矫正功能。</w:t>
      </w:r>
    </w:p>
    <w:p w14:paraId="53FFD3D1">
      <w:pPr>
        <w:pStyle w:val="28"/>
        <w:numPr>
          <w:ilvl w:val="0"/>
          <w:numId w:val="0"/>
        </w:numPr>
        <w:ind w:left="845" w:leftChars="0" w:hanging="425" w:firstLineChars="0"/>
        <w:rPr>
          <w:rFonts w:hint="eastAsia"/>
          <w:sz w:val="24"/>
          <w:szCs w:val="24"/>
          <w:lang w:val="en-US" w:eastAsia="zh-CN"/>
        </w:rPr>
      </w:pPr>
    </w:p>
    <w:p w14:paraId="31E989BE">
      <w:pPr>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b/>
          <w:bCs/>
          <w:sz w:val="24"/>
          <w:szCs w:val="24"/>
          <w:lang w:val="en-US" w:eastAsia="zh-CN"/>
        </w:rPr>
      </w:pPr>
      <w:r>
        <w:rPr>
          <w:rFonts w:hint="eastAsia"/>
          <w:b/>
          <w:bCs/>
          <w:sz w:val="24"/>
          <w:szCs w:val="24"/>
          <w:lang w:val="en-US" w:eastAsia="zh-CN"/>
        </w:rPr>
        <w:t>2.13 东湖闸自动化控制系统</w:t>
      </w:r>
    </w:p>
    <w:p w14:paraId="71F1E10C">
      <w:pPr>
        <w:pStyle w:val="284"/>
        <w:rPr>
          <w:rFonts w:hint="eastAsia"/>
          <w:lang w:val="en-US" w:eastAsia="zh-CN"/>
        </w:rPr>
      </w:pPr>
      <w:r>
        <w:rPr>
          <w:rFonts w:hint="eastAsia" w:ascii="宋体" w:hAnsi="宋体" w:eastAsia="宋体" w:cs="@仿宋_GB2312"/>
          <w:b/>
          <w:bCs/>
          <w:color w:val="auto"/>
          <w:kern w:val="2"/>
          <w:sz w:val="24"/>
          <w:szCs w:val="22"/>
          <w:highlight w:val="none"/>
          <w:lang w:val="en-US" w:eastAsia="en-US"/>
        </w:rPr>
        <w:t>对于采购人参考品牌的材料，供应商可选用参考品牌或不低于参考品牌质量标准的其它品牌；采用其它品牌的应在响应文件中提供相关技术参数证明材料供磋商小组评审，</w:t>
      </w:r>
      <w:r>
        <w:rPr>
          <w:rFonts w:hint="eastAsia" w:ascii="宋体" w:hAnsi="宋体" w:cs="@仿宋_GB2312"/>
          <w:b/>
          <w:bCs/>
          <w:color w:val="auto"/>
          <w:kern w:val="2"/>
          <w:sz w:val="24"/>
          <w:szCs w:val="22"/>
          <w:highlight w:val="none"/>
          <w:lang w:val="en-US" w:eastAsia="zh-CN"/>
        </w:rPr>
        <w:t>未提供相关技术参数证明材料的</w:t>
      </w:r>
      <w:r>
        <w:rPr>
          <w:rFonts w:hint="eastAsia" w:ascii="宋体" w:hAnsi="宋体" w:eastAsia="宋体" w:cs="@仿宋_GB2312"/>
          <w:b/>
          <w:bCs/>
          <w:color w:val="auto"/>
          <w:kern w:val="2"/>
          <w:sz w:val="24"/>
          <w:szCs w:val="22"/>
          <w:highlight w:val="none"/>
          <w:lang w:val="en-US" w:eastAsia="en-US"/>
        </w:rPr>
        <w:t>，成交后只能从采购人参考品牌中进行选择，价格不予调整。</w:t>
      </w:r>
    </w:p>
    <w:p w14:paraId="36E4C2F9">
      <w:pPr>
        <w:pStyle w:val="28"/>
        <w:ind w:firstLine="482" w:firstLineChars="200"/>
        <w:rPr>
          <w:rFonts w:hint="eastAsia"/>
          <w:b/>
          <w:bCs/>
          <w:color w:val="FF0000"/>
          <w:sz w:val="24"/>
          <w:szCs w:val="24"/>
          <w:lang w:val="en-US" w:eastAsia="zh-CN"/>
        </w:rPr>
      </w:pPr>
      <w:bookmarkStart w:id="718" w:name="_GoBack"/>
      <w:bookmarkEnd w:id="718"/>
      <w:r>
        <w:rPr>
          <w:rFonts w:hint="eastAsia"/>
          <w:b/>
          <w:bCs/>
          <w:color w:val="FF0000"/>
          <w:sz w:val="24"/>
          <w:szCs w:val="24"/>
          <w:lang w:val="en-US" w:eastAsia="zh-CN"/>
        </w:rPr>
        <w:t>供应商结合采购文件提供的清单采购，提供的备件等同或优于原清单内容，同时需充分考虑安装尺寸，确保满足现场使用需求。</w:t>
      </w:r>
    </w:p>
    <w:p w14:paraId="66B5497A">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4"/>
          <w:szCs w:val="24"/>
          <w:highlight w:val="none"/>
        </w:rPr>
        <w:br w:type="page"/>
      </w:r>
    </w:p>
    <w:p w14:paraId="4A85C822">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评审方法和标准</w:t>
      </w:r>
      <w:bookmarkEnd w:id="35"/>
    </w:p>
    <w:p w14:paraId="645499A4">
      <w:pPr>
        <w:spacing w:line="360" w:lineRule="auto"/>
        <w:ind w:firstLine="437"/>
        <w:outlineLvl w:val="1"/>
        <w:rPr>
          <w:rFonts w:asciiTheme="minorEastAsia" w:hAnsiTheme="minorEastAsia" w:eastAsiaTheme="minorEastAsia"/>
          <w:b/>
          <w:color w:val="auto"/>
          <w:sz w:val="24"/>
          <w:highlight w:val="none"/>
        </w:rPr>
      </w:pPr>
      <w:bookmarkStart w:id="41" w:name="_Toc3679"/>
      <w:bookmarkStart w:id="42" w:name="_Toc31533"/>
      <w:r>
        <w:rPr>
          <w:rFonts w:hint="eastAsia" w:asciiTheme="minorEastAsia" w:hAnsiTheme="minorEastAsia" w:eastAsiaTheme="minorEastAsia"/>
          <w:b/>
          <w:color w:val="auto"/>
          <w:sz w:val="24"/>
          <w:highlight w:val="none"/>
        </w:rPr>
        <w:t>一、总则</w:t>
      </w:r>
      <w:bookmarkEnd w:id="41"/>
      <w:bookmarkEnd w:id="42"/>
    </w:p>
    <w:p w14:paraId="2592D75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0013D874">
      <w:pPr>
        <w:spacing w:line="360" w:lineRule="auto"/>
        <w:ind w:firstLine="437"/>
        <w:outlineLvl w:val="1"/>
        <w:rPr>
          <w:rFonts w:asciiTheme="minorEastAsia" w:hAnsiTheme="minorEastAsia" w:eastAsiaTheme="minorEastAsia"/>
          <w:b/>
          <w:color w:val="auto"/>
          <w:sz w:val="24"/>
          <w:highlight w:val="none"/>
        </w:rPr>
      </w:pPr>
      <w:bookmarkStart w:id="43" w:name="_Toc16232"/>
      <w:bookmarkStart w:id="44" w:name="_Toc13405"/>
      <w:r>
        <w:rPr>
          <w:rFonts w:hint="eastAsia" w:asciiTheme="minorEastAsia" w:hAnsiTheme="minorEastAsia" w:eastAsiaTheme="minorEastAsia"/>
          <w:b/>
          <w:color w:val="auto"/>
          <w:sz w:val="24"/>
          <w:highlight w:val="none"/>
        </w:rPr>
        <w:t>二、评审方法</w:t>
      </w:r>
      <w:bookmarkEnd w:id="43"/>
      <w:bookmarkEnd w:id="44"/>
    </w:p>
    <w:p w14:paraId="3F9DFD04">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13521FD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55"/>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541"/>
        <w:gridCol w:w="4717"/>
        <w:gridCol w:w="1863"/>
      </w:tblGrid>
      <w:tr w14:paraId="7513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16" w:type="dxa"/>
            <w:gridSpan w:val="4"/>
            <w:tcBorders>
              <w:bottom w:val="single" w:color="auto" w:sz="4" w:space="0"/>
            </w:tcBorders>
            <w:vAlign w:val="center"/>
          </w:tcPr>
          <w:p w14:paraId="4B4254BB">
            <w:pPr>
              <w:adjustRightInd w:val="0"/>
              <w:snapToGrid w:val="0"/>
              <w:spacing w:line="240" w:lineRule="auto"/>
              <w:ind w:right="-10"/>
              <w:jc w:val="center"/>
              <w:rPr>
                <w:rFonts w:hint="eastAsia" w:ascii="Calibri" w:hAnsi="Calibri" w:cs="Times New Roman"/>
                <w:b/>
                <w:color w:val="auto"/>
                <w:kern w:val="2"/>
                <w:sz w:val="21"/>
                <w:szCs w:val="21"/>
                <w:highlight w:val="none"/>
              </w:rPr>
            </w:pPr>
            <w:r>
              <w:rPr>
                <w:rFonts w:hint="eastAsia" w:ascii="Calibri" w:hAnsi="Calibri" w:cs="Times New Roman"/>
                <w:b/>
                <w:color w:val="auto"/>
                <w:kern w:val="2"/>
                <w:sz w:val="21"/>
                <w:szCs w:val="21"/>
                <w:highlight w:val="none"/>
              </w:rPr>
              <w:t>初审表</w:t>
            </w:r>
          </w:p>
        </w:tc>
      </w:tr>
      <w:tr w14:paraId="4B3D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95" w:type="dxa"/>
            <w:tcBorders>
              <w:bottom w:val="single" w:color="auto" w:sz="4" w:space="0"/>
            </w:tcBorders>
            <w:vAlign w:val="center"/>
          </w:tcPr>
          <w:p w14:paraId="43AC958B">
            <w:pPr>
              <w:adjustRightInd w:val="0"/>
              <w:snapToGrid w:val="0"/>
              <w:spacing w:line="240" w:lineRule="auto"/>
              <w:ind w:right="-10" w:rightChars="0"/>
              <w:jc w:val="center"/>
              <w:rPr>
                <w:rFonts w:ascii="Calibri" w:hAnsi="Calibri" w:cs="Times New Roman"/>
                <w:b/>
                <w:bCs/>
                <w:color w:val="auto"/>
                <w:kern w:val="2"/>
                <w:sz w:val="21"/>
                <w:szCs w:val="21"/>
                <w:highlight w:val="none"/>
              </w:rPr>
            </w:pPr>
            <w:r>
              <w:rPr>
                <w:rFonts w:hint="eastAsia" w:ascii="宋体" w:hAnsi="宋体" w:eastAsia="宋体"/>
                <w:b/>
                <w:bCs/>
                <w:color w:val="auto"/>
                <w:sz w:val="21"/>
                <w:szCs w:val="21"/>
                <w:highlight w:val="none"/>
              </w:rPr>
              <w:t>序号</w:t>
            </w:r>
          </w:p>
        </w:tc>
        <w:tc>
          <w:tcPr>
            <w:tcW w:w="1541" w:type="dxa"/>
            <w:tcBorders>
              <w:bottom w:val="single" w:color="auto" w:sz="4" w:space="0"/>
            </w:tcBorders>
            <w:vAlign w:val="center"/>
          </w:tcPr>
          <w:p w14:paraId="1F95A852">
            <w:pPr>
              <w:pStyle w:val="69"/>
              <w:pBdr>
                <w:bottom w:val="none" w:color="auto" w:sz="0" w:space="0"/>
              </w:pBdr>
              <w:tabs>
                <w:tab w:val="clear" w:pos="4153"/>
                <w:tab w:val="clear" w:pos="8306"/>
              </w:tabs>
              <w:snapToGrid w:val="0"/>
              <w:spacing w:line="240" w:lineRule="auto"/>
              <w:ind w:right="-10" w:rightChars="0"/>
              <w:textAlignment w:val="auto"/>
              <w:rPr>
                <w:rFonts w:ascii="Calibri" w:hAnsi="Calibri" w:cs="Times New Roman"/>
                <w:b/>
                <w:bCs/>
                <w:color w:val="auto"/>
                <w:kern w:val="2"/>
                <w:sz w:val="21"/>
                <w:szCs w:val="21"/>
                <w:highlight w:val="none"/>
              </w:rPr>
            </w:pPr>
            <w:r>
              <w:rPr>
                <w:rFonts w:hint="eastAsia" w:ascii="宋体" w:hAnsi="宋体" w:eastAsia="宋体"/>
                <w:b/>
                <w:bCs/>
                <w:color w:val="auto"/>
                <w:kern w:val="2"/>
                <w:sz w:val="21"/>
                <w:szCs w:val="21"/>
                <w:highlight w:val="none"/>
                <w:lang w:val="en-US" w:eastAsia="zh-CN"/>
              </w:rPr>
              <w:t>审查因素</w:t>
            </w:r>
          </w:p>
        </w:tc>
        <w:tc>
          <w:tcPr>
            <w:tcW w:w="4717" w:type="dxa"/>
            <w:tcBorders>
              <w:bottom w:val="single" w:color="auto" w:sz="4" w:space="0"/>
            </w:tcBorders>
            <w:vAlign w:val="center"/>
          </w:tcPr>
          <w:p w14:paraId="35F306AC">
            <w:pPr>
              <w:adjustRightInd w:val="0"/>
              <w:snapToGrid w:val="0"/>
              <w:spacing w:line="240" w:lineRule="auto"/>
              <w:ind w:right="-10" w:rightChars="0"/>
              <w:jc w:val="center"/>
              <w:rPr>
                <w:rFonts w:ascii="Calibri" w:hAnsi="Calibri" w:cs="Times New Roman"/>
                <w:b/>
                <w:bCs/>
                <w:color w:val="auto"/>
                <w:kern w:val="2"/>
                <w:sz w:val="21"/>
                <w:szCs w:val="21"/>
                <w:highlight w:val="none"/>
              </w:rPr>
            </w:pPr>
            <w:r>
              <w:rPr>
                <w:rFonts w:hint="eastAsia" w:ascii="宋体" w:hAnsi="宋体" w:eastAsia="宋体"/>
                <w:b/>
                <w:bCs/>
                <w:color w:val="auto"/>
                <w:sz w:val="21"/>
                <w:szCs w:val="21"/>
                <w:highlight w:val="none"/>
                <w:lang w:val="en-US" w:eastAsia="zh-CN"/>
              </w:rPr>
              <w:t>审查内容</w:t>
            </w:r>
          </w:p>
        </w:tc>
        <w:tc>
          <w:tcPr>
            <w:tcW w:w="1863" w:type="dxa"/>
            <w:tcBorders>
              <w:bottom w:val="single" w:color="auto" w:sz="4" w:space="0"/>
            </w:tcBorders>
            <w:vAlign w:val="center"/>
          </w:tcPr>
          <w:p w14:paraId="43E9A3D6">
            <w:pPr>
              <w:adjustRightInd w:val="0"/>
              <w:snapToGrid w:val="0"/>
              <w:spacing w:line="240" w:lineRule="auto"/>
              <w:ind w:right="-10" w:rightChars="0"/>
              <w:jc w:val="center"/>
              <w:rPr>
                <w:rFonts w:hint="eastAsia" w:ascii="Calibri" w:hAnsi="Calibri" w:cs="Times New Roman"/>
                <w:b/>
                <w:bCs/>
                <w:color w:val="auto"/>
                <w:kern w:val="2"/>
                <w:sz w:val="21"/>
                <w:szCs w:val="21"/>
                <w:highlight w:val="none"/>
              </w:rPr>
            </w:pPr>
            <w:r>
              <w:rPr>
                <w:rFonts w:hint="eastAsia" w:ascii="宋体" w:hAnsi="宋体" w:eastAsia="宋体"/>
                <w:b/>
                <w:bCs/>
                <w:color w:val="auto"/>
                <w:sz w:val="21"/>
                <w:szCs w:val="21"/>
                <w:highlight w:val="none"/>
              </w:rPr>
              <w:t>格式要求</w:t>
            </w:r>
          </w:p>
        </w:tc>
      </w:tr>
      <w:tr w14:paraId="47A1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795" w:type="dxa"/>
            <w:tcBorders>
              <w:bottom w:val="single" w:color="auto" w:sz="4" w:space="0"/>
            </w:tcBorders>
            <w:vAlign w:val="center"/>
          </w:tcPr>
          <w:p w14:paraId="6178AB99">
            <w:pPr>
              <w:adjustRightInd w:val="0"/>
              <w:snapToGrid w:val="0"/>
              <w:spacing w:line="240" w:lineRule="auto"/>
              <w:ind w:right="-10" w:rightChars="0"/>
              <w:jc w:val="center"/>
              <w:rPr>
                <w:rFonts w:cs="Times New Roman"/>
                <w:color w:val="auto"/>
                <w:kern w:val="2"/>
                <w:sz w:val="21"/>
                <w:szCs w:val="21"/>
                <w:highlight w:val="none"/>
              </w:rPr>
            </w:pPr>
            <w:r>
              <w:rPr>
                <w:rFonts w:hint="eastAsia" w:ascii="宋体" w:hAnsi="宋体" w:eastAsia="宋体"/>
                <w:color w:val="auto"/>
                <w:sz w:val="21"/>
                <w:szCs w:val="21"/>
                <w:highlight w:val="none"/>
              </w:rPr>
              <w:t>1</w:t>
            </w:r>
          </w:p>
        </w:tc>
        <w:tc>
          <w:tcPr>
            <w:tcW w:w="1541" w:type="dxa"/>
            <w:tcBorders>
              <w:bottom w:val="single" w:color="auto" w:sz="4" w:space="0"/>
            </w:tcBorders>
            <w:vAlign w:val="center"/>
          </w:tcPr>
          <w:p w14:paraId="022B7BF1">
            <w:pPr>
              <w:spacing w:after="50" w:line="240" w:lineRule="auto"/>
              <w:ind w:right="-10" w:rightChars="0"/>
              <w:jc w:val="center"/>
              <w:rPr>
                <w:rFonts w:ascii="Calibri" w:hAnsi="Calibri" w:cs="Times New Roman"/>
                <w:color w:val="auto"/>
                <w:kern w:val="2"/>
                <w:sz w:val="21"/>
                <w:szCs w:val="21"/>
                <w:highlight w:val="none"/>
              </w:rPr>
            </w:pPr>
            <w:r>
              <w:rPr>
                <w:rFonts w:ascii="宋体" w:hAnsi="宋体" w:eastAsia="宋体" w:cs="宋体"/>
                <w:color w:val="auto"/>
                <w:spacing w:val="9"/>
                <w:sz w:val="21"/>
                <w:szCs w:val="21"/>
                <w:highlight w:val="none"/>
              </w:rPr>
              <w:t>营业执照等证明</w:t>
            </w:r>
            <w:r>
              <w:rPr>
                <w:rFonts w:ascii="宋体" w:hAnsi="宋体" w:eastAsia="宋体" w:cs="宋体"/>
                <w:color w:val="auto"/>
                <w:spacing w:val="-3"/>
                <w:sz w:val="21"/>
                <w:szCs w:val="21"/>
                <w:highlight w:val="none"/>
              </w:rPr>
              <w:t>文件</w:t>
            </w:r>
          </w:p>
        </w:tc>
        <w:tc>
          <w:tcPr>
            <w:tcW w:w="4717" w:type="dxa"/>
            <w:tcBorders>
              <w:bottom w:val="single" w:color="auto" w:sz="4" w:space="0"/>
            </w:tcBorders>
            <w:vAlign w:val="center"/>
          </w:tcPr>
          <w:p w14:paraId="4CA30196">
            <w:pPr>
              <w:spacing w:after="50" w:line="240" w:lineRule="auto"/>
              <w:ind w:right="-10" w:rightChars="0"/>
              <w:jc w:val="left"/>
              <w:rPr>
                <w:rFonts w:hint="eastAsia" w:ascii="Calibri" w:hAnsi="Calibri" w:cs="Times New Roman"/>
                <w:color w:val="auto"/>
                <w:kern w:val="2"/>
                <w:sz w:val="21"/>
                <w:szCs w:val="21"/>
                <w:highlight w:val="none"/>
              </w:rPr>
            </w:pPr>
            <w:r>
              <w:rPr>
                <w:rFonts w:hint="eastAsia" w:ascii="Calibri" w:hAnsi="Calibri" w:cs="Times New Roman"/>
                <w:color w:val="auto"/>
                <w:kern w:val="2"/>
                <w:sz w:val="21"/>
                <w:szCs w:val="21"/>
                <w:highlight w:val="none"/>
              </w:rPr>
              <w:t>（1）供应商为企业（包括合伙企业）的，应提供有效的营业执照；</w:t>
            </w:r>
          </w:p>
          <w:p w14:paraId="4A3162D2">
            <w:pPr>
              <w:spacing w:after="50" w:line="240" w:lineRule="auto"/>
              <w:ind w:right="-10" w:rightChars="0"/>
              <w:jc w:val="left"/>
              <w:rPr>
                <w:rFonts w:hint="eastAsia" w:ascii="Calibri" w:hAnsi="Calibri" w:cs="Times New Roman"/>
                <w:color w:val="auto"/>
                <w:kern w:val="2"/>
                <w:sz w:val="21"/>
                <w:szCs w:val="21"/>
                <w:highlight w:val="none"/>
              </w:rPr>
            </w:pPr>
            <w:r>
              <w:rPr>
                <w:rFonts w:hint="eastAsia" w:ascii="Calibri" w:hAnsi="Calibri" w:cs="Times New Roman"/>
                <w:color w:val="auto"/>
                <w:kern w:val="2"/>
                <w:sz w:val="21"/>
                <w:szCs w:val="21"/>
                <w:highlight w:val="none"/>
              </w:rPr>
              <w:t>（2）供应商为事业单位的，应提供有效的事业单位法人证书；</w:t>
            </w:r>
          </w:p>
          <w:p w14:paraId="44B5E36F">
            <w:pPr>
              <w:spacing w:after="50" w:line="240" w:lineRule="auto"/>
              <w:ind w:right="-10" w:rightChars="0"/>
              <w:jc w:val="left"/>
              <w:rPr>
                <w:rFonts w:ascii="Calibri" w:hAnsi="Calibri" w:cs="Times New Roman"/>
                <w:color w:val="auto"/>
                <w:kern w:val="2"/>
                <w:sz w:val="21"/>
                <w:szCs w:val="21"/>
                <w:highlight w:val="none"/>
              </w:rPr>
            </w:pPr>
            <w:r>
              <w:rPr>
                <w:rFonts w:hint="eastAsia" w:ascii="Calibri" w:hAnsi="Calibri" w:cs="Times New Roman"/>
                <w:color w:val="auto"/>
                <w:kern w:val="2"/>
                <w:sz w:val="21"/>
                <w:szCs w:val="21"/>
                <w:highlight w:val="none"/>
              </w:rPr>
              <w:t>（3）供应商是非企业机构的，应提供有效的执业许可证或登记证书等证明文件。</w:t>
            </w:r>
          </w:p>
        </w:tc>
        <w:tc>
          <w:tcPr>
            <w:tcW w:w="1863" w:type="dxa"/>
            <w:tcBorders>
              <w:bottom w:val="single" w:color="auto" w:sz="4" w:space="0"/>
            </w:tcBorders>
            <w:vAlign w:val="center"/>
          </w:tcPr>
          <w:p w14:paraId="69BAC4AF">
            <w:pPr>
              <w:spacing w:line="240" w:lineRule="auto"/>
              <w:jc w:val="left"/>
              <w:rPr>
                <w:rFonts w:hint="eastAsia" w:cs="Times New Roman"/>
                <w:color w:val="auto"/>
                <w:kern w:val="2"/>
                <w:sz w:val="21"/>
                <w:szCs w:val="21"/>
                <w:highlight w:val="none"/>
              </w:rPr>
            </w:pPr>
            <w:r>
              <w:rPr>
                <w:rFonts w:hint="eastAsia" w:ascii="宋体" w:hAnsi="宋体" w:eastAsia="宋体" w:cs="宋体"/>
                <w:b w:val="0"/>
                <w:bCs w:val="0"/>
                <w:color w:val="auto"/>
                <w:sz w:val="21"/>
                <w:szCs w:val="21"/>
                <w:highlight w:val="none"/>
              </w:rPr>
              <w:t>提供</w:t>
            </w:r>
            <w:r>
              <w:rPr>
                <w:rFonts w:hint="eastAsia" w:ascii="宋体" w:hAnsi="宋体" w:eastAsia="宋体" w:cs="宋体"/>
                <w:b w:val="0"/>
                <w:bCs w:val="0"/>
                <w:color w:val="auto"/>
                <w:sz w:val="21"/>
                <w:szCs w:val="21"/>
                <w:highlight w:val="none"/>
                <w:lang w:val="en-US" w:eastAsia="zh-CN"/>
              </w:rPr>
              <w:t>材料</w:t>
            </w:r>
            <w:r>
              <w:rPr>
                <w:rFonts w:hint="eastAsia" w:ascii="宋体" w:hAnsi="宋体" w:eastAsia="宋体" w:cs="宋体"/>
                <w:b w:val="0"/>
                <w:bCs w:val="0"/>
                <w:color w:val="auto"/>
                <w:sz w:val="21"/>
                <w:szCs w:val="21"/>
                <w:highlight w:val="none"/>
              </w:rPr>
              <w:t>扫描件</w:t>
            </w:r>
            <w:r>
              <w:rPr>
                <w:rFonts w:hint="eastAsia" w:ascii="宋体" w:hAnsi="宋体" w:eastAsia="宋体" w:cs="宋体"/>
                <w:b w:val="0"/>
                <w:bCs w:val="0"/>
                <w:color w:val="auto"/>
                <w:sz w:val="21"/>
                <w:szCs w:val="21"/>
                <w:highlight w:val="none"/>
                <w:lang w:val="en-US" w:eastAsia="zh-CN"/>
              </w:rPr>
              <w:t>或电子证照</w:t>
            </w:r>
            <w:r>
              <w:rPr>
                <w:rFonts w:hint="eastAsia" w:ascii="宋体" w:hAnsi="宋体" w:eastAsia="宋体" w:cs="宋体"/>
                <w:b w:val="0"/>
                <w:bCs w:val="0"/>
                <w:color w:val="auto"/>
                <w:sz w:val="21"/>
                <w:szCs w:val="21"/>
                <w:highlight w:val="none"/>
              </w:rPr>
              <w:t>，应完整的体现出</w:t>
            </w:r>
            <w:r>
              <w:rPr>
                <w:rFonts w:hint="eastAsia" w:ascii="宋体" w:hAnsi="宋体" w:eastAsia="宋体" w:cs="宋体"/>
                <w:b w:val="0"/>
                <w:bCs w:val="0"/>
                <w:color w:val="auto"/>
                <w:sz w:val="21"/>
                <w:szCs w:val="21"/>
                <w:highlight w:val="none"/>
                <w:lang w:val="en-US" w:eastAsia="zh-CN"/>
              </w:rPr>
              <w:t>材料或电子证照</w:t>
            </w:r>
            <w:r>
              <w:rPr>
                <w:rFonts w:hint="eastAsia" w:ascii="宋体" w:hAnsi="宋体" w:eastAsia="宋体" w:cs="宋体"/>
                <w:b w:val="0"/>
                <w:bCs w:val="0"/>
                <w:color w:val="auto"/>
                <w:sz w:val="21"/>
                <w:szCs w:val="21"/>
                <w:highlight w:val="none"/>
              </w:rPr>
              <w:t>全部内容。</w:t>
            </w:r>
          </w:p>
        </w:tc>
      </w:tr>
      <w:tr w14:paraId="7AF0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795" w:type="dxa"/>
            <w:vAlign w:val="center"/>
          </w:tcPr>
          <w:p w14:paraId="279777BC">
            <w:pPr>
              <w:adjustRightInd w:val="0"/>
              <w:snapToGrid w:val="0"/>
              <w:spacing w:line="240" w:lineRule="auto"/>
              <w:ind w:right="-10" w:rightChars="0"/>
              <w:jc w:val="center"/>
              <w:rPr>
                <w:rFonts w:cs="Times New Roman"/>
                <w:color w:val="auto"/>
                <w:kern w:val="2"/>
                <w:sz w:val="21"/>
                <w:szCs w:val="21"/>
                <w:highlight w:val="none"/>
              </w:rPr>
            </w:pPr>
            <w:r>
              <w:rPr>
                <w:rFonts w:hint="eastAsia" w:ascii="宋体" w:hAnsi="宋体" w:eastAsia="宋体"/>
                <w:color w:val="auto"/>
                <w:sz w:val="21"/>
                <w:szCs w:val="21"/>
                <w:highlight w:val="none"/>
                <w:lang w:val="en-US" w:eastAsia="zh-CN"/>
              </w:rPr>
              <w:t>2</w:t>
            </w:r>
          </w:p>
        </w:tc>
        <w:tc>
          <w:tcPr>
            <w:tcW w:w="1541" w:type="dxa"/>
            <w:vAlign w:val="center"/>
          </w:tcPr>
          <w:p w14:paraId="2A9C95BD">
            <w:pPr>
              <w:spacing w:after="50" w:line="240" w:lineRule="auto"/>
              <w:ind w:right="-10" w:right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供应商资格声明书</w:t>
            </w:r>
          </w:p>
        </w:tc>
        <w:tc>
          <w:tcPr>
            <w:tcW w:w="4717" w:type="dxa"/>
            <w:vAlign w:val="center"/>
          </w:tcPr>
          <w:p w14:paraId="7C145D5D">
            <w:pPr>
              <w:spacing w:after="50" w:line="240" w:lineRule="auto"/>
              <w:ind w:right="-10" w:right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w:t>
            </w:r>
            <w:r>
              <w:rPr>
                <w:rFonts w:ascii="宋体" w:hAnsi="宋体" w:eastAsia="宋体" w:cs="宋体"/>
                <w:color w:val="auto"/>
                <w:sz w:val="21"/>
                <w:szCs w:val="21"/>
                <w:highlight w:val="none"/>
              </w:rPr>
              <w:t>供符合</w:t>
            </w:r>
            <w:r>
              <w:rPr>
                <w:rFonts w:hint="eastAsia" w:ascii="宋体" w:hAnsi="宋体" w:eastAsia="宋体" w:cs="宋体"/>
                <w:color w:val="auto"/>
                <w:sz w:val="21"/>
                <w:szCs w:val="21"/>
                <w:highlight w:val="none"/>
                <w:lang w:val="en-US" w:eastAsia="zh-CN"/>
              </w:rPr>
              <w:t>磋商</w:t>
            </w:r>
            <w:r>
              <w:rPr>
                <w:rFonts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供应商</w:t>
            </w:r>
            <w:r>
              <w:rPr>
                <w:rFonts w:ascii="宋体" w:hAnsi="宋体" w:eastAsia="宋体" w:cs="宋体"/>
                <w:color w:val="auto"/>
                <w:sz w:val="21"/>
                <w:szCs w:val="21"/>
                <w:highlight w:val="none"/>
              </w:rPr>
              <w:t>资格声明书》</w:t>
            </w:r>
            <w:r>
              <w:rPr>
                <w:rFonts w:hint="eastAsia" w:ascii="宋体" w:hAnsi="宋体" w:eastAsia="宋体" w:cs="宋体"/>
                <w:color w:val="auto"/>
                <w:sz w:val="21"/>
                <w:szCs w:val="21"/>
                <w:highlight w:val="none"/>
                <w:lang w:eastAsia="zh-CN"/>
              </w:rPr>
              <w:t>。</w:t>
            </w:r>
          </w:p>
        </w:tc>
        <w:tc>
          <w:tcPr>
            <w:tcW w:w="1863" w:type="dxa"/>
            <w:vAlign w:val="center"/>
          </w:tcPr>
          <w:p w14:paraId="36F67F8D">
            <w:pPr>
              <w:spacing w:line="240" w:lineRule="auto"/>
              <w:jc w:val="left"/>
              <w:rPr>
                <w:rFonts w:hint="eastAsia" w:cs="Times New Roman"/>
                <w:color w:val="auto"/>
                <w:kern w:val="2"/>
                <w:sz w:val="21"/>
                <w:szCs w:val="21"/>
                <w:highlight w:val="none"/>
              </w:rPr>
            </w:pPr>
            <w:r>
              <w:rPr>
                <w:rFonts w:hint="eastAsia" w:ascii="宋体" w:hAnsi="宋体" w:eastAsia="宋体"/>
                <w:color w:val="auto"/>
                <w:sz w:val="21"/>
                <w:szCs w:val="21"/>
                <w:highlight w:val="none"/>
              </w:rPr>
              <w:t>详见第六章</w:t>
            </w:r>
            <w:r>
              <w:rPr>
                <w:rFonts w:hint="eastAsia" w:ascii="宋体" w:hAnsi="宋体" w:eastAsia="宋体"/>
                <w:color w:val="auto"/>
                <w:sz w:val="21"/>
                <w:szCs w:val="21"/>
                <w:highlight w:val="none"/>
                <w:lang w:val="en-US" w:eastAsia="zh-CN"/>
              </w:rPr>
              <w:t>响应</w:t>
            </w:r>
            <w:r>
              <w:rPr>
                <w:rFonts w:hint="eastAsia" w:ascii="宋体" w:hAnsi="宋体" w:eastAsia="宋体"/>
                <w:color w:val="auto"/>
                <w:sz w:val="21"/>
                <w:szCs w:val="21"/>
                <w:highlight w:val="none"/>
              </w:rPr>
              <w:t>文件格式</w:t>
            </w:r>
            <w:r>
              <w:rPr>
                <w:rFonts w:hint="eastAsia" w:ascii="宋体" w:hAnsi="宋体" w:eastAsia="宋体"/>
                <w:color w:val="auto"/>
                <w:sz w:val="21"/>
                <w:szCs w:val="21"/>
                <w:highlight w:val="none"/>
                <w:lang w:eastAsia="zh-CN"/>
              </w:rPr>
              <w:t>。</w:t>
            </w:r>
          </w:p>
        </w:tc>
      </w:tr>
      <w:tr w14:paraId="53E6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11B1B97">
            <w:pPr>
              <w:adjustRightInd w:val="0"/>
              <w:snapToGrid w:val="0"/>
              <w:spacing w:line="240" w:lineRule="auto"/>
              <w:ind w:right="-10" w:rightChars="0"/>
              <w:jc w:val="center"/>
              <w:rPr>
                <w:rFonts w:cs="Times New Roman"/>
                <w:color w:val="auto"/>
                <w:kern w:val="2"/>
                <w:sz w:val="21"/>
                <w:szCs w:val="21"/>
                <w:highlight w:val="none"/>
              </w:rPr>
            </w:pPr>
            <w:r>
              <w:rPr>
                <w:rFonts w:hint="eastAsia" w:ascii="宋体" w:hAnsi="宋体" w:eastAsia="宋体"/>
                <w:color w:val="auto"/>
                <w:sz w:val="21"/>
                <w:szCs w:val="21"/>
                <w:highlight w:val="none"/>
                <w:lang w:val="en-US" w:eastAsia="zh-CN"/>
              </w:rPr>
              <w:t>3</w:t>
            </w:r>
          </w:p>
        </w:tc>
        <w:tc>
          <w:tcPr>
            <w:tcW w:w="1541" w:type="dxa"/>
            <w:vAlign w:val="center"/>
          </w:tcPr>
          <w:p w14:paraId="62346189">
            <w:pPr>
              <w:spacing w:after="50" w:line="240" w:lineRule="auto"/>
              <w:ind w:right="-10" w:rightChars="0"/>
              <w:jc w:val="center"/>
              <w:rPr>
                <w:rFonts w:ascii="Calibri" w:hAnsi="Calibri" w:cs="Times New Roman"/>
                <w:color w:val="auto"/>
                <w:kern w:val="2"/>
                <w:sz w:val="21"/>
                <w:szCs w:val="21"/>
                <w:highlight w:val="none"/>
              </w:rPr>
            </w:pPr>
            <w:r>
              <w:rPr>
                <w:rFonts w:hint="eastAsia" w:ascii="宋体" w:hAnsi="宋体" w:eastAsia="宋体"/>
                <w:color w:val="auto"/>
                <w:sz w:val="21"/>
                <w:szCs w:val="21"/>
                <w:highlight w:val="none"/>
                <w:lang w:val="en-US" w:eastAsia="zh-CN"/>
              </w:rPr>
              <w:t>供应商</w:t>
            </w:r>
            <w:r>
              <w:rPr>
                <w:rFonts w:hint="eastAsia" w:ascii="宋体" w:hAnsi="宋体" w:eastAsia="宋体" w:cs="宋体"/>
                <w:color w:val="auto"/>
                <w:sz w:val="21"/>
                <w:szCs w:val="21"/>
                <w:highlight w:val="none"/>
              </w:rPr>
              <w:t>信用记录</w:t>
            </w:r>
          </w:p>
        </w:tc>
        <w:tc>
          <w:tcPr>
            <w:tcW w:w="4717" w:type="dxa"/>
            <w:vAlign w:val="center"/>
          </w:tcPr>
          <w:p w14:paraId="162D9DB0">
            <w:pPr>
              <w:spacing w:after="50" w:line="240" w:lineRule="auto"/>
              <w:ind w:right="-10" w:rightChars="0"/>
              <w:jc w:val="left"/>
              <w:rPr>
                <w:rFonts w:ascii="Calibri" w:hAnsi="Calibri" w:cs="Times New Roman"/>
                <w:color w:val="auto"/>
                <w:kern w:val="2"/>
                <w:sz w:val="21"/>
                <w:szCs w:val="21"/>
                <w:highlight w:val="none"/>
              </w:rPr>
            </w:pP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eastAsia="zh-CN"/>
              </w:rPr>
              <w:t>不得存在</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eastAsia="zh-CN"/>
              </w:rPr>
              <w:t>须知正文第1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3条中</w:t>
            </w:r>
            <w:r>
              <w:rPr>
                <w:rFonts w:hint="eastAsia" w:ascii="宋体" w:hAnsi="宋体" w:eastAsia="宋体"/>
                <w:color w:val="auto"/>
                <w:sz w:val="21"/>
                <w:szCs w:val="21"/>
                <w:highlight w:val="none"/>
              </w:rPr>
              <w:t>的不良信用记录情形</w:t>
            </w:r>
          </w:p>
        </w:tc>
        <w:tc>
          <w:tcPr>
            <w:tcW w:w="1863" w:type="dxa"/>
            <w:vAlign w:val="center"/>
          </w:tcPr>
          <w:p w14:paraId="0FF46272">
            <w:pPr>
              <w:spacing w:line="240" w:lineRule="auto"/>
              <w:jc w:val="left"/>
              <w:rPr>
                <w:rFonts w:hint="eastAsia" w:cs="Times New Roman"/>
                <w:color w:val="auto"/>
                <w:kern w:val="2"/>
                <w:sz w:val="21"/>
                <w:szCs w:val="21"/>
                <w:highlight w:val="none"/>
              </w:rPr>
            </w:pPr>
            <w:r>
              <w:rPr>
                <w:rFonts w:hint="eastAsia" w:ascii="宋体" w:hAnsi="宋体" w:eastAsia="宋体" w:cs="宋体"/>
                <w:color w:val="auto"/>
                <w:sz w:val="21"/>
                <w:szCs w:val="21"/>
                <w:highlight w:val="none"/>
              </w:rPr>
              <w:t>无须</w:t>
            </w:r>
            <w:r>
              <w:rPr>
                <w:rFonts w:hint="eastAsia" w:ascii="宋体" w:hAnsi="宋体" w:eastAsia="宋体" w:cs="宋体"/>
                <w:color w:val="auto"/>
                <w:sz w:val="21"/>
                <w:szCs w:val="21"/>
                <w:highlight w:val="none"/>
                <w:lang w:val="en-US" w:eastAsia="zh-CN"/>
              </w:rPr>
              <w:t>供应商提</w:t>
            </w:r>
            <w:r>
              <w:rPr>
                <w:rFonts w:hint="eastAsia" w:ascii="宋体" w:hAnsi="宋体" w:eastAsia="宋体" w:cs="宋体"/>
                <w:color w:val="auto"/>
                <w:sz w:val="21"/>
                <w:szCs w:val="21"/>
                <w:highlight w:val="none"/>
              </w:rPr>
              <w:t>供，由采购人或采购代理机构查询。</w:t>
            </w:r>
          </w:p>
        </w:tc>
      </w:tr>
      <w:tr w14:paraId="7A04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95" w:type="dxa"/>
            <w:vMerge w:val="restart"/>
            <w:vAlign w:val="center"/>
          </w:tcPr>
          <w:p w14:paraId="159E96E7">
            <w:pPr>
              <w:adjustRightInd w:val="0"/>
              <w:snapToGrid w:val="0"/>
              <w:spacing w:line="240" w:lineRule="auto"/>
              <w:ind w:right="-10" w:rightChars="0"/>
              <w:jc w:val="center"/>
              <w:rPr>
                <w:rFonts w:cs="Times New Roman"/>
                <w:color w:val="auto"/>
                <w:kern w:val="2"/>
                <w:sz w:val="21"/>
                <w:szCs w:val="21"/>
                <w:highlight w:val="none"/>
              </w:rPr>
            </w:pPr>
            <w:r>
              <w:rPr>
                <w:rFonts w:hint="eastAsia"/>
                <w:color w:val="auto"/>
                <w:sz w:val="21"/>
                <w:szCs w:val="21"/>
                <w:highlight w:val="none"/>
                <w:lang w:val="en-US" w:eastAsia="zh-CN"/>
              </w:rPr>
              <w:t>4</w:t>
            </w:r>
          </w:p>
        </w:tc>
        <w:tc>
          <w:tcPr>
            <w:tcW w:w="1541" w:type="dxa"/>
            <w:vMerge w:val="restart"/>
            <w:vAlign w:val="center"/>
          </w:tcPr>
          <w:p w14:paraId="0A55799A">
            <w:pPr>
              <w:spacing w:after="50" w:line="240" w:lineRule="auto"/>
              <w:ind w:right="-10" w:rightChars="0"/>
              <w:jc w:val="both"/>
              <w:rPr>
                <w:rFonts w:ascii="Calibri" w:hAnsi="Calibri" w:cs="Times New Roman"/>
                <w:color w:val="auto"/>
                <w:kern w:val="2"/>
                <w:sz w:val="21"/>
                <w:szCs w:val="21"/>
                <w:highlight w:val="none"/>
              </w:rPr>
            </w:pPr>
            <w:r>
              <w:rPr>
                <w:rFonts w:ascii="宋体" w:hAnsi="宋体" w:eastAsia="宋体" w:cs="宋体"/>
                <w:color w:val="auto"/>
                <w:spacing w:val="10"/>
                <w:sz w:val="21"/>
                <w:szCs w:val="21"/>
                <w:highlight w:val="none"/>
              </w:rPr>
              <w:t>其他特定资格要求</w:t>
            </w:r>
          </w:p>
        </w:tc>
        <w:tc>
          <w:tcPr>
            <w:tcW w:w="4717" w:type="dxa"/>
            <w:vAlign w:val="center"/>
          </w:tcPr>
          <w:p w14:paraId="46088BDD">
            <w:pPr>
              <w:spacing w:after="50" w:line="240" w:lineRule="auto"/>
              <w:ind w:right="-10" w:rightChars="0"/>
              <w:jc w:val="left"/>
              <w:rPr>
                <w:rFonts w:ascii="Calibri" w:hAnsi="Calibri" w:cs="Times New Roman"/>
                <w:color w:val="auto"/>
                <w:kern w:val="2"/>
                <w:sz w:val="21"/>
                <w:szCs w:val="21"/>
                <w:highlight w:val="none"/>
              </w:rPr>
            </w:pPr>
            <w:r>
              <w:rPr>
                <w:rFonts w:hint="eastAsia" w:ascii="宋体" w:hAnsi="宋体" w:eastAsia="宋体" w:cs="宋体"/>
                <w:b/>
                <w:bCs/>
                <w:color w:val="auto"/>
                <w:sz w:val="21"/>
                <w:szCs w:val="21"/>
                <w:highlight w:val="none"/>
              </w:rPr>
              <w:t>资质证书</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提供满足供应商资格中本项目的特定资格要求的资质证书扫描件。</w:t>
            </w:r>
          </w:p>
        </w:tc>
        <w:tc>
          <w:tcPr>
            <w:tcW w:w="1863" w:type="dxa"/>
            <w:vMerge w:val="restart"/>
            <w:vAlign w:val="center"/>
          </w:tcPr>
          <w:p w14:paraId="6FC4F725">
            <w:pPr>
              <w:spacing w:after="50" w:line="240" w:lineRule="auto"/>
              <w:ind w:right="-10" w:rightChars="0"/>
              <w:jc w:val="both"/>
              <w:rPr>
                <w:rFonts w:hint="eastAsia" w:cs="Times New Roman"/>
                <w:color w:val="auto"/>
                <w:kern w:val="2"/>
                <w:sz w:val="21"/>
                <w:szCs w:val="21"/>
                <w:highlight w:val="none"/>
              </w:rPr>
            </w:pPr>
            <w:r>
              <w:rPr>
                <w:rFonts w:hint="eastAsia" w:ascii="宋体" w:hAnsi="宋体" w:eastAsia="宋体" w:cs="宋体"/>
                <w:b w:val="0"/>
                <w:bCs w:val="0"/>
                <w:color w:val="auto"/>
                <w:sz w:val="21"/>
                <w:szCs w:val="21"/>
                <w:highlight w:val="none"/>
              </w:rPr>
              <w:t>提供</w:t>
            </w:r>
            <w:r>
              <w:rPr>
                <w:rFonts w:hint="eastAsia" w:ascii="宋体" w:hAnsi="宋体" w:eastAsia="宋体" w:cs="宋体"/>
                <w:b w:val="0"/>
                <w:bCs w:val="0"/>
                <w:color w:val="auto"/>
                <w:sz w:val="21"/>
                <w:szCs w:val="21"/>
                <w:highlight w:val="none"/>
                <w:lang w:val="en-US" w:eastAsia="zh-CN"/>
              </w:rPr>
              <w:t>材料</w:t>
            </w:r>
            <w:r>
              <w:rPr>
                <w:rFonts w:hint="eastAsia" w:ascii="宋体" w:hAnsi="宋体" w:eastAsia="宋体" w:cs="宋体"/>
                <w:b w:val="0"/>
                <w:bCs w:val="0"/>
                <w:color w:val="auto"/>
                <w:sz w:val="21"/>
                <w:szCs w:val="21"/>
                <w:highlight w:val="none"/>
              </w:rPr>
              <w:t>扫描件</w:t>
            </w:r>
            <w:r>
              <w:rPr>
                <w:rFonts w:hint="eastAsia" w:ascii="宋体" w:hAnsi="宋体" w:eastAsia="宋体" w:cs="宋体"/>
                <w:b w:val="0"/>
                <w:bCs w:val="0"/>
                <w:color w:val="auto"/>
                <w:sz w:val="21"/>
                <w:szCs w:val="21"/>
                <w:highlight w:val="none"/>
                <w:lang w:val="en-US" w:eastAsia="zh-CN"/>
              </w:rPr>
              <w:t>或电子证照</w:t>
            </w:r>
            <w:r>
              <w:rPr>
                <w:rFonts w:hint="eastAsia" w:ascii="宋体" w:hAnsi="宋体" w:eastAsia="宋体" w:cs="宋体"/>
                <w:b w:val="0"/>
                <w:bCs w:val="0"/>
                <w:color w:val="auto"/>
                <w:sz w:val="21"/>
                <w:szCs w:val="21"/>
                <w:highlight w:val="none"/>
              </w:rPr>
              <w:t>，应完整的体现出</w:t>
            </w:r>
            <w:r>
              <w:rPr>
                <w:rFonts w:hint="eastAsia" w:ascii="宋体" w:hAnsi="宋体" w:eastAsia="宋体" w:cs="宋体"/>
                <w:b w:val="0"/>
                <w:bCs w:val="0"/>
                <w:color w:val="auto"/>
                <w:sz w:val="21"/>
                <w:szCs w:val="21"/>
                <w:highlight w:val="none"/>
                <w:lang w:val="en-US" w:eastAsia="zh-CN"/>
              </w:rPr>
              <w:t>材料或电子证照</w:t>
            </w:r>
            <w:r>
              <w:rPr>
                <w:rFonts w:hint="eastAsia" w:ascii="宋体" w:hAnsi="宋体" w:eastAsia="宋体" w:cs="宋体"/>
                <w:b w:val="0"/>
                <w:bCs w:val="0"/>
                <w:color w:val="auto"/>
                <w:sz w:val="21"/>
                <w:szCs w:val="21"/>
                <w:highlight w:val="none"/>
              </w:rPr>
              <w:t>全部内容。</w:t>
            </w:r>
          </w:p>
        </w:tc>
      </w:tr>
      <w:tr w14:paraId="064AA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95" w:type="dxa"/>
            <w:vMerge w:val="continue"/>
            <w:vAlign w:val="center"/>
          </w:tcPr>
          <w:p w14:paraId="451D04C2">
            <w:pPr>
              <w:spacing w:after="50" w:line="240" w:lineRule="auto"/>
              <w:ind w:right="-10" w:rightChars="0"/>
              <w:jc w:val="both"/>
              <w:rPr>
                <w:color w:val="auto"/>
                <w:highlight w:val="none"/>
              </w:rPr>
            </w:pPr>
          </w:p>
        </w:tc>
        <w:tc>
          <w:tcPr>
            <w:tcW w:w="1541" w:type="dxa"/>
            <w:vMerge w:val="continue"/>
            <w:vAlign w:val="center"/>
          </w:tcPr>
          <w:p w14:paraId="0FAED7FA">
            <w:pPr>
              <w:spacing w:after="50" w:line="240" w:lineRule="auto"/>
              <w:ind w:right="-10" w:rightChars="0"/>
              <w:jc w:val="both"/>
              <w:rPr>
                <w:color w:val="auto"/>
                <w:highlight w:val="none"/>
              </w:rPr>
            </w:pPr>
          </w:p>
        </w:tc>
        <w:tc>
          <w:tcPr>
            <w:tcW w:w="4717" w:type="dxa"/>
            <w:vAlign w:val="center"/>
          </w:tcPr>
          <w:p w14:paraId="36C2D32F">
            <w:pPr>
              <w:spacing w:after="50" w:line="240" w:lineRule="auto"/>
              <w:ind w:right="-10" w:rightChars="0"/>
              <w:jc w:val="left"/>
              <w:rPr>
                <w:rFonts w:ascii="Calibri" w:hAnsi="Calibri" w:cs="Times New Roman"/>
                <w:color w:val="auto"/>
                <w:kern w:val="2"/>
                <w:sz w:val="21"/>
                <w:szCs w:val="21"/>
                <w:highlight w:val="none"/>
              </w:rPr>
            </w:pPr>
            <w:r>
              <w:rPr>
                <w:rFonts w:hint="eastAsia" w:ascii="宋体" w:hAnsi="宋体" w:eastAsia="宋体" w:cs="宋体"/>
                <w:b/>
                <w:bCs/>
                <w:color w:val="auto"/>
                <w:sz w:val="21"/>
                <w:szCs w:val="21"/>
                <w:highlight w:val="none"/>
              </w:rPr>
              <w:t>安全生产许可证</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提供有效的安全生产许可证扫描件。</w:t>
            </w:r>
          </w:p>
        </w:tc>
        <w:tc>
          <w:tcPr>
            <w:tcW w:w="1863" w:type="dxa"/>
            <w:vMerge w:val="continue"/>
            <w:vAlign w:val="center"/>
          </w:tcPr>
          <w:p w14:paraId="3E36BD7D">
            <w:pPr>
              <w:spacing w:after="50" w:line="240" w:lineRule="auto"/>
              <w:ind w:right="-10" w:rightChars="0"/>
              <w:jc w:val="both"/>
              <w:rPr>
                <w:rFonts w:ascii="Calibri" w:hAnsi="Calibri" w:cs="Times New Roman"/>
                <w:color w:val="auto"/>
                <w:kern w:val="2"/>
                <w:sz w:val="21"/>
                <w:szCs w:val="21"/>
                <w:highlight w:val="none"/>
              </w:rPr>
            </w:pPr>
          </w:p>
        </w:tc>
      </w:tr>
      <w:tr w14:paraId="52497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95" w:type="dxa"/>
            <w:vMerge w:val="continue"/>
            <w:vAlign w:val="center"/>
          </w:tcPr>
          <w:p w14:paraId="377CBE29">
            <w:pPr>
              <w:spacing w:after="50" w:line="240" w:lineRule="auto"/>
              <w:ind w:right="-10" w:rightChars="0"/>
              <w:jc w:val="both"/>
              <w:rPr>
                <w:rFonts w:ascii="Calibri" w:hAnsi="Calibri" w:cs="Times New Roman"/>
                <w:color w:val="auto"/>
                <w:kern w:val="2"/>
                <w:sz w:val="21"/>
                <w:szCs w:val="21"/>
                <w:highlight w:val="none"/>
              </w:rPr>
            </w:pPr>
          </w:p>
        </w:tc>
        <w:tc>
          <w:tcPr>
            <w:tcW w:w="1541" w:type="dxa"/>
            <w:vMerge w:val="continue"/>
            <w:vAlign w:val="center"/>
          </w:tcPr>
          <w:p w14:paraId="07AF0E5B">
            <w:pPr>
              <w:spacing w:after="50" w:line="240" w:lineRule="auto"/>
              <w:ind w:right="-10" w:rightChars="0"/>
              <w:jc w:val="both"/>
              <w:rPr>
                <w:rFonts w:ascii="Calibri" w:hAnsi="Calibri" w:cs="Times New Roman"/>
                <w:color w:val="auto"/>
                <w:kern w:val="2"/>
                <w:sz w:val="21"/>
                <w:szCs w:val="21"/>
                <w:highlight w:val="none"/>
              </w:rPr>
            </w:pPr>
          </w:p>
        </w:tc>
        <w:tc>
          <w:tcPr>
            <w:tcW w:w="4717" w:type="dxa"/>
            <w:vAlign w:val="center"/>
          </w:tcPr>
          <w:p w14:paraId="706C2D8D">
            <w:pPr>
              <w:spacing w:after="50" w:line="240" w:lineRule="auto"/>
              <w:ind w:right="-10" w:rightChars="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项目经理：</w:t>
            </w:r>
          </w:p>
          <w:p w14:paraId="3239DCAD">
            <w:pPr>
              <w:spacing w:after="50" w:line="240" w:lineRule="auto"/>
              <w:ind w:right="-10" w:rightChars="0"/>
              <w:jc w:val="left"/>
              <w:rPr>
                <w:rFonts w:hint="eastAsia" w:ascii="宋体" w:hAnsi="宋体" w:eastAsia="宋体" w:cs="宋体"/>
                <w:color w:val="auto"/>
                <w:sz w:val="21"/>
                <w:szCs w:val="21"/>
                <w:highlight w:val="none"/>
              </w:rPr>
            </w:pPr>
            <w:r>
              <w:rPr>
                <w:rFonts w:hint="eastAsia" w:cs="宋体"/>
                <w:color w:val="auto"/>
                <w:sz w:val="21"/>
                <w:szCs w:val="21"/>
                <w:highlight w:val="none"/>
                <w:lang w:eastAsia="zh-CN"/>
              </w:rPr>
              <w:t>（</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提供符合资质要求的注册建造师证书和有效的安全生产考核合格证（B证），注册单位必须是供应商本单位；</w:t>
            </w:r>
          </w:p>
          <w:p w14:paraId="2F5B62F7">
            <w:pPr>
              <w:spacing w:after="50" w:line="240" w:lineRule="auto"/>
              <w:ind w:right="-10" w:rightChars="0"/>
              <w:jc w:val="left"/>
              <w:rPr>
                <w:rFonts w:ascii="Calibri" w:hAnsi="Calibri" w:cs="Times New Roman"/>
                <w:color w:val="auto"/>
                <w:kern w:val="2"/>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提供项目经理承诺，格式后附。</w:t>
            </w:r>
          </w:p>
        </w:tc>
        <w:tc>
          <w:tcPr>
            <w:tcW w:w="1863" w:type="dxa"/>
            <w:vMerge w:val="continue"/>
            <w:vAlign w:val="center"/>
          </w:tcPr>
          <w:p w14:paraId="69E424ED">
            <w:pPr>
              <w:spacing w:after="50" w:line="240" w:lineRule="auto"/>
              <w:ind w:right="-10" w:rightChars="0"/>
              <w:jc w:val="both"/>
              <w:rPr>
                <w:rFonts w:ascii="Calibri" w:hAnsi="Calibri" w:cs="Times New Roman"/>
                <w:color w:val="auto"/>
                <w:kern w:val="2"/>
                <w:sz w:val="21"/>
                <w:szCs w:val="21"/>
                <w:highlight w:val="none"/>
              </w:rPr>
            </w:pPr>
          </w:p>
        </w:tc>
      </w:tr>
      <w:tr w14:paraId="1B061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1C693EF">
            <w:pPr>
              <w:adjustRightInd w:val="0"/>
              <w:snapToGrid w:val="0"/>
              <w:spacing w:line="240" w:lineRule="auto"/>
              <w:ind w:right="-10" w:rightChars="0"/>
              <w:jc w:val="center"/>
              <w:rPr>
                <w:rFonts w:hint="eastAsia" w:eastAsia="宋体" w:cs="Times New Roman"/>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val="en-US" w:eastAsia="zh-CN"/>
              </w:rPr>
              <w:t>5</w:t>
            </w:r>
          </w:p>
        </w:tc>
        <w:tc>
          <w:tcPr>
            <w:tcW w:w="1541" w:type="dxa"/>
            <w:vAlign w:val="center"/>
          </w:tcPr>
          <w:p w14:paraId="153A0C3A">
            <w:pPr>
              <w:adjustRightInd w:val="0"/>
              <w:snapToGrid w:val="0"/>
              <w:spacing w:line="240" w:lineRule="auto"/>
              <w:ind w:right="-10" w:rightChars="0"/>
              <w:jc w:val="center"/>
              <w:rPr>
                <w:rFonts w:ascii="Calibri" w:hAnsi="Calibri" w:cs="Times New Roman"/>
                <w:color w:val="auto"/>
                <w:kern w:val="2"/>
                <w:sz w:val="21"/>
                <w:szCs w:val="21"/>
                <w:highlight w:val="none"/>
              </w:rPr>
            </w:pPr>
            <w:r>
              <w:rPr>
                <w:rFonts w:hint="eastAsia" w:cs="Times New Roman"/>
                <w:color w:val="auto"/>
                <w:kern w:val="2"/>
                <w:sz w:val="21"/>
                <w:szCs w:val="21"/>
                <w:highlight w:val="none"/>
              </w:rPr>
              <w:t>授权书</w:t>
            </w:r>
          </w:p>
        </w:tc>
        <w:tc>
          <w:tcPr>
            <w:tcW w:w="4717" w:type="dxa"/>
            <w:vAlign w:val="center"/>
          </w:tcPr>
          <w:p w14:paraId="42442E74">
            <w:pPr>
              <w:adjustRightInd w:val="0"/>
              <w:snapToGrid w:val="0"/>
              <w:spacing w:line="240" w:lineRule="auto"/>
              <w:ind w:right="-10" w:rightChars="0"/>
              <w:jc w:val="left"/>
              <w:rPr>
                <w:rFonts w:ascii="Calibri" w:hAnsi="Calibri" w:cs="Times New Roman"/>
                <w:color w:val="auto"/>
                <w:kern w:val="2"/>
                <w:sz w:val="21"/>
                <w:szCs w:val="21"/>
                <w:highlight w:val="none"/>
              </w:rPr>
            </w:pPr>
            <w:r>
              <w:rPr>
                <w:rFonts w:hint="eastAsia" w:cs="Times New Roman"/>
                <w:color w:val="auto"/>
                <w:kern w:val="2"/>
                <w:sz w:val="21"/>
                <w:szCs w:val="21"/>
                <w:highlight w:val="none"/>
              </w:rPr>
              <w:t>符合</w:t>
            </w:r>
            <w:r>
              <w:rPr>
                <w:rFonts w:hint="eastAsia" w:cs="Times New Roman"/>
                <w:color w:val="auto"/>
                <w:kern w:val="2"/>
                <w:sz w:val="21"/>
                <w:szCs w:val="21"/>
                <w:highlight w:val="none"/>
                <w:lang w:val="en-US" w:eastAsia="zh-CN"/>
              </w:rPr>
              <w:t>磋商</w:t>
            </w:r>
            <w:r>
              <w:rPr>
                <w:rFonts w:hint="eastAsia" w:cs="Times New Roman"/>
                <w:color w:val="auto"/>
                <w:kern w:val="2"/>
                <w:sz w:val="21"/>
                <w:szCs w:val="21"/>
                <w:highlight w:val="none"/>
              </w:rPr>
              <w:t>文件要求。</w:t>
            </w:r>
          </w:p>
        </w:tc>
        <w:tc>
          <w:tcPr>
            <w:tcW w:w="1863" w:type="dxa"/>
            <w:vAlign w:val="center"/>
          </w:tcPr>
          <w:p w14:paraId="6B80E4EF">
            <w:pPr>
              <w:adjustRightInd w:val="0"/>
              <w:snapToGrid w:val="0"/>
              <w:spacing w:line="240" w:lineRule="auto"/>
              <w:ind w:right="-10" w:rightChars="0"/>
              <w:jc w:val="left"/>
              <w:rPr>
                <w:rFonts w:hint="eastAsia" w:eastAsia="宋体" w:cs="Times New Roman"/>
                <w:color w:val="auto"/>
                <w:kern w:val="2"/>
                <w:sz w:val="21"/>
                <w:szCs w:val="21"/>
                <w:highlight w:val="none"/>
                <w:lang w:eastAsia="zh-CN"/>
              </w:rPr>
            </w:pPr>
            <w:r>
              <w:rPr>
                <w:rFonts w:hint="eastAsia" w:ascii="宋体" w:hAnsi="宋体" w:eastAsia="宋体"/>
                <w:color w:val="auto"/>
                <w:sz w:val="21"/>
                <w:szCs w:val="21"/>
                <w:highlight w:val="none"/>
              </w:rPr>
              <w:t>详见第六章</w:t>
            </w:r>
            <w:r>
              <w:rPr>
                <w:rFonts w:hint="eastAsia" w:ascii="宋体" w:hAnsi="宋体" w:eastAsia="宋体"/>
                <w:color w:val="auto"/>
                <w:sz w:val="21"/>
                <w:szCs w:val="21"/>
                <w:highlight w:val="none"/>
                <w:lang w:val="en-US" w:eastAsia="zh-CN"/>
              </w:rPr>
              <w:t>响应</w:t>
            </w:r>
            <w:r>
              <w:rPr>
                <w:rFonts w:hint="eastAsia" w:ascii="宋体" w:hAnsi="宋体" w:eastAsia="宋体"/>
                <w:color w:val="auto"/>
                <w:sz w:val="21"/>
                <w:szCs w:val="21"/>
                <w:highlight w:val="none"/>
              </w:rPr>
              <w:t>文件格式</w:t>
            </w:r>
            <w:r>
              <w:rPr>
                <w:rFonts w:hint="eastAsia" w:ascii="宋体" w:hAnsi="宋体" w:eastAsia="宋体"/>
                <w:color w:val="auto"/>
                <w:sz w:val="21"/>
                <w:szCs w:val="21"/>
                <w:highlight w:val="none"/>
                <w:lang w:eastAsia="zh-CN"/>
              </w:rPr>
              <w:t>。</w:t>
            </w:r>
          </w:p>
        </w:tc>
      </w:tr>
      <w:tr w14:paraId="0D391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68A7864">
            <w:pPr>
              <w:adjustRightInd w:val="0"/>
              <w:snapToGrid w:val="0"/>
              <w:spacing w:line="240" w:lineRule="auto"/>
              <w:ind w:right="-10" w:rightChars="0"/>
              <w:jc w:val="center"/>
              <w:rPr>
                <w:rFonts w:hint="eastAsia" w:eastAsia="宋体" w:cs="Times New Roman"/>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val="en-US" w:eastAsia="zh-CN"/>
              </w:rPr>
              <w:t>6</w:t>
            </w:r>
          </w:p>
        </w:tc>
        <w:tc>
          <w:tcPr>
            <w:tcW w:w="1541" w:type="dxa"/>
            <w:vAlign w:val="center"/>
          </w:tcPr>
          <w:p w14:paraId="4EAB7AED">
            <w:pPr>
              <w:adjustRightInd w:val="0"/>
              <w:snapToGrid w:val="0"/>
              <w:spacing w:line="240" w:lineRule="auto"/>
              <w:ind w:right="-10" w:rightChars="0"/>
              <w:jc w:val="center"/>
              <w:rPr>
                <w:rFonts w:ascii="Calibri" w:hAnsi="Calibri" w:cs="Times New Roman"/>
                <w:color w:val="auto"/>
                <w:kern w:val="2"/>
                <w:sz w:val="21"/>
                <w:szCs w:val="21"/>
                <w:highlight w:val="none"/>
              </w:rPr>
            </w:pPr>
            <w:r>
              <w:rPr>
                <w:rFonts w:hint="eastAsia" w:cs="Times New Roman"/>
                <w:color w:val="auto"/>
                <w:kern w:val="2"/>
                <w:sz w:val="21"/>
                <w:szCs w:val="21"/>
                <w:highlight w:val="none"/>
                <w:lang w:val="en-US" w:eastAsia="zh-CN"/>
              </w:rPr>
              <w:t>磋商</w:t>
            </w:r>
            <w:r>
              <w:rPr>
                <w:rFonts w:hint="eastAsia" w:cs="Times New Roman"/>
                <w:color w:val="auto"/>
                <w:kern w:val="2"/>
                <w:sz w:val="21"/>
                <w:szCs w:val="21"/>
                <w:highlight w:val="none"/>
              </w:rPr>
              <w:t>响应函</w:t>
            </w:r>
          </w:p>
        </w:tc>
        <w:tc>
          <w:tcPr>
            <w:tcW w:w="4717" w:type="dxa"/>
            <w:vAlign w:val="center"/>
          </w:tcPr>
          <w:p w14:paraId="32DDB27A">
            <w:pPr>
              <w:adjustRightInd w:val="0"/>
              <w:snapToGrid w:val="0"/>
              <w:spacing w:line="240" w:lineRule="auto"/>
              <w:ind w:right="-10" w:rightChars="0"/>
              <w:jc w:val="left"/>
              <w:rPr>
                <w:rFonts w:ascii="Calibri" w:hAnsi="Calibri" w:cs="Times New Roman"/>
                <w:color w:val="auto"/>
                <w:kern w:val="2"/>
                <w:sz w:val="21"/>
                <w:szCs w:val="21"/>
                <w:highlight w:val="none"/>
              </w:rPr>
            </w:pPr>
            <w:r>
              <w:rPr>
                <w:rFonts w:hint="eastAsia" w:cs="Times New Roman"/>
                <w:color w:val="auto"/>
                <w:kern w:val="2"/>
                <w:sz w:val="21"/>
                <w:szCs w:val="21"/>
                <w:highlight w:val="none"/>
              </w:rPr>
              <w:t>符合</w:t>
            </w:r>
            <w:r>
              <w:rPr>
                <w:rFonts w:hint="eastAsia" w:cs="Times New Roman"/>
                <w:color w:val="auto"/>
                <w:kern w:val="2"/>
                <w:sz w:val="21"/>
                <w:szCs w:val="21"/>
                <w:highlight w:val="none"/>
                <w:lang w:val="en-US" w:eastAsia="zh-CN"/>
              </w:rPr>
              <w:t>磋商</w:t>
            </w:r>
            <w:r>
              <w:rPr>
                <w:rFonts w:hint="eastAsia" w:cs="Times New Roman"/>
                <w:color w:val="auto"/>
                <w:kern w:val="2"/>
                <w:sz w:val="21"/>
                <w:szCs w:val="21"/>
                <w:highlight w:val="none"/>
              </w:rPr>
              <w:t>文件要求。</w:t>
            </w:r>
          </w:p>
        </w:tc>
        <w:tc>
          <w:tcPr>
            <w:tcW w:w="1863" w:type="dxa"/>
            <w:vAlign w:val="center"/>
          </w:tcPr>
          <w:p w14:paraId="619D3E40">
            <w:pPr>
              <w:adjustRightInd w:val="0"/>
              <w:snapToGrid w:val="0"/>
              <w:spacing w:line="240" w:lineRule="auto"/>
              <w:ind w:right="-10" w:rightChars="0"/>
              <w:jc w:val="left"/>
              <w:rPr>
                <w:rFonts w:hint="eastAsia" w:eastAsia="宋体" w:cs="Times New Roman"/>
                <w:color w:val="auto"/>
                <w:kern w:val="2"/>
                <w:sz w:val="21"/>
                <w:szCs w:val="21"/>
                <w:highlight w:val="none"/>
                <w:lang w:eastAsia="zh-CN"/>
              </w:rPr>
            </w:pPr>
            <w:r>
              <w:rPr>
                <w:rFonts w:hint="eastAsia" w:ascii="宋体" w:hAnsi="宋体" w:eastAsia="宋体"/>
                <w:color w:val="auto"/>
                <w:sz w:val="21"/>
                <w:szCs w:val="21"/>
                <w:highlight w:val="none"/>
              </w:rPr>
              <w:t>详见第六章</w:t>
            </w:r>
            <w:r>
              <w:rPr>
                <w:rFonts w:hint="eastAsia" w:ascii="宋体" w:hAnsi="宋体" w:eastAsia="宋体"/>
                <w:color w:val="auto"/>
                <w:sz w:val="21"/>
                <w:szCs w:val="21"/>
                <w:highlight w:val="none"/>
                <w:lang w:val="en-US" w:eastAsia="zh-CN"/>
              </w:rPr>
              <w:t>响应</w:t>
            </w:r>
            <w:r>
              <w:rPr>
                <w:rFonts w:hint="eastAsia" w:ascii="宋体" w:hAnsi="宋体" w:eastAsia="宋体"/>
                <w:color w:val="auto"/>
                <w:sz w:val="21"/>
                <w:szCs w:val="21"/>
                <w:highlight w:val="none"/>
              </w:rPr>
              <w:t>文件格式</w:t>
            </w:r>
            <w:r>
              <w:rPr>
                <w:rFonts w:hint="eastAsia" w:ascii="宋体" w:hAnsi="宋体" w:eastAsia="宋体"/>
                <w:color w:val="auto"/>
                <w:sz w:val="21"/>
                <w:szCs w:val="21"/>
                <w:highlight w:val="none"/>
                <w:lang w:eastAsia="zh-CN"/>
              </w:rPr>
              <w:t>。</w:t>
            </w:r>
          </w:p>
        </w:tc>
      </w:tr>
      <w:tr w14:paraId="6697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773347D">
            <w:pPr>
              <w:adjustRightInd w:val="0"/>
              <w:snapToGrid w:val="0"/>
              <w:spacing w:line="240" w:lineRule="auto"/>
              <w:ind w:right="-10" w:rightChars="0"/>
              <w:jc w:val="center"/>
              <w:rPr>
                <w:rFonts w:hint="eastAsia" w:eastAsia="宋体" w:cs="Times New Roman"/>
                <w:color w:val="auto"/>
                <w:kern w:val="2"/>
                <w:sz w:val="21"/>
                <w:szCs w:val="21"/>
                <w:highlight w:val="none"/>
                <w:lang w:eastAsia="zh-CN"/>
              </w:rPr>
            </w:pPr>
            <w:r>
              <w:rPr>
                <w:rFonts w:hint="eastAsia"/>
                <w:color w:val="auto"/>
                <w:sz w:val="21"/>
                <w:szCs w:val="21"/>
                <w:highlight w:val="none"/>
                <w:lang w:val="en-US" w:eastAsia="zh-CN"/>
              </w:rPr>
              <w:t>7</w:t>
            </w:r>
          </w:p>
        </w:tc>
        <w:tc>
          <w:tcPr>
            <w:tcW w:w="1541" w:type="dxa"/>
            <w:vAlign w:val="center"/>
          </w:tcPr>
          <w:p w14:paraId="0D79215D">
            <w:pPr>
              <w:spacing w:after="50" w:line="240" w:lineRule="auto"/>
              <w:ind w:right="-10" w:rightChars="0"/>
              <w:jc w:val="center"/>
              <w:rPr>
                <w:rFonts w:ascii="Calibri" w:hAnsi="Calibri" w:cs="Times New Roman"/>
                <w:color w:val="auto"/>
                <w:kern w:val="2"/>
                <w:sz w:val="21"/>
                <w:szCs w:val="21"/>
                <w:highlight w:val="none"/>
              </w:rPr>
            </w:pPr>
            <w:r>
              <w:rPr>
                <w:rFonts w:hint="eastAsia" w:asciiTheme="minorEastAsia" w:hAnsiTheme="minorEastAsia" w:eastAsiaTheme="minorEastAsia"/>
                <w:color w:val="auto"/>
                <w:sz w:val="21"/>
                <w:szCs w:val="21"/>
                <w:highlight w:val="none"/>
                <w:lang w:val="en-US" w:eastAsia="zh-CN"/>
              </w:rPr>
              <w:t>磋商</w:t>
            </w:r>
            <w:r>
              <w:rPr>
                <w:rFonts w:hint="eastAsia" w:asciiTheme="minorEastAsia" w:hAnsiTheme="minorEastAsia" w:eastAsiaTheme="minorEastAsia"/>
                <w:color w:val="auto"/>
                <w:sz w:val="21"/>
                <w:szCs w:val="21"/>
                <w:highlight w:val="none"/>
              </w:rPr>
              <w:t>报价</w:t>
            </w:r>
          </w:p>
        </w:tc>
        <w:tc>
          <w:tcPr>
            <w:tcW w:w="4717" w:type="dxa"/>
            <w:vAlign w:val="center"/>
          </w:tcPr>
          <w:p w14:paraId="5FB02294">
            <w:pPr>
              <w:spacing w:after="50" w:line="240" w:lineRule="auto"/>
              <w:ind w:right="-10" w:rightChars="0"/>
              <w:jc w:val="both"/>
              <w:rPr>
                <w:rFonts w:ascii="Calibri" w:hAnsi="Calibri" w:cs="Times New Roman"/>
                <w:color w:val="auto"/>
                <w:kern w:val="2"/>
                <w:sz w:val="21"/>
                <w:szCs w:val="21"/>
                <w:highlight w:val="none"/>
              </w:rPr>
            </w:pPr>
            <w:r>
              <w:rPr>
                <w:rFonts w:hint="eastAsia" w:asciiTheme="minorEastAsia" w:hAnsiTheme="minorEastAsia" w:eastAsiaTheme="minorEastAsia"/>
                <w:color w:val="auto"/>
                <w:sz w:val="21"/>
                <w:szCs w:val="21"/>
                <w:highlight w:val="none"/>
              </w:rPr>
              <w:t>符合</w:t>
            </w:r>
            <w:r>
              <w:rPr>
                <w:rFonts w:hint="eastAsia" w:cs="Times New Roman"/>
                <w:color w:val="auto"/>
                <w:kern w:val="2"/>
                <w:sz w:val="21"/>
                <w:szCs w:val="21"/>
                <w:highlight w:val="none"/>
                <w:lang w:val="en-US" w:eastAsia="zh-CN"/>
              </w:rPr>
              <w:t>磋商</w:t>
            </w:r>
            <w:r>
              <w:rPr>
                <w:rFonts w:hint="eastAsia" w:asciiTheme="minorEastAsia" w:hAnsiTheme="minorEastAsia" w:eastAsiaTheme="minorEastAsia"/>
                <w:color w:val="auto"/>
                <w:sz w:val="21"/>
                <w:szCs w:val="21"/>
                <w:highlight w:val="none"/>
              </w:rPr>
              <w:t>文件</w:t>
            </w:r>
            <w:r>
              <w:rPr>
                <w:rFonts w:hint="eastAsia" w:asciiTheme="minorEastAsia" w:hAnsiTheme="minorEastAsia" w:eastAsiaTheme="minorEastAsia"/>
                <w:color w:val="auto"/>
                <w:sz w:val="21"/>
                <w:szCs w:val="21"/>
                <w:highlight w:val="none"/>
                <w:lang w:val="en-US" w:eastAsia="zh-CN"/>
              </w:rPr>
              <w:t>要求</w:t>
            </w:r>
          </w:p>
        </w:tc>
        <w:tc>
          <w:tcPr>
            <w:tcW w:w="1863" w:type="dxa"/>
            <w:vAlign w:val="center"/>
          </w:tcPr>
          <w:p w14:paraId="0AB29545">
            <w:pPr>
              <w:adjustRightInd w:val="0"/>
              <w:snapToGrid w:val="0"/>
              <w:spacing w:line="240" w:lineRule="auto"/>
              <w:ind w:right="-10" w:rightChars="0"/>
              <w:jc w:val="both"/>
              <w:rPr>
                <w:rFonts w:hint="eastAsia" w:eastAsia="宋体" w:cs="Times New Roman"/>
                <w:color w:val="auto"/>
                <w:kern w:val="2"/>
                <w:sz w:val="21"/>
                <w:szCs w:val="21"/>
                <w:highlight w:val="none"/>
                <w:lang w:eastAsia="zh-CN"/>
              </w:rPr>
            </w:pPr>
            <w:r>
              <w:rPr>
                <w:rFonts w:hint="eastAsia" w:ascii="宋体" w:hAnsi="宋体" w:eastAsia="宋体"/>
                <w:color w:val="auto"/>
                <w:sz w:val="21"/>
                <w:szCs w:val="21"/>
                <w:highlight w:val="none"/>
              </w:rPr>
              <w:t>详见第六章</w:t>
            </w:r>
            <w:r>
              <w:rPr>
                <w:rFonts w:hint="eastAsia" w:ascii="宋体" w:hAnsi="宋体" w:eastAsia="宋体"/>
                <w:color w:val="auto"/>
                <w:sz w:val="21"/>
                <w:szCs w:val="21"/>
                <w:highlight w:val="none"/>
                <w:lang w:val="en-US" w:eastAsia="zh-CN"/>
              </w:rPr>
              <w:t>响应</w:t>
            </w:r>
            <w:r>
              <w:rPr>
                <w:rFonts w:hint="eastAsia" w:ascii="宋体" w:hAnsi="宋体" w:eastAsia="宋体"/>
                <w:color w:val="auto"/>
                <w:sz w:val="21"/>
                <w:szCs w:val="21"/>
                <w:highlight w:val="none"/>
              </w:rPr>
              <w:t>文件格式</w:t>
            </w:r>
            <w:r>
              <w:rPr>
                <w:rFonts w:hint="eastAsia" w:ascii="宋体" w:hAnsi="宋体" w:eastAsia="宋体"/>
                <w:color w:val="auto"/>
                <w:sz w:val="21"/>
                <w:szCs w:val="21"/>
                <w:highlight w:val="none"/>
                <w:lang w:eastAsia="zh-CN"/>
              </w:rPr>
              <w:t>。</w:t>
            </w:r>
          </w:p>
        </w:tc>
      </w:tr>
      <w:tr w14:paraId="48A5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95" w:type="dxa"/>
            <w:vAlign w:val="center"/>
          </w:tcPr>
          <w:p w14:paraId="46416C90">
            <w:pPr>
              <w:adjustRightInd w:val="0"/>
              <w:snapToGrid w:val="0"/>
              <w:spacing w:line="240" w:lineRule="auto"/>
              <w:ind w:right="-10" w:rightChars="0"/>
              <w:jc w:val="center"/>
              <w:rPr>
                <w:rFonts w:hint="default" w:cs="Times New Roman"/>
                <w:color w:val="auto"/>
                <w:kern w:val="2"/>
                <w:sz w:val="21"/>
                <w:szCs w:val="21"/>
                <w:highlight w:val="none"/>
                <w:lang w:val="en-US"/>
              </w:rPr>
            </w:pPr>
            <w:r>
              <w:rPr>
                <w:rFonts w:hint="eastAsia" w:cs="Times New Roman" w:asciiTheme="minorEastAsia" w:hAnsiTheme="minorEastAsia" w:eastAsiaTheme="minorEastAsia"/>
                <w:color w:val="auto"/>
                <w:kern w:val="2"/>
                <w:sz w:val="21"/>
                <w:szCs w:val="21"/>
                <w:highlight w:val="none"/>
                <w:lang w:val="en-US" w:eastAsia="zh-CN"/>
              </w:rPr>
              <w:t>8</w:t>
            </w:r>
          </w:p>
        </w:tc>
        <w:tc>
          <w:tcPr>
            <w:tcW w:w="1541" w:type="dxa"/>
            <w:vAlign w:val="center"/>
          </w:tcPr>
          <w:p w14:paraId="06BF19DA">
            <w:pPr>
              <w:adjustRightInd w:val="0"/>
              <w:snapToGrid w:val="0"/>
              <w:spacing w:line="240" w:lineRule="auto"/>
              <w:ind w:right="-10" w:rightChars="0"/>
              <w:jc w:val="center"/>
              <w:rPr>
                <w:rFonts w:ascii="Calibri" w:hAnsi="Calibri" w:cs="Times New Roman"/>
                <w:color w:val="auto"/>
                <w:kern w:val="2"/>
                <w:sz w:val="21"/>
                <w:szCs w:val="21"/>
                <w:highlight w:val="none"/>
              </w:rPr>
            </w:pPr>
            <w:r>
              <w:rPr>
                <w:rFonts w:hint="eastAsia" w:ascii="Calibri" w:hAnsi="Calibri" w:cs="Times New Roman"/>
                <w:color w:val="auto"/>
                <w:kern w:val="2"/>
                <w:sz w:val="21"/>
                <w:szCs w:val="21"/>
                <w:highlight w:val="none"/>
                <w:lang w:val="en-US" w:eastAsia="zh-CN"/>
              </w:rPr>
              <w:t>其他</w:t>
            </w:r>
          </w:p>
        </w:tc>
        <w:tc>
          <w:tcPr>
            <w:tcW w:w="4717" w:type="dxa"/>
            <w:vAlign w:val="center"/>
          </w:tcPr>
          <w:p w14:paraId="25A12F0C">
            <w:pPr>
              <w:adjustRightInd w:val="0"/>
              <w:snapToGrid w:val="0"/>
              <w:spacing w:line="240" w:lineRule="auto"/>
              <w:ind w:right="-10" w:rightChars="0"/>
              <w:jc w:val="left"/>
              <w:rPr>
                <w:rFonts w:ascii="Calibri" w:hAnsi="Calibri" w:cs="Times New Roman"/>
                <w:color w:val="auto"/>
                <w:kern w:val="2"/>
                <w:sz w:val="21"/>
                <w:szCs w:val="21"/>
                <w:highlight w:val="none"/>
              </w:rPr>
            </w:pPr>
            <w:r>
              <w:rPr>
                <w:rFonts w:hint="eastAsia" w:asciiTheme="minorEastAsia" w:hAnsiTheme="minorEastAsia" w:eastAsiaTheme="minorEastAsia"/>
                <w:color w:val="auto"/>
                <w:sz w:val="21"/>
                <w:szCs w:val="21"/>
                <w:highlight w:val="none"/>
              </w:rPr>
              <w:t>符合</w:t>
            </w:r>
            <w:r>
              <w:rPr>
                <w:rFonts w:hint="eastAsia" w:cs="Times New Roman"/>
                <w:color w:val="auto"/>
                <w:kern w:val="2"/>
                <w:sz w:val="21"/>
                <w:szCs w:val="21"/>
                <w:highlight w:val="none"/>
                <w:lang w:val="en-US" w:eastAsia="zh-CN"/>
              </w:rPr>
              <w:t>磋商</w:t>
            </w:r>
            <w:r>
              <w:rPr>
                <w:rFonts w:hint="eastAsia" w:asciiTheme="minorEastAsia" w:hAnsiTheme="minorEastAsia" w:eastAsiaTheme="minorEastAsia"/>
                <w:color w:val="auto"/>
                <w:sz w:val="21"/>
                <w:szCs w:val="21"/>
                <w:highlight w:val="none"/>
              </w:rPr>
              <w:t>文件</w:t>
            </w:r>
            <w:r>
              <w:rPr>
                <w:rFonts w:hint="eastAsia" w:asciiTheme="minorEastAsia" w:hAnsiTheme="minorEastAsia" w:eastAsiaTheme="minorEastAsia"/>
                <w:color w:val="auto"/>
                <w:sz w:val="21"/>
                <w:szCs w:val="21"/>
                <w:highlight w:val="none"/>
                <w:lang w:val="en-US" w:eastAsia="zh-CN"/>
              </w:rPr>
              <w:t>要求</w:t>
            </w:r>
          </w:p>
        </w:tc>
        <w:tc>
          <w:tcPr>
            <w:tcW w:w="1863" w:type="dxa"/>
            <w:vAlign w:val="center"/>
          </w:tcPr>
          <w:p w14:paraId="10796910">
            <w:pPr>
              <w:adjustRightInd w:val="0"/>
              <w:snapToGrid w:val="0"/>
              <w:spacing w:line="240" w:lineRule="auto"/>
              <w:ind w:right="-10" w:rightChars="0"/>
              <w:jc w:val="left"/>
              <w:rPr>
                <w:rFonts w:hint="eastAsia" w:asciiTheme="majorEastAsia" w:hAnsiTheme="majorEastAsia" w:eastAsiaTheme="majorEastAsia"/>
                <w:color w:val="auto"/>
                <w:sz w:val="21"/>
                <w:szCs w:val="21"/>
                <w:highlight w:val="none"/>
              </w:rPr>
            </w:pPr>
          </w:p>
        </w:tc>
      </w:tr>
      <w:tr w14:paraId="1CDAF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916" w:type="dxa"/>
            <w:gridSpan w:val="4"/>
            <w:tcBorders>
              <w:bottom w:val="single" w:color="auto" w:sz="4" w:space="0"/>
            </w:tcBorders>
            <w:vAlign w:val="center"/>
          </w:tcPr>
          <w:p w14:paraId="5D2C94C9">
            <w:pPr>
              <w:adjustRightInd w:val="0"/>
              <w:snapToGrid w:val="0"/>
              <w:spacing w:line="240" w:lineRule="auto"/>
              <w:ind w:right="-10"/>
              <w:jc w:val="left"/>
              <w:rPr>
                <w:rFonts w:hint="eastAsia" w:ascii="Calibri" w:hAnsi="Calibri" w:cs="Times New Roman"/>
                <w:color w:val="auto"/>
                <w:kern w:val="2"/>
                <w:sz w:val="21"/>
                <w:szCs w:val="21"/>
                <w:highlight w:val="none"/>
              </w:rPr>
            </w:pPr>
            <w:r>
              <w:rPr>
                <w:rFonts w:hint="eastAsia" w:ascii="Calibri" w:hAnsi="Calibri" w:cs="Times New Roman"/>
                <w:color w:val="auto"/>
                <w:kern w:val="2"/>
                <w:sz w:val="21"/>
                <w:szCs w:val="21"/>
                <w:highlight w:val="none"/>
              </w:rPr>
              <w:t>评审指标通过标准：供应商必须通过上述全部指标。</w:t>
            </w:r>
          </w:p>
        </w:tc>
      </w:tr>
    </w:tbl>
    <w:p w14:paraId="54A54AD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5B7EDDB6">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2.2综合评分</w:t>
      </w:r>
    </w:p>
    <w:p w14:paraId="29A257D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45DF55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80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20</w:t>
      </w:r>
      <w:r>
        <w:rPr>
          <w:rFonts w:asciiTheme="minorEastAsia" w:hAnsiTheme="minorEastAsia" w:eastAsiaTheme="minorEastAsia"/>
          <w:color w:val="auto"/>
          <w:sz w:val="24"/>
          <w:highlight w:val="none"/>
        </w:rPr>
        <w:t>%。具体评分细则如下：</w:t>
      </w:r>
    </w:p>
    <w:tbl>
      <w:tblPr>
        <w:tblStyle w:val="55"/>
        <w:tblW w:w="10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2"/>
        <w:gridCol w:w="7571"/>
        <w:gridCol w:w="685"/>
      </w:tblGrid>
      <w:tr w14:paraId="6DCD3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882" w:type="dxa"/>
            <w:tcBorders>
              <w:top w:val="single" w:color="auto" w:sz="4" w:space="0"/>
              <w:left w:val="single" w:color="auto" w:sz="4" w:space="0"/>
              <w:bottom w:val="single" w:color="auto" w:sz="4" w:space="0"/>
              <w:right w:val="single" w:color="auto" w:sz="4" w:space="0"/>
            </w:tcBorders>
            <w:vAlign w:val="center"/>
          </w:tcPr>
          <w:p w14:paraId="57DDC589">
            <w:pPr>
              <w:spacing w:line="240" w:lineRule="auto"/>
              <w:jc w:val="center"/>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评分内容</w:t>
            </w:r>
          </w:p>
        </w:tc>
        <w:tc>
          <w:tcPr>
            <w:tcW w:w="7571" w:type="dxa"/>
            <w:tcBorders>
              <w:top w:val="single" w:color="auto" w:sz="4" w:space="0"/>
              <w:left w:val="single" w:color="auto" w:sz="4" w:space="0"/>
              <w:bottom w:val="single" w:color="auto" w:sz="4" w:space="0"/>
              <w:right w:val="single" w:color="auto" w:sz="4" w:space="0"/>
            </w:tcBorders>
            <w:vAlign w:val="center"/>
          </w:tcPr>
          <w:p w14:paraId="427C7FA9">
            <w:pPr>
              <w:spacing w:line="240" w:lineRule="auto"/>
              <w:jc w:val="center"/>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评分标准</w:t>
            </w:r>
          </w:p>
        </w:tc>
        <w:tc>
          <w:tcPr>
            <w:tcW w:w="685" w:type="dxa"/>
            <w:tcBorders>
              <w:top w:val="single" w:color="auto" w:sz="4" w:space="0"/>
              <w:left w:val="single" w:color="auto" w:sz="4" w:space="0"/>
              <w:bottom w:val="single" w:color="auto" w:sz="4" w:space="0"/>
              <w:right w:val="single" w:color="auto" w:sz="4" w:space="0"/>
            </w:tcBorders>
            <w:vAlign w:val="center"/>
          </w:tcPr>
          <w:p w14:paraId="53B022FC">
            <w:pPr>
              <w:spacing w:line="240" w:lineRule="auto"/>
              <w:jc w:val="center"/>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分值</w:t>
            </w:r>
          </w:p>
        </w:tc>
      </w:tr>
      <w:tr w14:paraId="5DE1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2" w:type="dxa"/>
            <w:tcBorders>
              <w:top w:val="single" w:color="auto" w:sz="4" w:space="0"/>
              <w:left w:val="single" w:color="auto" w:sz="4" w:space="0"/>
              <w:bottom w:val="single" w:color="auto" w:sz="4" w:space="0"/>
              <w:right w:val="single" w:color="auto" w:sz="4" w:space="0"/>
            </w:tcBorders>
            <w:vAlign w:val="center"/>
          </w:tcPr>
          <w:p w14:paraId="768886D9">
            <w:pPr>
              <w:spacing w:line="240" w:lineRule="auto"/>
              <w:jc w:val="center"/>
              <w:rPr>
                <w:rFonts w:asciiTheme="minorEastAsia" w:hAnsiTheme="minorEastAsia" w:eastAsiaTheme="minorEastAsia"/>
                <w:bCs/>
                <w:color w:val="auto"/>
                <w:sz w:val="24"/>
                <w:szCs w:val="24"/>
                <w:highlight w:val="none"/>
              </w:rPr>
            </w:pPr>
            <w:r>
              <w:rPr>
                <w:rFonts w:ascii="Times New Roman" w:hAnsi="Times New Roman"/>
                <w:b/>
                <w:color w:val="auto"/>
                <w:kern w:val="0"/>
                <w:sz w:val="24"/>
                <w:szCs w:val="24"/>
                <w:highlight w:val="none"/>
              </w:rPr>
              <w:t>供应商业绩</w:t>
            </w:r>
          </w:p>
        </w:tc>
        <w:tc>
          <w:tcPr>
            <w:tcW w:w="7571" w:type="dxa"/>
            <w:tcBorders>
              <w:top w:val="single" w:color="auto" w:sz="4" w:space="0"/>
              <w:left w:val="single" w:color="auto" w:sz="4" w:space="0"/>
              <w:bottom w:val="single" w:color="auto" w:sz="4" w:space="0"/>
              <w:right w:val="single" w:color="auto" w:sz="4" w:space="0"/>
            </w:tcBorders>
            <w:vAlign w:val="center"/>
          </w:tcPr>
          <w:p w14:paraId="75295D3C">
            <w:pPr>
              <w:adjustRightInd w:val="0"/>
              <w:snapToGrid w:val="0"/>
              <w:spacing w:line="240" w:lineRule="auto"/>
              <w:rPr>
                <w:rFonts w:hint="eastAsia" w:ascii="宋体" w:hAnsi="宋体" w:cs="宋体"/>
                <w:bCs w:val="0"/>
                <w:color w:val="auto"/>
                <w:kern w:val="0"/>
                <w:sz w:val="24"/>
                <w:szCs w:val="24"/>
                <w:highlight w:val="none"/>
              </w:rPr>
            </w:pPr>
            <w:r>
              <w:rPr>
                <w:rFonts w:hint="eastAsia" w:ascii="Times New Roman" w:hAnsi="Times New Roman"/>
                <w:bCs/>
                <w:color w:val="auto"/>
                <w:sz w:val="24"/>
                <w:szCs w:val="24"/>
                <w:highlight w:val="none"/>
              </w:rPr>
              <w:t>自20</w:t>
            </w:r>
            <w:r>
              <w:rPr>
                <w:rFonts w:hint="eastAsia" w:ascii="Times New Roman" w:hAnsi="Times New Roman"/>
                <w:bCs/>
                <w:color w:val="auto"/>
                <w:sz w:val="24"/>
                <w:szCs w:val="24"/>
                <w:highlight w:val="none"/>
                <w:lang w:val="en-US" w:eastAsia="zh-CN"/>
              </w:rPr>
              <w:t>22</w:t>
            </w:r>
            <w:r>
              <w:rPr>
                <w:rFonts w:hint="eastAsia" w:ascii="Times New Roman" w:hAnsi="Times New Roman"/>
                <w:bCs/>
                <w:color w:val="auto"/>
                <w:sz w:val="24"/>
                <w:szCs w:val="24"/>
                <w:highlight w:val="none"/>
              </w:rPr>
              <w:t>年1月</w:t>
            </w:r>
            <w:r>
              <w:rPr>
                <w:rFonts w:hint="eastAsia" w:ascii="Times New Roman" w:hAnsi="Times New Roman"/>
                <w:bCs/>
                <w:color w:val="auto"/>
                <w:sz w:val="24"/>
                <w:szCs w:val="24"/>
                <w:highlight w:val="none"/>
                <w:lang w:val="en-US" w:eastAsia="zh-CN"/>
              </w:rPr>
              <w:t>1</w:t>
            </w:r>
            <w:r>
              <w:rPr>
                <w:rFonts w:hint="eastAsia" w:ascii="Times New Roman" w:hAnsi="Times New Roman"/>
                <w:bCs/>
                <w:color w:val="auto"/>
                <w:sz w:val="24"/>
                <w:szCs w:val="24"/>
                <w:highlight w:val="none"/>
              </w:rPr>
              <w:t>日以来，</w:t>
            </w:r>
            <w:r>
              <w:rPr>
                <w:rFonts w:hint="eastAsia" w:ascii="Times New Roman" w:hAnsi="Times New Roman"/>
                <w:bCs/>
                <w:color w:val="auto"/>
                <w:sz w:val="24"/>
                <w:szCs w:val="24"/>
                <w:highlight w:val="none"/>
                <w:lang w:eastAsia="zh-CN"/>
              </w:rPr>
              <w:t>供应商</w:t>
            </w:r>
            <w:r>
              <w:rPr>
                <w:rFonts w:hint="eastAsia" w:ascii="Times New Roman" w:hAnsi="Times New Roman"/>
                <w:bCs/>
                <w:color w:val="auto"/>
                <w:sz w:val="24"/>
                <w:szCs w:val="24"/>
                <w:highlight w:val="none"/>
              </w:rPr>
              <w:t>每提供一</w:t>
            </w:r>
            <w:r>
              <w:rPr>
                <w:rFonts w:hint="eastAsia" w:ascii="Times New Roman" w:hAnsi="Times New Roman" w:eastAsia="宋体"/>
                <w:bCs/>
                <w:color w:val="auto"/>
                <w:sz w:val="24"/>
                <w:szCs w:val="24"/>
                <w:highlight w:val="none"/>
              </w:rPr>
              <w:t>个</w:t>
            </w:r>
            <w:r>
              <w:rPr>
                <w:rFonts w:hint="default" w:ascii="Times New Roman" w:hAnsi="Times New Roman" w:cs="Times New Roman"/>
                <w:color w:val="auto"/>
                <w:sz w:val="24"/>
                <w:szCs w:val="24"/>
                <w:highlight w:val="none"/>
              </w:rPr>
              <w:t>水利或水运工程自动化</w:t>
            </w:r>
            <w:r>
              <w:rPr>
                <w:rFonts w:hint="eastAsia" w:ascii="Times New Roman" w:hAnsi="Times New Roman"/>
                <w:bCs/>
                <w:color w:val="auto"/>
                <w:sz w:val="24"/>
                <w:szCs w:val="24"/>
                <w:highlight w:val="none"/>
                <w:lang w:val="en-US" w:eastAsia="zh-CN"/>
              </w:rPr>
              <w:t>施工项目</w:t>
            </w:r>
            <w:r>
              <w:rPr>
                <w:rFonts w:hint="eastAsia" w:ascii="Times New Roman" w:hAnsi="Times New Roman"/>
                <w:bCs/>
                <w:color w:val="auto"/>
                <w:sz w:val="24"/>
                <w:szCs w:val="24"/>
                <w:highlight w:val="none"/>
              </w:rPr>
              <w:t>业绩的得</w:t>
            </w:r>
            <w:r>
              <w:rPr>
                <w:rFonts w:hint="eastAsia" w:ascii="Times New Roman" w:hAnsi="Times New Roman"/>
                <w:bCs/>
                <w:color w:val="auto"/>
                <w:sz w:val="24"/>
                <w:szCs w:val="24"/>
                <w:highlight w:val="none"/>
                <w:lang w:val="en-US" w:eastAsia="zh-CN"/>
              </w:rPr>
              <w:t>5</w:t>
            </w:r>
            <w:r>
              <w:rPr>
                <w:rFonts w:hint="eastAsia" w:ascii="Times New Roman" w:hAnsi="Times New Roman"/>
                <w:bCs/>
                <w:color w:val="auto"/>
                <w:sz w:val="24"/>
                <w:szCs w:val="24"/>
                <w:highlight w:val="none"/>
              </w:rPr>
              <w:t>分，满分</w:t>
            </w:r>
            <w:r>
              <w:rPr>
                <w:rFonts w:hint="eastAsia" w:ascii="Times New Roman" w:hAnsi="Times New Roman"/>
                <w:bCs/>
                <w:color w:val="auto"/>
                <w:sz w:val="24"/>
                <w:szCs w:val="24"/>
                <w:highlight w:val="none"/>
                <w:lang w:val="en-US" w:eastAsia="zh-CN"/>
              </w:rPr>
              <w:t>15</w:t>
            </w:r>
            <w:r>
              <w:rPr>
                <w:rFonts w:hint="eastAsia" w:ascii="Times New Roman" w:hAnsi="Times New Roman"/>
                <w:bCs/>
                <w:color w:val="auto"/>
                <w:sz w:val="24"/>
                <w:szCs w:val="24"/>
                <w:highlight w:val="none"/>
              </w:rPr>
              <w:t>分；</w:t>
            </w:r>
          </w:p>
          <w:p w14:paraId="5A98C586">
            <w:pPr>
              <w:spacing w:line="240" w:lineRule="auto"/>
              <w:jc w:val="left"/>
              <w:rPr>
                <w:rFonts w:asciiTheme="minorEastAsia" w:hAnsiTheme="minorEastAsia" w:eastAsiaTheme="minorEastAsia"/>
                <w:bCs/>
                <w:color w:val="auto"/>
                <w:sz w:val="24"/>
                <w:szCs w:val="24"/>
                <w:highlight w:val="none"/>
              </w:rPr>
            </w:pPr>
            <w:r>
              <w:rPr>
                <w:rStyle w:val="272"/>
                <w:rFonts w:hint="eastAsia" w:ascii="Times New Roman" w:hAnsi="Times New Roman"/>
                <w:b/>
                <w:bCs/>
                <w:color w:val="auto"/>
                <w:sz w:val="24"/>
                <w:szCs w:val="24"/>
                <w:highlight w:val="none"/>
                <w:lang w:val="en-US" w:eastAsia="zh-CN"/>
              </w:rPr>
              <w:t>注：响应文件中须同时提供①中标通知书或合同；②完工（或竣工）验收报告或第三方&lt;合同甲方或行业主管部门&gt;出具的已完成证明，否则不得分。如上述材料不能体现业绩时间、项目内容等关键评审因素的，可补充提供合同甲方或行政主管部门出具的证明文件。</w:t>
            </w:r>
          </w:p>
        </w:tc>
        <w:tc>
          <w:tcPr>
            <w:tcW w:w="685" w:type="dxa"/>
            <w:tcBorders>
              <w:top w:val="single" w:color="auto" w:sz="4" w:space="0"/>
              <w:left w:val="single" w:color="auto" w:sz="4" w:space="0"/>
              <w:bottom w:val="single" w:color="auto" w:sz="4" w:space="0"/>
              <w:right w:val="single" w:color="auto" w:sz="4" w:space="0"/>
            </w:tcBorders>
            <w:vAlign w:val="center"/>
          </w:tcPr>
          <w:p w14:paraId="0FB07708">
            <w:pPr>
              <w:spacing w:line="240" w:lineRule="auto"/>
              <w:jc w:val="center"/>
              <w:rPr>
                <w:rFonts w:hint="default"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15分</w:t>
            </w:r>
          </w:p>
        </w:tc>
      </w:tr>
      <w:tr w14:paraId="79EE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2" w:type="dxa"/>
            <w:tcBorders>
              <w:top w:val="single" w:color="auto" w:sz="4" w:space="0"/>
              <w:left w:val="single" w:color="auto" w:sz="4" w:space="0"/>
              <w:bottom w:val="single" w:color="auto" w:sz="4" w:space="0"/>
              <w:right w:val="single" w:color="auto" w:sz="4" w:space="0"/>
            </w:tcBorders>
            <w:vAlign w:val="center"/>
          </w:tcPr>
          <w:p w14:paraId="7235F16A">
            <w:pPr>
              <w:spacing w:line="240" w:lineRule="auto"/>
              <w:jc w:val="center"/>
              <w:rPr>
                <w:rFonts w:hint="eastAsia" w:ascii="Times New Roman" w:hAnsi="Times New Roman"/>
                <w:b/>
                <w:bCs/>
                <w:color w:val="auto"/>
                <w:kern w:val="0"/>
                <w:sz w:val="24"/>
                <w:szCs w:val="24"/>
                <w:highlight w:val="none"/>
                <w:lang w:val="en-US" w:eastAsia="zh-CN"/>
              </w:rPr>
            </w:pPr>
            <w:r>
              <w:rPr>
                <w:rStyle w:val="272"/>
                <w:rFonts w:hint="eastAsia" w:ascii="Times New Roman" w:hAnsi="Times New Roman" w:cs="Times New Roman"/>
                <w:b/>
                <w:bCs/>
                <w:color w:val="auto"/>
                <w:sz w:val="24"/>
                <w:szCs w:val="24"/>
                <w:highlight w:val="none"/>
                <w:lang w:eastAsia="zh-CN"/>
              </w:rPr>
              <w:t>项目经理</w:t>
            </w:r>
            <w:r>
              <w:rPr>
                <w:rStyle w:val="272"/>
                <w:rFonts w:hint="eastAsia" w:ascii="Times New Roman" w:hAnsi="Times New Roman" w:eastAsia="宋体" w:cs="Times New Roman"/>
                <w:b/>
                <w:bCs/>
                <w:color w:val="auto"/>
                <w:sz w:val="24"/>
                <w:szCs w:val="24"/>
                <w:highlight w:val="none"/>
                <w:lang w:val="en-US" w:eastAsia="zh-CN"/>
              </w:rPr>
              <w:t>业绩</w:t>
            </w:r>
          </w:p>
        </w:tc>
        <w:tc>
          <w:tcPr>
            <w:tcW w:w="7571" w:type="dxa"/>
            <w:tcBorders>
              <w:top w:val="single" w:color="auto" w:sz="4" w:space="0"/>
              <w:left w:val="single" w:color="auto" w:sz="4" w:space="0"/>
              <w:bottom w:val="single" w:color="auto" w:sz="4" w:space="0"/>
              <w:right w:val="single" w:color="auto" w:sz="4" w:space="0"/>
            </w:tcBorders>
            <w:vAlign w:val="center"/>
          </w:tcPr>
          <w:p w14:paraId="014D2484">
            <w:pPr>
              <w:widowControl/>
              <w:adjustRightInd w:val="0"/>
              <w:snapToGrid w:val="0"/>
              <w:spacing w:line="240" w:lineRule="auto"/>
              <w:rPr>
                <w:rStyle w:val="272"/>
                <w:rFonts w:hint="eastAsia" w:ascii="Times New Roman" w:hAnsi="Times New Roman"/>
                <w:color w:val="auto"/>
                <w:sz w:val="24"/>
                <w:szCs w:val="24"/>
                <w:highlight w:val="none"/>
                <w:lang w:eastAsia="zh-CN"/>
              </w:rPr>
            </w:pPr>
            <w:r>
              <w:rPr>
                <w:rStyle w:val="272"/>
                <w:rFonts w:hint="eastAsia" w:ascii="Times New Roman" w:hAnsi="Times New Roman"/>
                <w:color w:val="auto"/>
                <w:sz w:val="24"/>
                <w:szCs w:val="24"/>
                <w:highlight w:val="none"/>
                <w:lang w:val="en-US" w:eastAsia="zh-CN"/>
              </w:rPr>
              <w:t>拟派</w:t>
            </w:r>
            <w:r>
              <w:rPr>
                <w:rStyle w:val="272"/>
                <w:rFonts w:hint="eastAsia" w:ascii="Times New Roman" w:hAnsi="Times New Roman"/>
                <w:color w:val="auto"/>
                <w:sz w:val="24"/>
                <w:szCs w:val="24"/>
                <w:highlight w:val="none"/>
                <w:lang w:eastAsia="zh-CN"/>
              </w:rPr>
              <w:t>项目经理</w:t>
            </w:r>
            <w:r>
              <w:rPr>
                <w:rStyle w:val="272"/>
                <w:rFonts w:hint="eastAsia" w:ascii="Times New Roman" w:hAnsi="Times New Roman"/>
                <w:color w:val="auto"/>
                <w:sz w:val="24"/>
                <w:szCs w:val="24"/>
                <w:highlight w:val="none"/>
                <w:lang w:val="en-US" w:eastAsia="zh-CN"/>
              </w:rPr>
              <w:t>每</w:t>
            </w:r>
            <w:r>
              <w:rPr>
                <w:rStyle w:val="272"/>
                <w:rFonts w:ascii="Times New Roman" w:hAnsi="Times New Roman"/>
                <w:color w:val="auto"/>
                <w:sz w:val="24"/>
                <w:szCs w:val="24"/>
                <w:highlight w:val="none"/>
              </w:rPr>
              <w:t>具有</w:t>
            </w:r>
            <w:r>
              <w:rPr>
                <w:rStyle w:val="272"/>
                <w:rFonts w:hint="eastAsia" w:ascii="Times New Roman" w:hAnsi="Times New Roman"/>
                <w:color w:val="auto"/>
                <w:sz w:val="24"/>
                <w:szCs w:val="24"/>
                <w:highlight w:val="none"/>
                <w:lang w:val="en-US" w:eastAsia="zh-CN"/>
              </w:rPr>
              <w:t>一个</w:t>
            </w:r>
            <w:r>
              <w:rPr>
                <w:rFonts w:hint="default" w:ascii="Times New Roman" w:hAnsi="Times New Roman" w:cs="Times New Roman"/>
                <w:color w:val="auto"/>
                <w:sz w:val="24"/>
                <w:szCs w:val="24"/>
                <w:highlight w:val="none"/>
              </w:rPr>
              <w:t>水利或水运工程自动化</w:t>
            </w:r>
            <w:r>
              <w:rPr>
                <w:rFonts w:hint="eastAsia" w:ascii="Times New Roman" w:hAnsi="Times New Roman" w:cs="Times New Roman"/>
                <w:color w:val="auto"/>
                <w:spacing w:val="-1"/>
                <w:sz w:val="24"/>
                <w:szCs w:val="24"/>
                <w:highlight w:val="none"/>
                <w:lang w:val="en-US" w:eastAsia="zh-CN"/>
              </w:rPr>
              <w:t>施工项目</w:t>
            </w:r>
            <w:r>
              <w:rPr>
                <w:rStyle w:val="272"/>
                <w:rFonts w:hint="eastAsia" w:ascii="Times New Roman" w:hAnsi="Times New Roman"/>
                <w:color w:val="auto"/>
                <w:sz w:val="24"/>
                <w:szCs w:val="24"/>
                <w:highlight w:val="none"/>
                <w:lang w:eastAsia="zh-CN"/>
              </w:rPr>
              <w:t>经理</w:t>
            </w:r>
            <w:r>
              <w:rPr>
                <w:rStyle w:val="272"/>
                <w:rFonts w:hint="eastAsia" w:ascii="Times New Roman" w:hAnsi="Times New Roman"/>
                <w:color w:val="auto"/>
                <w:sz w:val="24"/>
                <w:szCs w:val="24"/>
                <w:highlight w:val="none"/>
              </w:rPr>
              <w:t>业绩</w:t>
            </w:r>
            <w:r>
              <w:rPr>
                <w:rStyle w:val="272"/>
                <w:rFonts w:hint="eastAsia" w:ascii="Times New Roman" w:hAnsi="Times New Roman"/>
                <w:color w:val="auto"/>
                <w:sz w:val="24"/>
                <w:szCs w:val="24"/>
                <w:highlight w:val="none"/>
                <w:lang w:val="en-US" w:eastAsia="zh-CN"/>
              </w:rPr>
              <w:t>得5</w:t>
            </w:r>
            <w:r>
              <w:rPr>
                <w:rStyle w:val="272"/>
                <w:rFonts w:ascii="Times New Roman" w:hAnsi="Times New Roman"/>
                <w:color w:val="auto"/>
                <w:sz w:val="24"/>
                <w:szCs w:val="24"/>
                <w:highlight w:val="none"/>
              </w:rPr>
              <w:t>分，最多得</w:t>
            </w:r>
            <w:r>
              <w:rPr>
                <w:rStyle w:val="272"/>
                <w:rFonts w:hint="eastAsia" w:ascii="Times New Roman" w:hAnsi="Times New Roman"/>
                <w:color w:val="auto"/>
                <w:sz w:val="24"/>
                <w:szCs w:val="24"/>
                <w:highlight w:val="none"/>
                <w:lang w:val="en-US" w:eastAsia="zh-CN"/>
              </w:rPr>
              <w:t>10</w:t>
            </w:r>
            <w:r>
              <w:rPr>
                <w:rStyle w:val="272"/>
                <w:rFonts w:ascii="Times New Roman" w:hAnsi="Times New Roman"/>
                <w:color w:val="auto"/>
                <w:sz w:val="24"/>
                <w:szCs w:val="24"/>
                <w:highlight w:val="none"/>
              </w:rPr>
              <w:t>分</w:t>
            </w:r>
            <w:r>
              <w:rPr>
                <w:rStyle w:val="272"/>
                <w:rFonts w:hint="eastAsia" w:ascii="Times New Roman" w:hAnsi="Times New Roman"/>
                <w:color w:val="auto"/>
                <w:sz w:val="24"/>
                <w:szCs w:val="24"/>
                <w:highlight w:val="none"/>
                <w:lang w:eastAsia="zh-CN"/>
              </w:rPr>
              <w:t>。</w:t>
            </w:r>
          </w:p>
          <w:p w14:paraId="335271D1">
            <w:pPr>
              <w:spacing w:line="240" w:lineRule="auto"/>
              <w:jc w:val="left"/>
              <w:rPr>
                <w:rFonts w:asciiTheme="minorEastAsia" w:hAnsiTheme="minorEastAsia" w:eastAsiaTheme="minorEastAsia"/>
                <w:color w:val="auto"/>
                <w:sz w:val="24"/>
                <w:szCs w:val="24"/>
                <w:highlight w:val="none"/>
              </w:rPr>
            </w:pPr>
            <w:r>
              <w:rPr>
                <w:rStyle w:val="272"/>
                <w:rFonts w:hint="eastAsia" w:ascii="Times New Roman" w:hAnsi="Times New Roman"/>
                <w:b/>
                <w:bCs/>
                <w:color w:val="auto"/>
                <w:sz w:val="24"/>
                <w:szCs w:val="24"/>
                <w:highlight w:val="none"/>
                <w:lang w:val="en-US" w:eastAsia="zh-CN"/>
              </w:rPr>
              <w:t>注：响应文件中须同时提供①中标通知书或合同；②完工（或竣工）验收报告或第三方&lt;合同甲方或行业主管部门&gt;出具的已完成证明，否则不得分。如上述材料不能体现时间、项目经理姓名等关键评审因素的，可补充提供合同甲方或行政主管部门出具的证明文件。</w:t>
            </w:r>
          </w:p>
        </w:tc>
        <w:tc>
          <w:tcPr>
            <w:tcW w:w="685" w:type="dxa"/>
            <w:tcBorders>
              <w:top w:val="single" w:color="auto" w:sz="4" w:space="0"/>
              <w:left w:val="single" w:color="auto" w:sz="4" w:space="0"/>
              <w:bottom w:val="single" w:color="auto" w:sz="4" w:space="0"/>
              <w:right w:val="single" w:color="auto" w:sz="4" w:space="0"/>
            </w:tcBorders>
            <w:vAlign w:val="center"/>
          </w:tcPr>
          <w:p w14:paraId="6E8BB7B8">
            <w:pPr>
              <w:spacing w:line="240" w:lineRule="auto"/>
              <w:jc w:val="center"/>
              <w:rPr>
                <w:rFonts w:hint="eastAsia"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val="0"/>
                <w:bCs w:val="0"/>
                <w:color w:val="auto"/>
                <w:sz w:val="24"/>
                <w:szCs w:val="24"/>
                <w:highlight w:val="none"/>
                <w:lang w:val="en-US" w:eastAsia="zh-CN"/>
              </w:rPr>
              <w:t>10分</w:t>
            </w:r>
          </w:p>
        </w:tc>
      </w:tr>
      <w:tr w14:paraId="09B2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882" w:type="dxa"/>
            <w:tcBorders>
              <w:top w:val="single" w:color="auto" w:sz="4" w:space="0"/>
              <w:left w:val="single" w:color="auto" w:sz="4" w:space="0"/>
              <w:bottom w:val="single" w:color="auto" w:sz="4" w:space="0"/>
              <w:right w:val="single" w:color="auto" w:sz="4" w:space="0"/>
            </w:tcBorders>
            <w:vAlign w:val="center"/>
          </w:tcPr>
          <w:p w14:paraId="4375FCEA">
            <w:pPr>
              <w:spacing w:line="240" w:lineRule="auto"/>
              <w:jc w:val="center"/>
              <w:rPr>
                <w:rStyle w:val="272"/>
                <w:rFonts w:hint="eastAsia" w:ascii="Times New Roman" w:hAnsi="Times New Roman" w:cs="Times New Roman"/>
                <w:b/>
                <w:bCs/>
                <w:color w:val="auto"/>
                <w:sz w:val="24"/>
                <w:szCs w:val="24"/>
                <w:highlight w:val="none"/>
                <w:lang w:eastAsia="zh-CN"/>
              </w:rPr>
            </w:pPr>
            <w:r>
              <w:rPr>
                <w:rStyle w:val="272"/>
                <w:rFonts w:hint="eastAsia" w:ascii="Times New Roman" w:hAnsi="Times New Roman" w:cs="Times New Roman"/>
                <w:b/>
                <w:bCs/>
                <w:color w:val="auto"/>
                <w:sz w:val="24"/>
                <w:szCs w:val="24"/>
                <w:highlight w:val="none"/>
                <w:lang w:eastAsia="zh-CN"/>
              </w:rPr>
              <w:t>项目经理</w:t>
            </w:r>
            <w:r>
              <w:rPr>
                <w:rStyle w:val="272"/>
                <w:rFonts w:hint="eastAsia" w:ascii="Times New Roman" w:hAnsi="Times New Roman" w:cs="Times New Roman"/>
                <w:b/>
                <w:bCs/>
                <w:color w:val="auto"/>
                <w:sz w:val="24"/>
                <w:szCs w:val="24"/>
                <w:highlight w:val="none"/>
                <w:lang w:val="en-US" w:eastAsia="zh-CN"/>
              </w:rPr>
              <w:t>职称</w:t>
            </w:r>
          </w:p>
        </w:tc>
        <w:tc>
          <w:tcPr>
            <w:tcW w:w="7571" w:type="dxa"/>
            <w:tcBorders>
              <w:top w:val="single" w:color="auto" w:sz="4" w:space="0"/>
              <w:left w:val="single" w:color="auto" w:sz="4" w:space="0"/>
              <w:bottom w:val="single" w:color="auto" w:sz="4" w:space="0"/>
              <w:right w:val="single" w:color="auto" w:sz="4" w:space="0"/>
            </w:tcBorders>
            <w:vAlign w:val="center"/>
          </w:tcPr>
          <w:p w14:paraId="1911BBFF">
            <w:pPr>
              <w:spacing w:line="240" w:lineRule="auto"/>
              <w:jc w:val="left"/>
              <w:rPr>
                <w:rFonts w:hint="eastAsia"/>
                <w:color w:val="auto"/>
                <w:sz w:val="24"/>
                <w:szCs w:val="24"/>
                <w:highlight w:val="none"/>
                <w:lang w:val="en-US" w:eastAsia="zh-CN"/>
              </w:rPr>
            </w:pPr>
            <w:r>
              <w:rPr>
                <w:rFonts w:hint="eastAsia"/>
                <w:color w:val="auto"/>
                <w:sz w:val="24"/>
                <w:szCs w:val="24"/>
                <w:highlight w:val="none"/>
                <w:lang w:val="en-US" w:eastAsia="zh-CN"/>
              </w:rPr>
              <w:t>拟派项目经理具有</w:t>
            </w:r>
            <w:bookmarkStart w:id="45" w:name="OLE_LINK2"/>
            <w:r>
              <w:rPr>
                <w:rFonts w:hint="eastAsia"/>
                <w:color w:val="auto"/>
                <w:sz w:val="24"/>
                <w:szCs w:val="24"/>
                <w:highlight w:val="none"/>
                <w:lang w:val="en-US" w:eastAsia="zh-CN"/>
              </w:rPr>
              <w:t>水利水电工程专业、机电工程专业或电子信息工程专业</w:t>
            </w:r>
            <w:bookmarkEnd w:id="45"/>
            <w:r>
              <w:rPr>
                <w:rFonts w:hint="eastAsia"/>
                <w:color w:val="auto"/>
                <w:sz w:val="24"/>
                <w:szCs w:val="24"/>
                <w:highlight w:val="none"/>
                <w:lang w:val="en-US" w:eastAsia="zh-CN"/>
              </w:rPr>
              <w:t>高级及以上技术职称证书的得3分，具有水利水电工程专业、机电工程专业或电子信息工程专业中级技术职称证书的得1分，最多得3分。</w:t>
            </w:r>
          </w:p>
          <w:p w14:paraId="144A1F40">
            <w:pPr>
              <w:pStyle w:val="13"/>
              <w:ind w:left="0" w:leftChars="0" w:firstLine="0" w:firstLineChars="0"/>
              <w:jc w:val="left"/>
              <w:rPr>
                <w:rFonts w:hint="eastAsia"/>
                <w:color w:val="auto"/>
                <w:sz w:val="24"/>
                <w:szCs w:val="24"/>
                <w:highlight w:val="none"/>
                <w:lang w:val="en-US" w:eastAsia="zh-CN"/>
              </w:rPr>
            </w:pPr>
            <w:r>
              <w:rPr>
                <w:rStyle w:val="272"/>
                <w:rFonts w:hint="eastAsia" w:ascii="Times New Roman"/>
                <w:b/>
                <w:bCs/>
                <w:color w:val="auto"/>
                <w:sz w:val="24"/>
                <w:szCs w:val="24"/>
                <w:highlight w:val="none"/>
                <w:lang w:val="en-US" w:eastAsia="zh-CN"/>
              </w:rPr>
              <w:t>注：响应文件中须提供项目经理职称证书扫描件。</w:t>
            </w:r>
          </w:p>
        </w:tc>
        <w:tc>
          <w:tcPr>
            <w:tcW w:w="685" w:type="dxa"/>
            <w:tcBorders>
              <w:top w:val="single" w:color="auto" w:sz="4" w:space="0"/>
              <w:left w:val="single" w:color="auto" w:sz="4" w:space="0"/>
              <w:bottom w:val="single" w:color="auto" w:sz="4" w:space="0"/>
              <w:right w:val="single" w:color="auto" w:sz="4" w:space="0"/>
            </w:tcBorders>
            <w:vAlign w:val="center"/>
          </w:tcPr>
          <w:p w14:paraId="699D5ED5">
            <w:pPr>
              <w:spacing w:line="240" w:lineRule="auto"/>
              <w:jc w:val="center"/>
              <w:rPr>
                <w:rFonts w:hint="eastAsia" w:asciiTheme="minorEastAsia" w:hAnsiTheme="minorEastAsia" w:eastAsiaTheme="minorEastAsia"/>
                <w:b w:val="0"/>
                <w:bCs w:val="0"/>
                <w:color w:val="auto"/>
                <w:sz w:val="24"/>
                <w:szCs w:val="24"/>
                <w:highlight w:val="none"/>
                <w:lang w:val="en-US" w:eastAsia="zh-CN"/>
              </w:rPr>
            </w:pPr>
            <w:r>
              <w:rPr>
                <w:rFonts w:hint="eastAsia" w:asciiTheme="minorEastAsia" w:hAnsiTheme="minorEastAsia" w:eastAsiaTheme="minorEastAsia"/>
                <w:b w:val="0"/>
                <w:bCs/>
                <w:color w:val="auto"/>
                <w:sz w:val="24"/>
                <w:szCs w:val="24"/>
                <w:highlight w:val="none"/>
                <w:lang w:val="en-US" w:eastAsia="zh-CN"/>
              </w:rPr>
              <w:t>3分</w:t>
            </w:r>
          </w:p>
        </w:tc>
      </w:tr>
      <w:tr w14:paraId="1F68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1882" w:type="dxa"/>
            <w:tcBorders>
              <w:left w:val="single" w:color="auto" w:sz="4" w:space="0"/>
              <w:right w:val="single" w:color="auto" w:sz="4" w:space="0"/>
            </w:tcBorders>
            <w:vAlign w:val="center"/>
          </w:tcPr>
          <w:p w14:paraId="46E2BD0B">
            <w:pPr>
              <w:spacing w:line="240" w:lineRule="auto"/>
              <w:jc w:val="center"/>
              <w:rPr>
                <w:rFonts w:hint="default" w:eastAsia="宋体"/>
                <w:b/>
                <w:bCs/>
                <w:color w:val="auto"/>
                <w:sz w:val="24"/>
                <w:szCs w:val="24"/>
                <w:highlight w:val="none"/>
                <w:lang w:val="en-US" w:eastAsia="zh-CN"/>
              </w:rPr>
            </w:pPr>
            <w:r>
              <w:rPr>
                <w:rFonts w:hint="default" w:eastAsia="宋体"/>
                <w:b/>
                <w:bCs/>
                <w:color w:val="auto"/>
                <w:sz w:val="24"/>
                <w:szCs w:val="24"/>
                <w:highlight w:val="none"/>
                <w:lang w:val="en-US" w:eastAsia="zh-CN"/>
              </w:rPr>
              <w:t>供应商认证证书</w:t>
            </w:r>
          </w:p>
        </w:tc>
        <w:tc>
          <w:tcPr>
            <w:tcW w:w="7571" w:type="dxa"/>
            <w:tcBorders>
              <w:top w:val="single" w:color="auto" w:sz="4" w:space="0"/>
              <w:left w:val="single" w:color="auto" w:sz="4" w:space="0"/>
              <w:bottom w:val="single" w:color="auto" w:sz="4" w:space="0"/>
              <w:right w:val="single" w:color="auto" w:sz="4" w:space="0"/>
            </w:tcBorders>
            <w:vAlign w:val="center"/>
          </w:tcPr>
          <w:p w14:paraId="56269E81">
            <w:pPr>
              <w:widowControl/>
              <w:adjustRightInd w:val="0"/>
              <w:snapToGrid w:val="0"/>
              <w:jc w:val="left"/>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供应商每具有1项以下证书的得</w:t>
            </w:r>
            <w:r>
              <w:rPr>
                <w:rFonts w:hint="eastAsia" w:ascii="Times New Roman" w:hAnsi="Times New Roman" w:cs="Times New Roman"/>
                <w:bCs/>
                <w:color w:val="auto"/>
                <w:sz w:val="24"/>
                <w:szCs w:val="24"/>
                <w:highlight w:val="none"/>
                <w:lang w:val="en-US" w:eastAsia="zh-CN"/>
              </w:rPr>
              <w:t>1</w:t>
            </w:r>
            <w:r>
              <w:rPr>
                <w:rFonts w:hint="default" w:ascii="Times New Roman" w:hAnsi="Times New Roman" w:cs="Times New Roman"/>
                <w:bCs/>
                <w:color w:val="auto"/>
                <w:sz w:val="24"/>
                <w:szCs w:val="24"/>
                <w:highlight w:val="none"/>
              </w:rPr>
              <w:t>分，最多得</w:t>
            </w:r>
            <w:r>
              <w:rPr>
                <w:rFonts w:hint="eastAsia" w:ascii="Times New Roman" w:hAnsi="Times New Roman" w:cs="Times New Roman"/>
                <w:bCs/>
                <w:color w:val="auto"/>
                <w:sz w:val="24"/>
                <w:szCs w:val="24"/>
                <w:highlight w:val="none"/>
                <w:lang w:val="en-US" w:eastAsia="zh-CN"/>
              </w:rPr>
              <w:t>3</w:t>
            </w:r>
            <w:r>
              <w:rPr>
                <w:rFonts w:hint="default" w:ascii="Times New Roman" w:hAnsi="Times New Roman" w:cs="Times New Roman"/>
                <w:bCs/>
                <w:color w:val="auto"/>
                <w:sz w:val="24"/>
                <w:szCs w:val="24"/>
                <w:highlight w:val="none"/>
              </w:rPr>
              <w:t>分：</w:t>
            </w:r>
          </w:p>
          <w:p w14:paraId="36C19533">
            <w:pPr>
              <w:widowControl/>
              <w:adjustRightInd w:val="0"/>
              <w:snapToGrid w:val="0"/>
              <w:jc w:val="left"/>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（1）质量管理体系认证证书</w:t>
            </w:r>
          </w:p>
          <w:p w14:paraId="45FACC4F">
            <w:pPr>
              <w:widowControl/>
              <w:adjustRightInd w:val="0"/>
              <w:snapToGrid w:val="0"/>
              <w:jc w:val="left"/>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（2）环境管理体系认证证书</w:t>
            </w:r>
          </w:p>
          <w:p w14:paraId="02FDACFB">
            <w:pPr>
              <w:widowControl/>
              <w:adjustRightInd w:val="0"/>
              <w:snapToGrid w:val="0"/>
              <w:jc w:val="left"/>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（3）职业健康安全管理体系认证证书</w:t>
            </w:r>
          </w:p>
          <w:p w14:paraId="48E641B9">
            <w:pPr>
              <w:spacing w:line="240" w:lineRule="auto"/>
              <w:rPr>
                <w:rFonts w:hint="default" w:ascii="Times New Roman" w:hAnsi="Times New Roman" w:eastAsia="宋体"/>
                <w:b w:val="0"/>
                <w:bCs/>
                <w:color w:val="auto"/>
                <w:sz w:val="24"/>
                <w:szCs w:val="24"/>
                <w:highlight w:val="none"/>
                <w:lang w:val="en-US" w:eastAsia="zh-CN"/>
              </w:rPr>
            </w:pPr>
            <w:r>
              <w:rPr>
                <w:rFonts w:hint="default" w:ascii="Times New Roman" w:hAnsi="Times New Roman" w:cs="Times New Roman"/>
                <w:bCs w:val="0"/>
                <w:color w:val="auto"/>
                <w:kern w:val="2"/>
                <w:sz w:val="24"/>
                <w:szCs w:val="24"/>
                <w:highlight w:val="none"/>
                <w:lang w:val="en-US" w:eastAsia="zh-CN"/>
              </w:rPr>
              <w:t>注：以上证书应为经中国国家认证认可监督管理委员会认可的认证机构颁发的认证证书，提供证书扫描件及全国认证认可信息公共服务平台网站证书查询截图，否则不得分。</w:t>
            </w:r>
          </w:p>
        </w:tc>
        <w:tc>
          <w:tcPr>
            <w:tcW w:w="685" w:type="dxa"/>
            <w:tcBorders>
              <w:left w:val="single" w:color="auto" w:sz="4" w:space="0"/>
              <w:right w:val="single" w:color="auto" w:sz="4" w:space="0"/>
            </w:tcBorders>
            <w:vAlign w:val="center"/>
          </w:tcPr>
          <w:p w14:paraId="2D4A74CD">
            <w:pPr>
              <w:spacing w:line="240" w:lineRule="auto"/>
              <w:jc w:val="center"/>
              <w:rPr>
                <w:rStyle w:val="272"/>
                <w:rFonts w:hint="eastAsia" w:ascii="Times New Roman" w:hAnsi="Times New Roman"/>
                <w:b w:val="0"/>
                <w:bCs/>
                <w:color w:val="auto"/>
                <w:sz w:val="24"/>
                <w:szCs w:val="24"/>
                <w:highlight w:val="none"/>
                <w:lang w:val="en-US" w:eastAsia="zh-CN"/>
              </w:rPr>
            </w:pPr>
            <w:r>
              <w:rPr>
                <w:rFonts w:hint="eastAsia" w:asciiTheme="minorEastAsia" w:hAnsiTheme="minorEastAsia" w:eastAsiaTheme="minorEastAsia"/>
                <w:b w:val="0"/>
                <w:bCs/>
                <w:color w:val="auto"/>
                <w:sz w:val="24"/>
                <w:szCs w:val="24"/>
                <w:highlight w:val="none"/>
                <w:lang w:val="en-US" w:eastAsia="zh-CN"/>
              </w:rPr>
              <w:t>3分</w:t>
            </w:r>
          </w:p>
        </w:tc>
      </w:tr>
      <w:tr w14:paraId="787B1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882" w:type="dxa"/>
            <w:tcBorders>
              <w:left w:val="single" w:color="auto" w:sz="4" w:space="0"/>
              <w:right w:val="single" w:color="auto" w:sz="4" w:space="0"/>
            </w:tcBorders>
            <w:vAlign w:val="center"/>
          </w:tcPr>
          <w:p w14:paraId="0B58F60E">
            <w:pPr>
              <w:spacing w:line="240" w:lineRule="auto"/>
              <w:jc w:val="center"/>
              <w:rPr>
                <w:rFonts w:hint="default" w:eastAsia="宋体"/>
                <w:b/>
                <w:bCs/>
                <w:color w:val="auto"/>
                <w:sz w:val="24"/>
                <w:szCs w:val="24"/>
                <w:highlight w:val="none"/>
                <w:lang w:val="en-US" w:eastAsia="zh-CN"/>
              </w:rPr>
            </w:pPr>
            <w:r>
              <w:rPr>
                <w:rFonts w:hint="default" w:eastAsia="宋体"/>
                <w:b/>
                <w:bCs/>
                <w:color w:val="auto"/>
                <w:sz w:val="24"/>
                <w:szCs w:val="24"/>
                <w:highlight w:val="none"/>
                <w:lang w:val="en-US" w:eastAsia="zh-CN"/>
              </w:rPr>
              <w:t>项目组成员（除项目负责人外）</w:t>
            </w:r>
          </w:p>
        </w:tc>
        <w:tc>
          <w:tcPr>
            <w:tcW w:w="7571" w:type="dxa"/>
            <w:tcBorders>
              <w:top w:val="single" w:color="auto" w:sz="4" w:space="0"/>
              <w:left w:val="single" w:color="auto" w:sz="4" w:space="0"/>
              <w:bottom w:val="single" w:color="auto" w:sz="4" w:space="0"/>
              <w:right w:val="single" w:color="auto" w:sz="4" w:space="0"/>
            </w:tcBorders>
            <w:vAlign w:val="center"/>
          </w:tcPr>
          <w:p w14:paraId="095AED70">
            <w:pPr>
              <w:jc w:val="left"/>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结合项目实际情况，考虑施工作业特定，保障施工作业安全，</w:t>
            </w:r>
            <w:r>
              <w:rPr>
                <w:rFonts w:hint="default" w:ascii="Times New Roman" w:hAnsi="Times New Roman" w:cs="Times New Roman"/>
                <w:color w:val="auto"/>
                <w:sz w:val="24"/>
                <w:szCs w:val="24"/>
                <w:highlight w:val="none"/>
              </w:rPr>
              <w:t>根据供应商投入人员数量、专业、学历、职称结构</w:t>
            </w:r>
            <w:r>
              <w:rPr>
                <w:rFonts w:hint="default" w:ascii="Times New Roman" w:hAnsi="Times New Roman" w:cs="Times New Roman"/>
                <w:color w:val="auto"/>
                <w:sz w:val="24"/>
                <w:szCs w:val="24"/>
                <w:highlight w:val="none"/>
                <w:lang w:val="en-US" w:eastAsia="zh-CN"/>
              </w:rPr>
              <w:t>等</w:t>
            </w:r>
            <w:r>
              <w:rPr>
                <w:rFonts w:hint="default" w:ascii="Times New Roman" w:hAnsi="Times New Roman" w:cs="Times New Roman"/>
                <w:color w:val="auto"/>
                <w:sz w:val="24"/>
                <w:szCs w:val="24"/>
                <w:highlight w:val="none"/>
              </w:rPr>
              <w:t>进行综合评审：</w:t>
            </w:r>
          </w:p>
          <w:p w14:paraId="70463163">
            <w:pPr>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人员配备数量充足、专业齐全、完全满足项目</w:t>
            </w:r>
            <w:r>
              <w:rPr>
                <w:rFonts w:hint="default" w:ascii="Times New Roman" w:hAnsi="Times New Roman" w:cs="Times New Roman"/>
                <w:color w:val="auto"/>
                <w:sz w:val="24"/>
                <w:szCs w:val="24"/>
                <w:highlight w:val="none"/>
                <w:lang w:val="en-US" w:eastAsia="zh-CN"/>
              </w:rPr>
              <w:t>采购</w:t>
            </w:r>
            <w:r>
              <w:rPr>
                <w:rFonts w:hint="default" w:ascii="Times New Roman" w:hAnsi="Times New Roman" w:cs="Times New Roman"/>
                <w:color w:val="auto"/>
                <w:sz w:val="24"/>
                <w:szCs w:val="24"/>
                <w:highlight w:val="none"/>
              </w:rPr>
              <w:t>需求的得</w:t>
            </w:r>
            <w:r>
              <w:rPr>
                <w:rFonts w:hint="eastAsia" w:ascii="Times New Roman" w:hAnsi="Times New Roman" w:cs="Times New Roman"/>
                <w:color w:val="auto"/>
                <w:sz w:val="24"/>
                <w:szCs w:val="24"/>
                <w:highlight w:val="none"/>
                <w:lang w:val="en-US" w:eastAsia="zh-CN"/>
              </w:rPr>
              <w:t>9</w:t>
            </w:r>
            <w:r>
              <w:rPr>
                <w:rFonts w:hint="default" w:ascii="Times New Roman" w:hAnsi="Times New Roman" w:cs="Times New Roman"/>
                <w:color w:val="auto"/>
                <w:sz w:val="24"/>
                <w:szCs w:val="24"/>
                <w:highlight w:val="none"/>
              </w:rPr>
              <w:t>分，人员配备数量较充足、专业较齐全、满足项目</w:t>
            </w:r>
            <w:r>
              <w:rPr>
                <w:rFonts w:hint="default" w:ascii="Times New Roman" w:hAnsi="Times New Roman" w:cs="Times New Roman"/>
                <w:color w:val="auto"/>
                <w:sz w:val="24"/>
                <w:szCs w:val="24"/>
                <w:highlight w:val="none"/>
                <w:lang w:val="en-US" w:eastAsia="zh-CN"/>
              </w:rPr>
              <w:t>采购</w:t>
            </w:r>
            <w:r>
              <w:rPr>
                <w:rFonts w:hint="default" w:ascii="Times New Roman" w:hAnsi="Times New Roman" w:cs="Times New Roman"/>
                <w:color w:val="auto"/>
                <w:sz w:val="24"/>
                <w:szCs w:val="24"/>
                <w:highlight w:val="none"/>
              </w:rPr>
              <w:t>需求的得</w:t>
            </w:r>
            <w:r>
              <w:rPr>
                <w:rFonts w:hint="eastAsia" w:ascii="Times New Roman" w:hAnsi="Times New Roman" w:cs="Times New Roman"/>
                <w:color w:val="auto"/>
                <w:sz w:val="24"/>
                <w:szCs w:val="24"/>
                <w:highlight w:val="none"/>
                <w:lang w:val="en-US" w:eastAsia="zh-CN"/>
              </w:rPr>
              <w:t>6</w:t>
            </w:r>
            <w:r>
              <w:rPr>
                <w:rFonts w:hint="default" w:ascii="Times New Roman" w:hAnsi="Times New Roman" w:cs="Times New Roman"/>
                <w:color w:val="auto"/>
                <w:sz w:val="24"/>
                <w:szCs w:val="24"/>
                <w:highlight w:val="none"/>
              </w:rPr>
              <w:t>分，人员配备数量有待补充、专业搭配有待完善、基本满足项目</w:t>
            </w:r>
            <w:r>
              <w:rPr>
                <w:rFonts w:hint="default" w:ascii="Times New Roman" w:hAnsi="Times New Roman" w:cs="Times New Roman"/>
                <w:color w:val="auto"/>
                <w:sz w:val="24"/>
                <w:szCs w:val="24"/>
                <w:highlight w:val="none"/>
                <w:lang w:val="en-US" w:eastAsia="zh-CN"/>
              </w:rPr>
              <w:t>采购</w:t>
            </w:r>
            <w:r>
              <w:rPr>
                <w:rFonts w:hint="default" w:ascii="Times New Roman" w:hAnsi="Times New Roman" w:cs="Times New Roman"/>
                <w:color w:val="auto"/>
                <w:sz w:val="24"/>
                <w:szCs w:val="24"/>
                <w:highlight w:val="none"/>
              </w:rPr>
              <w:t>需求的得</w:t>
            </w:r>
            <w:r>
              <w:rPr>
                <w:rFonts w:hint="eastAsia"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分，人员配备数量较少、专业配备单一的得</w:t>
            </w:r>
            <w:r>
              <w:rPr>
                <w:rFonts w:hint="eastAsia"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rPr>
              <w:t>分。</w:t>
            </w:r>
          </w:p>
          <w:p w14:paraId="24EFA7A4">
            <w:pPr>
              <w:spacing w:line="240" w:lineRule="auto"/>
              <w:rPr>
                <w:rFonts w:hint="default" w:ascii="Times New Roman" w:hAnsi="Times New Roman" w:cs="Times New Roman"/>
                <w:bCs w:val="0"/>
                <w:color w:val="auto"/>
                <w:kern w:val="2"/>
                <w:sz w:val="24"/>
                <w:szCs w:val="24"/>
                <w:highlight w:val="none"/>
                <w:lang w:val="en-US" w:eastAsia="zh-CN"/>
              </w:rPr>
            </w:pPr>
            <w:r>
              <w:rPr>
                <w:rFonts w:hint="default" w:ascii="Times New Roman" w:hAnsi="Times New Roman" w:cs="Times New Roman"/>
                <w:b/>
                <w:bCs/>
                <w:color w:val="auto"/>
                <w:sz w:val="24"/>
                <w:szCs w:val="24"/>
                <w:highlight w:val="none"/>
              </w:rPr>
              <w:t>注：响应文件中须提供学历证书、职称证书等扫描件，未提供不得分。</w:t>
            </w:r>
          </w:p>
        </w:tc>
        <w:tc>
          <w:tcPr>
            <w:tcW w:w="685" w:type="dxa"/>
            <w:tcBorders>
              <w:left w:val="single" w:color="auto" w:sz="4" w:space="0"/>
              <w:right w:val="single" w:color="auto" w:sz="4" w:space="0"/>
            </w:tcBorders>
            <w:vAlign w:val="center"/>
          </w:tcPr>
          <w:p w14:paraId="6E507806">
            <w:pPr>
              <w:spacing w:line="240" w:lineRule="auto"/>
              <w:jc w:val="center"/>
              <w:rPr>
                <w:rFonts w:hint="eastAsia" w:asciiTheme="minorEastAsia" w:hAnsiTheme="minorEastAsia" w:eastAsiaTheme="minorEastAsia"/>
                <w:b w:val="0"/>
                <w:bCs/>
                <w:color w:val="auto"/>
                <w:sz w:val="24"/>
                <w:szCs w:val="24"/>
                <w:highlight w:val="none"/>
                <w:lang w:val="en-US" w:eastAsia="zh-CN"/>
              </w:rPr>
            </w:pPr>
            <w:r>
              <w:rPr>
                <w:rFonts w:hint="eastAsia" w:asciiTheme="minorEastAsia" w:hAnsiTheme="minorEastAsia" w:eastAsiaTheme="minorEastAsia"/>
                <w:b w:val="0"/>
                <w:bCs/>
                <w:color w:val="auto"/>
                <w:sz w:val="24"/>
                <w:szCs w:val="24"/>
                <w:highlight w:val="none"/>
                <w:lang w:val="en-US" w:eastAsia="zh-CN"/>
              </w:rPr>
              <w:t>9分</w:t>
            </w:r>
          </w:p>
        </w:tc>
      </w:tr>
      <w:tr w14:paraId="349F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882" w:type="dxa"/>
            <w:tcBorders>
              <w:left w:val="single" w:color="auto" w:sz="4" w:space="0"/>
              <w:right w:val="single" w:color="auto" w:sz="4" w:space="0"/>
            </w:tcBorders>
            <w:vAlign w:val="top"/>
          </w:tcPr>
          <w:p w14:paraId="5F985FFE">
            <w:pPr>
              <w:keepNext w:val="0"/>
              <w:keepLines w:val="0"/>
              <w:pageBreakBefore w:val="0"/>
              <w:widowControl/>
              <w:kinsoku w:val="0"/>
              <w:wordWrap/>
              <w:overflowPunct/>
              <w:topLinePunct w:val="0"/>
              <w:autoSpaceDE w:val="0"/>
              <w:autoSpaceDN w:val="0"/>
              <w:bidi w:val="0"/>
              <w:adjustRightInd w:val="0"/>
              <w:snapToGrid w:val="0"/>
              <w:spacing w:line="246" w:lineRule="auto"/>
              <w:ind w:firstLine="0" w:firstLineChars="0"/>
              <w:jc w:val="left"/>
              <w:textAlignment w:val="baseline"/>
              <w:rPr>
                <w:rFonts w:ascii="Arial" w:hAnsi="Arial" w:eastAsia="Arial" w:cs="Arial"/>
                <w:b w:val="0"/>
                <w:bCs w:val="0"/>
                <w:snapToGrid w:val="0"/>
                <w:color w:val="auto"/>
                <w:kern w:val="0"/>
                <w:sz w:val="24"/>
                <w:szCs w:val="24"/>
                <w:highlight w:val="none"/>
                <w:lang w:eastAsia="en-US"/>
              </w:rPr>
            </w:pPr>
          </w:p>
          <w:p w14:paraId="7F7B8259">
            <w:pPr>
              <w:keepNext w:val="0"/>
              <w:keepLines w:val="0"/>
              <w:pageBreakBefore w:val="0"/>
              <w:kinsoku w:val="0"/>
              <w:wordWrap/>
              <w:overflowPunct/>
              <w:topLinePunct w:val="0"/>
              <w:autoSpaceDE w:val="0"/>
              <w:autoSpaceDN w:val="0"/>
              <w:bidi w:val="0"/>
              <w:adjustRightInd w:val="0"/>
              <w:snapToGrid w:val="0"/>
              <w:spacing w:before="68" w:line="220" w:lineRule="auto"/>
              <w:ind w:firstLine="0" w:firstLineChars="0"/>
              <w:jc w:val="center"/>
              <w:textAlignment w:val="baseline"/>
              <w:rPr>
                <w:rFonts w:ascii="Times New Roman" w:hAnsi="Times New Roman"/>
                <w:b/>
                <w:bCs/>
                <w:color w:val="auto"/>
                <w:sz w:val="24"/>
                <w:szCs w:val="24"/>
                <w:highlight w:val="none"/>
                <w:lang w:val="zh-CN" w:bidi="ar"/>
              </w:rPr>
            </w:pPr>
          </w:p>
          <w:p w14:paraId="635ED94F">
            <w:pPr>
              <w:keepNext w:val="0"/>
              <w:keepLines w:val="0"/>
              <w:pageBreakBefore w:val="0"/>
              <w:kinsoku w:val="0"/>
              <w:wordWrap/>
              <w:overflowPunct/>
              <w:topLinePunct w:val="0"/>
              <w:autoSpaceDE w:val="0"/>
              <w:autoSpaceDN w:val="0"/>
              <w:bidi w:val="0"/>
              <w:adjustRightInd w:val="0"/>
              <w:snapToGrid w:val="0"/>
              <w:spacing w:before="68" w:line="220" w:lineRule="auto"/>
              <w:ind w:firstLine="0" w:firstLineChars="0"/>
              <w:jc w:val="center"/>
              <w:textAlignment w:val="baseline"/>
              <w:rPr>
                <w:rFonts w:hint="default" w:eastAsia="宋体"/>
                <w:b/>
                <w:bCs/>
                <w:color w:val="auto"/>
                <w:sz w:val="24"/>
                <w:szCs w:val="24"/>
                <w:highlight w:val="none"/>
                <w:lang w:val="en-US" w:eastAsia="zh-CN"/>
              </w:rPr>
            </w:pPr>
            <w:r>
              <w:rPr>
                <w:rFonts w:ascii="Times New Roman" w:hAnsi="Times New Roman"/>
                <w:b/>
                <w:bCs/>
                <w:color w:val="auto"/>
                <w:sz w:val="24"/>
                <w:szCs w:val="24"/>
                <w:highlight w:val="none"/>
                <w:lang w:val="zh-CN" w:bidi="ar"/>
              </w:rPr>
              <w:t>主要施工方案与技术措施：</w:t>
            </w:r>
          </w:p>
        </w:tc>
        <w:tc>
          <w:tcPr>
            <w:tcW w:w="7571" w:type="dxa"/>
            <w:tcBorders>
              <w:top w:val="single" w:color="auto" w:sz="4" w:space="0"/>
              <w:left w:val="single" w:color="auto" w:sz="4" w:space="0"/>
              <w:bottom w:val="single" w:color="auto" w:sz="4" w:space="0"/>
              <w:right w:val="single" w:color="auto" w:sz="4" w:space="0"/>
            </w:tcBorders>
            <w:vAlign w:val="center"/>
          </w:tcPr>
          <w:p w14:paraId="3D99E8C5">
            <w:pPr>
              <w:keepNext w:val="0"/>
              <w:keepLines w:val="0"/>
              <w:pageBreakBefore w:val="0"/>
              <w:wordWrap/>
              <w:overflowPunct/>
              <w:topLinePunct/>
              <w:bidi w:val="0"/>
              <w:adjustRightInd w:val="0"/>
              <w:snapToGrid w:val="0"/>
              <w:spacing w:line="240" w:lineRule="auto"/>
              <w:ind w:firstLine="0" w:firstLineChars="0"/>
              <w:rPr>
                <w:rFonts w:ascii="Times New Roman" w:hAnsi="Times New Roman"/>
                <w:color w:val="auto"/>
                <w:sz w:val="24"/>
                <w:szCs w:val="24"/>
                <w:highlight w:val="none"/>
                <w:lang w:val="zh-CN" w:bidi="ar"/>
              </w:rPr>
            </w:pPr>
            <w:r>
              <w:rPr>
                <w:rFonts w:ascii="Times New Roman" w:hAnsi="Times New Roman"/>
                <w:color w:val="auto"/>
                <w:sz w:val="24"/>
                <w:szCs w:val="24"/>
                <w:highlight w:val="none"/>
                <w:lang w:val="zh-CN" w:bidi="ar"/>
              </w:rPr>
              <w:t>（1）</w:t>
            </w:r>
            <w:r>
              <w:rPr>
                <w:rFonts w:hint="eastAsia" w:ascii="Times New Roman" w:hAnsi="Times New Roman"/>
                <w:color w:val="auto"/>
                <w:sz w:val="24"/>
                <w:szCs w:val="24"/>
                <w:highlight w:val="none"/>
                <w:lang w:val="en-US" w:eastAsia="zh-CN" w:bidi="ar"/>
              </w:rPr>
              <w:t>理解准确</w:t>
            </w:r>
            <w:r>
              <w:rPr>
                <w:rFonts w:ascii="Times New Roman" w:hAnsi="Times New Roman"/>
                <w:color w:val="auto"/>
                <w:sz w:val="24"/>
                <w:szCs w:val="24"/>
                <w:highlight w:val="none"/>
                <w:lang w:val="zh-CN" w:bidi="ar"/>
              </w:rPr>
              <w:t>、要点突出、针对性强，内容完整详实，表述清晰，与本项目实际需求适应度高，利于项目实施的得</w:t>
            </w:r>
            <w:r>
              <w:rPr>
                <w:rFonts w:hint="eastAsia" w:ascii="Times New Roman" w:hAnsi="Times New Roman"/>
                <w:color w:val="auto"/>
                <w:sz w:val="24"/>
                <w:szCs w:val="24"/>
                <w:highlight w:val="none"/>
                <w:lang w:val="en-US" w:eastAsia="zh-CN" w:bidi="ar"/>
              </w:rPr>
              <w:t>5</w:t>
            </w:r>
            <w:r>
              <w:rPr>
                <w:rFonts w:ascii="Times New Roman" w:hAnsi="Times New Roman"/>
                <w:color w:val="auto"/>
                <w:sz w:val="24"/>
                <w:szCs w:val="24"/>
                <w:highlight w:val="none"/>
                <w:lang w:val="zh-CN" w:bidi="ar"/>
              </w:rPr>
              <w:t>分；</w:t>
            </w:r>
          </w:p>
          <w:p w14:paraId="6A77EEEE">
            <w:pPr>
              <w:keepNext w:val="0"/>
              <w:keepLines w:val="0"/>
              <w:pageBreakBefore w:val="0"/>
              <w:wordWrap/>
              <w:overflowPunct/>
              <w:topLinePunct/>
              <w:bidi w:val="0"/>
              <w:adjustRightInd w:val="0"/>
              <w:snapToGrid w:val="0"/>
              <w:spacing w:line="240" w:lineRule="auto"/>
              <w:ind w:firstLine="0" w:firstLineChars="0"/>
              <w:rPr>
                <w:rFonts w:ascii="Times New Roman" w:hAnsi="Times New Roman"/>
                <w:color w:val="auto"/>
                <w:sz w:val="24"/>
                <w:szCs w:val="24"/>
                <w:highlight w:val="none"/>
                <w:lang w:val="zh-CN" w:bidi="ar"/>
              </w:rPr>
            </w:pPr>
            <w:r>
              <w:rPr>
                <w:rFonts w:ascii="Times New Roman" w:hAnsi="Times New Roman"/>
                <w:color w:val="auto"/>
                <w:sz w:val="24"/>
                <w:szCs w:val="24"/>
                <w:highlight w:val="none"/>
                <w:lang w:val="zh-CN" w:bidi="ar"/>
              </w:rPr>
              <w:t>（2）</w:t>
            </w:r>
            <w:r>
              <w:rPr>
                <w:rFonts w:hint="eastAsia" w:ascii="Times New Roman" w:hAnsi="Times New Roman"/>
                <w:color w:val="auto"/>
                <w:sz w:val="24"/>
                <w:szCs w:val="24"/>
                <w:highlight w:val="none"/>
                <w:lang w:val="en-US" w:eastAsia="zh-CN" w:bidi="ar"/>
              </w:rPr>
              <w:t>理解基本</w:t>
            </w:r>
            <w:r>
              <w:rPr>
                <w:rFonts w:ascii="Times New Roman" w:hAnsi="Times New Roman"/>
                <w:color w:val="auto"/>
                <w:sz w:val="24"/>
                <w:szCs w:val="24"/>
                <w:highlight w:val="none"/>
                <w:lang w:val="zh-CN" w:bidi="ar"/>
              </w:rPr>
              <w:t>全面，针对性强，内容完整详实，表述清晰，与本项目实际需求</w:t>
            </w:r>
            <w:r>
              <w:rPr>
                <w:rFonts w:hint="eastAsia" w:ascii="Times New Roman" w:hAnsi="Times New Roman"/>
                <w:color w:val="auto"/>
                <w:sz w:val="24"/>
                <w:szCs w:val="24"/>
                <w:highlight w:val="none"/>
                <w:lang w:val="en-US" w:eastAsia="zh-CN" w:bidi="ar"/>
              </w:rPr>
              <w:t>基本</w:t>
            </w:r>
            <w:r>
              <w:rPr>
                <w:rFonts w:hint="eastAsia" w:ascii="Times New Roman" w:hAnsi="Times New Roman"/>
                <w:color w:val="auto"/>
                <w:sz w:val="24"/>
                <w:szCs w:val="24"/>
                <w:highlight w:val="none"/>
                <w:lang w:bidi="ar"/>
              </w:rPr>
              <w:t>适应</w:t>
            </w:r>
            <w:r>
              <w:rPr>
                <w:rFonts w:hint="eastAsia" w:ascii="Times New Roman" w:hAnsi="Times New Roman"/>
                <w:color w:val="auto"/>
                <w:sz w:val="24"/>
                <w:szCs w:val="24"/>
                <w:highlight w:val="none"/>
                <w:lang w:val="zh-CN" w:bidi="ar"/>
              </w:rPr>
              <w:t>的</w:t>
            </w:r>
            <w:r>
              <w:rPr>
                <w:rFonts w:ascii="Times New Roman" w:hAnsi="Times New Roman"/>
                <w:color w:val="auto"/>
                <w:sz w:val="24"/>
                <w:szCs w:val="24"/>
                <w:highlight w:val="none"/>
                <w:lang w:val="zh-CN" w:bidi="ar"/>
              </w:rPr>
              <w:t>得</w:t>
            </w:r>
            <w:r>
              <w:rPr>
                <w:rFonts w:hint="eastAsia" w:ascii="Times New Roman" w:hAnsi="Times New Roman"/>
                <w:color w:val="auto"/>
                <w:sz w:val="24"/>
                <w:szCs w:val="24"/>
                <w:highlight w:val="none"/>
                <w:lang w:val="en-US" w:eastAsia="zh-CN" w:bidi="ar"/>
              </w:rPr>
              <w:t>3</w:t>
            </w:r>
            <w:r>
              <w:rPr>
                <w:rFonts w:ascii="Times New Roman" w:hAnsi="Times New Roman"/>
                <w:color w:val="auto"/>
                <w:sz w:val="24"/>
                <w:szCs w:val="24"/>
                <w:highlight w:val="none"/>
                <w:lang w:val="zh-CN" w:bidi="ar"/>
              </w:rPr>
              <w:t>分；</w:t>
            </w:r>
          </w:p>
          <w:p w14:paraId="0FBA12E5">
            <w:pPr>
              <w:keepNext w:val="0"/>
              <w:keepLines w:val="0"/>
              <w:pageBreakBefore w:val="0"/>
              <w:wordWrap/>
              <w:overflowPunct/>
              <w:topLinePunct/>
              <w:bidi w:val="0"/>
              <w:adjustRightInd w:val="0"/>
              <w:snapToGrid w:val="0"/>
              <w:spacing w:line="240" w:lineRule="auto"/>
              <w:ind w:firstLine="0" w:firstLineChars="0"/>
              <w:rPr>
                <w:rFonts w:ascii="Times New Roman" w:hAnsi="Times New Roman"/>
                <w:color w:val="auto"/>
                <w:sz w:val="24"/>
                <w:szCs w:val="24"/>
                <w:highlight w:val="none"/>
                <w:lang w:val="zh-CN" w:bidi="ar"/>
              </w:rPr>
            </w:pPr>
            <w:r>
              <w:rPr>
                <w:rFonts w:ascii="Times New Roman" w:hAnsi="Times New Roman"/>
                <w:color w:val="auto"/>
                <w:sz w:val="24"/>
                <w:szCs w:val="24"/>
                <w:highlight w:val="none"/>
                <w:lang w:val="zh-CN" w:bidi="ar"/>
              </w:rPr>
              <w:t>（</w:t>
            </w:r>
            <w:r>
              <w:rPr>
                <w:rFonts w:hint="eastAsia" w:ascii="Times New Roman" w:hAnsi="Times New Roman"/>
                <w:color w:val="auto"/>
                <w:sz w:val="24"/>
                <w:szCs w:val="24"/>
                <w:highlight w:val="none"/>
                <w:lang w:val="en-US" w:eastAsia="zh-CN" w:bidi="ar"/>
              </w:rPr>
              <w:t>3</w:t>
            </w:r>
            <w:r>
              <w:rPr>
                <w:rFonts w:ascii="Times New Roman" w:hAnsi="Times New Roman"/>
                <w:color w:val="auto"/>
                <w:sz w:val="24"/>
                <w:szCs w:val="24"/>
                <w:highlight w:val="none"/>
                <w:lang w:val="zh-CN" w:bidi="ar"/>
              </w:rPr>
              <w:t>）</w:t>
            </w:r>
            <w:r>
              <w:rPr>
                <w:rFonts w:hint="eastAsia" w:ascii="Times New Roman" w:hAnsi="Times New Roman"/>
                <w:color w:val="auto"/>
                <w:sz w:val="24"/>
                <w:szCs w:val="24"/>
                <w:highlight w:val="none"/>
                <w:lang w:val="en-US" w:eastAsia="zh-CN" w:bidi="ar"/>
              </w:rPr>
              <w:t>理解</w:t>
            </w:r>
            <w:r>
              <w:rPr>
                <w:rFonts w:hint="eastAsia" w:ascii="Times New Roman" w:hAnsi="Times New Roman"/>
                <w:color w:val="auto"/>
                <w:sz w:val="24"/>
                <w:szCs w:val="24"/>
                <w:highlight w:val="none"/>
                <w:lang w:bidi="ar"/>
              </w:rPr>
              <w:t>不</w:t>
            </w:r>
            <w:r>
              <w:rPr>
                <w:rFonts w:ascii="Times New Roman" w:hAnsi="Times New Roman"/>
                <w:color w:val="auto"/>
                <w:sz w:val="24"/>
                <w:szCs w:val="24"/>
                <w:highlight w:val="none"/>
                <w:lang w:val="zh-CN" w:bidi="ar"/>
              </w:rPr>
              <w:t>全面、要点</w:t>
            </w:r>
            <w:r>
              <w:rPr>
                <w:rFonts w:hint="eastAsia" w:ascii="Times New Roman" w:hAnsi="Times New Roman"/>
                <w:color w:val="auto"/>
                <w:sz w:val="24"/>
                <w:szCs w:val="24"/>
                <w:highlight w:val="none"/>
                <w:lang w:bidi="ar"/>
              </w:rPr>
              <w:t>不</w:t>
            </w:r>
            <w:r>
              <w:rPr>
                <w:rFonts w:ascii="Times New Roman" w:hAnsi="Times New Roman"/>
                <w:color w:val="auto"/>
                <w:sz w:val="24"/>
                <w:szCs w:val="24"/>
                <w:highlight w:val="none"/>
                <w:lang w:val="zh-CN" w:bidi="ar"/>
              </w:rPr>
              <w:t>突出、针对性</w:t>
            </w:r>
            <w:r>
              <w:rPr>
                <w:rFonts w:hint="eastAsia" w:ascii="Times New Roman" w:hAnsi="Times New Roman"/>
                <w:color w:val="auto"/>
                <w:sz w:val="24"/>
                <w:szCs w:val="24"/>
                <w:highlight w:val="none"/>
                <w:lang w:bidi="ar"/>
              </w:rPr>
              <w:t>不强</w:t>
            </w:r>
            <w:r>
              <w:rPr>
                <w:rFonts w:ascii="Times New Roman" w:hAnsi="Times New Roman"/>
                <w:color w:val="auto"/>
                <w:sz w:val="24"/>
                <w:szCs w:val="24"/>
                <w:highlight w:val="none"/>
                <w:lang w:val="zh-CN" w:bidi="ar"/>
              </w:rPr>
              <w:t>，内容</w:t>
            </w:r>
            <w:r>
              <w:rPr>
                <w:rFonts w:hint="eastAsia" w:ascii="Times New Roman" w:hAnsi="Times New Roman"/>
                <w:color w:val="auto"/>
                <w:sz w:val="24"/>
                <w:szCs w:val="24"/>
                <w:highlight w:val="none"/>
                <w:lang w:bidi="ar"/>
              </w:rPr>
              <w:t>不完整</w:t>
            </w:r>
            <w:r>
              <w:rPr>
                <w:rFonts w:ascii="Times New Roman" w:hAnsi="Times New Roman"/>
                <w:color w:val="auto"/>
                <w:sz w:val="24"/>
                <w:szCs w:val="24"/>
                <w:highlight w:val="none"/>
                <w:lang w:val="zh-CN" w:bidi="ar"/>
              </w:rPr>
              <w:t>，表述</w:t>
            </w:r>
            <w:r>
              <w:rPr>
                <w:rFonts w:hint="eastAsia" w:ascii="Times New Roman" w:hAnsi="Times New Roman"/>
                <w:color w:val="auto"/>
                <w:sz w:val="24"/>
                <w:szCs w:val="24"/>
                <w:highlight w:val="none"/>
                <w:lang w:bidi="ar"/>
              </w:rPr>
              <w:t>不</w:t>
            </w:r>
            <w:r>
              <w:rPr>
                <w:rFonts w:ascii="Times New Roman" w:hAnsi="Times New Roman"/>
                <w:color w:val="auto"/>
                <w:sz w:val="24"/>
                <w:szCs w:val="24"/>
                <w:highlight w:val="none"/>
                <w:lang w:val="zh-CN" w:bidi="ar"/>
              </w:rPr>
              <w:t>清晰，与本项目实际需求</w:t>
            </w:r>
            <w:r>
              <w:rPr>
                <w:rFonts w:hint="eastAsia" w:ascii="Times New Roman" w:hAnsi="Times New Roman"/>
                <w:color w:val="auto"/>
                <w:sz w:val="24"/>
                <w:szCs w:val="24"/>
                <w:highlight w:val="none"/>
                <w:lang w:bidi="ar"/>
              </w:rPr>
              <w:t>不适应</w:t>
            </w:r>
            <w:r>
              <w:rPr>
                <w:rFonts w:ascii="Times New Roman" w:hAnsi="Times New Roman"/>
                <w:color w:val="auto"/>
                <w:sz w:val="24"/>
                <w:szCs w:val="24"/>
                <w:highlight w:val="none"/>
                <w:lang w:val="zh-CN" w:bidi="ar"/>
              </w:rPr>
              <w:t>，</w:t>
            </w:r>
            <w:r>
              <w:rPr>
                <w:rFonts w:hint="eastAsia" w:ascii="Times New Roman" w:hAnsi="Times New Roman"/>
                <w:color w:val="auto"/>
                <w:sz w:val="24"/>
                <w:szCs w:val="24"/>
                <w:highlight w:val="none"/>
                <w:lang w:bidi="ar"/>
              </w:rPr>
              <w:t>不</w:t>
            </w:r>
            <w:r>
              <w:rPr>
                <w:rFonts w:ascii="Times New Roman" w:hAnsi="Times New Roman"/>
                <w:color w:val="auto"/>
                <w:sz w:val="24"/>
                <w:szCs w:val="24"/>
                <w:highlight w:val="none"/>
                <w:lang w:val="zh-CN" w:bidi="ar"/>
              </w:rPr>
              <w:t>符合项目实施要求的得</w:t>
            </w:r>
            <w:r>
              <w:rPr>
                <w:rFonts w:hint="eastAsia" w:ascii="Times New Roman" w:hAnsi="Times New Roman"/>
                <w:color w:val="auto"/>
                <w:sz w:val="24"/>
                <w:szCs w:val="24"/>
                <w:highlight w:val="none"/>
                <w:lang w:val="en-US" w:eastAsia="zh-CN" w:bidi="ar"/>
              </w:rPr>
              <w:t>2</w:t>
            </w:r>
            <w:r>
              <w:rPr>
                <w:rFonts w:ascii="Times New Roman" w:hAnsi="Times New Roman"/>
                <w:color w:val="auto"/>
                <w:sz w:val="24"/>
                <w:szCs w:val="24"/>
                <w:highlight w:val="none"/>
                <w:lang w:val="zh-CN" w:bidi="ar"/>
              </w:rPr>
              <w:t>分；</w:t>
            </w:r>
          </w:p>
          <w:p w14:paraId="3D4FA2CE">
            <w:pPr>
              <w:keepNext w:val="0"/>
              <w:keepLines w:val="0"/>
              <w:pageBreakBefore w:val="0"/>
              <w:wordWrap/>
              <w:overflowPunct/>
              <w:topLinePunct/>
              <w:bidi w:val="0"/>
              <w:adjustRightInd w:val="0"/>
              <w:snapToGrid w:val="0"/>
              <w:spacing w:line="240" w:lineRule="auto"/>
              <w:ind w:firstLine="0" w:firstLineChars="0"/>
              <w:rPr>
                <w:rFonts w:hint="default" w:ascii="Times New Roman" w:hAnsi="Times New Roman" w:cs="Times New Roman"/>
                <w:b/>
                <w:bCs/>
                <w:color w:val="auto"/>
                <w:sz w:val="24"/>
                <w:szCs w:val="24"/>
                <w:highlight w:val="none"/>
              </w:rPr>
            </w:pPr>
            <w:r>
              <w:rPr>
                <w:rFonts w:ascii="Times New Roman" w:hAnsi="Times New Roman"/>
                <w:color w:val="auto"/>
                <w:sz w:val="24"/>
                <w:szCs w:val="24"/>
                <w:highlight w:val="none"/>
                <w:lang w:val="zh-CN" w:bidi="ar"/>
              </w:rPr>
              <w:t>（</w:t>
            </w:r>
            <w:r>
              <w:rPr>
                <w:rFonts w:hint="eastAsia" w:ascii="Times New Roman" w:hAnsi="Times New Roman"/>
                <w:color w:val="auto"/>
                <w:sz w:val="24"/>
                <w:szCs w:val="24"/>
                <w:highlight w:val="none"/>
                <w:lang w:bidi="ar"/>
              </w:rPr>
              <w:t>4</w:t>
            </w:r>
            <w:r>
              <w:rPr>
                <w:rFonts w:ascii="Times New Roman" w:hAnsi="Times New Roman"/>
                <w:color w:val="auto"/>
                <w:sz w:val="24"/>
                <w:szCs w:val="24"/>
                <w:highlight w:val="none"/>
                <w:lang w:val="zh-CN" w:bidi="ar"/>
              </w:rPr>
              <w:t>）未提供的不得分。</w:t>
            </w:r>
          </w:p>
        </w:tc>
        <w:tc>
          <w:tcPr>
            <w:tcW w:w="685" w:type="dxa"/>
            <w:tcBorders>
              <w:left w:val="single" w:color="auto" w:sz="4" w:space="0"/>
              <w:right w:val="single" w:color="auto" w:sz="4" w:space="0"/>
            </w:tcBorders>
            <w:vAlign w:val="center"/>
          </w:tcPr>
          <w:p w14:paraId="45B40EFF">
            <w:pPr>
              <w:keepNext w:val="0"/>
              <w:keepLines w:val="0"/>
              <w:pageBreakBefore w:val="0"/>
              <w:wordWrap/>
              <w:overflowPunct/>
              <w:bidi w:val="0"/>
              <w:spacing w:line="240" w:lineRule="auto"/>
              <w:ind w:firstLine="0" w:firstLineChars="0"/>
              <w:jc w:val="center"/>
              <w:rPr>
                <w:rFonts w:hint="eastAsia" w:asciiTheme="minorEastAsia" w:hAnsiTheme="minorEastAsia" w:eastAsiaTheme="minorEastAsia"/>
                <w:b w:val="0"/>
                <w:bCs/>
                <w:color w:val="auto"/>
                <w:sz w:val="24"/>
                <w:szCs w:val="24"/>
                <w:highlight w:val="none"/>
                <w:lang w:val="en-US" w:eastAsia="zh-CN"/>
              </w:rPr>
            </w:pPr>
            <w:r>
              <w:rPr>
                <w:rFonts w:hint="eastAsia" w:asciiTheme="minorEastAsia" w:hAnsiTheme="minorEastAsia" w:eastAsiaTheme="minorEastAsia"/>
                <w:b w:val="0"/>
                <w:bCs/>
                <w:color w:val="auto"/>
                <w:sz w:val="24"/>
                <w:szCs w:val="24"/>
                <w:highlight w:val="none"/>
                <w:lang w:val="en-US" w:eastAsia="zh-CN"/>
              </w:rPr>
              <w:t>5分</w:t>
            </w:r>
          </w:p>
        </w:tc>
      </w:tr>
      <w:tr w14:paraId="4EC2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2" w:type="dxa"/>
            <w:tcBorders>
              <w:left w:val="single" w:color="auto" w:sz="4" w:space="0"/>
              <w:right w:val="single" w:color="auto" w:sz="4" w:space="0"/>
            </w:tcBorders>
            <w:vAlign w:val="center"/>
          </w:tcPr>
          <w:p w14:paraId="25F914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Style w:val="272"/>
                <w:rFonts w:hint="default" w:ascii="Times New Roman" w:hAnsi="Times New Roman" w:cs="Times New Roman"/>
                <w:b/>
                <w:bCs/>
                <w:color w:val="auto"/>
                <w:sz w:val="24"/>
                <w:szCs w:val="24"/>
                <w:highlight w:val="none"/>
                <w:lang w:val="en-US" w:eastAsia="zh-CN"/>
              </w:rPr>
            </w:pPr>
            <w:r>
              <w:rPr>
                <w:rFonts w:hint="eastAsia"/>
                <w:b/>
                <w:bCs/>
                <w:color w:val="auto"/>
                <w:sz w:val="24"/>
                <w:szCs w:val="24"/>
                <w:highlight w:val="none"/>
                <w:lang w:val="en-US" w:eastAsia="zh-CN"/>
              </w:rPr>
              <w:t>水闸自动化系统调试方案</w:t>
            </w:r>
          </w:p>
        </w:tc>
        <w:tc>
          <w:tcPr>
            <w:tcW w:w="7571" w:type="dxa"/>
            <w:tcBorders>
              <w:top w:val="single" w:color="auto" w:sz="4" w:space="0"/>
              <w:left w:val="single" w:color="auto" w:sz="4" w:space="0"/>
              <w:bottom w:val="single" w:color="auto" w:sz="4" w:space="0"/>
              <w:right w:val="single" w:color="auto" w:sz="4" w:space="0"/>
            </w:tcBorders>
            <w:vAlign w:val="center"/>
          </w:tcPr>
          <w:p w14:paraId="08FE6390">
            <w:pPr>
              <w:topLinePunct/>
              <w:adjustRightInd w:val="0"/>
              <w:snapToGrid w:val="0"/>
              <w:spacing w:line="240" w:lineRule="auto"/>
              <w:rPr>
                <w:rFonts w:ascii="Times New Roman" w:hAnsi="Times New Roman"/>
                <w:color w:val="auto"/>
                <w:sz w:val="24"/>
                <w:szCs w:val="24"/>
                <w:highlight w:val="none"/>
                <w:lang w:val="zh-CN" w:bidi="ar"/>
              </w:rPr>
            </w:pPr>
            <w:r>
              <w:rPr>
                <w:rFonts w:ascii="Times New Roman" w:hAnsi="Times New Roman"/>
                <w:color w:val="auto"/>
                <w:sz w:val="24"/>
                <w:szCs w:val="24"/>
                <w:highlight w:val="none"/>
                <w:lang w:val="zh-CN" w:bidi="ar"/>
              </w:rPr>
              <w:t>（1）</w:t>
            </w:r>
            <w:r>
              <w:rPr>
                <w:rFonts w:hint="eastAsia" w:ascii="Times New Roman" w:hAnsi="Times New Roman"/>
                <w:color w:val="auto"/>
                <w:sz w:val="24"/>
                <w:szCs w:val="24"/>
                <w:highlight w:val="none"/>
                <w:lang w:val="en-US" w:eastAsia="zh-CN" w:bidi="ar"/>
              </w:rPr>
              <w:t>理解准确</w:t>
            </w:r>
            <w:r>
              <w:rPr>
                <w:rFonts w:ascii="Times New Roman" w:hAnsi="Times New Roman"/>
                <w:color w:val="auto"/>
                <w:sz w:val="24"/>
                <w:szCs w:val="24"/>
                <w:highlight w:val="none"/>
                <w:lang w:val="zh-CN" w:bidi="ar"/>
              </w:rPr>
              <w:t>、要点突出、针对性强，内容完整详实，表述清晰，与本项目实际需求适应度高，利于项目实施的得</w:t>
            </w:r>
            <w:r>
              <w:rPr>
                <w:rFonts w:hint="eastAsia" w:ascii="Times New Roman" w:hAnsi="Times New Roman"/>
                <w:color w:val="auto"/>
                <w:sz w:val="24"/>
                <w:szCs w:val="24"/>
                <w:highlight w:val="none"/>
                <w:lang w:val="en-US" w:eastAsia="zh-CN" w:bidi="ar"/>
              </w:rPr>
              <w:t>5</w:t>
            </w:r>
            <w:r>
              <w:rPr>
                <w:rFonts w:ascii="Times New Roman" w:hAnsi="Times New Roman"/>
                <w:color w:val="auto"/>
                <w:sz w:val="24"/>
                <w:szCs w:val="24"/>
                <w:highlight w:val="none"/>
                <w:lang w:val="zh-CN" w:bidi="ar"/>
              </w:rPr>
              <w:t>分；</w:t>
            </w:r>
          </w:p>
          <w:p w14:paraId="17BD7243">
            <w:pPr>
              <w:topLinePunct/>
              <w:adjustRightInd w:val="0"/>
              <w:snapToGrid w:val="0"/>
              <w:spacing w:line="240" w:lineRule="auto"/>
              <w:rPr>
                <w:rFonts w:ascii="Times New Roman" w:hAnsi="Times New Roman"/>
                <w:color w:val="auto"/>
                <w:sz w:val="24"/>
                <w:szCs w:val="24"/>
                <w:highlight w:val="none"/>
                <w:lang w:val="zh-CN" w:bidi="ar"/>
              </w:rPr>
            </w:pPr>
            <w:r>
              <w:rPr>
                <w:rFonts w:ascii="Times New Roman" w:hAnsi="Times New Roman"/>
                <w:color w:val="auto"/>
                <w:sz w:val="24"/>
                <w:szCs w:val="24"/>
                <w:highlight w:val="none"/>
                <w:lang w:val="zh-CN" w:bidi="ar"/>
              </w:rPr>
              <w:t>（2）</w:t>
            </w:r>
            <w:r>
              <w:rPr>
                <w:rFonts w:hint="eastAsia" w:ascii="Times New Roman" w:hAnsi="Times New Roman"/>
                <w:color w:val="auto"/>
                <w:sz w:val="24"/>
                <w:szCs w:val="24"/>
                <w:highlight w:val="none"/>
                <w:lang w:val="en-US" w:eastAsia="zh-CN" w:bidi="ar"/>
              </w:rPr>
              <w:t>理解基本</w:t>
            </w:r>
            <w:r>
              <w:rPr>
                <w:rFonts w:ascii="Times New Roman" w:hAnsi="Times New Roman"/>
                <w:color w:val="auto"/>
                <w:sz w:val="24"/>
                <w:szCs w:val="24"/>
                <w:highlight w:val="none"/>
                <w:lang w:val="zh-CN" w:bidi="ar"/>
              </w:rPr>
              <w:t>全面，针对性强，内容完整详实，表述清晰，与本项目实际需求</w:t>
            </w:r>
            <w:r>
              <w:rPr>
                <w:rFonts w:hint="eastAsia" w:ascii="Times New Roman" w:hAnsi="Times New Roman"/>
                <w:color w:val="auto"/>
                <w:sz w:val="24"/>
                <w:szCs w:val="24"/>
                <w:highlight w:val="none"/>
                <w:lang w:val="en-US" w:eastAsia="zh-CN" w:bidi="ar"/>
              </w:rPr>
              <w:t>基本</w:t>
            </w:r>
            <w:r>
              <w:rPr>
                <w:rFonts w:hint="eastAsia" w:ascii="Times New Roman" w:hAnsi="Times New Roman"/>
                <w:color w:val="auto"/>
                <w:sz w:val="24"/>
                <w:szCs w:val="24"/>
                <w:highlight w:val="none"/>
                <w:lang w:bidi="ar"/>
              </w:rPr>
              <w:t>适应</w:t>
            </w:r>
            <w:r>
              <w:rPr>
                <w:rFonts w:hint="eastAsia" w:ascii="Times New Roman" w:hAnsi="Times New Roman"/>
                <w:color w:val="auto"/>
                <w:sz w:val="24"/>
                <w:szCs w:val="24"/>
                <w:highlight w:val="none"/>
                <w:lang w:val="zh-CN" w:bidi="ar"/>
              </w:rPr>
              <w:t>的</w:t>
            </w:r>
            <w:r>
              <w:rPr>
                <w:rFonts w:ascii="Times New Roman" w:hAnsi="Times New Roman"/>
                <w:color w:val="auto"/>
                <w:sz w:val="24"/>
                <w:szCs w:val="24"/>
                <w:highlight w:val="none"/>
                <w:lang w:val="zh-CN" w:bidi="ar"/>
              </w:rPr>
              <w:t>得</w:t>
            </w:r>
            <w:r>
              <w:rPr>
                <w:rFonts w:hint="eastAsia" w:ascii="Times New Roman" w:hAnsi="Times New Roman"/>
                <w:color w:val="auto"/>
                <w:sz w:val="24"/>
                <w:szCs w:val="24"/>
                <w:highlight w:val="none"/>
                <w:lang w:val="en-US" w:eastAsia="zh-CN" w:bidi="ar"/>
              </w:rPr>
              <w:t>3</w:t>
            </w:r>
            <w:r>
              <w:rPr>
                <w:rFonts w:ascii="Times New Roman" w:hAnsi="Times New Roman"/>
                <w:color w:val="auto"/>
                <w:sz w:val="24"/>
                <w:szCs w:val="24"/>
                <w:highlight w:val="none"/>
                <w:lang w:val="zh-CN" w:bidi="ar"/>
              </w:rPr>
              <w:t>分；</w:t>
            </w:r>
          </w:p>
          <w:p w14:paraId="050ACA56">
            <w:pPr>
              <w:topLinePunct/>
              <w:adjustRightInd w:val="0"/>
              <w:snapToGrid w:val="0"/>
              <w:spacing w:line="240" w:lineRule="auto"/>
              <w:rPr>
                <w:rFonts w:ascii="Times New Roman" w:hAnsi="Times New Roman"/>
                <w:color w:val="auto"/>
                <w:sz w:val="24"/>
                <w:szCs w:val="24"/>
                <w:highlight w:val="none"/>
                <w:lang w:val="zh-CN" w:bidi="ar"/>
              </w:rPr>
            </w:pPr>
            <w:r>
              <w:rPr>
                <w:rFonts w:ascii="Times New Roman" w:hAnsi="Times New Roman"/>
                <w:color w:val="auto"/>
                <w:sz w:val="24"/>
                <w:szCs w:val="24"/>
                <w:highlight w:val="none"/>
                <w:lang w:val="zh-CN" w:bidi="ar"/>
              </w:rPr>
              <w:t>（</w:t>
            </w:r>
            <w:r>
              <w:rPr>
                <w:rFonts w:hint="eastAsia" w:ascii="Times New Roman" w:hAnsi="Times New Roman"/>
                <w:color w:val="auto"/>
                <w:sz w:val="24"/>
                <w:szCs w:val="24"/>
                <w:highlight w:val="none"/>
                <w:lang w:val="en-US" w:eastAsia="zh-CN" w:bidi="ar"/>
              </w:rPr>
              <w:t>3</w:t>
            </w:r>
            <w:r>
              <w:rPr>
                <w:rFonts w:ascii="Times New Roman" w:hAnsi="Times New Roman"/>
                <w:color w:val="auto"/>
                <w:sz w:val="24"/>
                <w:szCs w:val="24"/>
                <w:highlight w:val="none"/>
                <w:lang w:val="zh-CN" w:bidi="ar"/>
              </w:rPr>
              <w:t>）</w:t>
            </w:r>
            <w:r>
              <w:rPr>
                <w:rFonts w:hint="eastAsia" w:ascii="Times New Roman" w:hAnsi="Times New Roman"/>
                <w:color w:val="auto"/>
                <w:sz w:val="24"/>
                <w:szCs w:val="24"/>
                <w:highlight w:val="none"/>
                <w:lang w:val="en-US" w:eastAsia="zh-CN" w:bidi="ar"/>
              </w:rPr>
              <w:t>理解</w:t>
            </w:r>
            <w:r>
              <w:rPr>
                <w:rFonts w:hint="eastAsia" w:ascii="Times New Roman" w:hAnsi="Times New Roman"/>
                <w:color w:val="auto"/>
                <w:sz w:val="24"/>
                <w:szCs w:val="24"/>
                <w:highlight w:val="none"/>
                <w:lang w:bidi="ar"/>
              </w:rPr>
              <w:t>不</w:t>
            </w:r>
            <w:r>
              <w:rPr>
                <w:rFonts w:ascii="Times New Roman" w:hAnsi="Times New Roman"/>
                <w:color w:val="auto"/>
                <w:sz w:val="24"/>
                <w:szCs w:val="24"/>
                <w:highlight w:val="none"/>
                <w:lang w:val="zh-CN" w:bidi="ar"/>
              </w:rPr>
              <w:t>全面、要点</w:t>
            </w:r>
            <w:r>
              <w:rPr>
                <w:rFonts w:hint="eastAsia" w:ascii="Times New Roman" w:hAnsi="Times New Roman"/>
                <w:color w:val="auto"/>
                <w:sz w:val="24"/>
                <w:szCs w:val="24"/>
                <w:highlight w:val="none"/>
                <w:lang w:bidi="ar"/>
              </w:rPr>
              <w:t>不</w:t>
            </w:r>
            <w:r>
              <w:rPr>
                <w:rFonts w:ascii="Times New Roman" w:hAnsi="Times New Roman"/>
                <w:color w:val="auto"/>
                <w:sz w:val="24"/>
                <w:szCs w:val="24"/>
                <w:highlight w:val="none"/>
                <w:lang w:val="zh-CN" w:bidi="ar"/>
              </w:rPr>
              <w:t>突出、针对性</w:t>
            </w:r>
            <w:r>
              <w:rPr>
                <w:rFonts w:hint="eastAsia" w:ascii="Times New Roman" w:hAnsi="Times New Roman"/>
                <w:color w:val="auto"/>
                <w:sz w:val="24"/>
                <w:szCs w:val="24"/>
                <w:highlight w:val="none"/>
                <w:lang w:bidi="ar"/>
              </w:rPr>
              <w:t>不强</w:t>
            </w:r>
            <w:r>
              <w:rPr>
                <w:rFonts w:ascii="Times New Roman" w:hAnsi="Times New Roman"/>
                <w:color w:val="auto"/>
                <w:sz w:val="24"/>
                <w:szCs w:val="24"/>
                <w:highlight w:val="none"/>
                <w:lang w:val="zh-CN" w:bidi="ar"/>
              </w:rPr>
              <w:t>，内容</w:t>
            </w:r>
            <w:r>
              <w:rPr>
                <w:rFonts w:hint="eastAsia" w:ascii="Times New Roman" w:hAnsi="Times New Roman"/>
                <w:color w:val="auto"/>
                <w:sz w:val="24"/>
                <w:szCs w:val="24"/>
                <w:highlight w:val="none"/>
                <w:lang w:bidi="ar"/>
              </w:rPr>
              <w:t>不完整</w:t>
            </w:r>
            <w:r>
              <w:rPr>
                <w:rFonts w:ascii="Times New Roman" w:hAnsi="Times New Roman"/>
                <w:color w:val="auto"/>
                <w:sz w:val="24"/>
                <w:szCs w:val="24"/>
                <w:highlight w:val="none"/>
                <w:lang w:val="zh-CN" w:bidi="ar"/>
              </w:rPr>
              <w:t>，表述</w:t>
            </w:r>
            <w:r>
              <w:rPr>
                <w:rFonts w:hint="eastAsia" w:ascii="Times New Roman" w:hAnsi="Times New Roman"/>
                <w:color w:val="auto"/>
                <w:sz w:val="24"/>
                <w:szCs w:val="24"/>
                <w:highlight w:val="none"/>
                <w:lang w:bidi="ar"/>
              </w:rPr>
              <w:t>不</w:t>
            </w:r>
            <w:r>
              <w:rPr>
                <w:rFonts w:ascii="Times New Roman" w:hAnsi="Times New Roman"/>
                <w:color w:val="auto"/>
                <w:sz w:val="24"/>
                <w:szCs w:val="24"/>
                <w:highlight w:val="none"/>
                <w:lang w:val="zh-CN" w:bidi="ar"/>
              </w:rPr>
              <w:t>清晰，与本项目实际需求</w:t>
            </w:r>
            <w:r>
              <w:rPr>
                <w:rFonts w:hint="eastAsia" w:ascii="Times New Roman" w:hAnsi="Times New Roman"/>
                <w:color w:val="auto"/>
                <w:sz w:val="24"/>
                <w:szCs w:val="24"/>
                <w:highlight w:val="none"/>
                <w:lang w:bidi="ar"/>
              </w:rPr>
              <w:t>不适应</w:t>
            </w:r>
            <w:r>
              <w:rPr>
                <w:rFonts w:ascii="Times New Roman" w:hAnsi="Times New Roman"/>
                <w:color w:val="auto"/>
                <w:sz w:val="24"/>
                <w:szCs w:val="24"/>
                <w:highlight w:val="none"/>
                <w:lang w:val="zh-CN" w:bidi="ar"/>
              </w:rPr>
              <w:t>，</w:t>
            </w:r>
            <w:r>
              <w:rPr>
                <w:rFonts w:hint="eastAsia" w:ascii="Times New Roman" w:hAnsi="Times New Roman"/>
                <w:color w:val="auto"/>
                <w:sz w:val="24"/>
                <w:szCs w:val="24"/>
                <w:highlight w:val="none"/>
                <w:lang w:bidi="ar"/>
              </w:rPr>
              <w:t>不</w:t>
            </w:r>
            <w:r>
              <w:rPr>
                <w:rFonts w:ascii="Times New Roman" w:hAnsi="Times New Roman"/>
                <w:color w:val="auto"/>
                <w:sz w:val="24"/>
                <w:szCs w:val="24"/>
                <w:highlight w:val="none"/>
                <w:lang w:val="zh-CN" w:bidi="ar"/>
              </w:rPr>
              <w:t>符合项目实施要求的得</w:t>
            </w:r>
            <w:r>
              <w:rPr>
                <w:rFonts w:hint="eastAsia" w:ascii="Times New Roman" w:hAnsi="Times New Roman"/>
                <w:color w:val="auto"/>
                <w:sz w:val="24"/>
                <w:szCs w:val="24"/>
                <w:highlight w:val="none"/>
                <w:lang w:val="en-US" w:eastAsia="zh-CN" w:bidi="ar"/>
              </w:rPr>
              <w:t>1</w:t>
            </w:r>
            <w:r>
              <w:rPr>
                <w:rFonts w:ascii="Times New Roman" w:hAnsi="Times New Roman"/>
                <w:color w:val="auto"/>
                <w:sz w:val="24"/>
                <w:szCs w:val="24"/>
                <w:highlight w:val="none"/>
                <w:lang w:val="zh-CN" w:bidi="ar"/>
              </w:rPr>
              <w:t>分；</w:t>
            </w:r>
          </w:p>
          <w:p w14:paraId="0968929D">
            <w:pPr>
              <w:topLinePunct/>
              <w:adjustRightInd w:val="0"/>
              <w:snapToGrid w:val="0"/>
              <w:spacing w:line="240" w:lineRule="auto"/>
              <w:rPr>
                <w:rFonts w:hint="eastAsia" w:ascii="Times New Roman" w:hAnsi="Times New Roman" w:eastAsia="宋体"/>
                <w:b/>
                <w:bCs/>
                <w:color w:val="auto"/>
                <w:sz w:val="24"/>
                <w:szCs w:val="24"/>
                <w:highlight w:val="none"/>
                <w:lang w:val="zh-CN" w:bidi="ar"/>
              </w:rPr>
            </w:pPr>
            <w:r>
              <w:rPr>
                <w:rFonts w:ascii="Times New Roman" w:hAnsi="Times New Roman"/>
                <w:color w:val="auto"/>
                <w:sz w:val="24"/>
                <w:szCs w:val="24"/>
                <w:highlight w:val="none"/>
                <w:lang w:val="zh-CN" w:bidi="ar"/>
              </w:rPr>
              <w:t>（</w:t>
            </w:r>
            <w:r>
              <w:rPr>
                <w:rFonts w:hint="eastAsia" w:ascii="Times New Roman" w:hAnsi="Times New Roman"/>
                <w:color w:val="auto"/>
                <w:sz w:val="24"/>
                <w:szCs w:val="24"/>
                <w:highlight w:val="none"/>
                <w:lang w:bidi="ar"/>
              </w:rPr>
              <w:t>4</w:t>
            </w:r>
            <w:r>
              <w:rPr>
                <w:rFonts w:ascii="Times New Roman" w:hAnsi="Times New Roman"/>
                <w:color w:val="auto"/>
                <w:sz w:val="24"/>
                <w:szCs w:val="24"/>
                <w:highlight w:val="none"/>
                <w:lang w:val="zh-CN" w:bidi="ar"/>
              </w:rPr>
              <w:t>）未提供的不得分。</w:t>
            </w:r>
          </w:p>
        </w:tc>
        <w:tc>
          <w:tcPr>
            <w:tcW w:w="685" w:type="dxa"/>
            <w:tcBorders>
              <w:top w:val="single" w:color="auto" w:sz="4" w:space="0"/>
              <w:left w:val="single" w:color="auto" w:sz="4" w:space="0"/>
              <w:bottom w:val="single" w:color="auto" w:sz="4" w:space="0"/>
              <w:right w:val="single" w:color="auto" w:sz="4" w:space="0"/>
            </w:tcBorders>
            <w:vAlign w:val="center"/>
          </w:tcPr>
          <w:p w14:paraId="119AF323">
            <w:pPr>
              <w:spacing w:line="240" w:lineRule="auto"/>
              <w:jc w:val="center"/>
              <w:rPr>
                <w:rFonts w:hint="eastAsia" w:asciiTheme="minorEastAsia" w:hAnsiTheme="minorEastAsia" w:eastAsiaTheme="minorEastAsia"/>
                <w:b w:val="0"/>
                <w:bCs w:val="0"/>
                <w:color w:val="auto"/>
                <w:sz w:val="24"/>
                <w:szCs w:val="24"/>
                <w:highlight w:val="none"/>
                <w:lang w:val="en-US" w:eastAsia="zh-CN"/>
              </w:rPr>
            </w:pPr>
            <w:r>
              <w:rPr>
                <w:rFonts w:hint="eastAsia" w:asciiTheme="minorEastAsia" w:hAnsiTheme="minorEastAsia" w:eastAsiaTheme="minorEastAsia"/>
                <w:b w:val="0"/>
                <w:bCs/>
                <w:color w:val="auto"/>
                <w:sz w:val="24"/>
                <w:szCs w:val="24"/>
                <w:highlight w:val="none"/>
                <w:lang w:val="en-US" w:eastAsia="zh-CN"/>
              </w:rPr>
              <w:t>5分</w:t>
            </w:r>
          </w:p>
        </w:tc>
      </w:tr>
      <w:tr w14:paraId="669C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2" w:type="dxa"/>
            <w:tcBorders>
              <w:left w:val="single" w:color="auto" w:sz="4" w:space="0"/>
              <w:right w:val="single" w:color="auto" w:sz="4" w:space="0"/>
            </w:tcBorders>
            <w:vAlign w:val="center"/>
          </w:tcPr>
          <w:p w14:paraId="567A0362">
            <w:pPr>
              <w:keepNext w:val="0"/>
              <w:keepLines w:val="0"/>
              <w:pageBreakBefore w:val="0"/>
              <w:kinsoku w:val="0"/>
              <w:wordWrap/>
              <w:overflowPunct/>
              <w:topLinePunct w:val="0"/>
              <w:autoSpaceDE w:val="0"/>
              <w:autoSpaceDN w:val="0"/>
              <w:bidi w:val="0"/>
              <w:adjustRightInd w:val="0"/>
              <w:snapToGrid w:val="0"/>
              <w:spacing w:before="68" w:line="220" w:lineRule="auto"/>
              <w:ind w:firstLine="0" w:firstLineChars="0"/>
              <w:jc w:val="center"/>
              <w:textAlignment w:val="baseline"/>
              <w:rPr>
                <w:rStyle w:val="272"/>
                <w:rFonts w:hint="default" w:ascii="Times New Roman" w:hAnsi="Times New Roman" w:cs="Times New Roman"/>
                <w:b/>
                <w:bCs/>
                <w:color w:val="auto"/>
                <w:sz w:val="24"/>
                <w:szCs w:val="24"/>
                <w:highlight w:val="none"/>
                <w:lang w:val="en-US" w:eastAsia="zh-CN"/>
              </w:rPr>
            </w:pPr>
            <w:r>
              <w:rPr>
                <w:rFonts w:hint="eastAsia" w:ascii="宋体" w:hAnsi="宋体" w:eastAsia="宋体" w:cs="宋体"/>
                <w:b/>
                <w:bCs/>
                <w:snapToGrid w:val="0"/>
                <w:color w:val="auto"/>
                <w:spacing w:val="2"/>
                <w:kern w:val="0"/>
                <w:sz w:val="24"/>
                <w:szCs w:val="24"/>
                <w:highlight w:val="none"/>
                <w:lang w:val="en-US" w:eastAsia="zh-CN" w:bidi="ar-SA"/>
              </w:rPr>
              <w:t>安全施工的技术组织措施</w:t>
            </w:r>
          </w:p>
        </w:tc>
        <w:tc>
          <w:tcPr>
            <w:tcW w:w="7571" w:type="dxa"/>
            <w:tcBorders>
              <w:top w:val="single" w:color="auto" w:sz="4" w:space="0"/>
              <w:left w:val="single" w:color="auto" w:sz="4" w:space="0"/>
              <w:bottom w:val="single" w:color="auto" w:sz="4" w:space="0"/>
              <w:right w:val="single" w:color="auto" w:sz="4" w:space="0"/>
            </w:tcBorders>
            <w:vAlign w:val="center"/>
          </w:tcPr>
          <w:p w14:paraId="0E8FC083">
            <w:pPr>
              <w:topLinePunct/>
              <w:adjustRightInd w:val="0"/>
              <w:snapToGrid w:val="0"/>
              <w:spacing w:line="240" w:lineRule="auto"/>
              <w:rPr>
                <w:rFonts w:ascii="Times New Roman" w:hAnsi="Times New Roman"/>
                <w:color w:val="auto"/>
                <w:sz w:val="24"/>
                <w:szCs w:val="24"/>
                <w:highlight w:val="none"/>
                <w:lang w:val="zh-CN" w:bidi="ar"/>
              </w:rPr>
            </w:pPr>
            <w:r>
              <w:rPr>
                <w:rFonts w:ascii="Times New Roman" w:hAnsi="Times New Roman"/>
                <w:color w:val="auto"/>
                <w:sz w:val="24"/>
                <w:szCs w:val="24"/>
                <w:highlight w:val="none"/>
                <w:lang w:val="zh-CN" w:bidi="ar"/>
              </w:rPr>
              <w:t>（1）</w:t>
            </w:r>
            <w:r>
              <w:rPr>
                <w:rFonts w:hint="eastAsia" w:ascii="Times New Roman" w:hAnsi="Times New Roman"/>
                <w:color w:val="auto"/>
                <w:sz w:val="24"/>
                <w:szCs w:val="24"/>
                <w:highlight w:val="none"/>
                <w:lang w:val="en-US" w:eastAsia="zh-CN" w:bidi="ar"/>
              </w:rPr>
              <w:t>理解准确</w:t>
            </w:r>
            <w:r>
              <w:rPr>
                <w:rFonts w:ascii="Times New Roman" w:hAnsi="Times New Roman"/>
                <w:color w:val="auto"/>
                <w:sz w:val="24"/>
                <w:szCs w:val="24"/>
                <w:highlight w:val="none"/>
                <w:lang w:val="zh-CN" w:bidi="ar"/>
              </w:rPr>
              <w:t>、要点突出、针对性强，内容完整详实，表述清晰，与本项目实际需求适应度高，利于项目实施的得</w:t>
            </w:r>
            <w:r>
              <w:rPr>
                <w:rFonts w:hint="eastAsia" w:ascii="Times New Roman" w:hAnsi="Times New Roman"/>
                <w:color w:val="auto"/>
                <w:sz w:val="24"/>
                <w:szCs w:val="24"/>
                <w:highlight w:val="none"/>
                <w:lang w:val="en-US" w:eastAsia="zh-CN" w:bidi="ar"/>
              </w:rPr>
              <w:t>5</w:t>
            </w:r>
            <w:r>
              <w:rPr>
                <w:rFonts w:ascii="Times New Roman" w:hAnsi="Times New Roman"/>
                <w:color w:val="auto"/>
                <w:sz w:val="24"/>
                <w:szCs w:val="24"/>
                <w:highlight w:val="none"/>
                <w:lang w:val="zh-CN" w:bidi="ar"/>
              </w:rPr>
              <w:t>分；</w:t>
            </w:r>
          </w:p>
          <w:p w14:paraId="2C1A6FD1">
            <w:pPr>
              <w:topLinePunct/>
              <w:adjustRightInd w:val="0"/>
              <w:snapToGrid w:val="0"/>
              <w:spacing w:line="240" w:lineRule="auto"/>
              <w:rPr>
                <w:rFonts w:ascii="Times New Roman" w:hAnsi="Times New Roman"/>
                <w:color w:val="auto"/>
                <w:sz w:val="24"/>
                <w:szCs w:val="24"/>
                <w:highlight w:val="none"/>
                <w:lang w:val="zh-CN" w:bidi="ar"/>
              </w:rPr>
            </w:pPr>
            <w:r>
              <w:rPr>
                <w:rFonts w:ascii="Times New Roman" w:hAnsi="Times New Roman"/>
                <w:color w:val="auto"/>
                <w:sz w:val="24"/>
                <w:szCs w:val="24"/>
                <w:highlight w:val="none"/>
                <w:lang w:val="zh-CN" w:bidi="ar"/>
              </w:rPr>
              <w:t>（2）</w:t>
            </w:r>
            <w:r>
              <w:rPr>
                <w:rFonts w:hint="eastAsia" w:ascii="Times New Roman" w:hAnsi="Times New Roman"/>
                <w:color w:val="auto"/>
                <w:sz w:val="24"/>
                <w:szCs w:val="24"/>
                <w:highlight w:val="none"/>
                <w:lang w:val="en-US" w:eastAsia="zh-CN" w:bidi="ar"/>
              </w:rPr>
              <w:t>理解基本</w:t>
            </w:r>
            <w:r>
              <w:rPr>
                <w:rFonts w:ascii="Times New Roman" w:hAnsi="Times New Roman"/>
                <w:color w:val="auto"/>
                <w:sz w:val="24"/>
                <w:szCs w:val="24"/>
                <w:highlight w:val="none"/>
                <w:lang w:val="zh-CN" w:bidi="ar"/>
              </w:rPr>
              <w:t>全面，针对性强，内容完整详实，表述清晰，与本项目实际需求</w:t>
            </w:r>
            <w:r>
              <w:rPr>
                <w:rFonts w:hint="eastAsia" w:ascii="Times New Roman" w:hAnsi="Times New Roman"/>
                <w:color w:val="auto"/>
                <w:sz w:val="24"/>
                <w:szCs w:val="24"/>
                <w:highlight w:val="none"/>
                <w:lang w:val="en-US" w:eastAsia="zh-CN" w:bidi="ar"/>
              </w:rPr>
              <w:t>基本</w:t>
            </w:r>
            <w:r>
              <w:rPr>
                <w:rFonts w:hint="eastAsia" w:ascii="Times New Roman" w:hAnsi="Times New Roman"/>
                <w:color w:val="auto"/>
                <w:sz w:val="24"/>
                <w:szCs w:val="24"/>
                <w:highlight w:val="none"/>
                <w:lang w:bidi="ar"/>
              </w:rPr>
              <w:t>适应</w:t>
            </w:r>
            <w:r>
              <w:rPr>
                <w:rFonts w:hint="eastAsia" w:ascii="Times New Roman" w:hAnsi="Times New Roman"/>
                <w:color w:val="auto"/>
                <w:sz w:val="24"/>
                <w:szCs w:val="24"/>
                <w:highlight w:val="none"/>
                <w:lang w:val="zh-CN" w:bidi="ar"/>
              </w:rPr>
              <w:t>的</w:t>
            </w:r>
            <w:r>
              <w:rPr>
                <w:rFonts w:ascii="Times New Roman" w:hAnsi="Times New Roman"/>
                <w:color w:val="auto"/>
                <w:sz w:val="24"/>
                <w:szCs w:val="24"/>
                <w:highlight w:val="none"/>
                <w:lang w:val="zh-CN" w:bidi="ar"/>
              </w:rPr>
              <w:t>得</w:t>
            </w:r>
            <w:r>
              <w:rPr>
                <w:rFonts w:hint="eastAsia" w:ascii="Times New Roman" w:hAnsi="Times New Roman"/>
                <w:color w:val="auto"/>
                <w:sz w:val="24"/>
                <w:szCs w:val="24"/>
                <w:highlight w:val="none"/>
                <w:lang w:val="en-US" w:eastAsia="zh-CN" w:bidi="ar"/>
              </w:rPr>
              <w:t>3</w:t>
            </w:r>
            <w:r>
              <w:rPr>
                <w:rFonts w:ascii="Times New Roman" w:hAnsi="Times New Roman"/>
                <w:color w:val="auto"/>
                <w:sz w:val="24"/>
                <w:szCs w:val="24"/>
                <w:highlight w:val="none"/>
                <w:lang w:val="zh-CN" w:bidi="ar"/>
              </w:rPr>
              <w:t>分；</w:t>
            </w:r>
          </w:p>
          <w:p w14:paraId="3CDB6047">
            <w:pPr>
              <w:topLinePunct/>
              <w:adjustRightInd w:val="0"/>
              <w:snapToGrid w:val="0"/>
              <w:spacing w:line="240" w:lineRule="auto"/>
              <w:rPr>
                <w:rFonts w:ascii="Times New Roman" w:hAnsi="Times New Roman"/>
                <w:color w:val="auto"/>
                <w:sz w:val="24"/>
                <w:szCs w:val="24"/>
                <w:highlight w:val="none"/>
                <w:lang w:val="zh-CN" w:bidi="ar"/>
              </w:rPr>
            </w:pPr>
            <w:r>
              <w:rPr>
                <w:rFonts w:ascii="Times New Roman" w:hAnsi="Times New Roman"/>
                <w:color w:val="auto"/>
                <w:sz w:val="24"/>
                <w:szCs w:val="24"/>
                <w:highlight w:val="none"/>
                <w:lang w:val="zh-CN" w:bidi="ar"/>
              </w:rPr>
              <w:t>（</w:t>
            </w:r>
            <w:r>
              <w:rPr>
                <w:rFonts w:hint="eastAsia" w:ascii="Times New Roman" w:hAnsi="Times New Roman"/>
                <w:color w:val="auto"/>
                <w:sz w:val="24"/>
                <w:szCs w:val="24"/>
                <w:highlight w:val="none"/>
                <w:lang w:val="en-US" w:eastAsia="zh-CN" w:bidi="ar"/>
              </w:rPr>
              <w:t>3</w:t>
            </w:r>
            <w:r>
              <w:rPr>
                <w:rFonts w:ascii="Times New Roman" w:hAnsi="Times New Roman"/>
                <w:color w:val="auto"/>
                <w:sz w:val="24"/>
                <w:szCs w:val="24"/>
                <w:highlight w:val="none"/>
                <w:lang w:val="zh-CN" w:bidi="ar"/>
              </w:rPr>
              <w:t>）</w:t>
            </w:r>
            <w:r>
              <w:rPr>
                <w:rFonts w:hint="eastAsia" w:ascii="Times New Roman" w:hAnsi="Times New Roman"/>
                <w:color w:val="auto"/>
                <w:sz w:val="24"/>
                <w:szCs w:val="24"/>
                <w:highlight w:val="none"/>
                <w:lang w:val="en-US" w:eastAsia="zh-CN" w:bidi="ar"/>
              </w:rPr>
              <w:t>理解</w:t>
            </w:r>
            <w:r>
              <w:rPr>
                <w:rFonts w:hint="eastAsia" w:ascii="Times New Roman" w:hAnsi="Times New Roman"/>
                <w:color w:val="auto"/>
                <w:sz w:val="24"/>
                <w:szCs w:val="24"/>
                <w:highlight w:val="none"/>
                <w:lang w:bidi="ar"/>
              </w:rPr>
              <w:t>不</w:t>
            </w:r>
            <w:r>
              <w:rPr>
                <w:rFonts w:ascii="Times New Roman" w:hAnsi="Times New Roman"/>
                <w:color w:val="auto"/>
                <w:sz w:val="24"/>
                <w:szCs w:val="24"/>
                <w:highlight w:val="none"/>
                <w:lang w:val="zh-CN" w:bidi="ar"/>
              </w:rPr>
              <w:t>全面、要点</w:t>
            </w:r>
            <w:r>
              <w:rPr>
                <w:rFonts w:hint="eastAsia" w:ascii="Times New Roman" w:hAnsi="Times New Roman"/>
                <w:color w:val="auto"/>
                <w:sz w:val="24"/>
                <w:szCs w:val="24"/>
                <w:highlight w:val="none"/>
                <w:lang w:bidi="ar"/>
              </w:rPr>
              <w:t>不</w:t>
            </w:r>
            <w:r>
              <w:rPr>
                <w:rFonts w:ascii="Times New Roman" w:hAnsi="Times New Roman"/>
                <w:color w:val="auto"/>
                <w:sz w:val="24"/>
                <w:szCs w:val="24"/>
                <w:highlight w:val="none"/>
                <w:lang w:val="zh-CN" w:bidi="ar"/>
              </w:rPr>
              <w:t>突出、针对性</w:t>
            </w:r>
            <w:r>
              <w:rPr>
                <w:rFonts w:hint="eastAsia" w:ascii="Times New Roman" w:hAnsi="Times New Roman"/>
                <w:color w:val="auto"/>
                <w:sz w:val="24"/>
                <w:szCs w:val="24"/>
                <w:highlight w:val="none"/>
                <w:lang w:bidi="ar"/>
              </w:rPr>
              <w:t>不强</w:t>
            </w:r>
            <w:r>
              <w:rPr>
                <w:rFonts w:ascii="Times New Roman" w:hAnsi="Times New Roman"/>
                <w:color w:val="auto"/>
                <w:sz w:val="24"/>
                <w:szCs w:val="24"/>
                <w:highlight w:val="none"/>
                <w:lang w:val="zh-CN" w:bidi="ar"/>
              </w:rPr>
              <w:t>，内容</w:t>
            </w:r>
            <w:r>
              <w:rPr>
                <w:rFonts w:hint="eastAsia" w:ascii="Times New Roman" w:hAnsi="Times New Roman"/>
                <w:color w:val="auto"/>
                <w:sz w:val="24"/>
                <w:szCs w:val="24"/>
                <w:highlight w:val="none"/>
                <w:lang w:bidi="ar"/>
              </w:rPr>
              <w:t>不完整</w:t>
            </w:r>
            <w:r>
              <w:rPr>
                <w:rFonts w:ascii="Times New Roman" w:hAnsi="Times New Roman"/>
                <w:color w:val="auto"/>
                <w:sz w:val="24"/>
                <w:szCs w:val="24"/>
                <w:highlight w:val="none"/>
                <w:lang w:val="zh-CN" w:bidi="ar"/>
              </w:rPr>
              <w:t>，表述</w:t>
            </w:r>
            <w:r>
              <w:rPr>
                <w:rFonts w:hint="eastAsia" w:ascii="Times New Roman" w:hAnsi="Times New Roman"/>
                <w:color w:val="auto"/>
                <w:sz w:val="24"/>
                <w:szCs w:val="24"/>
                <w:highlight w:val="none"/>
                <w:lang w:bidi="ar"/>
              </w:rPr>
              <w:t>不</w:t>
            </w:r>
            <w:r>
              <w:rPr>
                <w:rFonts w:ascii="Times New Roman" w:hAnsi="Times New Roman"/>
                <w:color w:val="auto"/>
                <w:sz w:val="24"/>
                <w:szCs w:val="24"/>
                <w:highlight w:val="none"/>
                <w:lang w:val="zh-CN" w:bidi="ar"/>
              </w:rPr>
              <w:t>清晰，与本项目实际需求</w:t>
            </w:r>
            <w:r>
              <w:rPr>
                <w:rFonts w:hint="eastAsia" w:ascii="Times New Roman" w:hAnsi="Times New Roman"/>
                <w:color w:val="auto"/>
                <w:sz w:val="24"/>
                <w:szCs w:val="24"/>
                <w:highlight w:val="none"/>
                <w:lang w:bidi="ar"/>
              </w:rPr>
              <w:t>不适应</w:t>
            </w:r>
            <w:r>
              <w:rPr>
                <w:rFonts w:ascii="Times New Roman" w:hAnsi="Times New Roman"/>
                <w:color w:val="auto"/>
                <w:sz w:val="24"/>
                <w:szCs w:val="24"/>
                <w:highlight w:val="none"/>
                <w:lang w:val="zh-CN" w:bidi="ar"/>
              </w:rPr>
              <w:t>，</w:t>
            </w:r>
            <w:r>
              <w:rPr>
                <w:rFonts w:hint="eastAsia" w:ascii="Times New Roman" w:hAnsi="Times New Roman"/>
                <w:color w:val="auto"/>
                <w:sz w:val="24"/>
                <w:szCs w:val="24"/>
                <w:highlight w:val="none"/>
                <w:lang w:bidi="ar"/>
              </w:rPr>
              <w:t>不</w:t>
            </w:r>
            <w:r>
              <w:rPr>
                <w:rFonts w:ascii="Times New Roman" w:hAnsi="Times New Roman"/>
                <w:color w:val="auto"/>
                <w:sz w:val="24"/>
                <w:szCs w:val="24"/>
                <w:highlight w:val="none"/>
                <w:lang w:val="zh-CN" w:bidi="ar"/>
              </w:rPr>
              <w:t>符合项目实施要求的得</w:t>
            </w:r>
            <w:r>
              <w:rPr>
                <w:rFonts w:hint="eastAsia" w:ascii="Times New Roman" w:hAnsi="Times New Roman"/>
                <w:color w:val="auto"/>
                <w:sz w:val="24"/>
                <w:szCs w:val="24"/>
                <w:highlight w:val="none"/>
                <w:lang w:val="en-US" w:eastAsia="zh-CN" w:bidi="ar"/>
              </w:rPr>
              <w:t>1</w:t>
            </w:r>
            <w:r>
              <w:rPr>
                <w:rFonts w:ascii="Times New Roman" w:hAnsi="Times New Roman"/>
                <w:color w:val="auto"/>
                <w:sz w:val="24"/>
                <w:szCs w:val="24"/>
                <w:highlight w:val="none"/>
                <w:lang w:val="zh-CN" w:bidi="ar"/>
              </w:rPr>
              <w:t>分；</w:t>
            </w:r>
          </w:p>
          <w:p w14:paraId="04882F23">
            <w:pPr>
              <w:topLinePunct/>
              <w:adjustRightInd w:val="0"/>
              <w:snapToGrid w:val="0"/>
              <w:spacing w:line="240" w:lineRule="auto"/>
              <w:rPr>
                <w:rFonts w:hint="eastAsia" w:ascii="Times New Roman" w:hAnsi="Times New Roman" w:eastAsia="宋体"/>
                <w:b/>
                <w:bCs/>
                <w:color w:val="auto"/>
                <w:sz w:val="24"/>
                <w:szCs w:val="24"/>
                <w:highlight w:val="none"/>
                <w:lang w:val="zh-CN" w:bidi="ar"/>
              </w:rPr>
            </w:pPr>
            <w:r>
              <w:rPr>
                <w:rFonts w:ascii="Times New Roman" w:hAnsi="Times New Roman"/>
                <w:color w:val="auto"/>
                <w:sz w:val="24"/>
                <w:szCs w:val="24"/>
                <w:highlight w:val="none"/>
                <w:lang w:val="zh-CN" w:bidi="ar"/>
              </w:rPr>
              <w:t>（</w:t>
            </w:r>
            <w:r>
              <w:rPr>
                <w:rFonts w:hint="eastAsia" w:ascii="Times New Roman" w:hAnsi="Times New Roman"/>
                <w:color w:val="auto"/>
                <w:sz w:val="24"/>
                <w:szCs w:val="24"/>
                <w:highlight w:val="none"/>
                <w:lang w:bidi="ar"/>
              </w:rPr>
              <w:t>4</w:t>
            </w:r>
            <w:r>
              <w:rPr>
                <w:rFonts w:ascii="Times New Roman" w:hAnsi="Times New Roman"/>
                <w:color w:val="auto"/>
                <w:sz w:val="24"/>
                <w:szCs w:val="24"/>
                <w:highlight w:val="none"/>
                <w:lang w:val="zh-CN" w:bidi="ar"/>
              </w:rPr>
              <w:t>）未提供的不得分。</w:t>
            </w:r>
          </w:p>
        </w:tc>
        <w:tc>
          <w:tcPr>
            <w:tcW w:w="685" w:type="dxa"/>
            <w:tcBorders>
              <w:top w:val="single" w:color="auto" w:sz="4" w:space="0"/>
              <w:left w:val="single" w:color="auto" w:sz="4" w:space="0"/>
              <w:bottom w:val="single" w:color="auto" w:sz="4" w:space="0"/>
              <w:right w:val="single" w:color="auto" w:sz="4" w:space="0"/>
            </w:tcBorders>
            <w:vAlign w:val="center"/>
          </w:tcPr>
          <w:p w14:paraId="35AA50C2">
            <w:pPr>
              <w:spacing w:line="240" w:lineRule="auto"/>
              <w:jc w:val="center"/>
              <w:rPr>
                <w:rFonts w:hint="eastAsia" w:asciiTheme="minorEastAsia" w:hAnsiTheme="minorEastAsia" w:eastAsiaTheme="minorEastAsia"/>
                <w:b w:val="0"/>
                <w:bCs w:val="0"/>
                <w:color w:val="auto"/>
                <w:sz w:val="24"/>
                <w:szCs w:val="24"/>
                <w:highlight w:val="none"/>
                <w:lang w:val="en-US" w:eastAsia="zh-CN"/>
              </w:rPr>
            </w:pPr>
            <w:r>
              <w:rPr>
                <w:rFonts w:hint="eastAsia" w:asciiTheme="minorEastAsia" w:hAnsiTheme="minorEastAsia" w:eastAsiaTheme="minorEastAsia"/>
                <w:b w:val="0"/>
                <w:bCs/>
                <w:color w:val="auto"/>
                <w:sz w:val="24"/>
                <w:szCs w:val="24"/>
                <w:highlight w:val="none"/>
                <w:lang w:val="en-US" w:eastAsia="zh-CN"/>
              </w:rPr>
              <w:t>5分</w:t>
            </w:r>
          </w:p>
        </w:tc>
      </w:tr>
      <w:tr w14:paraId="2912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82" w:type="dxa"/>
            <w:tcBorders>
              <w:left w:val="single" w:color="auto" w:sz="4" w:space="0"/>
              <w:right w:val="single" w:color="auto" w:sz="4" w:space="0"/>
            </w:tcBorders>
            <w:vAlign w:val="top"/>
          </w:tcPr>
          <w:p w14:paraId="2F694B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Style w:val="272"/>
                <w:rFonts w:hint="default" w:ascii="Times New Roman" w:hAnsi="Times New Roman" w:cs="Times New Roman"/>
                <w:b/>
                <w:bCs/>
                <w:color w:val="auto"/>
                <w:sz w:val="24"/>
                <w:szCs w:val="24"/>
                <w:highlight w:val="none"/>
                <w:lang w:val="en-US" w:eastAsia="zh-CN"/>
              </w:rPr>
            </w:pPr>
            <w:r>
              <w:rPr>
                <w:rFonts w:hint="eastAsia" w:eastAsia="宋体" w:cs="Times New Roman"/>
                <w:b/>
                <w:bCs/>
                <w:color w:val="auto"/>
                <w:sz w:val="24"/>
                <w:szCs w:val="24"/>
                <w:highlight w:val="none"/>
                <w:lang w:val="en-US" w:eastAsia="en-US"/>
              </w:rPr>
              <w:t>工作进度计划及保证措施</w:t>
            </w:r>
          </w:p>
        </w:tc>
        <w:tc>
          <w:tcPr>
            <w:tcW w:w="7571" w:type="dxa"/>
            <w:tcBorders>
              <w:top w:val="single" w:color="auto" w:sz="4" w:space="0"/>
              <w:left w:val="single" w:color="auto" w:sz="4" w:space="0"/>
              <w:bottom w:val="single" w:color="auto" w:sz="4" w:space="0"/>
              <w:right w:val="single" w:color="auto" w:sz="4" w:space="0"/>
            </w:tcBorders>
            <w:vAlign w:val="center"/>
          </w:tcPr>
          <w:p w14:paraId="473113B0">
            <w:pPr>
              <w:topLinePunct/>
              <w:adjustRightInd w:val="0"/>
              <w:snapToGrid w:val="0"/>
              <w:spacing w:line="240" w:lineRule="auto"/>
              <w:rPr>
                <w:rFonts w:ascii="Times New Roman" w:hAnsi="Times New Roman"/>
                <w:color w:val="auto"/>
                <w:sz w:val="24"/>
                <w:szCs w:val="24"/>
                <w:highlight w:val="none"/>
                <w:lang w:val="zh-CN" w:bidi="ar"/>
              </w:rPr>
            </w:pPr>
            <w:r>
              <w:rPr>
                <w:rFonts w:ascii="Times New Roman" w:hAnsi="Times New Roman"/>
                <w:color w:val="auto"/>
                <w:sz w:val="24"/>
                <w:szCs w:val="24"/>
                <w:highlight w:val="none"/>
                <w:lang w:val="zh-CN" w:bidi="ar"/>
              </w:rPr>
              <w:t>（1）</w:t>
            </w:r>
            <w:r>
              <w:rPr>
                <w:rFonts w:hint="eastAsia" w:ascii="Times New Roman" w:hAnsi="Times New Roman"/>
                <w:color w:val="auto"/>
                <w:sz w:val="24"/>
                <w:szCs w:val="24"/>
                <w:highlight w:val="none"/>
                <w:lang w:val="en-US" w:eastAsia="zh-CN" w:bidi="ar"/>
              </w:rPr>
              <w:t>理解准确</w:t>
            </w:r>
            <w:r>
              <w:rPr>
                <w:rFonts w:ascii="Times New Roman" w:hAnsi="Times New Roman"/>
                <w:color w:val="auto"/>
                <w:sz w:val="24"/>
                <w:szCs w:val="24"/>
                <w:highlight w:val="none"/>
                <w:lang w:val="zh-CN" w:bidi="ar"/>
              </w:rPr>
              <w:t>、要点突出、针对性强，内容完整详实，表述清晰，与本项目实际需求适应度高，利于项目实施的得</w:t>
            </w:r>
            <w:r>
              <w:rPr>
                <w:rFonts w:hint="eastAsia" w:ascii="Times New Roman" w:hAnsi="Times New Roman"/>
                <w:color w:val="auto"/>
                <w:sz w:val="24"/>
                <w:szCs w:val="24"/>
                <w:highlight w:val="none"/>
                <w:lang w:val="en-US" w:eastAsia="zh-CN" w:bidi="ar"/>
              </w:rPr>
              <w:t>5</w:t>
            </w:r>
            <w:r>
              <w:rPr>
                <w:rFonts w:ascii="Times New Roman" w:hAnsi="Times New Roman"/>
                <w:color w:val="auto"/>
                <w:sz w:val="24"/>
                <w:szCs w:val="24"/>
                <w:highlight w:val="none"/>
                <w:lang w:val="zh-CN" w:bidi="ar"/>
              </w:rPr>
              <w:t>分；</w:t>
            </w:r>
          </w:p>
          <w:p w14:paraId="47C62474">
            <w:pPr>
              <w:topLinePunct/>
              <w:adjustRightInd w:val="0"/>
              <w:snapToGrid w:val="0"/>
              <w:spacing w:line="240" w:lineRule="auto"/>
              <w:rPr>
                <w:rFonts w:ascii="Times New Roman" w:hAnsi="Times New Roman"/>
                <w:color w:val="auto"/>
                <w:sz w:val="24"/>
                <w:szCs w:val="24"/>
                <w:highlight w:val="none"/>
                <w:lang w:val="zh-CN" w:bidi="ar"/>
              </w:rPr>
            </w:pPr>
            <w:r>
              <w:rPr>
                <w:rFonts w:ascii="Times New Roman" w:hAnsi="Times New Roman"/>
                <w:color w:val="auto"/>
                <w:sz w:val="24"/>
                <w:szCs w:val="24"/>
                <w:highlight w:val="none"/>
                <w:lang w:val="zh-CN" w:bidi="ar"/>
              </w:rPr>
              <w:t>（2）</w:t>
            </w:r>
            <w:r>
              <w:rPr>
                <w:rFonts w:hint="eastAsia" w:ascii="Times New Roman" w:hAnsi="Times New Roman"/>
                <w:color w:val="auto"/>
                <w:sz w:val="24"/>
                <w:szCs w:val="24"/>
                <w:highlight w:val="none"/>
                <w:lang w:val="en-US" w:eastAsia="zh-CN" w:bidi="ar"/>
              </w:rPr>
              <w:t>理解基本</w:t>
            </w:r>
            <w:r>
              <w:rPr>
                <w:rFonts w:ascii="Times New Roman" w:hAnsi="Times New Roman"/>
                <w:color w:val="auto"/>
                <w:sz w:val="24"/>
                <w:szCs w:val="24"/>
                <w:highlight w:val="none"/>
                <w:lang w:val="zh-CN" w:bidi="ar"/>
              </w:rPr>
              <w:t>全面，针对性强，内容完整详实，表述清晰，与本项目实际需求</w:t>
            </w:r>
            <w:r>
              <w:rPr>
                <w:rFonts w:hint="eastAsia" w:ascii="Times New Roman" w:hAnsi="Times New Roman"/>
                <w:color w:val="auto"/>
                <w:sz w:val="24"/>
                <w:szCs w:val="24"/>
                <w:highlight w:val="none"/>
                <w:lang w:val="en-US" w:eastAsia="zh-CN" w:bidi="ar"/>
              </w:rPr>
              <w:t>基本</w:t>
            </w:r>
            <w:r>
              <w:rPr>
                <w:rFonts w:hint="eastAsia" w:ascii="Times New Roman" w:hAnsi="Times New Roman"/>
                <w:color w:val="auto"/>
                <w:sz w:val="24"/>
                <w:szCs w:val="24"/>
                <w:highlight w:val="none"/>
                <w:lang w:bidi="ar"/>
              </w:rPr>
              <w:t>适应</w:t>
            </w:r>
            <w:r>
              <w:rPr>
                <w:rFonts w:hint="eastAsia" w:ascii="Times New Roman" w:hAnsi="Times New Roman"/>
                <w:color w:val="auto"/>
                <w:sz w:val="24"/>
                <w:szCs w:val="24"/>
                <w:highlight w:val="none"/>
                <w:lang w:val="zh-CN" w:bidi="ar"/>
              </w:rPr>
              <w:t>的</w:t>
            </w:r>
            <w:r>
              <w:rPr>
                <w:rFonts w:ascii="Times New Roman" w:hAnsi="Times New Roman"/>
                <w:color w:val="auto"/>
                <w:sz w:val="24"/>
                <w:szCs w:val="24"/>
                <w:highlight w:val="none"/>
                <w:lang w:val="zh-CN" w:bidi="ar"/>
              </w:rPr>
              <w:t>得</w:t>
            </w:r>
            <w:r>
              <w:rPr>
                <w:rFonts w:hint="eastAsia" w:ascii="Times New Roman" w:hAnsi="Times New Roman"/>
                <w:color w:val="auto"/>
                <w:sz w:val="24"/>
                <w:szCs w:val="24"/>
                <w:highlight w:val="none"/>
                <w:lang w:val="en-US" w:eastAsia="zh-CN" w:bidi="ar"/>
              </w:rPr>
              <w:t>3</w:t>
            </w:r>
            <w:r>
              <w:rPr>
                <w:rFonts w:ascii="Times New Roman" w:hAnsi="Times New Roman"/>
                <w:color w:val="auto"/>
                <w:sz w:val="24"/>
                <w:szCs w:val="24"/>
                <w:highlight w:val="none"/>
                <w:lang w:val="zh-CN" w:bidi="ar"/>
              </w:rPr>
              <w:t>分；</w:t>
            </w:r>
          </w:p>
          <w:p w14:paraId="387C6522">
            <w:pPr>
              <w:topLinePunct/>
              <w:adjustRightInd w:val="0"/>
              <w:snapToGrid w:val="0"/>
              <w:spacing w:line="240" w:lineRule="auto"/>
              <w:rPr>
                <w:rFonts w:ascii="Times New Roman" w:hAnsi="Times New Roman"/>
                <w:color w:val="auto"/>
                <w:sz w:val="24"/>
                <w:szCs w:val="24"/>
                <w:highlight w:val="none"/>
                <w:lang w:val="zh-CN" w:bidi="ar"/>
              </w:rPr>
            </w:pPr>
            <w:r>
              <w:rPr>
                <w:rFonts w:ascii="Times New Roman" w:hAnsi="Times New Roman"/>
                <w:color w:val="auto"/>
                <w:sz w:val="24"/>
                <w:szCs w:val="24"/>
                <w:highlight w:val="none"/>
                <w:lang w:val="zh-CN" w:bidi="ar"/>
              </w:rPr>
              <w:t>（</w:t>
            </w:r>
            <w:r>
              <w:rPr>
                <w:rFonts w:hint="eastAsia" w:ascii="Times New Roman" w:hAnsi="Times New Roman"/>
                <w:color w:val="auto"/>
                <w:sz w:val="24"/>
                <w:szCs w:val="24"/>
                <w:highlight w:val="none"/>
                <w:lang w:val="en-US" w:eastAsia="zh-CN" w:bidi="ar"/>
              </w:rPr>
              <w:t>3</w:t>
            </w:r>
            <w:r>
              <w:rPr>
                <w:rFonts w:ascii="Times New Roman" w:hAnsi="Times New Roman"/>
                <w:color w:val="auto"/>
                <w:sz w:val="24"/>
                <w:szCs w:val="24"/>
                <w:highlight w:val="none"/>
                <w:lang w:val="zh-CN" w:bidi="ar"/>
              </w:rPr>
              <w:t>）</w:t>
            </w:r>
            <w:r>
              <w:rPr>
                <w:rFonts w:hint="eastAsia" w:ascii="Times New Roman" w:hAnsi="Times New Roman"/>
                <w:color w:val="auto"/>
                <w:sz w:val="24"/>
                <w:szCs w:val="24"/>
                <w:highlight w:val="none"/>
                <w:lang w:val="en-US" w:eastAsia="zh-CN" w:bidi="ar"/>
              </w:rPr>
              <w:t>理解</w:t>
            </w:r>
            <w:r>
              <w:rPr>
                <w:rFonts w:hint="eastAsia" w:ascii="Times New Roman" w:hAnsi="Times New Roman"/>
                <w:color w:val="auto"/>
                <w:sz w:val="24"/>
                <w:szCs w:val="24"/>
                <w:highlight w:val="none"/>
                <w:lang w:bidi="ar"/>
              </w:rPr>
              <w:t>不</w:t>
            </w:r>
            <w:r>
              <w:rPr>
                <w:rFonts w:ascii="Times New Roman" w:hAnsi="Times New Roman"/>
                <w:color w:val="auto"/>
                <w:sz w:val="24"/>
                <w:szCs w:val="24"/>
                <w:highlight w:val="none"/>
                <w:lang w:val="zh-CN" w:bidi="ar"/>
              </w:rPr>
              <w:t>全面、要点</w:t>
            </w:r>
            <w:r>
              <w:rPr>
                <w:rFonts w:hint="eastAsia" w:ascii="Times New Roman" w:hAnsi="Times New Roman"/>
                <w:color w:val="auto"/>
                <w:sz w:val="24"/>
                <w:szCs w:val="24"/>
                <w:highlight w:val="none"/>
                <w:lang w:bidi="ar"/>
              </w:rPr>
              <w:t>不</w:t>
            </w:r>
            <w:r>
              <w:rPr>
                <w:rFonts w:ascii="Times New Roman" w:hAnsi="Times New Roman"/>
                <w:color w:val="auto"/>
                <w:sz w:val="24"/>
                <w:szCs w:val="24"/>
                <w:highlight w:val="none"/>
                <w:lang w:val="zh-CN" w:bidi="ar"/>
              </w:rPr>
              <w:t>突出、针对性</w:t>
            </w:r>
            <w:r>
              <w:rPr>
                <w:rFonts w:hint="eastAsia" w:ascii="Times New Roman" w:hAnsi="Times New Roman"/>
                <w:color w:val="auto"/>
                <w:sz w:val="24"/>
                <w:szCs w:val="24"/>
                <w:highlight w:val="none"/>
                <w:lang w:bidi="ar"/>
              </w:rPr>
              <w:t>不强</w:t>
            </w:r>
            <w:r>
              <w:rPr>
                <w:rFonts w:ascii="Times New Roman" w:hAnsi="Times New Roman"/>
                <w:color w:val="auto"/>
                <w:sz w:val="24"/>
                <w:szCs w:val="24"/>
                <w:highlight w:val="none"/>
                <w:lang w:val="zh-CN" w:bidi="ar"/>
              </w:rPr>
              <w:t>，内容</w:t>
            </w:r>
            <w:r>
              <w:rPr>
                <w:rFonts w:hint="eastAsia" w:ascii="Times New Roman" w:hAnsi="Times New Roman"/>
                <w:color w:val="auto"/>
                <w:sz w:val="24"/>
                <w:szCs w:val="24"/>
                <w:highlight w:val="none"/>
                <w:lang w:bidi="ar"/>
              </w:rPr>
              <w:t>不完整</w:t>
            </w:r>
            <w:r>
              <w:rPr>
                <w:rFonts w:ascii="Times New Roman" w:hAnsi="Times New Roman"/>
                <w:color w:val="auto"/>
                <w:sz w:val="24"/>
                <w:szCs w:val="24"/>
                <w:highlight w:val="none"/>
                <w:lang w:val="zh-CN" w:bidi="ar"/>
              </w:rPr>
              <w:t>，表述</w:t>
            </w:r>
            <w:r>
              <w:rPr>
                <w:rFonts w:hint="eastAsia" w:ascii="Times New Roman" w:hAnsi="Times New Roman"/>
                <w:color w:val="auto"/>
                <w:sz w:val="24"/>
                <w:szCs w:val="24"/>
                <w:highlight w:val="none"/>
                <w:lang w:bidi="ar"/>
              </w:rPr>
              <w:t>不</w:t>
            </w:r>
            <w:r>
              <w:rPr>
                <w:rFonts w:ascii="Times New Roman" w:hAnsi="Times New Roman"/>
                <w:color w:val="auto"/>
                <w:sz w:val="24"/>
                <w:szCs w:val="24"/>
                <w:highlight w:val="none"/>
                <w:lang w:val="zh-CN" w:bidi="ar"/>
              </w:rPr>
              <w:t>清晰，与本项目实际需求</w:t>
            </w:r>
            <w:r>
              <w:rPr>
                <w:rFonts w:hint="eastAsia" w:ascii="Times New Roman" w:hAnsi="Times New Roman"/>
                <w:color w:val="auto"/>
                <w:sz w:val="24"/>
                <w:szCs w:val="24"/>
                <w:highlight w:val="none"/>
                <w:lang w:bidi="ar"/>
              </w:rPr>
              <w:t>不适应</w:t>
            </w:r>
            <w:r>
              <w:rPr>
                <w:rFonts w:ascii="Times New Roman" w:hAnsi="Times New Roman"/>
                <w:color w:val="auto"/>
                <w:sz w:val="24"/>
                <w:szCs w:val="24"/>
                <w:highlight w:val="none"/>
                <w:lang w:val="zh-CN" w:bidi="ar"/>
              </w:rPr>
              <w:t>，</w:t>
            </w:r>
            <w:r>
              <w:rPr>
                <w:rFonts w:hint="eastAsia" w:ascii="Times New Roman" w:hAnsi="Times New Roman"/>
                <w:color w:val="auto"/>
                <w:sz w:val="24"/>
                <w:szCs w:val="24"/>
                <w:highlight w:val="none"/>
                <w:lang w:bidi="ar"/>
              </w:rPr>
              <w:t>不</w:t>
            </w:r>
            <w:r>
              <w:rPr>
                <w:rFonts w:ascii="Times New Roman" w:hAnsi="Times New Roman"/>
                <w:color w:val="auto"/>
                <w:sz w:val="24"/>
                <w:szCs w:val="24"/>
                <w:highlight w:val="none"/>
                <w:lang w:val="zh-CN" w:bidi="ar"/>
              </w:rPr>
              <w:t>符合项目实施要求的得</w:t>
            </w:r>
            <w:r>
              <w:rPr>
                <w:rFonts w:hint="eastAsia" w:ascii="Times New Roman" w:hAnsi="Times New Roman"/>
                <w:color w:val="auto"/>
                <w:sz w:val="24"/>
                <w:szCs w:val="24"/>
                <w:highlight w:val="none"/>
                <w:lang w:val="en-US" w:eastAsia="zh-CN" w:bidi="ar"/>
              </w:rPr>
              <w:t>1</w:t>
            </w:r>
            <w:r>
              <w:rPr>
                <w:rFonts w:ascii="Times New Roman" w:hAnsi="Times New Roman"/>
                <w:color w:val="auto"/>
                <w:sz w:val="24"/>
                <w:szCs w:val="24"/>
                <w:highlight w:val="none"/>
                <w:lang w:val="zh-CN" w:bidi="ar"/>
              </w:rPr>
              <w:t>分；</w:t>
            </w:r>
          </w:p>
          <w:p w14:paraId="7C27F30E">
            <w:pPr>
              <w:topLinePunct/>
              <w:adjustRightInd w:val="0"/>
              <w:snapToGrid w:val="0"/>
              <w:spacing w:line="240" w:lineRule="auto"/>
              <w:rPr>
                <w:rFonts w:hint="default" w:ascii="Times New Roman" w:hAnsi="Times New Roman"/>
                <w:color w:val="auto"/>
                <w:sz w:val="24"/>
                <w:szCs w:val="24"/>
                <w:highlight w:val="none"/>
                <w:lang w:val="en-US" w:bidi="ar"/>
              </w:rPr>
            </w:pPr>
            <w:r>
              <w:rPr>
                <w:rFonts w:ascii="Times New Roman" w:hAnsi="Times New Roman"/>
                <w:color w:val="auto"/>
                <w:sz w:val="24"/>
                <w:szCs w:val="24"/>
                <w:highlight w:val="none"/>
                <w:lang w:val="zh-CN" w:bidi="ar"/>
              </w:rPr>
              <w:t>（</w:t>
            </w:r>
            <w:r>
              <w:rPr>
                <w:rFonts w:hint="eastAsia" w:ascii="Times New Roman" w:hAnsi="Times New Roman"/>
                <w:color w:val="auto"/>
                <w:sz w:val="24"/>
                <w:szCs w:val="24"/>
                <w:highlight w:val="none"/>
                <w:lang w:bidi="ar"/>
              </w:rPr>
              <w:t>4</w:t>
            </w:r>
            <w:r>
              <w:rPr>
                <w:rFonts w:ascii="Times New Roman" w:hAnsi="Times New Roman"/>
                <w:color w:val="auto"/>
                <w:sz w:val="24"/>
                <w:szCs w:val="24"/>
                <w:highlight w:val="none"/>
                <w:lang w:val="zh-CN" w:bidi="ar"/>
              </w:rPr>
              <w:t>）未提供的不得分。</w:t>
            </w:r>
          </w:p>
        </w:tc>
        <w:tc>
          <w:tcPr>
            <w:tcW w:w="685" w:type="dxa"/>
            <w:tcBorders>
              <w:top w:val="single" w:color="auto" w:sz="4" w:space="0"/>
              <w:left w:val="single" w:color="auto" w:sz="4" w:space="0"/>
              <w:right w:val="single" w:color="auto" w:sz="4" w:space="0"/>
            </w:tcBorders>
            <w:vAlign w:val="center"/>
          </w:tcPr>
          <w:p w14:paraId="54896DD0">
            <w:pPr>
              <w:spacing w:line="240" w:lineRule="auto"/>
              <w:jc w:val="center"/>
              <w:rPr>
                <w:rFonts w:hint="eastAsia" w:asciiTheme="minorEastAsia" w:hAnsiTheme="minorEastAsia" w:eastAsiaTheme="minorEastAsia"/>
                <w:b w:val="0"/>
                <w:bCs w:val="0"/>
                <w:color w:val="auto"/>
                <w:sz w:val="24"/>
                <w:szCs w:val="24"/>
                <w:highlight w:val="none"/>
                <w:lang w:val="en-US" w:eastAsia="zh-CN"/>
              </w:rPr>
            </w:pPr>
            <w:r>
              <w:rPr>
                <w:rFonts w:hint="eastAsia" w:asciiTheme="minorEastAsia" w:hAnsiTheme="minorEastAsia" w:eastAsiaTheme="minorEastAsia"/>
                <w:b w:val="0"/>
                <w:bCs/>
                <w:color w:val="auto"/>
                <w:sz w:val="24"/>
                <w:szCs w:val="24"/>
                <w:highlight w:val="none"/>
                <w:lang w:val="en-US" w:eastAsia="zh-CN"/>
              </w:rPr>
              <w:t>5分</w:t>
            </w:r>
          </w:p>
        </w:tc>
      </w:tr>
      <w:tr w14:paraId="7DF70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2" w:type="dxa"/>
            <w:tcBorders>
              <w:left w:val="single" w:color="auto" w:sz="4" w:space="0"/>
              <w:bottom w:val="single" w:color="auto" w:sz="4" w:space="0"/>
              <w:right w:val="single" w:color="auto" w:sz="4" w:space="0"/>
            </w:tcBorders>
            <w:vAlign w:val="top"/>
          </w:tcPr>
          <w:p w14:paraId="3D1003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Style w:val="272"/>
                <w:rFonts w:hint="default" w:ascii="Times New Roman" w:hAnsi="Times New Roman" w:cs="Times New Roman"/>
                <w:b/>
                <w:bCs/>
                <w:color w:val="auto"/>
                <w:sz w:val="24"/>
                <w:szCs w:val="24"/>
                <w:highlight w:val="none"/>
                <w:lang w:val="en-US" w:eastAsia="zh-CN"/>
              </w:rPr>
            </w:pPr>
            <w:r>
              <w:rPr>
                <w:rFonts w:hint="eastAsia" w:eastAsia="宋体" w:cs="Times New Roman"/>
                <w:b/>
                <w:bCs/>
                <w:color w:val="auto"/>
                <w:sz w:val="24"/>
                <w:szCs w:val="24"/>
                <w:highlight w:val="none"/>
                <w:lang w:val="en-US" w:eastAsia="en-US"/>
              </w:rPr>
              <w:t>质量保证措施及控制体系</w:t>
            </w:r>
          </w:p>
        </w:tc>
        <w:tc>
          <w:tcPr>
            <w:tcW w:w="7571" w:type="dxa"/>
            <w:tcBorders>
              <w:top w:val="single" w:color="auto" w:sz="4" w:space="0"/>
              <w:left w:val="single" w:color="auto" w:sz="4" w:space="0"/>
              <w:bottom w:val="single" w:color="auto" w:sz="4" w:space="0"/>
              <w:right w:val="single" w:color="auto" w:sz="4" w:space="0"/>
            </w:tcBorders>
            <w:vAlign w:val="center"/>
          </w:tcPr>
          <w:p w14:paraId="31E57D4E">
            <w:pPr>
              <w:topLinePunct/>
              <w:adjustRightInd w:val="0"/>
              <w:snapToGrid w:val="0"/>
              <w:spacing w:line="240" w:lineRule="auto"/>
              <w:rPr>
                <w:rFonts w:ascii="Times New Roman" w:hAnsi="Times New Roman"/>
                <w:color w:val="auto"/>
                <w:sz w:val="24"/>
                <w:szCs w:val="24"/>
                <w:highlight w:val="none"/>
                <w:lang w:val="zh-CN" w:bidi="ar"/>
              </w:rPr>
            </w:pPr>
            <w:r>
              <w:rPr>
                <w:rFonts w:ascii="Times New Roman" w:hAnsi="Times New Roman"/>
                <w:color w:val="auto"/>
                <w:sz w:val="24"/>
                <w:szCs w:val="24"/>
                <w:highlight w:val="none"/>
                <w:lang w:val="zh-CN" w:bidi="ar"/>
              </w:rPr>
              <w:t>（1）</w:t>
            </w:r>
            <w:r>
              <w:rPr>
                <w:rFonts w:hint="eastAsia" w:ascii="Times New Roman" w:hAnsi="Times New Roman"/>
                <w:color w:val="auto"/>
                <w:sz w:val="24"/>
                <w:szCs w:val="24"/>
                <w:highlight w:val="none"/>
                <w:lang w:val="en-US" w:eastAsia="zh-CN" w:bidi="ar"/>
              </w:rPr>
              <w:t>理解准确</w:t>
            </w:r>
            <w:r>
              <w:rPr>
                <w:rFonts w:ascii="Times New Roman" w:hAnsi="Times New Roman"/>
                <w:color w:val="auto"/>
                <w:sz w:val="24"/>
                <w:szCs w:val="24"/>
                <w:highlight w:val="none"/>
                <w:lang w:val="zh-CN" w:bidi="ar"/>
              </w:rPr>
              <w:t>、要点突出、针对性强，内容完整详实，表述清晰，与本项目实际需求适应度高，利于项目实施的得</w:t>
            </w:r>
            <w:r>
              <w:rPr>
                <w:rFonts w:hint="eastAsia" w:ascii="Times New Roman" w:hAnsi="Times New Roman"/>
                <w:color w:val="auto"/>
                <w:sz w:val="24"/>
                <w:szCs w:val="24"/>
                <w:highlight w:val="none"/>
                <w:lang w:val="en-US" w:eastAsia="zh-CN" w:bidi="ar"/>
              </w:rPr>
              <w:t>5</w:t>
            </w:r>
            <w:r>
              <w:rPr>
                <w:rFonts w:ascii="Times New Roman" w:hAnsi="Times New Roman"/>
                <w:color w:val="auto"/>
                <w:sz w:val="24"/>
                <w:szCs w:val="24"/>
                <w:highlight w:val="none"/>
                <w:lang w:val="zh-CN" w:bidi="ar"/>
              </w:rPr>
              <w:t>分；</w:t>
            </w:r>
          </w:p>
          <w:p w14:paraId="75BAA128">
            <w:pPr>
              <w:topLinePunct/>
              <w:adjustRightInd w:val="0"/>
              <w:snapToGrid w:val="0"/>
              <w:spacing w:line="240" w:lineRule="auto"/>
              <w:rPr>
                <w:rFonts w:ascii="Times New Roman" w:hAnsi="Times New Roman"/>
                <w:color w:val="auto"/>
                <w:sz w:val="24"/>
                <w:szCs w:val="24"/>
                <w:highlight w:val="none"/>
                <w:lang w:val="zh-CN" w:bidi="ar"/>
              </w:rPr>
            </w:pPr>
            <w:r>
              <w:rPr>
                <w:rFonts w:ascii="Times New Roman" w:hAnsi="Times New Roman"/>
                <w:color w:val="auto"/>
                <w:sz w:val="24"/>
                <w:szCs w:val="24"/>
                <w:highlight w:val="none"/>
                <w:lang w:val="zh-CN" w:bidi="ar"/>
              </w:rPr>
              <w:t>（2）</w:t>
            </w:r>
            <w:r>
              <w:rPr>
                <w:rFonts w:hint="eastAsia" w:ascii="Times New Roman" w:hAnsi="Times New Roman"/>
                <w:color w:val="auto"/>
                <w:sz w:val="24"/>
                <w:szCs w:val="24"/>
                <w:highlight w:val="none"/>
                <w:lang w:val="en-US" w:eastAsia="zh-CN" w:bidi="ar"/>
              </w:rPr>
              <w:t>理解基本</w:t>
            </w:r>
            <w:r>
              <w:rPr>
                <w:rFonts w:ascii="Times New Roman" w:hAnsi="Times New Roman"/>
                <w:color w:val="auto"/>
                <w:sz w:val="24"/>
                <w:szCs w:val="24"/>
                <w:highlight w:val="none"/>
                <w:lang w:val="zh-CN" w:bidi="ar"/>
              </w:rPr>
              <w:t>全面，针对性强，内容完整详实，表述清晰，与本项目实际需求</w:t>
            </w:r>
            <w:r>
              <w:rPr>
                <w:rFonts w:hint="eastAsia" w:ascii="Times New Roman" w:hAnsi="Times New Roman"/>
                <w:color w:val="auto"/>
                <w:sz w:val="24"/>
                <w:szCs w:val="24"/>
                <w:highlight w:val="none"/>
                <w:lang w:val="en-US" w:eastAsia="zh-CN" w:bidi="ar"/>
              </w:rPr>
              <w:t>基本</w:t>
            </w:r>
            <w:r>
              <w:rPr>
                <w:rFonts w:hint="eastAsia" w:ascii="Times New Roman" w:hAnsi="Times New Roman"/>
                <w:color w:val="auto"/>
                <w:sz w:val="24"/>
                <w:szCs w:val="24"/>
                <w:highlight w:val="none"/>
                <w:lang w:bidi="ar"/>
              </w:rPr>
              <w:t>适应</w:t>
            </w:r>
            <w:r>
              <w:rPr>
                <w:rFonts w:hint="eastAsia" w:ascii="Times New Roman" w:hAnsi="Times New Roman"/>
                <w:color w:val="auto"/>
                <w:sz w:val="24"/>
                <w:szCs w:val="24"/>
                <w:highlight w:val="none"/>
                <w:lang w:val="zh-CN" w:bidi="ar"/>
              </w:rPr>
              <w:t>的</w:t>
            </w:r>
            <w:r>
              <w:rPr>
                <w:rFonts w:ascii="Times New Roman" w:hAnsi="Times New Roman"/>
                <w:color w:val="auto"/>
                <w:sz w:val="24"/>
                <w:szCs w:val="24"/>
                <w:highlight w:val="none"/>
                <w:lang w:val="zh-CN" w:bidi="ar"/>
              </w:rPr>
              <w:t>得</w:t>
            </w:r>
            <w:r>
              <w:rPr>
                <w:rFonts w:hint="eastAsia" w:ascii="Times New Roman" w:hAnsi="Times New Roman"/>
                <w:color w:val="auto"/>
                <w:sz w:val="24"/>
                <w:szCs w:val="24"/>
                <w:highlight w:val="none"/>
                <w:lang w:val="en-US" w:eastAsia="zh-CN" w:bidi="ar"/>
              </w:rPr>
              <w:t>3</w:t>
            </w:r>
            <w:r>
              <w:rPr>
                <w:rFonts w:ascii="Times New Roman" w:hAnsi="Times New Roman"/>
                <w:color w:val="auto"/>
                <w:sz w:val="24"/>
                <w:szCs w:val="24"/>
                <w:highlight w:val="none"/>
                <w:lang w:val="zh-CN" w:bidi="ar"/>
              </w:rPr>
              <w:t>分；</w:t>
            </w:r>
          </w:p>
          <w:p w14:paraId="484C4D47">
            <w:pPr>
              <w:topLinePunct/>
              <w:adjustRightInd w:val="0"/>
              <w:snapToGrid w:val="0"/>
              <w:spacing w:line="240" w:lineRule="auto"/>
              <w:rPr>
                <w:rFonts w:ascii="Times New Roman" w:hAnsi="Times New Roman"/>
                <w:color w:val="auto"/>
                <w:sz w:val="24"/>
                <w:szCs w:val="24"/>
                <w:highlight w:val="none"/>
                <w:lang w:val="zh-CN" w:bidi="ar"/>
              </w:rPr>
            </w:pPr>
            <w:r>
              <w:rPr>
                <w:rFonts w:ascii="Times New Roman" w:hAnsi="Times New Roman"/>
                <w:color w:val="auto"/>
                <w:sz w:val="24"/>
                <w:szCs w:val="24"/>
                <w:highlight w:val="none"/>
                <w:lang w:val="zh-CN" w:bidi="ar"/>
              </w:rPr>
              <w:t>（</w:t>
            </w:r>
            <w:r>
              <w:rPr>
                <w:rFonts w:hint="eastAsia" w:ascii="Times New Roman" w:hAnsi="Times New Roman"/>
                <w:color w:val="auto"/>
                <w:sz w:val="24"/>
                <w:szCs w:val="24"/>
                <w:highlight w:val="none"/>
                <w:lang w:val="en-US" w:eastAsia="zh-CN" w:bidi="ar"/>
              </w:rPr>
              <w:t>3</w:t>
            </w:r>
            <w:r>
              <w:rPr>
                <w:rFonts w:ascii="Times New Roman" w:hAnsi="Times New Roman"/>
                <w:color w:val="auto"/>
                <w:sz w:val="24"/>
                <w:szCs w:val="24"/>
                <w:highlight w:val="none"/>
                <w:lang w:val="zh-CN" w:bidi="ar"/>
              </w:rPr>
              <w:t>）</w:t>
            </w:r>
            <w:r>
              <w:rPr>
                <w:rFonts w:hint="eastAsia" w:ascii="Times New Roman" w:hAnsi="Times New Roman"/>
                <w:color w:val="auto"/>
                <w:sz w:val="24"/>
                <w:szCs w:val="24"/>
                <w:highlight w:val="none"/>
                <w:lang w:val="en-US" w:eastAsia="zh-CN" w:bidi="ar"/>
              </w:rPr>
              <w:t>理解</w:t>
            </w:r>
            <w:r>
              <w:rPr>
                <w:rFonts w:hint="eastAsia" w:ascii="Times New Roman" w:hAnsi="Times New Roman"/>
                <w:color w:val="auto"/>
                <w:sz w:val="24"/>
                <w:szCs w:val="24"/>
                <w:highlight w:val="none"/>
                <w:lang w:bidi="ar"/>
              </w:rPr>
              <w:t>不</w:t>
            </w:r>
            <w:r>
              <w:rPr>
                <w:rFonts w:ascii="Times New Roman" w:hAnsi="Times New Roman"/>
                <w:color w:val="auto"/>
                <w:sz w:val="24"/>
                <w:szCs w:val="24"/>
                <w:highlight w:val="none"/>
                <w:lang w:val="zh-CN" w:bidi="ar"/>
              </w:rPr>
              <w:t>全面、要点</w:t>
            </w:r>
            <w:r>
              <w:rPr>
                <w:rFonts w:hint="eastAsia" w:ascii="Times New Roman" w:hAnsi="Times New Roman"/>
                <w:color w:val="auto"/>
                <w:sz w:val="24"/>
                <w:szCs w:val="24"/>
                <w:highlight w:val="none"/>
                <w:lang w:bidi="ar"/>
              </w:rPr>
              <w:t>不</w:t>
            </w:r>
            <w:r>
              <w:rPr>
                <w:rFonts w:ascii="Times New Roman" w:hAnsi="Times New Roman"/>
                <w:color w:val="auto"/>
                <w:sz w:val="24"/>
                <w:szCs w:val="24"/>
                <w:highlight w:val="none"/>
                <w:lang w:val="zh-CN" w:bidi="ar"/>
              </w:rPr>
              <w:t>突出、针对性</w:t>
            </w:r>
            <w:r>
              <w:rPr>
                <w:rFonts w:hint="eastAsia" w:ascii="Times New Roman" w:hAnsi="Times New Roman"/>
                <w:color w:val="auto"/>
                <w:sz w:val="24"/>
                <w:szCs w:val="24"/>
                <w:highlight w:val="none"/>
                <w:lang w:bidi="ar"/>
              </w:rPr>
              <w:t>不强</w:t>
            </w:r>
            <w:r>
              <w:rPr>
                <w:rFonts w:ascii="Times New Roman" w:hAnsi="Times New Roman"/>
                <w:color w:val="auto"/>
                <w:sz w:val="24"/>
                <w:szCs w:val="24"/>
                <w:highlight w:val="none"/>
                <w:lang w:val="zh-CN" w:bidi="ar"/>
              </w:rPr>
              <w:t>，内容</w:t>
            </w:r>
            <w:r>
              <w:rPr>
                <w:rFonts w:hint="eastAsia" w:ascii="Times New Roman" w:hAnsi="Times New Roman"/>
                <w:color w:val="auto"/>
                <w:sz w:val="24"/>
                <w:szCs w:val="24"/>
                <w:highlight w:val="none"/>
                <w:lang w:bidi="ar"/>
              </w:rPr>
              <w:t>不完整</w:t>
            </w:r>
            <w:r>
              <w:rPr>
                <w:rFonts w:ascii="Times New Roman" w:hAnsi="Times New Roman"/>
                <w:color w:val="auto"/>
                <w:sz w:val="24"/>
                <w:szCs w:val="24"/>
                <w:highlight w:val="none"/>
                <w:lang w:val="zh-CN" w:bidi="ar"/>
              </w:rPr>
              <w:t>，表述</w:t>
            </w:r>
            <w:r>
              <w:rPr>
                <w:rFonts w:hint="eastAsia" w:ascii="Times New Roman" w:hAnsi="Times New Roman"/>
                <w:color w:val="auto"/>
                <w:sz w:val="24"/>
                <w:szCs w:val="24"/>
                <w:highlight w:val="none"/>
                <w:lang w:bidi="ar"/>
              </w:rPr>
              <w:t>不</w:t>
            </w:r>
            <w:r>
              <w:rPr>
                <w:rFonts w:ascii="Times New Roman" w:hAnsi="Times New Roman"/>
                <w:color w:val="auto"/>
                <w:sz w:val="24"/>
                <w:szCs w:val="24"/>
                <w:highlight w:val="none"/>
                <w:lang w:val="zh-CN" w:bidi="ar"/>
              </w:rPr>
              <w:t>清晰，与本项目实际需求</w:t>
            </w:r>
            <w:r>
              <w:rPr>
                <w:rFonts w:hint="eastAsia" w:ascii="Times New Roman" w:hAnsi="Times New Roman"/>
                <w:color w:val="auto"/>
                <w:sz w:val="24"/>
                <w:szCs w:val="24"/>
                <w:highlight w:val="none"/>
                <w:lang w:bidi="ar"/>
              </w:rPr>
              <w:t>不适应</w:t>
            </w:r>
            <w:r>
              <w:rPr>
                <w:rFonts w:ascii="Times New Roman" w:hAnsi="Times New Roman"/>
                <w:color w:val="auto"/>
                <w:sz w:val="24"/>
                <w:szCs w:val="24"/>
                <w:highlight w:val="none"/>
                <w:lang w:val="zh-CN" w:bidi="ar"/>
              </w:rPr>
              <w:t>，</w:t>
            </w:r>
            <w:r>
              <w:rPr>
                <w:rFonts w:hint="eastAsia" w:ascii="Times New Roman" w:hAnsi="Times New Roman"/>
                <w:color w:val="auto"/>
                <w:sz w:val="24"/>
                <w:szCs w:val="24"/>
                <w:highlight w:val="none"/>
                <w:lang w:bidi="ar"/>
              </w:rPr>
              <w:t>不</w:t>
            </w:r>
            <w:r>
              <w:rPr>
                <w:rFonts w:ascii="Times New Roman" w:hAnsi="Times New Roman"/>
                <w:color w:val="auto"/>
                <w:sz w:val="24"/>
                <w:szCs w:val="24"/>
                <w:highlight w:val="none"/>
                <w:lang w:val="zh-CN" w:bidi="ar"/>
              </w:rPr>
              <w:t>符合项目实施要求的得</w:t>
            </w:r>
            <w:r>
              <w:rPr>
                <w:rFonts w:hint="eastAsia" w:ascii="Times New Roman" w:hAnsi="Times New Roman"/>
                <w:color w:val="auto"/>
                <w:sz w:val="24"/>
                <w:szCs w:val="24"/>
                <w:highlight w:val="none"/>
                <w:lang w:val="en-US" w:eastAsia="zh-CN" w:bidi="ar"/>
              </w:rPr>
              <w:t>1</w:t>
            </w:r>
            <w:r>
              <w:rPr>
                <w:rFonts w:ascii="Times New Roman" w:hAnsi="Times New Roman"/>
                <w:color w:val="auto"/>
                <w:sz w:val="24"/>
                <w:szCs w:val="24"/>
                <w:highlight w:val="none"/>
                <w:lang w:val="zh-CN" w:bidi="ar"/>
              </w:rPr>
              <w:t>分；</w:t>
            </w:r>
          </w:p>
          <w:p w14:paraId="4C1DEB1D">
            <w:pPr>
              <w:topLinePunct/>
              <w:adjustRightInd w:val="0"/>
              <w:snapToGrid w:val="0"/>
              <w:spacing w:line="240" w:lineRule="auto"/>
              <w:rPr>
                <w:rFonts w:ascii="Times New Roman" w:hAnsi="Times New Roman"/>
                <w:color w:val="auto"/>
                <w:sz w:val="24"/>
                <w:szCs w:val="24"/>
                <w:highlight w:val="none"/>
                <w:lang w:val="zh-CN" w:bidi="ar"/>
              </w:rPr>
            </w:pPr>
            <w:r>
              <w:rPr>
                <w:rFonts w:ascii="Times New Roman" w:hAnsi="Times New Roman"/>
                <w:color w:val="auto"/>
                <w:sz w:val="24"/>
                <w:szCs w:val="24"/>
                <w:highlight w:val="none"/>
                <w:lang w:val="zh-CN" w:bidi="ar"/>
              </w:rPr>
              <w:t>（</w:t>
            </w:r>
            <w:r>
              <w:rPr>
                <w:rFonts w:hint="eastAsia" w:ascii="Times New Roman" w:hAnsi="Times New Roman"/>
                <w:color w:val="auto"/>
                <w:sz w:val="24"/>
                <w:szCs w:val="24"/>
                <w:highlight w:val="none"/>
                <w:lang w:bidi="ar"/>
              </w:rPr>
              <w:t>4</w:t>
            </w:r>
            <w:r>
              <w:rPr>
                <w:rFonts w:ascii="Times New Roman" w:hAnsi="Times New Roman"/>
                <w:color w:val="auto"/>
                <w:sz w:val="24"/>
                <w:szCs w:val="24"/>
                <w:highlight w:val="none"/>
                <w:lang w:val="zh-CN" w:bidi="ar"/>
              </w:rPr>
              <w:t>）未提供的不得分。</w:t>
            </w:r>
          </w:p>
        </w:tc>
        <w:tc>
          <w:tcPr>
            <w:tcW w:w="685" w:type="dxa"/>
            <w:tcBorders>
              <w:top w:val="single" w:color="auto" w:sz="4" w:space="0"/>
              <w:left w:val="single" w:color="auto" w:sz="4" w:space="0"/>
              <w:bottom w:val="single" w:color="auto" w:sz="4" w:space="0"/>
              <w:right w:val="single" w:color="auto" w:sz="4" w:space="0"/>
            </w:tcBorders>
            <w:vAlign w:val="center"/>
          </w:tcPr>
          <w:p w14:paraId="6F99F353">
            <w:pPr>
              <w:spacing w:line="240" w:lineRule="auto"/>
              <w:jc w:val="center"/>
              <w:rPr>
                <w:rFonts w:hint="eastAsia"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val="0"/>
                <w:bCs/>
                <w:color w:val="auto"/>
                <w:sz w:val="24"/>
                <w:szCs w:val="24"/>
                <w:highlight w:val="none"/>
                <w:lang w:val="en-US" w:eastAsia="zh-CN"/>
              </w:rPr>
              <w:t>5分</w:t>
            </w:r>
          </w:p>
        </w:tc>
      </w:tr>
      <w:tr w14:paraId="70CF9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2" w:type="dxa"/>
            <w:tcBorders>
              <w:left w:val="single" w:color="auto" w:sz="4" w:space="0"/>
              <w:bottom w:val="single" w:color="auto" w:sz="4" w:space="0"/>
              <w:right w:val="single" w:color="auto" w:sz="4" w:space="0"/>
            </w:tcBorders>
            <w:vAlign w:val="top"/>
          </w:tcPr>
          <w:p w14:paraId="25B014F2">
            <w:pPr>
              <w:keepNext w:val="0"/>
              <w:keepLines w:val="0"/>
              <w:pageBreakBefore w:val="0"/>
              <w:kinsoku w:val="0"/>
              <w:wordWrap/>
              <w:overflowPunct/>
              <w:topLinePunct w:val="0"/>
              <w:autoSpaceDE w:val="0"/>
              <w:autoSpaceDN w:val="0"/>
              <w:bidi w:val="0"/>
              <w:adjustRightInd w:val="0"/>
              <w:snapToGrid w:val="0"/>
              <w:spacing w:before="299" w:line="220" w:lineRule="auto"/>
              <w:jc w:val="left"/>
              <w:textAlignment w:val="baseline"/>
              <w:rPr>
                <w:rStyle w:val="272"/>
                <w:rFonts w:hint="default" w:ascii="Times New Roman" w:hAnsi="Times New Roman" w:cs="Times New Roman"/>
                <w:b/>
                <w:bCs/>
                <w:color w:val="auto"/>
                <w:sz w:val="24"/>
                <w:szCs w:val="24"/>
                <w:highlight w:val="none"/>
                <w:lang w:val="en-US" w:eastAsia="zh-CN"/>
              </w:rPr>
            </w:pPr>
            <w:r>
              <w:rPr>
                <w:rFonts w:ascii="宋体" w:hAnsi="宋体" w:eastAsia="宋体" w:cs="宋体"/>
                <w:b/>
                <w:bCs/>
                <w:snapToGrid w:val="0"/>
                <w:color w:val="auto"/>
                <w:spacing w:val="-2"/>
                <w:kern w:val="0"/>
                <w:sz w:val="24"/>
                <w:szCs w:val="24"/>
                <w:highlight w:val="none"/>
                <w:lang w:val="en-US" w:eastAsia="en-US" w:bidi="ar-SA"/>
              </w:rPr>
              <w:t>运行维护方案</w:t>
            </w:r>
          </w:p>
        </w:tc>
        <w:tc>
          <w:tcPr>
            <w:tcW w:w="7571" w:type="dxa"/>
            <w:tcBorders>
              <w:top w:val="single" w:color="auto" w:sz="4" w:space="0"/>
              <w:left w:val="single" w:color="auto" w:sz="4" w:space="0"/>
              <w:bottom w:val="single" w:color="auto" w:sz="4" w:space="0"/>
              <w:right w:val="single" w:color="auto" w:sz="4" w:space="0"/>
            </w:tcBorders>
            <w:vAlign w:val="center"/>
          </w:tcPr>
          <w:p w14:paraId="3A1D1953">
            <w:pPr>
              <w:topLinePunct/>
              <w:adjustRightInd w:val="0"/>
              <w:snapToGrid w:val="0"/>
              <w:spacing w:line="240" w:lineRule="auto"/>
              <w:rPr>
                <w:rFonts w:ascii="Times New Roman" w:hAnsi="Times New Roman"/>
                <w:color w:val="auto"/>
                <w:sz w:val="24"/>
                <w:szCs w:val="24"/>
                <w:highlight w:val="none"/>
                <w:lang w:val="zh-CN" w:bidi="ar"/>
              </w:rPr>
            </w:pPr>
            <w:r>
              <w:rPr>
                <w:rFonts w:ascii="Times New Roman" w:hAnsi="Times New Roman"/>
                <w:color w:val="auto"/>
                <w:sz w:val="24"/>
                <w:szCs w:val="24"/>
                <w:highlight w:val="none"/>
                <w:lang w:val="zh-CN" w:bidi="ar"/>
              </w:rPr>
              <w:t>（1）</w:t>
            </w:r>
            <w:r>
              <w:rPr>
                <w:rFonts w:hint="eastAsia" w:ascii="Times New Roman" w:hAnsi="Times New Roman"/>
                <w:color w:val="auto"/>
                <w:sz w:val="24"/>
                <w:szCs w:val="24"/>
                <w:highlight w:val="none"/>
                <w:lang w:val="en-US" w:eastAsia="zh-CN" w:bidi="ar"/>
              </w:rPr>
              <w:t>理解准确</w:t>
            </w:r>
            <w:r>
              <w:rPr>
                <w:rFonts w:ascii="Times New Roman" w:hAnsi="Times New Roman"/>
                <w:color w:val="auto"/>
                <w:sz w:val="24"/>
                <w:szCs w:val="24"/>
                <w:highlight w:val="none"/>
                <w:lang w:val="zh-CN" w:bidi="ar"/>
              </w:rPr>
              <w:t>、要点突出、针对性强，内容完整详实，表述清晰，与本项目实际需求适应度高，利于项目实施的得</w:t>
            </w:r>
            <w:r>
              <w:rPr>
                <w:rFonts w:hint="eastAsia" w:ascii="Times New Roman" w:hAnsi="Times New Roman"/>
                <w:color w:val="auto"/>
                <w:sz w:val="24"/>
                <w:szCs w:val="24"/>
                <w:highlight w:val="none"/>
                <w:lang w:val="en-US" w:eastAsia="zh-CN" w:bidi="ar"/>
              </w:rPr>
              <w:t>5</w:t>
            </w:r>
            <w:r>
              <w:rPr>
                <w:rFonts w:ascii="Times New Roman" w:hAnsi="Times New Roman"/>
                <w:color w:val="auto"/>
                <w:sz w:val="24"/>
                <w:szCs w:val="24"/>
                <w:highlight w:val="none"/>
                <w:lang w:val="zh-CN" w:bidi="ar"/>
              </w:rPr>
              <w:t>分；</w:t>
            </w:r>
          </w:p>
          <w:p w14:paraId="1C7BEF97">
            <w:pPr>
              <w:topLinePunct/>
              <w:adjustRightInd w:val="0"/>
              <w:snapToGrid w:val="0"/>
              <w:spacing w:line="240" w:lineRule="auto"/>
              <w:rPr>
                <w:rFonts w:ascii="Times New Roman" w:hAnsi="Times New Roman"/>
                <w:color w:val="auto"/>
                <w:sz w:val="24"/>
                <w:szCs w:val="24"/>
                <w:highlight w:val="none"/>
                <w:lang w:val="zh-CN" w:bidi="ar"/>
              </w:rPr>
            </w:pPr>
            <w:r>
              <w:rPr>
                <w:rFonts w:ascii="Times New Roman" w:hAnsi="Times New Roman"/>
                <w:color w:val="auto"/>
                <w:sz w:val="24"/>
                <w:szCs w:val="24"/>
                <w:highlight w:val="none"/>
                <w:lang w:val="zh-CN" w:bidi="ar"/>
              </w:rPr>
              <w:t>（2）</w:t>
            </w:r>
            <w:r>
              <w:rPr>
                <w:rFonts w:hint="eastAsia" w:ascii="Times New Roman" w:hAnsi="Times New Roman"/>
                <w:color w:val="auto"/>
                <w:sz w:val="24"/>
                <w:szCs w:val="24"/>
                <w:highlight w:val="none"/>
                <w:lang w:val="en-US" w:eastAsia="zh-CN" w:bidi="ar"/>
              </w:rPr>
              <w:t>理解基本</w:t>
            </w:r>
            <w:r>
              <w:rPr>
                <w:rFonts w:ascii="Times New Roman" w:hAnsi="Times New Roman"/>
                <w:color w:val="auto"/>
                <w:sz w:val="24"/>
                <w:szCs w:val="24"/>
                <w:highlight w:val="none"/>
                <w:lang w:val="zh-CN" w:bidi="ar"/>
              </w:rPr>
              <w:t>全面，针对性强，内容完整详实，表述清晰，与本项目实际需求</w:t>
            </w:r>
            <w:r>
              <w:rPr>
                <w:rFonts w:hint="eastAsia" w:ascii="Times New Roman" w:hAnsi="Times New Roman"/>
                <w:color w:val="auto"/>
                <w:sz w:val="24"/>
                <w:szCs w:val="24"/>
                <w:highlight w:val="none"/>
                <w:lang w:val="en-US" w:eastAsia="zh-CN" w:bidi="ar"/>
              </w:rPr>
              <w:t>基本</w:t>
            </w:r>
            <w:r>
              <w:rPr>
                <w:rFonts w:hint="eastAsia" w:ascii="Times New Roman" w:hAnsi="Times New Roman"/>
                <w:color w:val="auto"/>
                <w:sz w:val="24"/>
                <w:szCs w:val="24"/>
                <w:highlight w:val="none"/>
                <w:lang w:bidi="ar"/>
              </w:rPr>
              <w:t>适应</w:t>
            </w:r>
            <w:r>
              <w:rPr>
                <w:rFonts w:hint="eastAsia" w:ascii="Times New Roman" w:hAnsi="Times New Roman"/>
                <w:color w:val="auto"/>
                <w:sz w:val="24"/>
                <w:szCs w:val="24"/>
                <w:highlight w:val="none"/>
                <w:lang w:val="zh-CN" w:bidi="ar"/>
              </w:rPr>
              <w:t>的</w:t>
            </w:r>
            <w:r>
              <w:rPr>
                <w:rFonts w:ascii="Times New Roman" w:hAnsi="Times New Roman"/>
                <w:color w:val="auto"/>
                <w:sz w:val="24"/>
                <w:szCs w:val="24"/>
                <w:highlight w:val="none"/>
                <w:lang w:val="zh-CN" w:bidi="ar"/>
              </w:rPr>
              <w:t>得</w:t>
            </w:r>
            <w:r>
              <w:rPr>
                <w:rFonts w:hint="eastAsia" w:ascii="Times New Roman" w:hAnsi="Times New Roman"/>
                <w:color w:val="auto"/>
                <w:sz w:val="24"/>
                <w:szCs w:val="24"/>
                <w:highlight w:val="none"/>
                <w:lang w:val="en-US" w:eastAsia="zh-CN" w:bidi="ar"/>
              </w:rPr>
              <w:t>3</w:t>
            </w:r>
            <w:r>
              <w:rPr>
                <w:rFonts w:ascii="Times New Roman" w:hAnsi="Times New Roman"/>
                <w:color w:val="auto"/>
                <w:sz w:val="24"/>
                <w:szCs w:val="24"/>
                <w:highlight w:val="none"/>
                <w:lang w:val="zh-CN" w:bidi="ar"/>
              </w:rPr>
              <w:t>分；</w:t>
            </w:r>
          </w:p>
          <w:p w14:paraId="1B2926A8">
            <w:pPr>
              <w:topLinePunct/>
              <w:adjustRightInd w:val="0"/>
              <w:snapToGrid w:val="0"/>
              <w:spacing w:line="240" w:lineRule="auto"/>
              <w:rPr>
                <w:rFonts w:ascii="Times New Roman" w:hAnsi="Times New Roman"/>
                <w:color w:val="auto"/>
                <w:sz w:val="24"/>
                <w:szCs w:val="24"/>
                <w:highlight w:val="none"/>
                <w:lang w:val="zh-CN" w:bidi="ar"/>
              </w:rPr>
            </w:pPr>
            <w:r>
              <w:rPr>
                <w:rFonts w:ascii="Times New Roman" w:hAnsi="Times New Roman"/>
                <w:color w:val="auto"/>
                <w:sz w:val="24"/>
                <w:szCs w:val="24"/>
                <w:highlight w:val="none"/>
                <w:lang w:val="zh-CN" w:bidi="ar"/>
              </w:rPr>
              <w:t>（</w:t>
            </w:r>
            <w:r>
              <w:rPr>
                <w:rFonts w:hint="eastAsia" w:ascii="Times New Roman" w:hAnsi="Times New Roman"/>
                <w:color w:val="auto"/>
                <w:sz w:val="24"/>
                <w:szCs w:val="24"/>
                <w:highlight w:val="none"/>
                <w:lang w:val="en-US" w:eastAsia="zh-CN" w:bidi="ar"/>
              </w:rPr>
              <w:t>3</w:t>
            </w:r>
            <w:r>
              <w:rPr>
                <w:rFonts w:ascii="Times New Roman" w:hAnsi="Times New Roman"/>
                <w:color w:val="auto"/>
                <w:sz w:val="24"/>
                <w:szCs w:val="24"/>
                <w:highlight w:val="none"/>
                <w:lang w:val="zh-CN" w:bidi="ar"/>
              </w:rPr>
              <w:t>）</w:t>
            </w:r>
            <w:r>
              <w:rPr>
                <w:rFonts w:hint="eastAsia" w:ascii="Times New Roman" w:hAnsi="Times New Roman"/>
                <w:color w:val="auto"/>
                <w:sz w:val="24"/>
                <w:szCs w:val="24"/>
                <w:highlight w:val="none"/>
                <w:lang w:val="en-US" w:eastAsia="zh-CN" w:bidi="ar"/>
              </w:rPr>
              <w:t>理解</w:t>
            </w:r>
            <w:r>
              <w:rPr>
                <w:rFonts w:hint="eastAsia" w:ascii="Times New Roman" w:hAnsi="Times New Roman"/>
                <w:color w:val="auto"/>
                <w:sz w:val="24"/>
                <w:szCs w:val="24"/>
                <w:highlight w:val="none"/>
                <w:lang w:bidi="ar"/>
              </w:rPr>
              <w:t>不</w:t>
            </w:r>
            <w:r>
              <w:rPr>
                <w:rFonts w:ascii="Times New Roman" w:hAnsi="Times New Roman"/>
                <w:color w:val="auto"/>
                <w:sz w:val="24"/>
                <w:szCs w:val="24"/>
                <w:highlight w:val="none"/>
                <w:lang w:val="zh-CN" w:bidi="ar"/>
              </w:rPr>
              <w:t>全面、要点</w:t>
            </w:r>
            <w:r>
              <w:rPr>
                <w:rFonts w:hint="eastAsia" w:ascii="Times New Roman" w:hAnsi="Times New Roman"/>
                <w:color w:val="auto"/>
                <w:sz w:val="24"/>
                <w:szCs w:val="24"/>
                <w:highlight w:val="none"/>
                <w:lang w:bidi="ar"/>
              </w:rPr>
              <w:t>不</w:t>
            </w:r>
            <w:r>
              <w:rPr>
                <w:rFonts w:ascii="Times New Roman" w:hAnsi="Times New Roman"/>
                <w:color w:val="auto"/>
                <w:sz w:val="24"/>
                <w:szCs w:val="24"/>
                <w:highlight w:val="none"/>
                <w:lang w:val="zh-CN" w:bidi="ar"/>
              </w:rPr>
              <w:t>突出、针对性</w:t>
            </w:r>
            <w:r>
              <w:rPr>
                <w:rFonts w:hint="eastAsia" w:ascii="Times New Roman" w:hAnsi="Times New Roman"/>
                <w:color w:val="auto"/>
                <w:sz w:val="24"/>
                <w:szCs w:val="24"/>
                <w:highlight w:val="none"/>
                <w:lang w:bidi="ar"/>
              </w:rPr>
              <w:t>不强</w:t>
            </w:r>
            <w:r>
              <w:rPr>
                <w:rFonts w:ascii="Times New Roman" w:hAnsi="Times New Roman"/>
                <w:color w:val="auto"/>
                <w:sz w:val="24"/>
                <w:szCs w:val="24"/>
                <w:highlight w:val="none"/>
                <w:lang w:val="zh-CN" w:bidi="ar"/>
              </w:rPr>
              <w:t>，内容</w:t>
            </w:r>
            <w:r>
              <w:rPr>
                <w:rFonts w:hint="eastAsia" w:ascii="Times New Roman" w:hAnsi="Times New Roman"/>
                <w:color w:val="auto"/>
                <w:sz w:val="24"/>
                <w:szCs w:val="24"/>
                <w:highlight w:val="none"/>
                <w:lang w:bidi="ar"/>
              </w:rPr>
              <w:t>不完整</w:t>
            </w:r>
            <w:r>
              <w:rPr>
                <w:rFonts w:ascii="Times New Roman" w:hAnsi="Times New Roman"/>
                <w:color w:val="auto"/>
                <w:sz w:val="24"/>
                <w:szCs w:val="24"/>
                <w:highlight w:val="none"/>
                <w:lang w:val="zh-CN" w:bidi="ar"/>
              </w:rPr>
              <w:t>，表述</w:t>
            </w:r>
            <w:r>
              <w:rPr>
                <w:rFonts w:hint="eastAsia" w:ascii="Times New Roman" w:hAnsi="Times New Roman"/>
                <w:color w:val="auto"/>
                <w:sz w:val="24"/>
                <w:szCs w:val="24"/>
                <w:highlight w:val="none"/>
                <w:lang w:bidi="ar"/>
              </w:rPr>
              <w:t>不</w:t>
            </w:r>
            <w:r>
              <w:rPr>
                <w:rFonts w:ascii="Times New Roman" w:hAnsi="Times New Roman"/>
                <w:color w:val="auto"/>
                <w:sz w:val="24"/>
                <w:szCs w:val="24"/>
                <w:highlight w:val="none"/>
                <w:lang w:val="zh-CN" w:bidi="ar"/>
              </w:rPr>
              <w:t>清晰，与本项目实际需求</w:t>
            </w:r>
            <w:r>
              <w:rPr>
                <w:rFonts w:hint="eastAsia" w:ascii="Times New Roman" w:hAnsi="Times New Roman"/>
                <w:color w:val="auto"/>
                <w:sz w:val="24"/>
                <w:szCs w:val="24"/>
                <w:highlight w:val="none"/>
                <w:lang w:bidi="ar"/>
              </w:rPr>
              <w:t>不适应</w:t>
            </w:r>
            <w:r>
              <w:rPr>
                <w:rFonts w:ascii="Times New Roman" w:hAnsi="Times New Roman"/>
                <w:color w:val="auto"/>
                <w:sz w:val="24"/>
                <w:szCs w:val="24"/>
                <w:highlight w:val="none"/>
                <w:lang w:val="zh-CN" w:bidi="ar"/>
              </w:rPr>
              <w:t>，</w:t>
            </w:r>
            <w:r>
              <w:rPr>
                <w:rFonts w:hint="eastAsia" w:ascii="Times New Roman" w:hAnsi="Times New Roman"/>
                <w:color w:val="auto"/>
                <w:sz w:val="24"/>
                <w:szCs w:val="24"/>
                <w:highlight w:val="none"/>
                <w:lang w:bidi="ar"/>
              </w:rPr>
              <w:t>不</w:t>
            </w:r>
            <w:r>
              <w:rPr>
                <w:rFonts w:ascii="Times New Roman" w:hAnsi="Times New Roman"/>
                <w:color w:val="auto"/>
                <w:sz w:val="24"/>
                <w:szCs w:val="24"/>
                <w:highlight w:val="none"/>
                <w:lang w:val="zh-CN" w:bidi="ar"/>
              </w:rPr>
              <w:t>符合项目实施要求的得</w:t>
            </w:r>
            <w:r>
              <w:rPr>
                <w:rFonts w:hint="eastAsia" w:ascii="Times New Roman" w:hAnsi="Times New Roman"/>
                <w:color w:val="auto"/>
                <w:sz w:val="24"/>
                <w:szCs w:val="24"/>
                <w:highlight w:val="none"/>
                <w:lang w:val="en-US" w:eastAsia="zh-CN" w:bidi="ar"/>
              </w:rPr>
              <w:t>1</w:t>
            </w:r>
            <w:r>
              <w:rPr>
                <w:rFonts w:ascii="Times New Roman" w:hAnsi="Times New Roman"/>
                <w:color w:val="auto"/>
                <w:sz w:val="24"/>
                <w:szCs w:val="24"/>
                <w:highlight w:val="none"/>
                <w:lang w:val="zh-CN" w:bidi="ar"/>
              </w:rPr>
              <w:t>分；</w:t>
            </w:r>
          </w:p>
          <w:p w14:paraId="623C20E4">
            <w:pPr>
              <w:topLinePunct/>
              <w:adjustRightInd w:val="0"/>
              <w:snapToGrid w:val="0"/>
              <w:spacing w:line="240" w:lineRule="auto"/>
              <w:rPr>
                <w:rFonts w:ascii="Times New Roman" w:hAnsi="Times New Roman"/>
                <w:color w:val="auto"/>
                <w:sz w:val="24"/>
                <w:szCs w:val="24"/>
                <w:highlight w:val="none"/>
                <w:lang w:val="zh-CN" w:bidi="ar"/>
              </w:rPr>
            </w:pPr>
            <w:r>
              <w:rPr>
                <w:rFonts w:ascii="Times New Roman" w:hAnsi="Times New Roman"/>
                <w:color w:val="auto"/>
                <w:sz w:val="24"/>
                <w:szCs w:val="24"/>
                <w:highlight w:val="none"/>
                <w:lang w:val="zh-CN" w:bidi="ar"/>
              </w:rPr>
              <w:t>（</w:t>
            </w:r>
            <w:r>
              <w:rPr>
                <w:rFonts w:hint="eastAsia" w:ascii="Times New Roman" w:hAnsi="Times New Roman"/>
                <w:color w:val="auto"/>
                <w:sz w:val="24"/>
                <w:szCs w:val="24"/>
                <w:highlight w:val="none"/>
                <w:lang w:bidi="ar"/>
              </w:rPr>
              <w:t>4</w:t>
            </w:r>
            <w:r>
              <w:rPr>
                <w:rFonts w:ascii="Times New Roman" w:hAnsi="Times New Roman"/>
                <w:color w:val="auto"/>
                <w:sz w:val="24"/>
                <w:szCs w:val="24"/>
                <w:highlight w:val="none"/>
                <w:lang w:val="zh-CN" w:bidi="ar"/>
              </w:rPr>
              <w:t>）未提供的不得分。</w:t>
            </w:r>
          </w:p>
        </w:tc>
        <w:tc>
          <w:tcPr>
            <w:tcW w:w="685" w:type="dxa"/>
            <w:tcBorders>
              <w:top w:val="single" w:color="auto" w:sz="4" w:space="0"/>
              <w:left w:val="single" w:color="auto" w:sz="4" w:space="0"/>
              <w:bottom w:val="single" w:color="auto" w:sz="4" w:space="0"/>
              <w:right w:val="single" w:color="auto" w:sz="4" w:space="0"/>
            </w:tcBorders>
            <w:vAlign w:val="center"/>
          </w:tcPr>
          <w:p w14:paraId="17A92775">
            <w:pPr>
              <w:spacing w:line="240" w:lineRule="auto"/>
              <w:jc w:val="center"/>
              <w:rPr>
                <w:rFonts w:hint="eastAsia" w:asciiTheme="minorEastAsia" w:hAnsiTheme="minorEastAsia" w:eastAsiaTheme="minorEastAsia"/>
                <w:b w:val="0"/>
                <w:bCs w:val="0"/>
                <w:color w:val="auto"/>
                <w:sz w:val="24"/>
                <w:szCs w:val="24"/>
                <w:highlight w:val="none"/>
                <w:lang w:val="en-US" w:eastAsia="zh-CN"/>
              </w:rPr>
            </w:pPr>
            <w:r>
              <w:rPr>
                <w:rFonts w:hint="eastAsia" w:asciiTheme="minorEastAsia" w:hAnsiTheme="minorEastAsia" w:eastAsiaTheme="minorEastAsia"/>
                <w:b w:val="0"/>
                <w:bCs/>
                <w:color w:val="auto"/>
                <w:sz w:val="24"/>
                <w:szCs w:val="24"/>
                <w:highlight w:val="none"/>
                <w:lang w:val="en-US" w:eastAsia="zh-CN"/>
              </w:rPr>
              <w:t>5分</w:t>
            </w:r>
          </w:p>
        </w:tc>
      </w:tr>
      <w:tr w14:paraId="3104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jc w:val="center"/>
        </w:trPr>
        <w:tc>
          <w:tcPr>
            <w:tcW w:w="1882" w:type="dxa"/>
            <w:tcBorders>
              <w:left w:val="single" w:color="auto" w:sz="4" w:space="0"/>
              <w:bottom w:val="single" w:color="auto" w:sz="4" w:space="0"/>
              <w:right w:val="single" w:color="auto" w:sz="4" w:space="0"/>
            </w:tcBorders>
            <w:vAlign w:val="center"/>
          </w:tcPr>
          <w:p w14:paraId="0139DC42">
            <w:pPr>
              <w:spacing w:line="240" w:lineRule="auto"/>
              <w:jc w:val="center"/>
              <w:rPr>
                <w:rStyle w:val="272"/>
                <w:rFonts w:hint="default" w:ascii="Times New Roman" w:hAnsi="Times New Roman" w:cs="Times New Roman"/>
                <w:b/>
                <w:bCs/>
                <w:color w:val="auto"/>
                <w:sz w:val="24"/>
                <w:szCs w:val="24"/>
                <w:highlight w:val="none"/>
                <w:lang w:val="en-US" w:eastAsia="zh-CN"/>
              </w:rPr>
            </w:pPr>
            <w:r>
              <w:rPr>
                <w:rStyle w:val="272"/>
                <w:rFonts w:hint="eastAsia" w:ascii="Times New Roman" w:hAnsi="Times New Roman" w:cs="Times New Roman"/>
                <w:b/>
                <w:bCs/>
                <w:color w:val="auto"/>
                <w:sz w:val="24"/>
                <w:szCs w:val="24"/>
                <w:highlight w:val="none"/>
                <w:lang w:val="en-US" w:eastAsia="zh-CN"/>
              </w:rPr>
              <w:t>施工重点难点及合理化建议</w:t>
            </w:r>
          </w:p>
        </w:tc>
        <w:tc>
          <w:tcPr>
            <w:tcW w:w="7571" w:type="dxa"/>
            <w:tcBorders>
              <w:top w:val="single" w:color="auto" w:sz="4" w:space="0"/>
              <w:left w:val="single" w:color="auto" w:sz="4" w:space="0"/>
              <w:bottom w:val="single" w:color="auto" w:sz="4" w:space="0"/>
              <w:right w:val="single" w:color="auto" w:sz="4" w:space="0"/>
            </w:tcBorders>
            <w:vAlign w:val="center"/>
          </w:tcPr>
          <w:p w14:paraId="52263191">
            <w:pPr>
              <w:topLinePunct/>
              <w:adjustRightInd w:val="0"/>
              <w:snapToGrid w:val="0"/>
              <w:spacing w:line="240" w:lineRule="auto"/>
              <w:rPr>
                <w:rFonts w:ascii="Times New Roman" w:hAnsi="Times New Roman"/>
                <w:color w:val="auto"/>
                <w:sz w:val="24"/>
                <w:szCs w:val="24"/>
                <w:highlight w:val="none"/>
                <w:lang w:val="zh-CN" w:bidi="ar"/>
              </w:rPr>
            </w:pPr>
            <w:r>
              <w:rPr>
                <w:rFonts w:ascii="Times New Roman" w:hAnsi="Times New Roman"/>
                <w:color w:val="auto"/>
                <w:sz w:val="24"/>
                <w:szCs w:val="24"/>
                <w:highlight w:val="none"/>
                <w:lang w:val="zh-CN" w:bidi="ar"/>
              </w:rPr>
              <w:t>（1）</w:t>
            </w:r>
            <w:r>
              <w:rPr>
                <w:rFonts w:hint="eastAsia" w:ascii="Times New Roman" w:hAnsi="Times New Roman"/>
                <w:color w:val="auto"/>
                <w:sz w:val="24"/>
                <w:szCs w:val="24"/>
                <w:highlight w:val="none"/>
                <w:lang w:val="en-US" w:eastAsia="zh-CN" w:bidi="ar"/>
              </w:rPr>
              <w:t>理解准确</w:t>
            </w:r>
            <w:r>
              <w:rPr>
                <w:rFonts w:ascii="Times New Roman" w:hAnsi="Times New Roman"/>
                <w:color w:val="auto"/>
                <w:sz w:val="24"/>
                <w:szCs w:val="24"/>
                <w:highlight w:val="none"/>
                <w:lang w:val="zh-CN" w:bidi="ar"/>
              </w:rPr>
              <w:t>、要点突出、针对性强，内容完整详实，表述清晰，与本项目实际需求适应度高，利于项目实施的得</w:t>
            </w:r>
            <w:r>
              <w:rPr>
                <w:rFonts w:hint="eastAsia" w:ascii="Times New Roman" w:hAnsi="Times New Roman"/>
                <w:color w:val="auto"/>
                <w:sz w:val="24"/>
                <w:szCs w:val="24"/>
                <w:highlight w:val="none"/>
                <w:lang w:val="en-US" w:eastAsia="zh-CN" w:bidi="ar"/>
              </w:rPr>
              <w:t>5</w:t>
            </w:r>
            <w:r>
              <w:rPr>
                <w:rFonts w:ascii="Times New Roman" w:hAnsi="Times New Roman"/>
                <w:color w:val="auto"/>
                <w:sz w:val="24"/>
                <w:szCs w:val="24"/>
                <w:highlight w:val="none"/>
                <w:lang w:val="zh-CN" w:bidi="ar"/>
              </w:rPr>
              <w:t>分；</w:t>
            </w:r>
          </w:p>
          <w:p w14:paraId="08F7AC8D">
            <w:pPr>
              <w:topLinePunct/>
              <w:adjustRightInd w:val="0"/>
              <w:snapToGrid w:val="0"/>
              <w:spacing w:line="240" w:lineRule="auto"/>
              <w:rPr>
                <w:rFonts w:ascii="Times New Roman" w:hAnsi="Times New Roman"/>
                <w:color w:val="auto"/>
                <w:sz w:val="24"/>
                <w:szCs w:val="24"/>
                <w:highlight w:val="none"/>
                <w:lang w:val="zh-CN" w:bidi="ar"/>
              </w:rPr>
            </w:pPr>
            <w:r>
              <w:rPr>
                <w:rFonts w:ascii="Times New Roman" w:hAnsi="Times New Roman"/>
                <w:color w:val="auto"/>
                <w:sz w:val="24"/>
                <w:szCs w:val="24"/>
                <w:highlight w:val="none"/>
                <w:lang w:val="zh-CN" w:bidi="ar"/>
              </w:rPr>
              <w:t>（2）</w:t>
            </w:r>
            <w:r>
              <w:rPr>
                <w:rFonts w:hint="eastAsia" w:ascii="Times New Roman" w:hAnsi="Times New Roman"/>
                <w:color w:val="auto"/>
                <w:sz w:val="24"/>
                <w:szCs w:val="24"/>
                <w:highlight w:val="none"/>
                <w:lang w:val="en-US" w:eastAsia="zh-CN" w:bidi="ar"/>
              </w:rPr>
              <w:t>理解基本</w:t>
            </w:r>
            <w:r>
              <w:rPr>
                <w:rFonts w:ascii="Times New Roman" w:hAnsi="Times New Roman"/>
                <w:color w:val="auto"/>
                <w:sz w:val="24"/>
                <w:szCs w:val="24"/>
                <w:highlight w:val="none"/>
                <w:lang w:val="zh-CN" w:bidi="ar"/>
              </w:rPr>
              <w:t>全面，针对性强，内容完整详实，表述清晰，与本项目实际需求</w:t>
            </w:r>
            <w:r>
              <w:rPr>
                <w:rFonts w:hint="eastAsia" w:ascii="Times New Roman" w:hAnsi="Times New Roman"/>
                <w:color w:val="auto"/>
                <w:sz w:val="24"/>
                <w:szCs w:val="24"/>
                <w:highlight w:val="none"/>
                <w:lang w:val="en-US" w:eastAsia="zh-CN" w:bidi="ar"/>
              </w:rPr>
              <w:t>基本</w:t>
            </w:r>
            <w:r>
              <w:rPr>
                <w:rFonts w:hint="eastAsia" w:ascii="Times New Roman" w:hAnsi="Times New Roman"/>
                <w:color w:val="auto"/>
                <w:sz w:val="24"/>
                <w:szCs w:val="24"/>
                <w:highlight w:val="none"/>
                <w:lang w:bidi="ar"/>
              </w:rPr>
              <w:t>适应</w:t>
            </w:r>
            <w:r>
              <w:rPr>
                <w:rFonts w:hint="eastAsia" w:ascii="Times New Roman" w:hAnsi="Times New Roman"/>
                <w:color w:val="auto"/>
                <w:sz w:val="24"/>
                <w:szCs w:val="24"/>
                <w:highlight w:val="none"/>
                <w:lang w:val="zh-CN" w:bidi="ar"/>
              </w:rPr>
              <w:t>的</w:t>
            </w:r>
            <w:r>
              <w:rPr>
                <w:rFonts w:ascii="Times New Roman" w:hAnsi="Times New Roman"/>
                <w:color w:val="auto"/>
                <w:sz w:val="24"/>
                <w:szCs w:val="24"/>
                <w:highlight w:val="none"/>
                <w:lang w:val="zh-CN" w:bidi="ar"/>
              </w:rPr>
              <w:t>得</w:t>
            </w:r>
            <w:r>
              <w:rPr>
                <w:rFonts w:hint="eastAsia" w:ascii="Times New Roman" w:hAnsi="Times New Roman"/>
                <w:color w:val="auto"/>
                <w:sz w:val="24"/>
                <w:szCs w:val="24"/>
                <w:highlight w:val="none"/>
                <w:lang w:val="en-US" w:eastAsia="zh-CN" w:bidi="ar"/>
              </w:rPr>
              <w:t>3</w:t>
            </w:r>
            <w:r>
              <w:rPr>
                <w:rFonts w:ascii="Times New Roman" w:hAnsi="Times New Roman"/>
                <w:color w:val="auto"/>
                <w:sz w:val="24"/>
                <w:szCs w:val="24"/>
                <w:highlight w:val="none"/>
                <w:lang w:val="zh-CN" w:bidi="ar"/>
              </w:rPr>
              <w:t>分；</w:t>
            </w:r>
          </w:p>
          <w:p w14:paraId="47C15B8C">
            <w:pPr>
              <w:topLinePunct/>
              <w:adjustRightInd w:val="0"/>
              <w:snapToGrid w:val="0"/>
              <w:spacing w:line="240" w:lineRule="auto"/>
              <w:rPr>
                <w:rFonts w:ascii="Times New Roman" w:hAnsi="Times New Roman"/>
                <w:color w:val="auto"/>
                <w:sz w:val="24"/>
                <w:szCs w:val="24"/>
                <w:highlight w:val="none"/>
                <w:lang w:val="zh-CN" w:bidi="ar"/>
              </w:rPr>
            </w:pPr>
            <w:r>
              <w:rPr>
                <w:rFonts w:ascii="Times New Roman" w:hAnsi="Times New Roman"/>
                <w:color w:val="auto"/>
                <w:sz w:val="24"/>
                <w:szCs w:val="24"/>
                <w:highlight w:val="none"/>
                <w:lang w:val="zh-CN" w:bidi="ar"/>
              </w:rPr>
              <w:t>（</w:t>
            </w:r>
            <w:r>
              <w:rPr>
                <w:rFonts w:hint="eastAsia" w:ascii="Times New Roman" w:hAnsi="Times New Roman"/>
                <w:color w:val="auto"/>
                <w:sz w:val="24"/>
                <w:szCs w:val="24"/>
                <w:highlight w:val="none"/>
                <w:lang w:val="en-US" w:eastAsia="zh-CN" w:bidi="ar"/>
              </w:rPr>
              <w:t>3</w:t>
            </w:r>
            <w:r>
              <w:rPr>
                <w:rFonts w:ascii="Times New Roman" w:hAnsi="Times New Roman"/>
                <w:color w:val="auto"/>
                <w:sz w:val="24"/>
                <w:szCs w:val="24"/>
                <w:highlight w:val="none"/>
                <w:lang w:val="zh-CN" w:bidi="ar"/>
              </w:rPr>
              <w:t>）</w:t>
            </w:r>
            <w:r>
              <w:rPr>
                <w:rFonts w:hint="eastAsia" w:ascii="Times New Roman" w:hAnsi="Times New Roman"/>
                <w:color w:val="auto"/>
                <w:sz w:val="24"/>
                <w:szCs w:val="24"/>
                <w:highlight w:val="none"/>
                <w:lang w:val="en-US" w:eastAsia="zh-CN" w:bidi="ar"/>
              </w:rPr>
              <w:t>理解</w:t>
            </w:r>
            <w:r>
              <w:rPr>
                <w:rFonts w:hint="eastAsia" w:ascii="Times New Roman" w:hAnsi="Times New Roman"/>
                <w:color w:val="auto"/>
                <w:sz w:val="24"/>
                <w:szCs w:val="24"/>
                <w:highlight w:val="none"/>
                <w:lang w:bidi="ar"/>
              </w:rPr>
              <w:t>不</w:t>
            </w:r>
            <w:r>
              <w:rPr>
                <w:rFonts w:ascii="Times New Roman" w:hAnsi="Times New Roman"/>
                <w:color w:val="auto"/>
                <w:sz w:val="24"/>
                <w:szCs w:val="24"/>
                <w:highlight w:val="none"/>
                <w:lang w:val="zh-CN" w:bidi="ar"/>
              </w:rPr>
              <w:t>全面、要点</w:t>
            </w:r>
            <w:r>
              <w:rPr>
                <w:rFonts w:hint="eastAsia" w:ascii="Times New Roman" w:hAnsi="Times New Roman"/>
                <w:color w:val="auto"/>
                <w:sz w:val="24"/>
                <w:szCs w:val="24"/>
                <w:highlight w:val="none"/>
                <w:lang w:bidi="ar"/>
              </w:rPr>
              <w:t>不</w:t>
            </w:r>
            <w:r>
              <w:rPr>
                <w:rFonts w:ascii="Times New Roman" w:hAnsi="Times New Roman"/>
                <w:color w:val="auto"/>
                <w:sz w:val="24"/>
                <w:szCs w:val="24"/>
                <w:highlight w:val="none"/>
                <w:lang w:val="zh-CN" w:bidi="ar"/>
              </w:rPr>
              <w:t>突出、针对性</w:t>
            </w:r>
            <w:r>
              <w:rPr>
                <w:rFonts w:hint="eastAsia" w:ascii="Times New Roman" w:hAnsi="Times New Roman"/>
                <w:color w:val="auto"/>
                <w:sz w:val="24"/>
                <w:szCs w:val="24"/>
                <w:highlight w:val="none"/>
                <w:lang w:bidi="ar"/>
              </w:rPr>
              <w:t>不强</w:t>
            </w:r>
            <w:r>
              <w:rPr>
                <w:rFonts w:ascii="Times New Roman" w:hAnsi="Times New Roman"/>
                <w:color w:val="auto"/>
                <w:sz w:val="24"/>
                <w:szCs w:val="24"/>
                <w:highlight w:val="none"/>
                <w:lang w:val="zh-CN" w:bidi="ar"/>
              </w:rPr>
              <w:t>，内容</w:t>
            </w:r>
            <w:r>
              <w:rPr>
                <w:rFonts w:hint="eastAsia" w:ascii="Times New Roman" w:hAnsi="Times New Roman"/>
                <w:color w:val="auto"/>
                <w:sz w:val="24"/>
                <w:szCs w:val="24"/>
                <w:highlight w:val="none"/>
                <w:lang w:bidi="ar"/>
              </w:rPr>
              <w:t>不完整</w:t>
            </w:r>
            <w:r>
              <w:rPr>
                <w:rFonts w:ascii="Times New Roman" w:hAnsi="Times New Roman"/>
                <w:color w:val="auto"/>
                <w:sz w:val="24"/>
                <w:szCs w:val="24"/>
                <w:highlight w:val="none"/>
                <w:lang w:val="zh-CN" w:bidi="ar"/>
              </w:rPr>
              <w:t>，表述</w:t>
            </w:r>
            <w:r>
              <w:rPr>
                <w:rFonts w:hint="eastAsia" w:ascii="Times New Roman" w:hAnsi="Times New Roman"/>
                <w:color w:val="auto"/>
                <w:sz w:val="24"/>
                <w:szCs w:val="24"/>
                <w:highlight w:val="none"/>
                <w:lang w:bidi="ar"/>
              </w:rPr>
              <w:t>不</w:t>
            </w:r>
            <w:r>
              <w:rPr>
                <w:rFonts w:ascii="Times New Roman" w:hAnsi="Times New Roman"/>
                <w:color w:val="auto"/>
                <w:sz w:val="24"/>
                <w:szCs w:val="24"/>
                <w:highlight w:val="none"/>
                <w:lang w:val="zh-CN" w:bidi="ar"/>
              </w:rPr>
              <w:t>清晰，与本项目实际需求</w:t>
            </w:r>
            <w:r>
              <w:rPr>
                <w:rFonts w:hint="eastAsia" w:ascii="Times New Roman" w:hAnsi="Times New Roman"/>
                <w:color w:val="auto"/>
                <w:sz w:val="24"/>
                <w:szCs w:val="24"/>
                <w:highlight w:val="none"/>
                <w:lang w:bidi="ar"/>
              </w:rPr>
              <w:t>不适应</w:t>
            </w:r>
            <w:r>
              <w:rPr>
                <w:rFonts w:ascii="Times New Roman" w:hAnsi="Times New Roman"/>
                <w:color w:val="auto"/>
                <w:sz w:val="24"/>
                <w:szCs w:val="24"/>
                <w:highlight w:val="none"/>
                <w:lang w:val="zh-CN" w:bidi="ar"/>
              </w:rPr>
              <w:t>，</w:t>
            </w:r>
            <w:r>
              <w:rPr>
                <w:rFonts w:hint="eastAsia" w:ascii="Times New Roman" w:hAnsi="Times New Roman"/>
                <w:color w:val="auto"/>
                <w:sz w:val="24"/>
                <w:szCs w:val="24"/>
                <w:highlight w:val="none"/>
                <w:lang w:bidi="ar"/>
              </w:rPr>
              <w:t>不</w:t>
            </w:r>
            <w:r>
              <w:rPr>
                <w:rFonts w:ascii="Times New Roman" w:hAnsi="Times New Roman"/>
                <w:color w:val="auto"/>
                <w:sz w:val="24"/>
                <w:szCs w:val="24"/>
                <w:highlight w:val="none"/>
                <w:lang w:val="zh-CN" w:bidi="ar"/>
              </w:rPr>
              <w:t>符合项目实施要求的得</w:t>
            </w:r>
            <w:r>
              <w:rPr>
                <w:rFonts w:hint="eastAsia" w:ascii="Times New Roman" w:hAnsi="Times New Roman"/>
                <w:color w:val="auto"/>
                <w:sz w:val="24"/>
                <w:szCs w:val="24"/>
                <w:highlight w:val="none"/>
                <w:lang w:val="en-US" w:eastAsia="zh-CN" w:bidi="ar"/>
              </w:rPr>
              <w:t>1</w:t>
            </w:r>
            <w:r>
              <w:rPr>
                <w:rFonts w:ascii="Times New Roman" w:hAnsi="Times New Roman"/>
                <w:color w:val="auto"/>
                <w:sz w:val="24"/>
                <w:szCs w:val="24"/>
                <w:highlight w:val="none"/>
                <w:lang w:val="zh-CN" w:bidi="ar"/>
              </w:rPr>
              <w:t>分；</w:t>
            </w:r>
          </w:p>
          <w:p w14:paraId="60DF9DD9">
            <w:pPr>
              <w:topLinePunct/>
              <w:adjustRightInd w:val="0"/>
              <w:snapToGrid w:val="0"/>
              <w:spacing w:line="240" w:lineRule="auto"/>
              <w:rPr>
                <w:rFonts w:ascii="Times New Roman" w:hAnsi="Times New Roman"/>
                <w:color w:val="auto"/>
                <w:sz w:val="24"/>
                <w:szCs w:val="24"/>
                <w:highlight w:val="none"/>
                <w:lang w:val="zh-CN" w:bidi="ar"/>
              </w:rPr>
            </w:pPr>
            <w:r>
              <w:rPr>
                <w:rFonts w:ascii="Times New Roman" w:hAnsi="Times New Roman"/>
                <w:color w:val="auto"/>
                <w:sz w:val="24"/>
                <w:szCs w:val="24"/>
                <w:highlight w:val="none"/>
                <w:lang w:val="zh-CN" w:bidi="ar"/>
              </w:rPr>
              <w:t>（</w:t>
            </w:r>
            <w:r>
              <w:rPr>
                <w:rFonts w:hint="eastAsia" w:ascii="Times New Roman" w:hAnsi="Times New Roman"/>
                <w:color w:val="auto"/>
                <w:sz w:val="24"/>
                <w:szCs w:val="24"/>
                <w:highlight w:val="none"/>
                <w:lang w:bidi="ar"/>
              </w:rPr>
              <w:t>4</w:t>
            </w:r>
            <w:r>
              <w:rPr>
                <w:rFonts w:ascii="Times New Roman" w:hAnsi="Times New Roman"/>
                <w:color w:val="auto"/>
                <w:sz w:val="24"/>
                <w:szCs w:val="24"/>
                <w:highlight w:val="none"/>
                <w:lang w:val="zh-CN" w:bidi="ar"/>
              </w:rPr>
              <w:t>）未提供的不得分。</w:t>
            </w:r>
          </w:p>
        </w:tc>
        <w:tc>
          <w:tcPr>
            <w:tcW w:w="685" w:type="dxa"/>
            <w:tcBorders>
              <w:top w:val="single" w:color="auto" w:sz="4" w:space="0"/>
              <w:left w:val="single" w:color="auto" w:sz="4" w:space="0"/>
              <w:bottom w:val="single" w:color="auto" w:sz="4" w:space="0"/>
              <w:right w:val="single" w:color="auto" w:sz="4" w:space="0"/>
            </w:tcBorders>
            <w:vAlign w:val="center"/>
          </w:tcPr>
          <w:p w14:paraId="39FE88E8">
            <w:pPr>
              <w:spacing w:line="240" w:lineRule="auto"/>
              <w:jc w:val="center"/>
              <w:rPr>
                <w:rFonts w:hint="eastAsia" w:asciiTheme="minorEastAsia" w:hAnsiTheme="minorEastAsia" w:eastAsiaTheme="minorEastAsia"/>
                <w:b w:val="0"/>
                <w:bCs w:val="0"/>
                <w:color w:val="auto"/>
                <w:sz w:val="24"/>
                <w:szCs w:val="24"/>
                <w:highlight w:val="none"/>
                <w:lang w:val="en-US" w:eastAsia="zh-CN"/>
              </w:rPr>
            </w:pPr>
            <w:r>
              <w:rPr>
                <w:rFonts w:hint="eastAsia" w:asciiTheme="minorEastAsia" w:hAnsiTheme="minorEastAsia" w:eastAsiaTheme="minorEastAsia"/>
                <w:b w:val="0"/>
                <w:bCs/>
                <w:color w:val="auto"/>
                <w:sz w:val="24"/>
                <w:szCs w:val="24"/>
                <w:highlight w:val="none"/>
                <w:lang w:val="en-US" w:eastAsia="zh-CN"/>
              </w:rPr>
              <w:t>5分</w:t>
            </w:r>
          </w:p>
        </w:tc>
      </w:tr>
      <w:tr w14:paraId="49F9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2" w:type="dxa"/>
            <w:tcBorders>
              <w:left w:val="single" w:color="auto" w:sz="4" w:space="0"/>
              <w:bottom w:val="single" w:color="auto" w:sz="4" w:space="0"/>
              <w:right w:val="single" w:color="auto" w:sz="4" w:space="0"/>
            </w:tcBorders>
            <w:vAlign w:val="center"/>
          </w:tcPr>
          <w:p w14:paraId="005B0EB0">
            <w:pPr>
              <w:spacing w:line="240" w:lineRule="auto"/>
              <w:jc w:val="center"/>
              <w:rPr>
                <w:rStyle w:val="272"/>
                <w:rFonts w:hint="default" w:ascii="Times New Roman" w:hAnsi="Times New Roman" w:cs="Times New Roman"/>
                <w:b/>
                <w:bCs/>
                <w:color w:val="auto"/>
                <w:sz w:val="24"/>
                <w:szCs w:val="24"/>
                <w:highlight w:val="none"/>
                <w:lang w:val="en-US" w:eastAsia="zh-CN"/>
              </w:rPr>
            </w:pPr>
            <w:r>
              <w:rPr>
                <w:rStyle w:val="272"/>
                <w:rFonts w:hint="eastAsia" w:ascii="Times New Roman" w:hAnsi="Times New Roman" w:cs="Times New Roman"/>
                <w:b/>
                <w:bCs/>
                <w:color w:val="auto"/>
                <w:sz w:val="24"/>
                <w:szCs w:val="24"/>
                <w:highlight w:val="none"/>
                <w:lang w:val="en-US" w:eastAsia="zh-CN"/>
              </w:rPr>
              <w:t>应急工作方案</w:t>
            </w:r>
          </w:p>
        </w:tc>
        <w:tc>
          <w:tcPr>
            <w:tcW w:w="7571" w:type="dxa"/>
            <w:tcBorders>
              <w:top w:val="single" w:color="auto" w:sz="4" w:space="0"/>
              <w:left w:val="single" w:color="auto" w:sz="4" w:space="0"/>
              <w:bottom w:val="single" w:color="auto" w:sz="4" w:space="0"/>
              <w:right w:val="single" w:color="auto" w:sz="4" w:space="0"/>
            </w:tcBorders>
            <w:vAlign w:val="center"/>
          </w:tcPr>
          <w:p w14:paraId="51EA88E0">
            <w:pPr>
              <w:topLinePunct/>
              <w:adjustRightInd w:val="0"/>
              <w:snapToGrid w:val="0"/>
              <w:spacing w:line="240" w:lineRule="auto"/>
              <w:rPr>
                <w:rFonts w:ascii="Times New Roman" w:hAnsi="Times New Roman"/>
                <w:color w:val="auto"/>
                <w:sz w:val="24"/>
                <w:szCs w:val="24"/>
                <w:highlight w:val="none"/>
                <w:lang w:val="zh-CN" w:bidi="ar"/>
              </w:rPr>
            </w:pPr>
            <w:r>
              <w:rPr>
                <w:rFonts w:ascii="Times New Roman" w:hAnsi="Times New Roman"/>
                <w:color w:val="auto"/>
                <w:sz w:val="24"/>
                <w:szCs w:val="24"/>
                <w:highlight w:val="none"/>
                <w:lang w:val="zh-CN" w:bidi="ar"/>
              </w:rPr>
              <w:t>（1）</w:t>
            </w:r>
            <w:r>
              <w:rPr>
                <w:rFonts w:hint="eastAsia" w:ascii="Times New Roman" w:hAnsi="Times New Roman"/>
                <w:color w:val="auto"/>
                <w:sz w:val="24"/>
                <w:szCs w:val="24"/>
                <w:highlight w:val="none"/>
                <w:lang w:val="en-US" w:eastAsia="zh-CN" w:bidi="ar"/>
              </w:rPr>
              <w:t>理解准确</w:t>
            </w:r>
            <w:r>
              <w:rPr>
                <w:rFonts w:ascii="Times New Roman" w:hAnsi="Times New Roman"/>
                <w:color w:val="auto"/>
                <w:sz w:val="24"/>
                <w:szCs w:val="24"/>
                <w:highlight w:val="none"/>
                <w:lang w:val="zh-CN" w:bidi="ar"/>
              </w:rPr>
              <w:t>、要点突出、针对性强，内容完整详实，表述清晰，与本项目实际需求适应度高，利于项目实施的得</w:t>
            </w:r>
            <w:r>
              <w:rPr>
                <w:rFonts w:hint="eastAsia" w:ascii="Times New Roman" w:hAnsi="Times New Roman"/>
                <w:color w:val="auto"/>
                <w:sz w:val="24"/>
                <w:szCs w:val="24"/>
                <w:highlight w:val="none"/>
                <w:lang w:val="en-US" w:eastAsia="zh-CN" w:bidi="ar"/>
              </w:rPr>
              <w:t>3</w:t>
            </w:r>
            <w:r>
              <w:rPr>
                <w:rFonts w:ascii="Times New Roman" w:hAnsi="Times New Roman"/>
                <w:color w:val="auto"/>
                <w:sz w:val="24"/>
                <w:szCs w:val="24"/>
                <w:highlight w:val="none"/>
                <w:lang w:val="zh-CN" w:bidi="ar"/>
              </w:rPr>
              <w:t>分；</w:t>
            </w:r>
          </w:p>
          <w:p w14:paraId="7DC79B6B">
            <w:pPr>
              <w:topLinePunct/>
              <w:adjustRightInd w:val="0"/>
              <w:snapToGrid w:val="0"/>
              <w:spacing w:line="240" w:lineRule="auto"/>
              <w:rPr>
                <w:rFonts w:ascii="Times New Roman" w:hAnsi="Times New Roman"/>
                <w:color w:val="auto"/>
                <w:sz w:val="24"/>
                <w:szCs w:val="24"/>
                <w:highlight w:val="none"/>
                <w:lang w:val="zh-CN" w:bidi="ar"/>
              </w:rPr>
            </w:pPr>
            <w:r>
              <w:rPr>
                <w:rFonts w:ascii="Times New Roman" w:hAnsi="Times New Roman"/>
                <w:color w:val="auto"/>
                <w:sz w:val="24"/>
                <w:szCs w:val="24"/>
                <w:highlight w:val="none"/>
                <w:lang w:val="zh-CN" w:bidi="ar"/>
              </w:rPr>
              <w:t>（2）</w:t>
            </w:r>
            <w:r>
              <w:rPr>
                <w:rFonts w:hint="eastAsia" w:ascii="Times New Roman" w:hAnsi="Times New Roman"/>
                <w:color w:val="auto"/>
                <w:sz w:val="24"/>
                <w:szCs w:val="24"/>
                <w:highlight w:val="none"/>
                <w:lang w:val="en-US" w:eastAsia="zh-CN" w:bidi="ar"/>
              </w:rPr>
              <w:t>理解基本</w:t>
            </w:r>
            <w:r>
              <w:rPr>
                <w:rFonts w:ascii="Times New Roman" w:hAnsi="Times New Roman"/>
                <w:color w:val="auto"/>
                <w:sz w:val="24"/>
                <w:szCs w:val="24"/>
                <w:highlight w:val="none"/>
                <w:lang w:val="zh-CN" w:bidi="ar"/>
              </w:rPr>
              <w:t>全面，针对性强，内容完整详实，表述清晰，与本项目实际需求</w:t>
            </w:r>
            <w:r>
              <w:rPr>
                <w:rFonts w:hint="eastAsia" w:ascii="Times New Roman" w:hAnsi="Times New Roman"/>
                <w:color w:val="auto"/>
                <w:sz w:val="24"/>
                <w:szCs w:val="24"/>
                <w:highlight w:val="none"/>
                <w:lang w:val="en-US" w:eastAsia="zh-CN" w:bidi="ar"/>
              </w:rPr>
              <w:t>基本</w:t>
            </w:r>
            <w:r>
              <w:rPr>
                <w:rFonts w:hint="eastAsia" w:ascii="Times New Roman" w:hAnsi="Times New Roman"/>
                <w:color w:val="auto"/>
                <w:sz w:val="24"/>
                <w:szCs w:val="24"/>
                <w:highlight w:val="none"/>
                <w:lang w:bidi="ar"/>
              </w:rPr>
              <w:t>适应</w:t>
            </w:r>
            <w:r>
              <w:rPr>
                <w:rFonts w:hint="eastAsia" w:ascii="Times New Roman" w:hAnsi="Times New Roman"/>
                <w:color w:val="auto"/>
                <w:sz w:val="24"/>
                <w:szCs w:val="24"/>
                <w:highlight w:val="none"/>
                <w:lang w:val="zh-CN" w:bidi="ar"/>
              </w:rPr>
              <w:t>的</w:t>
            </w:r>
            <w:r>
              <w:rPr>
                <w:rFonts w:ascii="Times New Roman" w:hAnsi="Times New Roman"/>
                <w:color w:val="auto"/>
                <w:sz w:val="24"/>
                <w:szCs w:val="24"/>
                <w:highlight w:val="none"/>
                <w:lang w:val="zh-CN" w:bidi="ar"/>
              </w:rPr>
              <w:t>得</w:t>
            </w:r>
            <w:r>
              <w:rPr>
                <w:rFonts w:hint="eastAsia" w:ascii="Times New Roman" w:hAnsi="Times New Roman"/>
                <w:color w:val="auto"/>
                <w:sz w:val="24"/>
                <w:szCs w:val="24"/>
                <w:highlight w:val="none"/>
                <w:lang w:val="en-US" w:eastAsia="zh-CN" w:bidi="ar"/>
              </w:rPr>
              <w:t>2</w:t>
            </w:r>
            <w:r>
              <w:rPr>
                <w:rFonts w:ascii="Times New Roman" w:hAnsi="Times New Roman"/>
                <w:color w:val="auto"/>
                <w:sz w:val="24"/>
                <w:szCs w:val="24"/>
                <w:highlight w:val="none"/>
                <w:lang w:val="zh-CN" w:bidi="ar"/>
              </w:rPr>
              <w:t>分；</w:t>
            </w:r>
          </w:p>
          <w:p w14:paraId="7716CD66">
            <w:pPr>
              <w:topLinePunct/>
              <w:adjustRightInd w:val="0"/>
              <w:snapToGrid w:val="0"/>
              <w:spacing w:line="240" w:lineRule="auto"/>
              <w:rPr>
                <w:rFonts w:ascii="Times New Roman" w:hAnsi="Times New Roman"/>
                <w:color w:val="auto"/>
                <w:sz w:val="24"/>
                <w:szCs w:val="24"/>
                <w:highlight w:val="none"/>
                <w:lang w:val="zh-CN" w:bidi="ar"/>
              </w:rPr>
            </w:pPr>
            <w:r>
              <w:rPr>
                <w:rFonts w:ascii="Times New Roman" w:hAnsi="Times New Roman"/>
                <w:color w:val="auto"/>
                <w:sz w:val="24"/>
                <w:szCs w:val="24"/>
                <w:highlight w:val="none"/>
                <w:lang w:val="zh-CN" w:bidi="ar"/>
              </w:rPr>
              <w:t>（</w:t>
            </w:r>
            <w:r>
              <w:rPr>
                <w:rFonts w:hint="eastAsia" w:ascii="Times New Roman" w:hAnsi="Times New Roman"/>
                <w:color w:val="auto"/>
                <w:sz w:val="24"/>
                <w:szCs w:val="24"/>
                <w:highlight w:val="none"/>
                <w:lang w:val="en-US" w:eastAsia="zh-CN" w:bidi="ar"/>
              </w:rPr>
              <w:t>3</w:t>
            </w:r>
            <w:r>
              <w:rPr>
                <w:rFonts w:ascii="Times New Roman" w:hAnsi="Times New Roman"/>
                <w:color w:val="auto"/>
                <w:sz w:val="24"/>
                <w:szCs w:val="24"/>
                <w:highlight w:val="none"/>
                <w:lang w:val="zh-CN" w:bidi="ar"/>
              </w:rPr>
              <w:t>）</w:t>
            </w:r>
            <w:r>
              <w:rPr>
                <w:rFonts w:hint="eastAsia" w:ascii="Times New Roman" w:hAnsi="Times New Roman"/>
                <w:color w:val="auto"/>
                <w:sz w:val="24"/>
                <w:szCs w:val="24"/>
                <w:highlight w:val="none"/>
                <w:lang w:val="en-US" w:eastAsia="zh-CN" w:bidi="ar"/>
              </w:rPr>
              <w:t>理解</w:t>
            </w:r>
            <w:r>
              <w:rPr>
                <w:rFonts w:hint="eastAsia" w:ascii="Times New Roman" w:hAnsi="Times New Roman"/>
                <w:color w:val="auto"/>
                <w:sz w:val="24"/>
                <w:szCs w:val="24"/>
                <w:highlight w:val="none"/>
                <w:lang w:bidi="ar"/>
              </w:rPr>
              <w:t>不</w:t>
            </w:r>
            <w:r>
              <w:rPr>
                <w:rFonts w:ascii="Times New Roman" w:hAnsi="Times New Roman"/>
                <w:color w:val="auto"/>
                <w:sz w:val="24"/>
                <w:szCs w:val="24"/>
                <w:highlight w:val="none"/>
                <w:lang w:val="zh-CN" w:bidi="ar"/>
              </w:rPr>
              <w:t>全面、要点</w:t>
            </w:r>
            <w:r>
              <w:rPr>
                <w:rFonts w:hint="eastAsia" w:ascii="Times New Roman" w:hAnsi="Times New Roman"/>
                <w:color w:val="auto"/>
                <w:sz w:val="24"/>
                <w:szCs w:val="24"/>
                <w:highlight w:val="none"/>
                <w:lang w:bidi="ar"/>
              </w:rPr>
              <w:t>不</w:t>
            </w:r>
            <w:r>
              <w:rPr>
                <w:rFonts w:ascii="Times New Roman" w:hAnsi="Times New Roman"/>
                <w:color w:val="auto"/>
                <w:sz w:val="24"/>
                <w:szCs w:val="24"/>
                <w:highlight w:val="none"/>
                <w:lang w:val="zh-CN" w:bidi="ar"/>
              </w:rPr>
              <w:t>突出、针对性</w:t>
            </w:r>
            <w:r>
              <w:rPr>
                <w:rFonts w:hint="eastAsia" w:ascii="Times New Roman" w:hAnsi="Times New Roman"/>
                <w:color w:val="auto"/>
                <w:sz w:val="24"/>
                <w:szCs w:val="24"/>
                <w:highlight w:val="none"/>
                <w:lang w:bidi="ar"/>
              </w:rPr>
              <w:t>不强</w:t>
            </w:r>
            <w:r>
              <w:rPr>
                <w:rFonts w:ascii="Times New Roman" w:hAnsi="Times New Roman"/>
                <w:color w:val="auto"/>
                <w:sz w:val="24"/>
                <w:szCs w:val="24"/>
                <w:highlight w:val="none"/>
                <w:lang w:val="zh-CN" w:bidi="ar"/>
              </w:rPr>
              <w:t>，内容</w:t>
            </w:r>
            <w:r>
              <w:rPr>
                <w:rFonts w:hint="eastAsia" w:ascii="Times New Roman" w:hAnsi="Times New Roman"/>
                <w:color w:val="auto"/>
                <w:sz w:val="24"/>
                <w:szCs w:val="24"/>
                <w:highlight w:val="none"/>
                <w:lang w:bidi="ar"/>
              </w:rPr>
              <w:t>不完整</w:t>
            </w:r>
            <w:r>
              <w:rPr>
                <w:rFonts w:ascii="Times New Roman" w:hAnsi="Times New Roman"/>
                <w:color w:val="auto"/>
                <w:sz w:val="24"/>
                <w:szCs w:val="24"/>
                <w:highlight w:val="none"/>
                <w:lang w:val="zh-CN" w:bidi="ar"/>
              </w:rPr>
              <w:t>，表述</w:t>
            </w:r>
            <w:r>
              <w:rPr>
                <w:rFonts w:hint="eastAsia" w:ascii="Times New Roman" w:hAnsi="Times New Roman"/>
                <w:color w:val="auto"/>
                <w:sz w:val="24"/>
                <w:szCs w:val="24"/>
                <w:highlight w:val="none"/>
                <w:lang w:bidi="ar"/>
              </w:rPr>
              <w:t>不</w:t>
            </w:r>
            <w:r>
              <w:rPr>
                <w:rFonts w:ascii="Times New Roman" w:hAnsi="Times New Roman"/>
                <w:color w:val="auto"/>
                <w:sz w:val="24"/>
                <w:szCs w:val="24"/>
                <w:highlight w:val="none"/>
                <w:lang w:val="zh-CN" w:bidi="ar"/>
              </w:rPr>
              <w:t>清晰，与本项目实际需求</w:t>
            </w:r>
            <w:r>
              <w:rPr>
                <w:rFonts w:hint="eastAsia" w:ascii="Times New Roman" w:hAnsi="Times New Roman"/>
                <w:color w:val="auto"/>
                <w:sz w:val="24"/>
                <w:szCs w:val="24"/>
                <w:highlight w:val="none"/>
                <w:lang w:bidi="ar"/>
              </w:rPr>
              <w:t>不适应</w:t>
            </w:r>
            <w:r>
              <w:rPr>
                <w:rFonts w:ascii="Times New Roman" w:hAnsi="Times New Roman"/>
                <w:color w:val="auto"/>
                <w:sz w:val="24"/>
                <w:szCs w:val="24"/>
                <w:highlight w:val="none"/>
                <w:lang w:val="zh-CN" w:bidi="ar"/>
              </w:rPr>
              <w:t>，</w:t>
            </w:r>
            <w:r>
              <w:rPr>
                <w:rFonts w:hint="eastAsia" w:ascii="Times New Roman" w:hAnsi="Times New Roman"/>
                <w:color w:val="auto"/>
                <w:sz w:val="24"/>
                <w:szCs w:val="24"/>
                <w:highlight w:val="none"/>
                <w:lang w:bidi="ar"/>
              </w:rPr>
              <w:t>不</w:t>
            </w:r>
            <w:r>
              <w:rPr>
                <w:rFonts w:ascii="Times New Roman" w:hAnsi="Times New Roman"/>
                <w:color w:val="auto"/>
                <w:sz w:val="24"/>
                <w:szCs w:val="24"/>
                <w:highlight w:val="none"/>
                <w:lang w:val="zh-CN" w:bidi="ar"/>
              </w:rPr>
              <w:t>符合项目实施要求的得</w:t>
            </w:r>
            <w:r>
              <w:rPr>
                <w:rFonts w:hint="eastAsia" w:ascii="Times New Roman" w:hAnsi="Times New Roman"/>
                <w:color w:val="auto"/>
                <w:sz w:val="24"/>
                <w:szCs w:val="24"/>
                <w:highlight w:val="none"/>
                <w:lang w:val="en-US" w:eastAsia="zh-CN" w:bidi="ar"/>
              </w:rPr>
              <w:t>1</w:t>
            </w:r>
            <w:r>
              <w:rPr>
                <w:rFonts w:ascii="Times New Roman" w:hAnsi="Times New Roman"/>
                <w:color w:val="auto"/>
                <w:sz w:val="24"/>
                <w:szCs w:val="24"/>
                <w:highlight w:val="none"/>
                <w:lang w:val="zh-CN" w:bidi="ar"/>
              </w:rPr>
              <w:t>分；</w:t>
            </w:r>
          </w:p>
          <w:p w14:paraId="7CDD1092">
            <w:pPr>
              <w:topLinePunct/>
              <w:adjustRightInd w:val="0"/>
              <w:snapToGrid w:val="0"/>
              <w:spacing w:line="240" w:lineRule="auto"/>
              <w:rPr>
                <w:rFonts w:ascii="Times New Roman" w:hAnsi="Times New Roman"/>
                <w:color w:val="auto"/>
                <w:sz w:val="24"/>
                <w:szCs w:val="24"/>
                <w:highlight w:val="none"/>
                <w:lang w:val="zh-CN" w:bidi="ar"/>
              </w:rPr>
            </w:pPr>
            <w:r>
              <w:rPr>
                <w:rFonts w:ascii="Times New Roman" w:hAnsi="Times New Roman"/>
                <w:color w:val="auto"/>
                <w:sz w:val="24"/>
                <w:szCs w:val="24"/>
                <w:highlight w:val="none"/>
                <w:lang w:val="zh-CN" w:bidi="ar"/>
              </w:rPr>
              <w:t>（</w:t>
            </w:r>
            <w:r>
              <w:rPr>
                <w:rFonts w:hint="eastAsia" w:ascii="Times New Roman" w:hAnsi="Times New Roman"/>
                <w:color w:val="auto"/>
                <w:sz w:val="24"/>
                <w:szCs w:val="24"/>
                <w:highlight w:val="none"/>
                <w:lang w:bidi="ar"/>
              </w:rPr>
              <w:t>4</w:t>
            </w:r>
            <w:r>
              <w:rPr>
                <w:rFonts w:ascii="Times New Roman" w:hAnsi="Times New Roman"/>
                <w:color w:val="auto"/>
                <w:sz w:val="24"/>
                <w:szCs w:val="24"/>
                <w:highlight w:val="none"/>
                <w:lang w:val="zh-CN" w:bidi="ar"/>
              </w:rPr>
              <w:t>）未提供的不得分。</w:t>
            </w:r>
          </w:p>
        </w:tc>
        <w:tc>
          <w:tcPr>
            <w:tcW w:w="685" w:type="dxa"/>
            <w:tcBorders>
              <w:top w:val="single" w:color="auto" w:sz="4" w:space="0"/>
              <w:left w:val="single" w:color="auto" w:sz="4" w:space="0"/>
              <w:bottom w:val="single" w:color="auto" w:sz="4" w:space="0"/>
              <w:right w:val="single" w:color="auto" w:sz="4" w:space="0"/>
            </w:tcBorders>
            <w:vAlign w:val="center"/>
          </w:tcPr>
          <w:p w14:paraId="209FAFCF">
            <w:pPr>
              <w:spacing w:line="240" w:lineRule="auto"/>
              <w:jc w:val="center"/>
              <w:rPr>
                <w:rFonts w:hint="eastAsia" w:asciiTheme="minorEastAsia" w:hAnsiTheme="minorEastAsia" w:eastAsiaTheme="minorEastAsia"/>
                <w:b w:val="0"/>
                <w:bCs/>
                <w:color w:val="auto"/>
                <w:sz w:val="24"/>
                <w:szCs w:val="24"/>
                <w:highlight w:val="none"/>
                <w:lang w:val="en-US" w:eastAsia="zh-CN"/>
              </w:rPr>
            </w:pPr>
            <w:r>
              <w:rPr>
                <w:rFonts w:hint="eastAsia" w:asciiTheme="minorEastAsia" w:hAnsiTheme="minorEastAsia" w:eastAsiaTheme="minorEastAsia"/>
                <w:b w:val="0"/>
                <w:bCs/>
                <w:color w:val="auto"/>
                <w:sz w:val="24"/>
                <w:szCs w:val="24"/>
                <w:highlight w:val="none"/>
                <w:lang w:val="en-US" w:eastAsia="zh-CN"/>
              </w:rPr>
              <w:t>3分</w:t>
            </w:r>
          </w:p>
        </w:tc>
      </w:tr>
      <w:tr w14:paraId="0A57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2" w:type="dxa"/>
            <w:tcBorders>
              <w:left w:val="single" w:color="auto" w:sz="4" w:space="0"/>
              <w:bottom w:val="single" w:color="auto" w:sz="4" w:space="0"/>
              <w:right w:val="single" w:color="auto" w:sz="4" w:space="0"/>
            </w:tcBorders>
            <w:vAlign w:val="center"/>
          </w:tcPr>
          <w:p w14:paraId="52270A37">
            <w:pPr>
              <w:spacing w:line="240" w:lineRule="auto"/>
              <w:jc w:val="center"/>
              <w:rPr>
                <w:rStyle w:val="272"/>
                <w:rFonts w:hint="eastAsia" w:ascii="Times New Roman" w:hAnsi="Times New Roman" w:cs="Times New Roman"/>
                <w:b/>
                <w:bCs/>
                <w:color w:val="auto"/>
                <w:sz w:val="24"/>
                <w:szCs w:val="24"/>
                <w:highlight w:val="none"/>
                <w:lang w:val="en-US" w:eastAsia="zh-CN"/>
              </w:rPr>
            </w:pPr>
            <w:r>
              <w:rPr>
                <w:rStyle w:val="272"/>
                <w:rFonts w:hint="eastAsia" w:ascii="Times New Roman" w:hAnsi="Times New Roman" w:cs="Times New Roman"/>
                <w:b/>
                <w:bCs/>
                <w:color w:val="auto"/>
                <w:sz w:val="24"/>
                <w:szCs w:val="24"/>
                <w:highlight w:val="none"/>
                <w:lang w:val="en-US" w:eastAsia="zh-CN"/>
              </w:rPr>
              <w:t>设备质保</w:t>
            </w:r>
          </w:p>
        </w:tc>
        <w:tc>
          <w:tcPr>
            <w:tcW w:w="7571" w:type="dxa"/>
            <w:tcBorders>
              <w:top w:val="single" w:color="auto" w:sz="4" w:space="0"/>
              <w:left w:val="single" w:color="auto" w:sz="4" w:space="0"/>
              <w:bottom w:val="single" w:color="auto" w:sz="4" w:space="0"/>
              <w:right w:val="single" w:color="auto" w:sz="4" w:space="0"/>
            </w:tcBorders>
            <w:vAlign w:val="center"/>
          </w:tcPr>
          <w:p w14:paraId="707A9411">
            <w:pPr>
              <w:topLinePunct/>
              <w:adjustRightInd w:val="0"/>
              <w:snapToGrid w:val="0"/>
              <w:spacing w:line="240" w:lineRule="auto"/>
              <w:rPr>
                <w:rFonts w:hint="eastAsia" w:ascii="Times New Roman" w:hAnsi="Times New Roman"/>
                <w:color w:val="auto"/>
                <w:sz w:val="24"/>
                <w:szCs w:val="24"/>
                <w:highlight w:val="none"/>
                <w:lang w:val="en-US" w:eastAsia="zh-CN" w:bidi="ar"/>
              </w:rPr>
            </w:pPr>
            <w:r>
              <w:rPr>
                <w:rFonts w:hint="eastAsia" w:ascii="Times New Roman" w:hAnsi="Times New Roman"/>
                <w:color w:val="auto"/>
                <w:sz w:val="24"/>
                <w:szCs w:val="24"/>
                <w:highlight w:val="none"/>
                <w:lang w:val="en-US" w:eastAsia="zh-CN" w:bidi="ar"/>
              </w:rPr>
              <w:t>工程量清单（设备说明）中要求提供质保的设备，在满足采购人质保一年的基础上，每多增加一年质保得1分，最多得2分。</w:t>
            </w:r>
          </w:p>
          <w:p w14:paraId="22AC197D">
            <w:pPr>
              <w:topLinePunct/>
              <w:adjustRightInd w:val="0"/>
              <w:snapToGrid w:val="0"/>
              <w:spacing w:line="240" w:lineRule="auto"/>
              <w:rPr>
                <w:rFonts w:hint="eastAsia"/>
                <w:color w:val="auto"/>
                <w:sz w:val="24"/>
                <w:szCs w:val="24"/>
                <w:highlight w:val="none"/>
                <w:lang w:val="en-US" w:eastAsia="zh-CN"/>
              </w:rPr>
            </w:pPr>
            <w:r>
              <w:rPr>
                <w:rFonts w:hint="eastAsia" w:ascii="Times New Roman" w:hAnsi="Times New Roman"/>
                <w:color w:val="auto"/>
                <w:sz w:val="24"/>
                <w:szCs w:val="24"/>
                <w:highlight w:val="none"/>
                <w:lang w:val="en-US" w:eastAsia="zh-CN" w:bidi="ar"/>
              </w:rPr>
              <w:t>注：响应文件中须提供承诺函。</w:t>
            </w:r>
          </w:p>
        </w:tc>
        <w:tc>
          <w:tcPr>
            <w:tcW w:w="685" w:type="dxa"/>
            <w:tcBorders>
              <w:top w:val="single" w:color="auto" w:sz="4" w:space="0"/>
              <w:left w:val="single" w:color="auto" w:sz="4" w:space="0"/>
              <w:bottom w:val="single" w:color="auto" w:sz="4" w:space="0"/>
              <w:right w:val="single" w:color="auto" w:sz="4" w:space="0"/>
            </w:tcBorders>
            <w:vAlign w:val="center"/>
          </w:tcPr>
          <w:p w14:paraId="17749DB2">
            <w:pPr>
              <w:spacing w:line="240" w:lineRule="auto"/>
              <w:jc w:val="center"/>
              <w:rPr>
                <w:rFonts w:hint="eastAsia" w:asciiTheme="minorEastAsia" w:hAnsiTheme="minorEastAsia" w:eastAsiaTheme="minorEastAsia"/>
                <w:b w:val="0"/>
                <w:bCs/>
                <w:color w:val="auto"/>
                <w:sz w:val="24"/>
                <w:szCs w:val="24"/>
                <w:highlight w:val="none"/>
                <w:lang w:val="en-US" w:eastAsia="zh-CN"/>
              </w:rPr>
            </w:pPr>
            <w:r>
              <w:rPr>
                <w:rFonts w:hint="eastAsia" w:asciiTheme="minorEastAsia" w:hAnsiTheme="minorEastAsia" w:eastAsiaTheme="minorEastAsia"/>
                <w:b w:val="0"/>
                <w:bCs/>
                <w:color w:val="auto"/>
                <w:sz w:val="24"/>
                <w:szCs w:val="24"/>
                <w:highlight w:val="none"/>
                <w:lang w:val="en-US" w:eastAsia="zh-CN"/>
              </w:rPr>
              <w:t>2分</w:t>
            </w:r>
          </w:p>
        </w:tc>
      </w:tr>
      <w:tr w14:paraId="169D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2" w:type="dxa"/>
            <w:tcBorders>
              <w:top w:val="single" w:color="auto" w:sz="4" w:space="0"/>
              <w:left w:val="single" w:color="auto" w:sz="4" w:space="0"/>
              <w:bottom w:val="single" w:color="auto" w:sz="4" w:space="0"/>
              <w:right w:val="single" w:color="auto" w:sz="4" w:space="0"/>
            </w:tcBorders>
            <w:vAlign w:val="center"/>
          </w:tcPr>
          <w:p w14:paraId="6535B7E3">
            <w:pPr>
              <w:spacing w:line="240" w:lineRule="auto"/>
              <w:jc w:val="both"/>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价格分（</w:t>
            </w:r>
            <w:r>
              <w:rPr>
                <w:rFonts w:hint="eastAsia" w:asciiTheme="minorEastAsia" w:hAnsiTheme="minorEastAsia" w:eastAsiaTheme="minorEastAsia"/>
                <w:b/>
                <w:bCs/>
                <w:color w:val="auto"/>
                <w:sz w:val="24"/>
                <w:szCs w:val="24"/>
                <w:highlight w:val="none"/>
                <w:u w:val="single"/>
                <w:lang w:val="en-US" w:eastAsia="zh-CN"/>
              </w:rPr>
              <w:t>20</w:t>
            </w:r>
            <w:r>
              <w:rPr>
                <w:rFonts w:hint="eastAsia" w:asciiTheme="minorEastAsia" w:hAnsiTheme="minorEastAsia" w:eastAsiaTheme="minorEastAsia"/>
                <w:b/>
                <w:bCs/>
                <w:color w:val="auto"/>
                <w:sz w:val="24"/>
                <w:szCs w:val="24"/>
                <w:highlight w:val="none"/>
              </w:rPr>
              <w:t>分）</w:t>
            </w:r>
          </w:p>
        </w:tc>
        <w:tc>
          <w:tcPr>
            <w:tcW w:w="8256" w:type="dxa"/>
            <w:gridSpan w:val="2"/>
            <w:tcBorders>
              <w:top w:val="single" w:color="auto" w:sz="4" w:space="0"/>
              <w:left w:val="single" w:color="auto" w:sz="4" w:space="0"/>
              <w:bottom w:val="single" w:color="auto" w:sz="4" w:space="0"/>
              <w:right w:val="single" w:color="auto" w:sz="4" w:space="0"/>
            </w:tcBorders>
            <w:vAlign w:val="center"/>
          </w:tcPr>
          <w:p w14:paraId="106A4A99">
            <w:pPr>
              <w:spacing w:line="240" w:lineRule="auto"/>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b/>
                <w:bCs/>
                <w:color w:val="auto"/>
                <w:sz w:val="24"/>
                <w:szCs w:val="24"/>
                <w:highlight w:val="none"/>
                <w:u w:val="single"/>
                <w:lang w:val="en-US" w:eastAsia="zh-CN"/>
              </w:rPr>
              <w:t>20</w:t>
            </w:r>
            <w:r>
              <w:rPr>
                <w:rFonts w:hint="eastAsia" w:asciiTheme="minorEastAsia" w:hAnsiTheme="minorEastAsia" w:eastAsiaTheme="minorEastAsia"/>
                <w:b/>
                <w:bCs/>
                <w:color w:val="auto"/>
                <w:sz w:val="24"/>
                <w:szCs w:val="24"/>
                <w:highlight w:val="none"/>
              </w:rPr>
              <w:t>分。其他供应商的价格分统一按照下列公式计算：</w:t>
            </w:r>
          </w:p>
          <w:p w14:paraId="4285D0A2">
            <w:pPr>
              <w:spacing w:line="240" w:lineRule="auto"/>
              <w:rPr>
                <w:rFonts w:hint="eastAsia" w:asciiTheme="minorEastAsia" w:hAnsiTheme="minorEastAsia" w:eastAsiaTheme="minorEastAsia"/>
                <w:b/>
                <w:bCs/>
                <w:color w:val="auto"/>
                <w:sz w:val="24"/>
                <w:szCs w:val="24"/>
                <w:highlight w:val="none"/>
                <w:lang w:eastAsia="zh-CN"/>
              </w:rPr>
            </w:pPr>
            <w:r>
              <w:rPr>
                <w:rFonts w:hint="eastAsia" w:asciiTheme="minorEastAsia" w:hAnsiTheme="minorEastAsia" w:eastAsiaTheme="minorEastAsia"/>
                <w:b/>
                <w:bCs/>
                <w:color w:val="auto"/>
                <w:sz w:val="24"/>
                <w:szCs w:val="24"/>
                <w:highlight w:val="none"/>
              </w:rPr>
              <w:t>磋商报价得分＝（磋商基准价/</w:t>
            </w:r>
            <w:r>
              <w:rPr>
                <w:rFonts w:hint="eastAsia"/>
                <w:b/>
                <w:bCs/>
                <w:color w:val="auto"/>
                <w:sz w:val="24"/>
                <w:szCs w:val="24"/>
                <w:highlight w:val="none"/>
              </w:rPr>
              <w:t>最后磋商</w:t>
            </w:r>
            <w:r>
              <w:rPr>
                <w:rFonts w:hint="eastAsia" w:asciiTheme="minorEastAsia" w:hAnsiTheme="minorEastAsia" w:eastAsiaTheme="minorEastAsia"/>
                <w:b/>
                <w:bCs/>
                <w:color w:val="auto"/>
                <w:sz w:val="24"/>
                <w:szCs w:val="24"/>
                <w:highlight w:val="none"/>
              </w:rPr>
              <w:t>报价）×</w:t>
            </w:r>
            <w:r>
              <w:rPr>
                <w:rFonts w:hint="eastAsia" w:asciiTheme="minorEastAsia" w:hAnsiTheme="minorEastAsia" w:eastAsiaTheme="minorEastAsia"/>
                <w:b/>
                <w:bCs/>
                <w:color w:val="auto"/>
                <w:sz w:val="24"/>
                <w:szCs w:val="24"/>
                <w:highlight w:val="none"/>
                <w:u w:val="single"/>
                <w:lang w:val="en-US" w:eastAsia="zh-CN"/>
              </w:rPr>
              <w:t>20</w:t>
            </w:r>
            <w:r>
              <w:rPr>
                <w:rFonts w:hint="eastAsia" w:asciiTheme="minorEastAsia" w:hAnsiTheme="minorEastAsia" w:eastAsiaTheme="minorEastAsia"/>
                <w:b/>
                <w:bCs/>
                <w:color w:val="auto"/>
                <w:sz w:val="24"/>
                <w:szCs w:val="24"/>
                <w:highlight w:val="none"/>
              </w:rPr>
              <w:t>％×100</w:t>
            </w:r>
            <w:r>
              <w:rPr>
                <w:rFonts w:hint="eastAsia" w:asciiTheme="minorEastAsia" w:hAnsiTheme="minorEastAsia" w:eastAsiaTheme="minorEastAsia"/>
                <w:b/>
                <w:bCs/>
                <w:color w:val="auto"/>
                <w:sz w:val="24"/>
                <w:szCs w:val="24"/>
                <w:highlight w:val="none"/>
              </w:rPr>
              <w:br w:type="textWrapping"/>
            </w:r>
            <w:r>
              <w:rPr>
                <w:rFonts w:hint="eastAsia" w:cs="宋体" w:asciiTheme="minorEastAsia" w:hAnsiTheme="minorEastAsia" w:eastAsiaTheme="minorEastAsia"/>
                <w:i/>
                <w:iCs/>
                <w:color w:val="auto"/>
                <w:sz w:val="24"/>
                <w:szCs w:val="24"/>
                <w:highlight w:val="none"/>
                <w:lang w:val="en-US" w:eastAsia="zh-CN"/>
              </w:rPr>
              <w:t>注：</w:t>
            </w:r>
            <w:r>
              <w:rPr>
                <w:rFonts w:hint="eastAsia" w:cs="宋体" w:asciiTheme="minorEastAsia" w:hAnsiTheme="minorEastAsia" w:eastAsiaTheme="minorEastAsia"/>
                <w:i/>
                <w:iCs/>
                <w:color w:val="auto"/>
                <w:sz w:val="24"/>
                <w:szCs w:val="24"/>
                <w:highlight w:val="none"/>
              </w:rPr>
              <w:t>计算结果保留至小数点后两位数，第三位四舍五入</w:t>
            </w:r>
            <w:r>
              <w:rPr>
                <w:rFonts w:hint="eastAsia" w:cs="宋体" w:asciiTheme="minorEastAsia" w:hAnsiTheme="minorEastAsia" w:eastAsiaTheme="minorEastAsia"/>
                <w:i/>
                <w:iCs/>
                <w:color w:val="auto"/>
                <w:sz w:val="24"/>
                <w:szCs w:val="24"/>
                <w:highlight w:val="none"/>
                <w:lang w:eastAsia="zh-CN"/>
              </w:rPr>
              <w:t>。</w:t>
            </w:r>
          </w:p>
        </w:tc>
      </w:tr>
    </w:tbl>
    <w:p w14:paraId="1743D3C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64644A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59D8960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4CBE4DE2">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F0F6FE2">
      <w:pPr>
        <w:spacing w:line="360" w:lineRule="auto"/>
        <w:jc w:val="center"/>
        <w:outlineLvl w:val="0"/>
        <w:rPr>
          <w:rFonts w:asciiTheme="minorEastAsia" w:hAnsiTheme="minorEastAsia" w:eastAsiaTheme="minorEastAsia"/>
          <w:b/>
          <w:color w:val="auto"/>
          <w:sz w:val="28"/>
          <w:highlight w:val="none"/>
        </w:rPr>
      </w:pPr>
      <w:bookmarkStart w:id="46" w:name="_Toc31277"/>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6"/>
    </w:p>
    <w:p w14:paraId="47C03B2B">
      <w:pPr>
        <w:keepNext/>
        <w:keepLines/>
        <w:snapToGrid w:val="0"/>
        <w:spacing w:before="312" w:beforeLines="100" w:after="312" w:afterLines="100" w:line="360" w:lineRule="auto"/>
        <w:jc w:val="center"/>
        <w:outlineLvl w:val="1"/>
        <w:rPr>
          <w:rFonts w:cs="宋体"/>
          <w:b/>
          <w:bCs/>
          <w:color w:val="auto"/>
          <w:sz w:val="24"/>
          <w:szCs w:val="24"/>
          <w:highlight w:val="none"/>
        </w:rPr>
      </w:pPr>
      <w:bookmarkStart w:id="47" w:name="_Toc9907"/>
      <w:bookmarkStart w:id="48" w:name="_Toc130919120"/>
      <w:bookmarkStart w:id="49" w:name="_Toc28799376"/>
      <w:r>
        <w:rPr>
          <w:rFonts w:hint="eastAsia" w:cs="宋体"/>
          <w:b/>
          <w:bCs/>
          <w:color w:val="auto"/>
          <w:sz w:val="24"/>
          <w:szCs w:val="24"/>
          <w:highlight w:val="none"/>
        </w:rPr>
        <w:t>第一节  合同协议书</w:t>
      </w:r>
      <w:bookmarkEnd w:id="47"/>
      <w:bookmarkEnd w:id="48"/>
      <w:bookmarkEnd w:id="49"/>
    </w:p>
    <w:p w14:paraId="23410154">
      <w:pPr>
        <w:spacing w:line="360" w:lineRule="auto"/>
        <w:rPr>
          <w:rFonts w:cs="宋体"/>
          <w:b/>
          <w:bCs/>
          <w:color w:val="auto"/>
          <w:sz w:val="24"/>
          <w:szCs w:val="24"/>
          <w:highlight w:val="none"/>
          <w:u w:val="single"/>
        </w:rPr>
      </w:pPr>
      <w:r>
        <w:rPr>
          <w:rFonts w:hint="eastAsia" w:cs="宋体"/>
          <w:b/>
          <w:color w:val="auto"/>
          <w:sz w:val="24"/>
          <w:szCs w:val="24"/>
          <w:highlight w:val="none"/>
        </w:rPr>
        <w:t>发包人（全称）：</w:t>
      </w:r>
      <w:r>
        <w:rPr>
          <w:rFonts w:hint="eastAsia" w:ascii="宋体" w:hAnsi="宋体"/>
          <w:b/>
          <w:bCs/>
          <w:color w:val="auto"/>
          <w:sz w:val="24"/>
          <w:szCs w:val="24"/>
          <w:highlight w:val="none"/>
          <w:u w:val="single"/>
          <w:lang w:eastAsia="zh-CN"/>
        </w:rPr>
        <w:t>安徽省淮河河道管理局</w:t>
      </w:r>
      <w:r>
        <w:rPr>
          <w:rFonts w:hint="eastAsia" w:ascii="宋体" w:hAnsi="宋体"/>
          <w:b/>
          <w:bCs/>
          <w:color w:val="auto"/>
          <w:sz w:val="24"/>
          <w:szCs w:val="24"/>
          <w:highlight w:val="none"/>
          <w:u w:val="single"/>
        </w:rPr>
        <w:t xml:space="preserve"> </w:t>
      </w:r>
    </w:p>
    <w:p w14:paraId="0097B4DA">
      <w:pPr>
        <w:spacing w:line="360" w:lineRule="auto"/>
        <w:rPr>
          <w:rFonts w:hint="default" w:ascii="Times New Roman" w:hAnsi="Times New Roman" w:eastAsia="宋体" w:cs="Times New Roman"/>
          <w:b/>
          <w:color w:val="auto"/>
          <w:kern w:val="2"/>
          <w:sz w:val="24"/>
          <w:szCs w:val="24"/>
          <w:highlight w:val="none"/>
          <w:u w:val="single"/>
          <w:lang w:val="en-US" w:eastAsia="zh-CN"/>
        </w:rPr>
      </w:pPr>
      <w:r>
        <w:rPr>
          <w:rFonts w:hint="eastAsia" w:cs="宋体"/>
          <w:b/>
          <w:color w:val="auto"/>
          <w:sz w:val="24"/>
          <w:szCs w:val="24"/>
          <w:highlight w:val="none"/>
        </w:rPr>
        <w:t>承包人（全称）：</w:t>
      </w:r>
      <w:r>
        <w:rPr>
          <w:rFonts w:hint="eastAsia" w:cs="宋体"/>
          <w:b/>
          <w:color w:val="auto"/>
          <w:sz w:val="24"/>
          <w:szCs w:val="24"/>
          <w:highlight w:val="none"/>
          <w:u w:val="single"/>
        </w:rPr>
        <w:t></w:t>
      </w:r>
      <w:r>
        <w:rPr>
          <w:rFonts w:hint="eastAsia" w:cs="宋体"/>
          <w:b/>
          <w:color w:val="auto"/>
          <w:sz w:val="24"/>
          <w:szCs w:val="24"/>
          <w:highlight w:val="none"/>
          <w:u w:val="single"/>
          <w:lang w:val="en-US" w:eastAsia="zh-CN"/>
        </w:rPr>
        <w:t xml:space="preserve">           </w:t>
      </w:r>
    </w:p>
    <w:p w14:paraId="4FB350A3">
      <w:pPr>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根据《中华人民共和国民法典》《中华人民共和国建筑法》及有关法律规定，遵循平等、自愿、公平和诚实信用的原则，双方就</w:t>
      </w:r>
      <w:r>
        <w:rPr>
          <w:rFonts w:hint="eastAsia" w:cs="宋体"/>
          <w:b/>
          <w:bCs/>
          <w:color w:val="auto"/>
          <w:sz w:val="24"/>
          <w:szCs w:val="24"/>
          <w:highlight w:val="none"/>
          <w:u w:val="single"/>
          <w:lang w:eastAsia="zh-CN"/>
        </w:rPr>
        <w:t>水闸自动化系统汛前维修项目第2包</w:t>
      </w:r>
      <w:r>
        <w:rPr>
          <w:rFonts w:hint="eastAsia" w:cs="宋体"/>
          <w:color w:val="auto"/>
          <w:sz w:val="24"/>
          <w:szCs w:val="24"/>
          <w:highlight w:val="none"/>
        </w:rPr>
        <w:t>工程施工及有关事项协商一致，共同达成如下协议：</w:t>
      </w:r>
    </w:p>
    <w:p w14:paraId="1E7C10DE">
      <w:pPr>
        <w:snapToGrid w:val="0"/>
        <w:spacing w:line="360" w:lineRule="auto"/>
        <w:ind w:firstLine="482" w:firstLineChars="200"/>
        <w:rPr>
          <w:rFonts w:cs="宋体"/>
          <w:color w:val="auto"/>
          <w:sz w:val="24"/>
          <w:szCs w:val="24"/>
          <w:highlight w:val="none"/>
        </w:rPr>
      </w:pPr>
      <w:r>
        <w:rPr>
          <w:rFonts w:hint="eastAsia" w:cs="宋体"/>
          <w:b/>
          <w:color w:val="auto"/>
          <w:sz w:val="24"/>
          <w:szCs w:val="24"/>
          <w:highlight w:val="none"/>
        </w:rPr>
        <w:t>一、工程概况</w:t>
      </w:r>
    </w:p>
    <w:p w14:paraId="36D8ABD9">
      <w:pPr>
        <w:snapToGrid w:val="0"/>
        <w:spacing w:line="360" w:lineRule="auto"/>
        <w:ind w:firstLine="470" w:firstLineChars="196"/>
        <w:rPr>
          <w:rFonts w:hint="eastAsia" w:cs="宋体"/>
          <w:bCs/>
          <w:color w:val="auto"/>
          <w:sz w:val="24"/>
          <w:szCs w:val="24"/>
          <w:highlight w:val="none"/>
          <w:u w:val="none"/>
          <w:lang w:val="en-US" w:eastAsia="zh-CN"/>
        </w:rPr>
      </w:pPr>
      <w:r>
        <w:rPr>
          <w:rFonts w:hint="eastAsia" w:cs="宋体"/>
          <w:bCs/>
          <w:color w:val="auto"/>
          <w:sz w:val="24"/>
          <w:szCs w:val="24"/>
          <w:highlight w:val="none"/>
        </w:rPr>
        <w:t>1. 工程名称</w:t>
      </w:r>
      <w:r>
        <w:rPr>
          <w:rFonts w:hint="eastAsia" w:cs="宋体"/>
          <w:color w:val="auto"/>
          <w:sz w:val="24"/>
          <w:szCs w:val="24"/>
          <w:highlight w:val="none"/>
        </w:rPr>
        <w:t>：</w:t>
      </w:r>
      <w:r>
        <w:rPr>
          <w:rFonts w:hint="eastAsia" w:cs="宋体"/>
          <w:bCs/>
          <w:color w:val="auto"/>
          <w:sz w:val="24"/>
          <w:szCs w:val="24"/>
          <w:highlight w:val="none"/>
          <w:u w:val="single"/>
          <w:lang w:val="en-US" w:eastAsia="zh-CN"/>
        </w:rPr>
        <w:t>水闸自动化系统汛前维修项目第2包</w:t>
      </w:r>
      <w:r>
        <w:rPr>
          <w:rFonts w:hint="eastAsia" w:cs="宋体"/>
          <w:bCs/>
          <w:color w:val="auto"/>
          <w:sz w:val="24"/>
          <w:szCs w:val="24"/>
          <w:highlight w:val="none"/>
          <w:u w:val="none"/>
          <w:lang w:val="en-US" w:eastAsia="zh-CN"/>
        </w:rPr>
        <w:t>。</w:t>
      </w:r>
    </w:p>
    <w:p w14:paraId="7DC1C5C8">
      <w:pPr>
        <w:snapToGrid w:val="0"/>
        <w:spacing w:line="360" w:lineRule="auto"/>
        <w:ind w:firstLine="470" w:firstLineChars="196"/>
        <w:rPr>
          <w:rFonts w:cs="宋体"/>
          <w:bCs/>
          <w:color w:val="auto"/>
          <w:sz w:val="24"/>
          <w:szCs w:val="24"/>
          <w:highlight w:val="none"/>
        </w:rPr>
      </w:pPr>
      <w:r>
        <w:rPr>
          <w:rFonts w:hint="eastAsia" w:cs="宋体"/>
          <w:bCs/>
          <w:color w:val="auto"/>
          <w:sz w:val="24"/>
          <w:szCs w:val="24"/>
          <w:highlight w:val="none"/>
        </w:rPr>
        <w:t>2. 工程地点：</w:t>
      </w:r>
      <w:r>
        <w:rPr>
          <w:rFonts w:hint="eastAsia" w:cs="宋体"/>
          <w:bCs/>
          <w:color w:val="auto"/>
          <w:sz w:val="24"/>
          <w:szCs w:val="24"/>
          <w:highlight w:val="none"/>
          <w:u w:val="single"/>
          <w:lang w:val="en-US" w:eastAsia="zh-CN"/>
        </w:rPr>
        <w:t>采购人指定地点</w:t>
      </w:r>
      <w:r>
        <w:rPr>
          <w:rFonts w:hint="eastAsia" w:cs="宋体"/>
          <w:bCs/>
          <w:color w:val="auto"/>
          <w:sz w:val="24"/>
          <w:szCs w:val="24"/>
          <w:highlight w:val="none"/>
          <w:u w:val="single"/>
        </w:rPr>
        <w:t>。</w:t>
      </w:r>
    </w:p>
    <w:p w14:paraId="44A08ADB">
      <w:pPr>
        <w:snapToGrid w:val="0"/>
        <w:spacing w:line="360" w:lineRule="auto"/>
        <w:ind w:firstLine="470" w:firstLineChars="196"/>
        <w:rPr>
          <w:rFonts w:cs="宋体"/>
          <w:bCs/>
          <w:color w:val="auto"/>
          <w:sz w:val="24"/>
          <w:szCs w:val="24"/>
          <w:highlight w:val="none"/>
        </w:rPr>
      </w:pPr>
      <w:r>
        <w:rPr>
          <w:rFonts w:hint="eastAsia" w:cs="宋体"/>
          <w:bCs/>
          <w:color w:val="auto"/>
          <w:sz w:val="24"/>
          <w:szCs w:val="24"/>
          <w:highlight w:val="none"/>
        </w:rPr>
        <w:t>3. 工程立项批准文号：</w:t>
      </w:r>
      <w:r>
        <w:rPr>
          <w:rFonts w:hint="eastAsia" w:cs="宋体"/>
          <w:color w:val="auto"/>
          <w:sz w:val="24"/>
          <w:szCs w:val="24"/>
          <w:highlight w:val="none"/>
          <w:u w:val="single"/>
          <w:lang w:val="en-US" w:eastAsia="zh-CN"/>
        </w:rPr>
        <w:t>/</w:t>
      </w:r>
      <w:r>
        <w:rPr>
          <w:rFonts w:hint="eastAsia" w:cs="宋体"/>
          <w:bCs/>
          <w:color w:val="auto"/>
          <w:sz w:val="24"/>
          <w:szCs w:val="24"/>
          <w:highlight w:val="none"/>
        </w:rPr>
        <w:t>。</w:t>
      </w:r>
    </w:p>
    <w:p w14:paraId="326D6218">
      <w:pPr>
        <w:snapToGrid w:val="0"/>
        <w:spacing w:line="360" w:lineRule="auto"/>
        <w:ind w:firstLine="470" w:firstLineChars="196"/>
        <w:rPr>
          <w:rFonts w:hint="eastAsia" w:cs="宋体"/>
          <w:bCs/>
          <w:color w:val="auto"/>
          <w:sz w:val="24"/>
          <w:szCs w:val="24"/>
          <w:highlight w:val="none"/>
        </w:rPr>
      </w:pPr>
      <w:r>
        <w:rPr>
          <w:rFonts w:hint="eastAsia" w:cs="宋体"/>
          <w:bCs/>
          <w:color w:val="auto"/>
          <w:sz w:val="24"/>
          <w:szCs w:val="24"/>
          <w:highlight w:val="none"/>
        </w:rPr>
        <w:t>4. 资金来源：</w:t>
      </w:r>
      <w:r>
        <w:rPr>
          <w:rFonts w:hint="eastAsia" w:cs="宋体"/>
          <w:bCs/>
          <w:color w:val="auto"/>
          <w:sz w:val="24"/>
          <w:szCs w:val="24"/>
          <w:highlight w:val="none"/>
          <w:u w:val="single"/>
          <w:lang w:val="en-US" w:eastAsia="zh-CN"/>
        </w:rPr>
        <w:t>财政资金</w:t>
      </w:r>
      <w:r>
        <w:rPr>
          <w:rFonts w:hint="eastAsia" w:cs="宋体"/>
          <w:bCs/>
          <w:color w:val="auto"/>
          <w:sz w:val="24"/>
          <w:szCs w:val="24"/>
          <w:highlight w:val="none"/>
        </w:rPr>
        <w:t>。</w:t>
      </w:r>
    </w:p>
    <w:p w14:paraId="7B0B7DBB">
      <w:pPr>
        <w:snapToGrid w:val="0"/>
        <w:spacing w:line="360" w:lineRule="auto"/>
        <w:ind w:firstLine="470" w:firstLineChars="196"/>
        <w:rPr>
          <w:rFonts w:hint="eastAsia" w:cs="宋体"/>
          <w:bCs/>
          <w:color w:val="auto"/>
          <w:sz w:val="24"/>
          <w:szCs w:val="24"/>
          <w:highlight w:val="none"/>
          <w:u w:val="single"/>
          <w:lang w:eastAsia="zh-CN"/>
        </w:rPr>
      </w:pPr>
      <w:r>
        <w:rPr>
          <w:rFonts w:hint="eastAsia" w:cs="宋体"/>
          <w:bCs/>
          <w:color w:val="auto"/>
          <w:sz w:val="24"/>
          <w:szCs w:val="24"/>
          <w:highlight w:val="none"/>
        </w:rPr>
        <w:t>5. 工程内容：</w:t>
      </w:r>
      <w:r>
        <w:rPr>
          <w:rFonts w:hint="eastAsia" w:cs="宋体"/>
          <w:b/>
          <w:color w:val="auto"/>
          <w:sz w:val="24"/>
          <w:szCs w:val="24"/>
          <w:highlight w:val="none"/>
          <w:u w:val="single"/>
        </w:rPr>
        <w:t></w:t>
      </w:r>
      <w:r>
        <w:rPr>
          <w:rFonts w:hint="eastAsia" w:cs="宋体"/>
          <w:b/>
          <w:color w:val="auto"/>
          <w:sz w:val="24"/>
          <w:szCs w:val="24"/>
          <w:highlight w:val="none"/>
          <w:u w:val="single"/>
          <w:lang w:val="en-US" w:eastAsia="zh-CN"/>
        </w:rPr>
        <w:t xml:space="preserve">           </w:t>
      </w:r>
      <w:r>
        <w:rPr>
          <w:rFonts w:hint="eastAsia" w:cs="宋体"/>
          <w:bCs/>
          <w:color w:val="auto"/>
          <w:sz w:val="24"/>
          <w:szCs w:val="24"/>
          <w:highlight w:val="none"/>
          <w:u w:val="single"/>
          <w:lang w:eastAsia="zh-CN"/>
        </w:rPr>
        <w:t>。</w:t>
      </w:r>
    </w:p>
    <w:p w14:paraId="54772D49">
      <w:pPr>
        <w:snapToGrid w:val="0"/>
        <w:spacing w:line="360" w:lineRule="auto"/>
        <w:ind w:firstLine="470" w:firstLineChars="196"/>
        <w:rPr>
          <w:rFonts w:cs="宋体"/>
          <w:bCs/>
          <w:color w:val="auto"/>
          <w:sz w:val="24"/>
          <w:szCs w:val="24"/>
          <w:highlight w:val="none"/>
        </w:rPr>
      </w:pPr>
      <w:r>
        <w:rPr>
          <w:rFonts w:hint="eastAsia" w:cs="宋体"/>
          <w:bCs/>
          <w:color w:val="auto"/>
          <w:sz w:val="24"/>
          <w:szCs w:val="24"/>
          <w:highlight w:val="none"/>
        </w:rPr>
        <w:t>6. 工程承包范围：</w:t>
      </w:r>
    </w:p>
    <w:p w14:paraId="0EEE5D28">
      <w:pPr>
        <w:snapToGrid w:val="0"/>
        <w:spacing w:line="360" w:lineRule="auto"/>
        <w:ind w:firstLine="470" w:firstLineChars="196"/>
        <w:rPr>
          <w:rFonts w:hint="eastAsia" w:cs="宋体"/>
          <w:bCs/>
          <w:color w:val="auto"/>
          <w:sz w:val="24"/>
          <w:szCs w:val="24"/>
          <w:highlight w:val="none"/>
          <w:u w:val="single"/>
          <w:lang w:val="en-US" w:eastAsia="zh-CN"/>
        </w:rPr>
      </w:pPr>
      <w:r>
        <w:rPr>
          <w:rFonts w:hint="eastAsia" w:cs="宋体"/>
          <w:bCs/>
          <w:color w:val="auto"/>
          <w:sz w:val="24"/>
          <w:szCs w:val="24"/>
          <w:highlight w:val="none"/>
          <w:u w:val="single"/>
          <w:lang w:val="en-US" w:eastAsia="zh-CN"/>
        </w:rPr>
        <w:t>工程量清单范围内所有内容 。</w:t>
      </w:r>
    </w:p>
    <w:p w14:paraId="70CD3821">
      <w:pPr>
        <w:snapToGrid w:val="0"/>
        <w:spacing w:line="360" w:lineRule="auto"/>
        <w:ind w:firstLine="482" w:firstLineChars="200"/>
        <w:rPr>
          <w:rFonts w:cs="宋体"/>
          <w:b/>
          <w:color w:val="auto"/>
          <w:sz w:val="24"/>
          <w:szCs w:val="24"/>
          <w:highlight w:val="none"/>
        </w:rPr>
      </w:pPr>
      <w:bookmarkStart w:id="50" w:name="_Toc351203482"/>
      <w:r>
        <w:rPr>
          <w:rFonts w:hint="eastAsia" w:cs="宋体"/>
          <w:b/>
          <w:color w:val="auto"/>
          <w:sz w:val="24"/>
          <w:szCs w:val="24"/>
          <w:highlight w:val="none"/>
        </w:rPr>
        <w:t>二、合同工期</w:t>
      </w:r>
      <w:bookmarkEnd w:id="50"/>
    </w:p>
    <w:p w14:paraId="1217B6D5">
      <w:pPr>
        <w:snapToGrid w:val="0"/>
        <w:spacing w:line="360" w:lineRule="auto"/>
        <w:ind w:firstLine="470" w:firstLineChars="196"/>
        <w:rPr>
          <w:rFonts w:hint="eastAsia" w:ascii="宋体" w:hAnsi="宋体" w:eastAsia="宋体" w:cs="宋体"/>
          <w:bCs/>
          <w:color w:val="auto"/>
          <w:sz w:val="24"/>
          <w:szCs w:val="24"/>
          <w:highlight w:val="none"/>
          <w:u w:val="single"/>
          <w:lang w:val="en-US" w:eastAsia="zh-CN"/>
        </w:rPr>
      </w:pPr>
      <w:r>
        <w:rPr>
          <w:rFonts w:hint="eastAsia"/>
          <w:b w:val="0"/>
          <w:color w:val="auto"/>
          <w:sz w:val="24"/>
          <w:szCs w:val="24"/>
          <w:highlight w:val="none"/>
        </w:rPr>
        <w:t>工期：</w:t>
      </w:r>
      <w:r>
        <w:rPr>
          <w:rFonts w:hint="eastAsia" w:cs="宋体"/>
          <w:b/>
          <w:color w:val="auto"/>
          <w:sz w:val="24"/>
          <w:szCs w:val="24"/>
          <w:highlight w:val="none"/>
          <w:u w:val="single"/>
        </w:rPr>
        <w:t></w:t>
      </w:r>
      <w:r>
        <w:rPr>
          <w:rFonts w:hint="eastAsia" w:cs="宋体"/>
          <w:b/>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lang w:val="en-US" w:eastAsia="zh-CN"/>
        </w:rPr>
        <w:t>。</w:t>
      </w:r>
    </w:p>
    <w:p w14:paraId="71240030">
      <w:pPr>
        <w:snapToGrid w:val="0"/>
        <w:spacing w:line="360" w:lineRule="auto"/>
        <w:ind w:firstLine="459"/>
        <w:rPr>
          <w:rFonts w:hint="eastAsia" w:eastAsia="宋体" w:cs="宋体"/>
          <w:color w:val="auto"/>
          <w:sz w:val="24"/>
          <w:szCs w:val="24"/>
          <w:highlight w:val="none"/>
          <w:u w:val="single"/>
          <w:lang w:val="en-US" w:eastAsia="zh-CN"/>
        </w:rPr>
      </w:pPr>
      <w:r>
        <w:rPr>
          <w:b w:val="0"/>
          <w:color w:val="auto"/>
          <w:sz w:val="24"/>
          <w:szCs w:val="24"/>
          <w:highlight w:val="none"/>
        </w:rPr>
        <w:t>开工日期：</w:t>
      </w:r>
      <w:r>
        <w:rPr>
          <w:rFonts w:hint="eastAsia"/>
          <w:b w:val="0"/>
          <w:color w:val="auto"/>
          <w:sz w:val="24"/>
          <w:szCs w:val="24"/>
          <w:highlight w:val="none"/>
          <w:u w:val="single"/>
          <w:lang w:val="en-US" w:eastAsia="zh-CN"/>
        </w:rPr>
        <w:t>2025</w:t>
      </w:r>
      <w:r>
        <w:rPr>
          <w:b w:val="0"/>
          <w:color w:val="auto"/>
          <w:sz w:val="24"/>
          <w:szCs w:val="24"/>
          <w:highlight w:val="none"/>
        </w:rPr>
        <w:t>年</w:t>
      </w:r>
      <w:r>
        <w:rPr>
          <w:rFonts w:hint="eastAsia"/>
          <w:b w:val="0"/>
          <w:color w:val="auto"/>
          <w:sz w:val="24"/>
          <w:szCs w:val="24"/>
          <w:highlight w:val="none"/>
          <w:u w:val="single"/>
          <w:lang w:val="en-US" w:eastAsia="zh-CN"/>
        </w:rPr>
        <w:t xml:space="preserve">    </w:t>
      </w:r>
      <w:r>
        <w:rPr>
          <w:b w:val="0"/>
          <w:color w:val="auto"/>
          <w:sz w:val="24"/>
          <w:szCs w:val="24"/>
          <w:highlight w:val="none"/>
        </w:rPr>
        <w:t>月</w:t>
      </w:r>
      <w:r>
        <w:rPr>
          <w:rFonts w:hint="eastAsia"/>
          <w:b w:val="0"/>
          <w:color w:val="auto"/>
          <w:sz w:val="24"/>
          <w:szCs w:val="24"/>
          <w:highlight w:val="none"/>
          <w:u w:val="single"/>
          <w:lang w:val="en-US" w:eastAsia="zh-CN"/>
        </w:rPr>
        <w:t xml:space="preserve">    </w:t>
      </w:r>
      <w:r>
        <w:rPr>
          <w:b w:val="0"/>
          <w:color w:val="auto"/>
          <w:sz w:val="24"/>
          <w:szCs w:val="24"/>
          <w:highlight w:val="none"/>
        </w:rPr>
        <w:t>日</w:t>
      </w:r>
      <w:r>
        <w:rPr>
          <w:rFonts w:hint="eastAsia"/>
          <w:b w:val="0"/>
          <w:color w:val="auto"/>
          <w:sz w:val="24"/>
          <w:szCs w:val="24"/>
          <w:highlight w:val="none"/>
        </w:rPr>
        <w:t>，具体开工时间以开工令为准</w:t>
      </w:r>
      <w:r>
        <w:rPr>
          <w:rFonts w:hint="eastAsia"/>
          <w:b w:val="0"/>
          <w:color w:val="auto"/>
          <w:sz w:val="24"/>
          <w:szCs w:val="24"/>
          <w:highlight w:val="none"/>
          <w:lang w:eastAsia="zh-CN"/>
        </w:rPr>
        <w:t>。</w:t>
      </w:r>
    </w:p>
    <w:p w14:paraId="7680F962">
      <w:pPr>
        <w:snapToGrid w:val="0"/>
        <w:spacing w:line="360" w:lineRule="auto"/>
        <w:ind w:firstLine="482" w:firstLineChars="200"/>
        <w:rPr>
          <w:rFonts w:cs="宋体"/>
          <w:b/>
          <w:color w:val="auto"/>
          <w:sz w:val="24"/>
          <w:szCs w:val="24"/>
          <w:highlight w:val="none"/>
        </w:rPr>
      </w:pPr>
      <w:bookmarkStart w:id="51" w:name="_Toc351203483"/>
      <w:r>
        <w:rPr>
          <w:rFonts w:hint="eastAsia" w:cs="宋体"/>
          <w:b/>
          <w:color w:val="auto"/>
          <w:sz w:val="24"/>
          <w:szCs w:val="24"/>
          <w:highlight w:val="none"/>
        </w:rPr>
        <w:t>三、质量标准</w:t>
      </w:r>
      <w:bookmarkEnd w:id="51"/>
    </w:p>
    <w:p w14:paraId="23BAD373">
      <w:pPr>
        <w:snapToGrid w:val="0"/>
        <w:spacing w:line="360" w:lineRule="auto"/>
        <w:ind w:firstLine="459"/>
        <w:rPr>
          <w:rFonts w:cs="宋体"/>
          <w:color w:val="auto"/>
          <w:sz w:val="24"/>
          <w:szCs w:val="24"/>
          <w:highlight w:val="none"/>
        </w:rPr>
      </w:pPr>
      <w:r>
        <w:rPr>
          <w:rFonts w:hint="eastAsia" w:cs="宋体"/>
          <w:color w:val="auto"/>
          <w:sz w:val="24"/>
          <w:szCs w:val="24"/>
          <w:highlight w:val="none"/>
        </w:rPr>
        <w:t>工程质量合格，满足国家和行业规范标准。</w:t>
      </w:r>
    </w:p>
    <w:p w14:paraId="1758E9C6">
      <w:pPr>
        <w:snapToGrid w:val="0"/>
        <w:spacing w:line="360" w:lineRule="auto"/>
        <w:ind w:firstLine="482" w:firstLineChars="200"/>
        <w:rPr>
          <w:rFonts w:cs="宋体"/>
          <w:b/>
          <w:color w:val="auto"/>
          <w:sz w:val="24"/>
          <w:szCs w:val="24"/>
          <w:highlight w:val="none"/>
        </w:rPr>
      </w:pPr>
      <w:bookmarkStart w:id="52" w:name="_Toc351203484"/>
      <w:r>
        <w:rPr>
          <w:rFonts w:hint="eastAsia" w:cs="宋体"/>
          <w:b/>
          <w:color w:val="auto"/>
          <w:sz w:val="24"/>
          <w:szCs w:val="24"/>
          <w:highlight w:val="none"/>
        </w:rPr>
        <w:t>四、签约合同价与合同价格形式</w:t>
      </w:r>
      <w:bookmarkEnd w:id="52"/>
    </w:p>
    <w:p w14:paraId="74D3BC32">
      <w:pPr>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 签约合同价为：</w:t>
      </w:r>
    </w:p>
    <w:p w14:paraId="68252343">
      <w:pPr>
        <w:snapToGrid w:val="0"/>
        <w:spacing w:line="360" w:lineRule="auto"/>
        <w:ind w:firstLine="600" w:firstLineChars="250"/>
        <w:rPr>
          <w:rFonts w:cs="宋体"/>
          <w:color w:val="auto"/>
          <w:sz w:val="24"/>
          <w:szCs w:val="24"/>
          <w:highlight w:val="none"/>
        </w:rPr>
      </w:pPr>
      <w:r>
        <w:rPr>
          <w:rFonts w:hint="eastAsia" w:cs="宋体"/>
          <w:color w:val="auto"/>
          <w:sz w:val="24"/>
          <w:szCs w:val="24"/>
          <w:highlight w:val="none"/>
        </w:rPr>
        <w:t>人民币（大写）</w:t>
      </w:r>
      <w:r>
        <w:rPr>
          <w:rFonts w:hint="eastAsia" w:cs="宋体"/>
          <w:color w:val="auto"/>
          <w:sz w:val="24"/>
          <w:szCs w:val="24"/>
          <w:highlight w:val="none"/>
          <w:u w:val="single"/>
        </w:rPr>
        <w:t xml:space="preserve">                 （</w:t>
      </w:r>
      <w:r>
        <w:rPr>
          <w:rFonts w:hint="eastAsia" w:cs="宋体"/>
          <w:color w:val="auto"/>
          <w:sz w:val="24"/>
          <w:szCs w:val="24"/>
          <w:highlight w:val="none"/>
        </w:rPr>
        <w:t>¥</w:t>
      </w:r>
      <w:r>
        <w:rPr>
          <w:rFonts w:hint="eastAsia" w:cs="宋体"/>
          <w:color w:val="auto"/>
          <w:sz w:val="24"/>
          <w:szCs w:val="24"/>
          <w:highlight w:val="none"/>
          <w:u w:val="single"/>
        </w:rPr>
        <w:t xml:space="preserve">            </w:t>
      </w:r>
      <w:r>
        <w:rPr>
          <w:rFonts w:hint="eastAsia" w:cs="宋体"/>
          <w:color w:val="auto"/>
          <w:sz w:val="24"/>
          <w:szCs w:val="24"/>
          <w:highlight w:val="none"/>
        </w:rPr>
        <w:t>元）；</w:t>
      </w:r>
    </w:p>
    <w:p w14:paraId="53DBCCF2">
      <w:pPr>
        <w:snapToGrid w:val="0"/>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2. 合同价格形式：</w:t>
      </w:r>
      <w:r>
        <w:rPr>
          <w:rFonts w:hint="eastAsia" w:cs="宋体"/>
          <w:color w:val="auto"/>
          <w:sz w:val="24"/>
          <w:szCs w:val="24"/>
          <w:highlight w:val="none"/>
          <w:u w:val="single"/>
          <w:lang w:val="en-US" w:eastAsia="zh-CN"/>
        </w:rPr>
        <w:t xml:space="preserve">单价合同 </w:t>
      </w:r>
      <w:r>
        <w:rPr>
          <w:rFonts w:hint="eastAsia" w:cs="宋体"/>
          <w:color w:val="auto"/>
          <w:sz w:val="24"/>
          <w:szCs w:val="24"/>
          <w:highlight w:val="none"/>
        </w:rPr>
        <w:t>。</w:t>
      </w:r>
    </w:p>
    <w:p w14:paraId="628DA80C">
      <w:pPr>
        <w:adjustRightInd w:val="0"/>
        <w:snapToGrid w:val="0"/>
        <w:spacing w:line="360" w:lineRule="auto"/>
        <w:ind w:firstLine="480" w:firstLineChars="200"/>
        <w:rPr>
          <w:rFonts w:hint="eastAsia" w:ascii="宋体" w:hAnsi="宋体" w:eastAsia="宋体" w:cs="宋体"/>
          <w:b w:val="0"/>
          <w:bCs/>
          <w:color w:val="auto"/>
          <w:sz w:val="24"/>
          <w:szCs w:val="24"/>
          <w:highlight w:val="none"/>
        </w:rPr>
      </w:pPr>
      <w:bookmarkStart w:id="53" w:name="_Toc351203485"/>
      <w:r>
        <w:rPr>
          <w:rFonts w:hint="eastAsia" w:ascii="宋体" w:hAnsi="宋体" w:eastAsia="宋体" w:cs="宋体"/>
          <w:b w:val="0"/>
          <w:bCs/>
          <w:color w:val="auto"/>
          <w:sz w:val="24"/>
          <w:szCs w:val="24"/>
          <w:highlight w:val="none"/>
        </w:rPr>
        <w:t>3.</w:t>
      </w:r>
      <w:r>
        <w:rPr>
          <w:rFonts w:hint="eastAsia" w:cs="宋体"/>
          <w:b w:val="0"/>
          <w:bCs/>
          <w:color w:val="auto"/>
          <w:sz w:val="24"/>
          <w:szCs w:val="24"/>
          <w:highlight w:val="none"/>
          <w:lang w:val="en-US" w:eastAsia="zh-CN"/>
        </w:rPr>
        <w:t>付款方式</w:t>
      </w:r>
      <w:r>
        <w:rPr>
          <w:rFonts w:hint="eastAsia" w:ascii="宋体" w:hAnsi="宋体" w:eastAsia="宋体" w:cs="宋体"/>
          <w:b w:val="0"/>
          <w:bCs/>
          <w:color w:val="auto"/>
          <w:sz w:val="24"/>
          <w:szCs w:val="24"/>
          <w:highlight w:val="none"/>
        </w:rPr>
        <w:t>：</w:t>
      </w:r>
    </w:p>
    <w:p w14:paraId="3F0F7502">
      <w:pPr>
        <w:snapToGrid w:val="0"/>
        <w:spacing w:line="360" w:lineRule="auto"/>
        <w:ind w:firstLine="480" w:firstLineChars="200"/>
        <w:jc w:val="left"/>
        <w:rPr>
          <w:rFonts w:hint="eastAsia"/>
          <w:color w:val="auto"/>
          <w:sz w:val="24"/>
          <w:szCs w:val="24"/>
          <w:highlight w:val="none"/>
          <w:u w:val="none"/>
        </w:rPr>
      </w:pPr>
      <w:r>
        <w:rPr>
          <w:rFonts w:hint="eastAsia" w:cs="宋体"/>
          <w:b w:val="0"/>
          <w:bCs/>
          <w:color w:val="auto"/>
          <w:sz w:val="24"/>
          <w:szCs w:val="24"/>
          <w:highlight w:val="none"/>
          <w:u w:val="none"/>
          <w:lang w:val="en-US" w:eastAsia="zh-CN"/>
        </w:rPr>
        <w:t>①</w:t>
      </w:r>
      <w:r>
        <w:rPr>
          <w:rFonts w:hint="eastAsia" w:ascii="宋体" w:hAnsi="宋体" w:eastAsia="宋体" w:cs="宋体"/>
          <w:b w:val="0"/>
          <w:bCs/>
          <w:color w:val="auto"/>
          <w:sz w:val="24"/>
          <w:szCs w:val="24"/>
          <w:highlight w:val="none"/>
          <w:u w:val="none"/>
        </w:rPr>
        <w:t>合同签订后，经</w:t>
      </w:r>
      <w:r>
        <w:rPr>
          <w:rFonts w:hint="eastAsia" w:cs="宋体"/>
          <w:b w:val="0"/>
          <w:bCs/>
          <w:color w:val="auto"/>
          <w:sz w:val="24"/>
          <w:szCs w:val="24"/>
          <w:highlight w:val="none"/>
          <w:u w:val="none"/>
          <w:lang w:eastAsia="zh-CN"/>
        </w:rPr>
        <w:t>乙方</w:t>
      </w:r>
      <w:r>
        <w:rPr>
          <w:rFonts w:hint="eastAsia" w:ascii="宋体" w:hAnsi="宋体" w:eastAsia="宋体" w:cs="宋体"/>
          <w:b w:val="0"/>
          <w:bCs/>
          <w:color w:val="auto"/>
          <w:sz w:val="24"/>
          <w:szCs w:val="24"/>
          <w:highlight w:val="none"/>
          <w:u w:val="none"/>
        </w:rPr>
        <w:t>申请</w:t>
      </w:r>
      <w:r>
        <w:rPr>
          <w:rFonts w:hint="eastAsia" w:ascii="宋体" w:hAnsi="宋体" w:eastAsia="宋体" w:cs="宋体"/>
          <w:b w:val="0"/>
          <w:bCs/>
          <w:color w:val="auto"/>
          <w:sz w:val="24"/>
          <w:szCs w:val="24"/>
          <w:highlight w:val="none"/>
          <w:u w:val="none"/>
          <w:lang w:eastAsia="zh-CN"/>
        </w:rPr>
        <w:t>，</w:t>
      </w:r>
      <w:r>
        <w:rPr>
          <w:rFonts w:hint="eastAsia" w:ascii="宋体" w:hAnsi="宋体" w:eastAsia="宋体" w:cs="宋体"/>
          <w:b w:val="0"/>
          <w:bCs/>
          <w:color w:val="auto"/>
          <w:sz w:val="24"/>
          <w:szCs w:val="24"/>
          <w:highlight w:val="none"/>
          <w:u w:val="none"/>
          <w:lang w:val="en-US" w:eastAsia="zh-CN"/>
        </w:rPr>
        <w:t>合同甲方审核确认后</w:t>
      </w:r>
      <w:r>
        <w:rPr>
          <w:rFonts w:hint="eastAsia" w:ascii="宋体" w:hAnsi="宋体" w:eastAsia="宋体" w:cs="宋体"/>
          <w:b w:val="0"/>
          <w:bCs/>
          <w:color w:val="auto"/>
          <w:sz w:val="24"/>
          <w:szCs w:val="24"/>
          <w:highlight w:val="none"/>
          <w:u w:val="none"/>
        </w:rPr>
        <w:t>支付</w:t>
      </w:r>
      <w:r>
        <w:rPr>
          <w:rFonts w:hint="eastAsia" w:cs="宋体"/>
          <w:b w:val="0"/>
          <w:bCs/>
          <w:color w:val="auto"/>
          <w:sz w:val="24"/>
          <w:szCs w:val="24"/>
          <w:highlight w:val="none"/>
          <w:u w:val="none"/>
          <w:lang w:val="en-US" w:eastAsia="zh-CN"/>
        </w:rPr>
        <w:t>乙方</w:t>
      </w:r>
      <w:r>
        <w:rPr>
          <w:rFonts w:hint="eastAsia" w:ascii="宋体" w:hAnsi="宋体" w:eastAsia="宋体" w:cs="宋体"/>
          <w:b w:val="0"/>
          <w:bCs/>
          <w:color w:val="auto"/>
          <w:sz w:val="24"/>
          <w:szCs w:val="24"/>
          <w:highlight w:val="none"/>
          <w:u w:val="none"/>
        </w:rPr>
        <w:t>签约合同价的</w:t>
      </w:r>
      <w:r>
        <w:rPr>
          <w:rFonts w:hint="eastAsia" w:cs="宋体"/>
          <w:b w:val="0"/>
          <w:bCs/>
          <w:color w:val="auto"/>
          <w:sz w:val="24"/>
          <w:szCs w:val="24"/>
          <w:highlight w:val="none"/>
          <w:u w:val="none"/>
          <w:lang w:val="en-US" w:eastAsia="zh-CN"/>
        </w:rPr>
        <w:t>60</w:t>
      </w:r>
      <w:r>
        <w:rPr>
          <w:rFonts w:hint="eastAsia" w:ascii="宋体" w:hAnsi="宋体" w:eastAsia="宋体" w:cs="宋体"/>
          <w:b w:val="0"/>
          <w:bCs/>
          <w:color w:val="auto"/>
          <w:sz w:val="24"/>
          <w:szCs w:val="24"/>
          <w:highlight w:val="none"/>
          <w:u w:val="none"/>
        </w:rPr>
        <w:t>%</w:t>
      </w:r>
      <w:r>
        <w:rPr>
          <w:rFonts w:hint="eastAsia" w:cs="宋体"/>
          <w:b w:val="0"/>
          <w:bCs/>
          <w:color w:val="auto"/>
          <w:sz w:val="24"/>
          <w:szCs w:val="24"/>
          <w:highlight w:val="none"/>
          <w:u w:val="none"/>
          <w:lang w:val="en-US" w:eastAsia="zh-CN"/>
        </w:rPr>
        <w:t>作为预付款</w:t>
      </w:r>
      <w:r>
        <w:rPr>
          <w:rFonts w:hint="eastAsia" w:ascii="宋体" w:hAnsi="宋体" w:eastAsia="宋体" w:cs="宋体"/>
          <w:b w:val="0"/>
          <w:bCs/>
          <w:color w:val="auto"/>
          <w:sz w:val="24"/>
          <w:szCs w:val="24"/>
          <w:highlight w:val="none"/>
          <w:u w:val="none"/>
        </w:rPr>
        <w:t>（</w:t>
      </w:r>
      <w:r>
        <w:rPr>
          <w:rFonts w:hint="eastAsia" w:cs="宋体"/>
          <w:b w:val="0"/>
          <w:bCs/>
          <w:color w:val="auto"/>
          <w:sz w:val="24"/>
          <w:szCs w:val="24"/>
          <w:highlight w:val="none"/>
          <w:u w:val="none"/>
          <w:lang w:val="en-US" w:eastAsia="zh-CN"/>
        </w:rPr>
        <w:t>乙方</w:t>
      </w:r>
      <w:r>
        <w:rPr>
          <w:rFonts w:hint="eastAsia" w:ascii="宋体" w:hAnsi="宋体" w:eastAsia="宋体" w:cs="宋体"/>
          <w:b w:val="0"/>
          <w:bCs/>
          <w:color w:val="auto"/>
          <w:sz w:val="24"/>
          <w:szCs w:val="24"/>
          <w:highlight w:val="none"/>
          <w:u w:val="none"/>
        </w:rPr>
        <w:t>须提交等额预付款担保）</w:t>
      </w:r>
      <w:r>
        <w:rPr>
          <w:rFonts w:hint="eastAsia" w:cs="宋体"/>
          <w:b w:val="0"/>
          <w:bCs/>
          <w:color w:val="auto"/>
          <w:sz w:val="24"/>
          <w:szCs w:val="24"/>
          <w:highlight w:val="none"/>
          <w:u w:val="none"/>
          <w:lang w:eastAsia="zh-CN"/>
        </w:rPr>
        <w:t>。</w:t>
      </w:r>
      <w:r>
        <w:rPr>
          <w:rFonts w:hint="eastAsia" w:cs="宋体"/>
          <w:b w:val="0"/>
          <w:bCs/>
          <w:color w:val="auto"/>
          <w:sz w:val="24"/>
          <w:szCs w:val="24"/>
          <w:highlight w:val="none"/>
          <w:u w:val="none"/>
          <w:lang w:val="en-US" w:eastAsia="zh-CN"/>
        </w:rPr>
        <w:t>合同价款</w:t>
      </w:r>
      <w:r>
        <w:rPr>
          <w:rFonts w:hint="eastAsia" w:ascii="宋体" w:hAnsi="宋体" w:eastAsia="宋体" w:cs="宋体"/>
          <w:b w:val="0"/>
          <w:bCs/>
          <w:color w:val="auto"/>
          <w:sz w:val="24"/>
          <w:szCs w:val="24"/>
          <w:highlight w:val="none"/>
          <w:u w:val="none"/>
        </w:rPr>
        <w:t>按工程进度支付，验收合格并经结算审核后支付至结算价款的100%，并扣回所有预付款。</w:t>
      </w:r>
    </w:p>
    <w:p w14:paraId="4E0CC8EA">
      <w:pPr>
        <w:snapToGrid w:val="0"/>
        <w:spacing w:line="360" w:lineRule="auto"/>
        <w:ind w:firstLine="480" w:firstLineChars="200"/>
        <w:rPr>
          <w:rFonts w:hint="eastAsia" w:ascii="宋体" w:hAnsi="宋体" w:eastAsia="宋体" w:cs="宋体"/>
          <w:b w:val="0"/>
          <w:bCs/>
          <w:color w:val="auto"/>
          <w:sz w:val="24"/>
          <w:szCs w:val="24"/>
          <w:highlight w:val="none"/>
          <w:u w:val="none"/>
        </w:rPr>
      </w:pPr>
      <w:r>
        <w:rPr>
          <w:rFonts w:hint="eastAsia" w:cs="宋体"/>
          <w:b w:val="0"/>
          <w:bCs/>
          <w:color w:val="auto"/>
          <w:sz w:val="24"/>
          <w:szCs w:val="24"/>
          <w:highlight w:val="none"/>
          <w:u w:val="none"/>
          <w:lang w:val="en-US" w:eastAsia="zh-CN"/>
        </w:rPr>
        <w:t>②</w:t>
      </w:r>
      <w:r>
        <w:rPr>
          <w:rFonts w:hint="eastAsia" w:ascii="宋体" w:hAnsi="宋体" w:eastAsia="宋体" w:cs="宋体"/>
          <w:b w:val="0"/>
          <w:bCs/>
          <w:color w:val="auto"/>
          <w:sz w:val="24"/>
          <w:szCs w:val="24"/>
          <w:highlight w:val="none"/>
          <w:u w:val="none"/>
        </w:rPr>
        <w:t>在签订合同时，</w:t>
      </w:r>
      <w:r>
        <w:rPr>
          <w:rFonts w:hint="eastAsia" w:cs="宋体"/>
          <w:b w:val="0"/>
          <w:bCs/>
          <w:color w:val="auto"/>
          <w:sz w:val="24"/>
          <w:szCs w:val="24"/>
          <w:highlight w:val="none"/>
          <w:u w:val="none"/>
          <w:lang w:val="en-US" w:eastAsia="zh-CN"/>
        </w:rPr>
        <w:t>乙方</w:t>
      </w:r>
      <w:r>
        <w:rPr>
          <w:rFonts w:hint="eastAsia" w:ascii="宋体" w:hAnsi="宋体" w:eastAsia="宋体" w:cs="宋体"/>
          <w:b w:val="0"/>
          <w:bCs/>
          <w:color w:val="auto"/>
          <w:sz w:val="24"/>
          <w:szCs w:val="24"/>
          <w:highlight w:val="none"/>
          <w:u w:val="none"/>
        </w:rPr>
        <w:t>书面明确表示无需预付款，即</w:t>
      </w:r>
      <w:r>
        <w:rPr>
          <w:rFonts w:hint="eastAsia" w:cs="宋体"/>
          <w:b w:val="0"/>
          <w:bCs/>
          <w:color w:val="auto"/>
          <w:sz w:val="24"/>
          <w:szCs w:val="24"/>
          <w:highlight w:val="none"/>
          <w:u w:val="none"/>
          <w:lang w:val="en-US" w:eastAsia="zh-CN"/>
        </w:rPr>
        <w:t>乙方</w:t>
      </w:r>
      <w:r>
        <w:rPr>
          <w:rFonts w:hint="eastAsia" w:ascii="宋体" w:hAnsi="宋体" w:eastAsia="宋体" w:cs="宋体"/>
          <w:b w:val="0"/>
          <w:bCs/>
          <w:color w:val="auto"/>
          <w:sz w:val="24"/>
          <w:szCs w:val="24"/>
          <w:highlight w:val="none"/>
          <w:u w:val="none"/>
        </w:rPr>
        <w:t>无需提供预付款担保，按皖财购〔2022〕556号规定，合同甲方可不再支付预付款</w:t>
      </w:r>
      <w:r>
        <w:rPr>
          <w:rFonts w:hint="eastAsia" w:ascii="宋体" w:hAnsi="宋体" w:eastAsia="宋体" w:cs="宋体"/>
          <w:b w:val="0"/>
          <w:bCs/>
          <w:color w:val="auto"/>
          <w:sz w:val="24"/>
          <w:szCs w:val="24"/>
          <w:highlight w:val="none"/>
          <w:u w:val="none"/>
          <w:lang w:eastAsia="zh-CN"/>
        </w:rPr>
        <w:t>。</w:t>
      </w:r>
      <w:r>
        <w:rPr>
          <w:rFonts w:hint="eastAsia" w:cs="宋体"/>
          <w:b w:val="0"/>
          <w:bCs/>
          <w:color w:val="auto"/>
          <w:sz w:val="24"/>
          <w:szCs w:val="24"/>
          <w:highlight w:val="none"/>
          <w:u w:val="none"/>
          <w:lang w:val="en-US" w:eastAsia="zh-CN"/>
        </w:rPr>
        <w:t>合同价款</w:t>
      </w:r>
      <w:r>
        <w:rPr>
          <w:rFonts w:hint="eastAsia" w:ascii="宋体" w:hAnsi="宋体" w:eastAsia="宋体" w:cs="宋体"/>
          <w:b w:val="0"/>
          <w:bCs/>
          <w:color w:val="auto"/>
          <w:sz w:val="24"/>
          <w:szCs w:val="24"/>
          <w:highlight w:val="none"/>
          <w:u w:val="none"/>
        </w:rPr>
        <w:t>按工程进度支付，验收合格并经结算审核后支付至结算价款的100%。</w:t>
      </w:r>
    </w:p>
    <w:p w14:paraId="3F899A34">
      <w:pPr>
        <w:snapToGrid w:val="0"/>
        <w:spacing w:line="360" w:lineRule="auto"/>
        <w:ind w:firstLine="482" w:firstLineChars="200"/>
        <w:rPr>
          <w:rFonts w:cs="宋体"/>
          <w:b/>
          <w:color w:val="auto"/>
          <w:sz w:val="24"/>
          <w:szCs w:val="24"/>
          <w:highlight w:val="none"/>
        </w:rPr>
      </w:pPr>
      <w:r>
        <w:rPr>
          <w:rFonts w:hint="eastAsia" w:cs="宋体"/>
          <w:b/>
          <w:color w:val="auto"/>
          <w:sz w:val="24"/>
          <w:szCs w:val="24"/>
          <w:highlight w:val="none"/>
        </w:rPr>
        <w:t>五、</w:t>
      </w:r>
      <w:bookmarkEnd w:id="53"/>
      <w:r>
        <w:rPr>
          <w:rFonts w:hint="eastAsia" w:cs="宋体"/>
          <w:b/>
          <w:color w:val="auto"/>
          <w:sz w:val="24"/>
          <w:szCs w:val="24"/>
          <w:highlight w:val="none"/>
        </w:rPr>
        <w:t>项目经理</w:t>
      </w:r>
    </w:p>
    <w:p w14:paraId="37215795">
      <w:pPr>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承包人项目经理：</w:t>
      </w:r>
      <w:r>
        <w:rPr>
          <w:rFonts w:hint="eastAsia" w:cs="宋体"/>
          <w:color w:val="auto"/>
          <w:sz w:val="24"/>
          <w:szCs w:val="24"/>
          <w:highlight w:val="none"/>
          <w:u w:val="single"/>
        </w:rPr>
        <w:t>           </w:t>
      </w:r>
      <w:r>
        <w:rPr>
          <w:rFonts w:hint="eastAsia" w:cs="宋体"/>
          <w:color w:val="auto"/>
          <w:sz w:val="24"/>
          <w:szCs w:val="24"/>
          <w:highlight w:val="none"/>
        </w:rPr>
        <w:t>。</w:t>
      </w:r>
    </w:p>
    <w:p w14:paraId="79CD8EB6">
      <w:pPr>
        <w:snapToGrid w:val="0"/>
        <w:spacing w:line="360" w:lineRule="auto"/>
        <w:ind w:firstLine="482" w:firstLineChars="200"/>
        <w:rPr>
          <w:rFonts w:cs="宋体"/>
          <w:b/>
          <w:color w:val="auto"/>
          <w:sz w:val="24"/>
          <w:szCs w:val="24"/>
          <w:highlight w:val="none"/>
        </w:rPr>
      </w:pPr>
      <w:bookmarkStart w:id="54" w:name="_Toc351203486"/>
      <w:r>
        <w:rPr>
          <w:rFonts w:hint="eastAsia" w:cs="宋体"/>
          <w:b/>
          <w:color w:val="auto"/>
          <w:sz w:val="24"/>
          <w:szCs w:val="24"/>
          <w:highlight w:val="none"/>
        </w:rPr>
        <w:t>六、合同文件构成</w:t>
      </w:r>
      <w:bookmarkEnd w:id="54"/>
    </w:p>
    <w:p w14:paraId="0F22AAE2">
      <w:pPr>
        <w:snapToGrid w:val="0"/>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本协议书与下列文件一起构成合同文件：</w:t>
      </w:r>
    </w:p>
    <w:p w14:paraId="3A9CF3E3">
      <w:pPr>
        <w:autoSpaceDE w:val="0"/>
        <w:autoSpaceDN w:val="0"/>
        <w:adjustRightInd w:val="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（1）中标通知书；</w:t>
      </w:r>
    </w:p>
    <w:p w14:paraId="31EAA8E8">
      <w:pPr>
        <w:autoSpaceDE w:val="0"/>
        <w:autoSpaceDN w:val="0"/>
        <w:adjustRightInd w:val="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（2）投标函及其附录（如果有）； </w:t>
      </w:r>
    </w:p>
    <w:p w14:paraId="5162EF9F">
      <w:pPr>
        <w:autoSpaceDE w:val="0"/>
        <w:autoSpaceDN w:val="0"/>
        <w:adjustRightInd w:val="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（3）专用合同条款及其附件；</w:t>
      </w:r>
    </w:p>
    <w:p w14:paraId="496EF2D2">
      <w:pPr>
        <w:autoSpaceDE w:val="0"/>
        <w:autoSpaceDN w:val="0"/>
        <w:adjustRightInd w:val="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（4）通用合同条款；</w:t>
      </w:r>
    </w:p>
    <w:p w14:paraId="05C39EED">
      <w:pPr>
        <w:autoSpaceDE w:val="0"/>
        <w:autoSpaceDN w:val="0"/>
        <w:adjustRightInd w:val="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（5）技术标准和要求；</w:t>
      </w:r>
    </w:p>
    <w:p w14:paraId="11625069">
      <w:pPr>
        <w:autoSpaceDE w:val="0"/>
        <w:autoSpaceDN w:val="0"/>
        <w:adjustRightInd w:val="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（6）图纸（如果有）；</w:t>
      </w:r>
    </w:p>
    <w:p w14:paraId="3F62B751">
      <w:pPr>
        <w:autoSpaceDE w:val="0"/>
        <w:autoSpaceDN w:val="0"/>
        <w:adjustRightInd w:val="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（7）已标价工程量清单或预算书；</w:t>
      </w:r>
    </w:p>
    <w:p w14:paraId="052D974A">
      <w:pPr>
        <w:autoSpaceDE w:val="0"/>
        <w:autoSpaceDN w:val="0"/>
        <w:adjustRightInd w:val="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（8）其他合同文件。</w:t>
      </w:r>
    </w:p>
    <w:p w14:paraId="15A2F041">
      <w:pPr>
        <w:autoSpaceDE w:val="0"/>
        <w:autoSpaceDN w:val="0"/>
        <w:adjustRightInd w:val="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在合同订立及履行过程中形成的与合同有关的文件均构成合同文件组成部分。</w:t>
      </w:r>
    </w:p>
    <w:p w14:paraId="2BFE7539">
      <w:pPr>
        <w:autoSpaceDE w:val="0"/>
        <w:autoSpaceDN w:val="0"/>
        <w:adjustRightInd w:val="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427065C9">
      <w:pPr>
        <w:snapToGrid w:val="0"/>
        <w:spacing w:line="360" w:lineRule="auto"/>
        <w:ind w:firstLine="482" w:firstLineChars="200"/>
        <w:rPr>
          <w:rFonts w:cs="宋体"/>
          <w:b/>
          <w:color w:val="auto"/>
          <w:sz w:val="24"/>
          <w:szCs w:val="24"/>
          <w:highlight w:val="none"/>
        </w:rPr>
      </w:pPr>
      <w:bookmarkStart w:id="55" w:name="_Toc351203487"/>
      <w:r>
        <w:rPr>
          <w:rFonts w:hint="eastAsia" w:cs="宋体"/>
          <w:b/>
          <w:color w:val="auto"/>
          <w:sz w:val="24"/>
          <w:szCs w:val="24"/>
          <w:highlight w:val="none"/>
        </w:rPr>
        <w:t>七、承诺</w:t>
      </w:r>
      <w:bookmarkEnd w:id="55"/>
    </w:p>
    <w:p w14:paraId="0D082374">
      <w:pPr>
        <w:snapToGrid w:val="0"/>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1. 发包人承诺按照法律规定履行项目审批手续、筹集工程建设资金并按照合同约定的期限和方式支付合同价款。</w:t>
      </w:r>
    </w:p>
    <w:p w14:paraId="6662FC2E">
      <w:pPr>
        <w:snapToGrid w:val="0"/>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2. 承包人承诺按照法律规定及合同约定组织完成工程施工，确保工程质量和安全，不进行转包及违法分包，并在缺陷责任期及保修期内承担相应的工程维修责任。</w:t>
      </w:r>
    </w:p>
    <w:p w14:paraId="12712522">
      <w:pPr>
        <w:snapToGrid w:val="0"/>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3. 发包人和承包人通过招投标形式签订合同的，双方理解并承诺不再就同一工程另行签订与合同实质性内容相背离的协议。</w:t>
      </w:r>
    </w:p>
    <w:p w14:paraId="3A1C820F">
      <w:pPr>
        <w:snapToGrid w:val="0"/>
        <w:spacing w:line="360" w:lineRule="auto"/>
        <w:ind w:firstLine="482" w:firstLineChars="200"/>
        <w:rPr>
          <w:rFonts w:cs="宋体"/>
          <w:b/>
          <w:color w:val="auto"/>
          <w:sz w:val="24"/>
          <w:szCs w:val="24"/>
          <w:highlight w:val="none"/>
        </w:rPr>
      </w:pPr>
      <w:bookmarkStart w:id="56" w:name="_Toc351203488"/>
      <w:r>
        <w:rPr>
          <w:rFonts w:hint="eastAsia" w:cs="宋体"/>
          <w:b/>
          <w:color w:val="auto"/>
          <w:sz w:val="24"/>
          <w:szCs w:val="24"/>
          <w:highlight w:val="none"/>
        </w:rPr>
        <w:t>八、词语含义</w:t>
      </w:r>
      <w:bookmarkEnd w:id="56"/>
    </w:p>
    <w:p w14:paraId="22227387">
      <w:pPr>
        <w:snapToGrid w:val="0"/>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本协议书中词语含义与第二部分通用合同条款中赋予的含义相同。</w:t>
      </w:r>
    </w:p>
    <w:p w14:paraId="1273BC5F">
      <w:pPr>
        <w:snapToGrid w:val="0"/>
        <w:spacing w:line="360" w:lineRule="auto"/>
        <w:ind w:firstLine="482" w:firstLineChars="200"/>
        <w:rPr>
          <w:rFonts w:cs="宋体"/>
          <w:b/>
          <w:color w:val="auto"/>
          <w:sz w:val="24"/>
          <w:szCs w:val="24"/>
          <w:highlight w:val="none"/>
        </w:rPr>
      </w:pPr>
      <w:bookmarkStart w:id="57" w:name="_Toc351203489"/>
      <w:r>
        <w:rPr>
          <w:rFonts w:hint="eastAsia" w:cs="宋体"/>
          <w:b/>
          <w:color w:val="auto"/>
          <w:sz w:val="24"/>
          <w:szCs w:val="24"/>
          <w:highlight w:val="none"/>
        </w:rPr>
        <w:t>九、签订时间</w:t>
      </w:r>
      <w:bookmarkEnd w:id="57"/>
    </w:p>
    <w:p w14:paraId="7961C273">
      <w:pPr>
        <w:snapToGrid w:val="0"/>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本合同于</w:t>
      </w:r>
      <w:r>
        <w:rPr>
          <w:rFonts w:hint="eastAsia" w:cs="宋体"/>
          <w:bCs/>
          <w:color w:val="auto"/>
          <w:sz w:val="24"/>
          <w:szCs w:val="24"/>
          <w:highlight w:val="none"/>
          <w:u w:val="single"/>
        </w:rPr>
        <w:t xml:space="preserve"> </w:t>
      </w:r>
      <w:r>
        <w:rPr>
          <w:rFonts w:hint="eastAsia" w:cs="宋体"/>
          <w:bCs/>
          <w:color w:val="auto"/>
          <w:sz w:val="24"/>
          <w:szCs w:val="24"/>
          <w:highlight w:val="none"/>
          <w:u w:val="single"/>
          <w:lang w:val="en-US" w:eastAsia="zh-CN"/>
        </w:rPr>
        <w:t>2025</w:t>
      </w:r>
      <w:r>
        <w:rPr>
          <w:rFonts w:hint="eastAsia" w:cs="宋体"/>
          <w:bCs/>
          <w:color w:val="auto"/>
          <w:sz w:val="24"/>
          <w:szCs w:val="24"/>
          <w:highlight w:val="none"/>
          <w:u w:val="single"/>
        </w:rPr>
        <w:t xml:space="preserve"> </w:t>
      </w:r>
      <w:r>
        <w:rPr>
          <w:rFonts w:hint="eastAsia" w:cs="宋体"/>
          <w:bCs/>
          <w:color w:val="auto"/>
          <w:sz w:val="24"/>
          <w:szCs w:val="24"/>
          <w:highlight w:val="none"/>
        </w:rPr>
        <w:t>年</w:t>
      </w:r>
      <w:r>
        <w:rPr>
          <w:rFonts w:hint="eastAsia" w:cs="宋体"/>
          <w:bCs/>
          <w:color w:val="auto"/>
          <w:sz w:val="24"/>
          <w:szCs w:val="24"/>
          <w:highlight w:val="none"/>
          <w:u w:val="single"/>
        </w:rPr>
        <w:t xml:space="preserve">    </w:t>
      </w:r>
      <w:r>
        <w:rPr>
          <w:rFonts w:hint="eastAsia" w:cs="宋体"/>
          <w:bCs/>
          <w:color w:val="auto"/>
          <w:sz w:val="24"/>
          <w:szCs w:val="24"/>
          <w:highlight w:val="none"/>
        </w:rPr>
        <w:t>月</w:t>
      </w:r>
      <w:r>
        <w:rPr>
          <w:rFonts w:hint="eastAsia" w:cs="宋体"/>
          <w:bCs/>
          <w:color w:val="auto"/>
          <w:sz w:val="24"/>
          <w:szCs w:val="24"/>
          <w:highlight w:val="none"/>
          <w:u w:val="single"/>
        </w:rPr>
        <w:t xml:space="preserve">    </w:t>
      </w:r>
      <w:r>
        <w:rPr>
          <w:rFonts w:hint="eastAsia" w:cs="宋体"/>
          <w:bCs/>
          <w:color w:val="auto"/>
          <w:sz w:val="24"/>
          <w:szCs w:val="24"/>
          <w:highlight w:val="none"/>
        </w:rPr>
        <w:t>日签订。</w:t>
      </w:r>
    </w:p>
    <w:p w14:paraId="66EB86AC">
      <w:pPr>
        <w:snapToGrid w:val="0"/>
        <w:spacing w:line="360" w:lineRule="auto"/>
        <w:ind w:firstLine="482" w:firstLineChars="200"/>
        <w:rPr>
          <w:rFonts w:cs="宋体"/>
          <w:b/>
          <w:color w:val="auto"/>
          <w:sz w:val="24"/>
          <w:szCs w:val="24"/>
          <w:highlight w:val="none"/>
        </w:rPr>
      </w:pPr>
      <w:bookmarkStart w:id="58" w:name="_Toc351203490"/>
      <w:r>
        <w:rPr>
          <w:rFonts w:hint="eastAsia" w:cs="宋体"/>
          <w:b/>
          <w:color w:val="auto"/>
          <w:sz w:val="24"/>
          <w:szCs w:val="24"/>
          <w:highlight w:val="none"/>
        </w:rPr>
        <w:t>十、签订地点</w:t>
      </w:r>
      <w:bookmarkEnd w:id="58"/>
    </w:p>
    <w:p w14:paraId="53D2AF75">
      <w:pPr>
        <w:snapToGrid w:val="0"/>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本合同在</w:t>
      </w:r>
      <w:r>
        <w:rPr>
          <w:rFonts w:hint="eastAsia" w:cs="宋体"/>
          <w:bCs/>
          <w:color w:val="auto"/>
          <w:sz w:val="24"/>
          <w:szCs w:val="24"/>
          <w:highlight w:val="none"/>
          <w:u w:val="single"/>
        </w:rPr>
        <w:t xml:space="preserve"> </w:t>
      </w:r>
      <w:r>
        <w:rPr>
          <w:rFonts w:hint="eastAsia" w:cs="宋体"/>
          <w:bCs/>
          <w:color w:val="auto"/>
          <w:sz w:val="24"/>
          <w:szCs w:val="24"/>
          <w:highlight w:val="none"/>
          <w:u w:val="single"/>
          <w:lang w:val="en-US" w:eastAsia="zh-CN"/>
        </w:rPr>
        <w:t xml:space="preserve">采购人指定地点 </w:t>
      </w:r>
      <w:r>
        <w:rPr>
          <w:rFonts w:hint="eastAsia" w:cs="宋体"/>
          <w:bCs/>
          <w:color w:val="auto"/>
          <w:sz w:val="24"/>
          <w:szCs w:val="24"/>
          <w:highlight w:val="none"/>
        </w:rPr>
        <w:t>签订。</w:t>
      </w:r>
    </w:p>
    <w:p w14:paraId="19030E88">
      <w:pPr>
        <w:snapToGrid w:val="0"/>
        <w:spacing w:line="360" w:lineRule="auto"/>
        <w:ind w:firstLine="482" w:firstLineChars="200"/>
        <w:rPr>
          <w:rFonts w:cs="宋体"/>
          <w:b/>
          <w:color w:val="auto"/>
          <w:sz w:val="24"/>
          <w:szCs w:val="24"/>
          <w:highlight w:val="none"/>
        </w:rPr>
      </w:pPr>
      <w:bookmarkStart w:id="59" w:name="_Toc351203491"/>
      <w:r>
        <w:rPr>
          <w:rFonts w:hint="eastAsia" w:cs="宋体"/>
          <w:b/>
          <w:color w:val="auto"/>
          <w:sz w:val="24"/>
          <w:szCs w:val="24"/>
          <w:highlight w:val="none"/>
        </w:rPr>
        <w:t>十一、补充协议</w:t>
      </w:r>
      <w:bookmarkEnd w:id="59"/>
    </w:p>
    <w:p w14:paraId="27F94617">
      <w:pPr>
        <w:snapToGrid w:val="0"/>
        <w:spacing w:line="360" w:lineRule="auto"/>
        <w:ind w:firstLine="480" w:firstLineChars="200"/>
        <w:rPr>
          <w:rFonts w:cs="宋体"/>
          <w:b/>
          <w:bCs/>
          <w:color w:val="auto"/>
          <w:sz w:val="24"/>
          <w:szCs w:val="24"/>
          <w:highlight w:val="none"/>
        </w:rPr>
      </w:pPr>
      <w:r>
        <w:rPr>
          <w:rFonts w:hint="eastAsia" w:cs="宋体"/>
          <w:bCs/>
          <w:color w:val="auto"/>
          <w:sz w:val="24"/>
          <w:szCs w:val="24"/>
          <w:highlight w:val="none"/>
        </w:rPr>
        <w:t>合同未尽事宜，合同当事人另行签订补充协议，补充协议是合同的组成部分。</w:t>
      </w:r>
    </w:p>
    <w:p w14:paraId="04E211E0">
      <w:pPr>
        <w:snapToGrid w:val="0"/>
        <w:spacing w:line="360" w:lineRule="auto"/>
        <w:ind w:firstLine="482" w:firstLineChars="200"/>
        <w:rPr>
          <w:rFonts w:cs="宋体"/>
          <w:b/>
          <w:color w:val="auto"/>
          <w:sz w:val="24"/>
          <w:szCs w:val="24"/>
          <w:highlight w:val="none"/>
        </w:rPr>
      </w:pPr>
      <w:bookmarkStart w:id="60" w:name="_Toc351203492"/>
      <w:r>
        <w:rPr>
          <w:rFonts w:hint="eastAsia" w:cs="宋体"/>
          <w:b/>
          <w:color w:val="auto"/>
          <w:sz w:val="24"/>
          <w:szCs w:val="24"/>
          <w:highlight w:val="none"/>
        </w:rPr>
        <w:t>十二、合同生效</w:t>
      </w:r>
      <w:bookmarkEnd w:id="60"/>
    </w:p>
    <w:p w14:paraId="1F8343DE">
      <w:pPr>
        <w:snapToGrid w:val="0"/>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本合同自</w:t>
      </w:r>
      <w:r>
        <w:rPr>
          <w:rFonts w:hint="eastAsia" w:cs="宋体"/>
          <w:bCs/>
          <w:color w:val="auto"/>
          <w:sz w:val="24"/>
          <w:szCs w:val="24"/>
          <w:highlight w:val="none"/>
          <w:u w:val="single"/>
        </w:rPr>
        <w:t xml:space="preserve">                                   </w:t>
      </w:r>
      <w:r>
        <w:rPr>
          <w:rFonts w:hint="eastAsia" w:cs="宋体"/>
          <w:bCs/>
          <w:color w:val="auto"/>
          <w:sz w:val="24"/>
          <w:szCs w:val="24"/>
          <w:highlight w:val="none"/>
        </w:rPr>
        <w:t>生效。</w:t>
      </w:r>
    </w:p>
    <w:p w14:paraId="5DD99EA9">
      <w:pPr>
        <w:snapToGrid w:val="0"/>
        <w:spacing w:line="360" w:lineRule="auto"/>
        <w:ind w:firstLine="482" w:firstLineChars="200"/>
        <w:rPr>
          <w:rFonts w:cs="宋体"/>
          <w:b/>
          <w:color w:val="auto"/>
          <w:sz w:val="24"/>
          <w:szCs w:val="24"/>
          <w:highlight w:val="none"/>
        </w:rPr>
      </w:pPr>
      <w:bookmarkStart w:id="61" w:name="_Toc351203493"/>
      <w:r>
        <w:rPr>
          <w:rFonts w:hint="eastAsia" w:cs="宋体"/>
          <w:b/>
          <w:color w:val="auto"/>
          <w:sz w:val="24"/>
          <w:szCs w:val="24"/>
          <w:highlight w:val="none"/>
        </w:rPr>
        <w:t>十三、合同份数</w:t>
      </w:r>
      <w:bookmarkEnd w:id="61"/>
    </w:p>
    <w:p w14:paraId="03E6A39C">
      <w:pPr>
        <w:snapToGrid w:val="0"/>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本合同一式</w:t>
      </w:r>
      <w:r>
        <w:rPr>
          <w:rFonts w:hint="eastAsia" w:cs="宋体"/>
          <w:bCs/>
          <w:color w:val="auto"/>
          <w:sz w:val="24"/>
          <w:szCs w:val="24"/>
          <w:highlight w:val="none"/>
          <w:lang w:val="en-US" w:eastAsia="zh-CN"/>
        </w:rPr>
        <w:t xml:space="preserve"> </w:t>
      </w:r>
      <w:r>
        <w:rPr>
          <w:rFonts w:hint="eastAsia" w:cs="宋体"/>
          <w:bCs/>
          <w:color w:val="auto"/>
          <w:sz w:val="24"/>
          <w:szCs w:val="24"/>
          <w:highlight w:val="none"/>
          <w:u w:val="single"/>
          <w:lang w:val="en-US" w:eastAsia="zh-CN"/>
        </w:rPr>
        <w:t xml:space="preserve">陆 </w:t>
      </w:r>
      <w:r>
        <w:rPr>
          <w:rFonts w:hint="eastAsia" w:cs="宋体"/>
          <w:bCs/>
          <w:color w:val="auto"/>
          <w:sz w:val="24"/>
          <w:szCs w:val="24"/>
          <w:highlight w:val="none"/>
        </w:rPr>
        <w:t>份，均具有同等法律效力，发包人执</w:t>
      </w:r>
      <w:r>
        <w:rPr>
          <w:rFonts w:hint="eastAsia" w:cs="宋体"/>
          <w:bCs/>
          <w:color w:val="auto"/>
          <w:sz w:val="24"/>
          <w:szCs w:val="24"/>
          <w:highlight w:val="none"/>
          <w:lang w:val="en-US" w:eastAsia="zh-CN"/>
        </w:rPr>
        <w:t xml:space="preserve"> </w:t>
      </w:r>
      <w:r>
        <w:rPr>
          <w:rFonts w:hint="eastAsia" w:cs="宋体"/>
          <w:bCs/>
          <w:color w:val="auto"/>
          <w:sz w:val="24"/>
          <w:szCs w:val="24"/>
          <w:highlight w:val="none"/>
          <w:u w:val="single"/>
          <w:lang w:val="en-US" w:eastAsia="zh-CN"/>
        </w:rPr>
        <w:t xml:space="preserve">叁 </w:t>
      </w:r>
      <w:r>
        <w:rPr>
          <w:rFonts w:hint="eastAsia" w:cs="宋体"/>
          <w:bCs/>
          <w:color w:val="auto"/>
          <w:sz w:val="24"/>
          <w:szCs w:val="24"/>
          <w:highlight w:val="none"/>
        </w:rPr>
        <w:t>份，承包人执</w:t>
      </w:r>
      <w:r>
        <w:rPr>
          <w:rFonts w:hint="eastAsia" w:cs="宋体"/>
          <w:bCs/>
          <w:color w:val="auto"/>
          <w:sz w:val="24"/>
          <w:szCs w:val="24"/>
          <w:highlight w:val="none"/>
          <w:lang w:val="en-US" w:eastAsia="zh-CN"/>
        </w:rPr>
        <w:t xml:space="preserve"> </w:t>
      </w:r>
      <w:r>
        <w:rPr>
          <w:rFonts w:hint="eastAsia" w:cs="宋体"/>
          <w:bCs/>
          <w:color w:val="auto"/>
          <w:sz w:val="24"/>
          <w:szCs w:val="24"/>
          <w:highlight w:val="none"/>
          <w:u w:val="single"/>
          <w:lang w:val="en-US" w:eastAsia="zh-CN"/>
        </w:rPr>
        <w:t xml:space="preserve">叁 </w:t>
      </w:r>
      <w:r>
        <w:rPr>
          <w:rFonts w:hint="eastAsia" w:cs="宋体"/>
          <w:bCs/>
          <w:color w:val="auto"/>
          <w:sz w:val="24"/>
          <w:szCs w:val="24"/>
          <w:highlight w:val="none"/>
        </w:rPr>
        <w:t>份。</w:t>
      </w:r>
    </w:p>
    <w:p w14:paraId="4F7BA374">
      <w:pPr>
        <w:snapToGrid w:val="0"/>
        <w:spacing w:line="360" w:lineRule="auto"/>
        <w:rPr>
          <w:rFonts w:cs="宋体"/>
          <w:bCs/>
          <w:color w:val="auto"/>
          <w:sz w:val="24"/>
          <w:szCs w:val="24"/>
          <w:highlight w:val="none"/>
        </w:rPr>
      </w:pPr>
    </w:p>
    <w:p w14:paraId="1775DF15">
      <w:pPr>
        <w:snapToGrid w:val="0"/>
        <w:spacing w:line="360" w:lineRule="auto"/>
        <w:rPr>
          <w:rFonts w:cs="宋体"/>
          <w:color w:val="auto"/>
          <w:sz w:val="24"/>
          <w:szCs w:val="24"/>
          <w:highlight w:val="none"/>
        </w:rPr>
      </w:pPr>
      <w:r>
        <w:rPr>
          <w:rFonts w:hint="eastAsia" w:cs="宋体"/>
          <w:color w:val="auto"/>
          <w:sz w:val="24"/>
          <w:szCs w:val="24"/>
          <w:highlight w:val="none"/>
        </w:rPr>
        <w:t>发包人：</w:t>
      </w:r>
      <w:r>
        <w:rPr>
          <w:rFonts w:hint="eastAsia" w:cs="宋体"/>
          <w:color w:val="auto"/>
          <w:sz w:val="24"/>
          <w:szCs w:val="24"/>
          <w:highlight w:val="none"/>
          <w:u w:val="single"/>
        </w:rPr>
        <w:t>      （</w:t>
      </w:r>
      <w:r>
        <w:rPr>
          <w:rFonts w:hint="eastAsia" w:cs="宋体"/>
          <w:color w:val="auto"/>
          <w:sz w:val="24"/>
          <w:szCs w:val="24"/>
          <w:highlight w:val="none"/>
        </w:rPr>
        <w:t>公章）                 承包人：</w:t>
      </w:r>
      <w:r>
        <w:rPr>
          <w:rFonts w:hint="eastAsia" w:cs="宋体"/>
          <w:color w:val="auto"/>
          <w:sz w:val="24"/>
          <w:szCs w:val="24"/>
          <w:highlight w:val="none"/>
          <w:u w:val="single"/>
        </w:rPr>
        <w:t>        （</w:t>
      </w:r>
      <w:r>
        <w:rPr>
          <w:rFonts w:hint="eastAsia" w:cs="宋体"/>
          <w:color w:val="auto"/>
          <w:sz w:val="24"/>
          <w:szCs w:val="24"/>
          <w:highlight w:val="none"/>
        </w:rPr>
        <w:t>公章）</w:t>
      </w:r>
    </w:p>
    <w:p w14:paraId="05ABCCB3">
      <w:pPr>
        <w:snapToGrid w:val="0"/>
        <w:spacing w:line="360" w:lineRule="auto"/>
        <w:rPr>
          <w:rFonts w:cs="宋体"/>
          <w:color w:val="auto"/>
          <w:sz w:val="24"/>
          <w:szCs w:val="24"/>
          <w:highlight w:val="none"/>
        </w:rPr>
      </w:pPr>
      <w:r>
        <w:rPr>
          <w:rFonts w:hint="eastAsia" w:cs="宋体"/>
          <w:color w:val="auto"/>
          <w:sz w:val="24"/>
          <w:szCs w:val="24"/>
          <w:highlight w:val="none"/>
        </w:rPr>
        <w:t>法定代表人或其委托代理人：                 法定代表人或其委托代理人：</w:t>
      </w:r>
    </w:p>
    <w:p w14:paraId="3566CE4E">
      <w:pPr>
        <w:snapToGrid w:val="0"/>
        <w:spacing w:line="360" w:lineRule="auto"/>
        <w:rPr>
          <w:rFonts w:cs="宋体"/>
          <w:color w:val="auto"/>
          <w:sz w:val="24"/>
          <w:szCs w:val="24"/>
          <w:highlight w:val="none"/>
        </w:rPr>
      </w:pPr>
      <w:r>
        <w:rPr>
          <w:rFonts w:hint="eastAsia" w:cs="宋体"/>
          <w:color w:val="auto"/>
          <w:sz w:val="24"/>
          <w:szCs w:val="24"/>
          <w:highlight w:val="none"/>
        </w:rPr>
        <w:t>（签字）</w:t>
      </w:r>
      <w:r>
        <w:rPr>
          <w:rFonts w:hint="eastAsia" w:cs="宋体"/>
          <w:color w:val="auto"/>
          <w:sz w:val="24"/>
          <w:szCs w:val="24"/>
          <w:highlight w:val="none"/>
          <w:u w:val="single"/>
        </w:rPr>
        <w:t xml:space="preserve">                    </w:t>
      </w:r>
      <w:r>
        <w:rPr>
          <w:rFonts w:hint="eastAsia" w:cs="宋体"/>
          <w:color w:val="auto"/>
          <w:sz w:val="24"/>
          <w:szCs w:val="24"/>
          <w:highlight w:val="none"/>
        </w:rPr>
        <w:t xml:space="preserve">              （签字）</w:t>
      </w:r>
      <w:r>
        <w:rPr>
          <w:rFonts w:hint="eastAsia" w:cs="宋体"/>
          <w:color w:val="auto"/>
          <w:sz w:val="24"/>
          <w:szCs w:val="24"/>
          <w:highlight w:val="none"/>
          <w:u w:val="single"/>
        </w:rPr>
        <w:t xml:space="preserve">                   </w:t>
      </w:r>
    </w:p>
    <w:p w14:paraId="2FD7DB59">
      <w:pPr>
        <w:tabs>
          <w:tab w:val="left" w:pos="4410"/>
        </w:tabs>
        <w:snapToGrid w:val="0"/>
        <w:spacing w:line="360" w:lineRule="auto"/>
        <w:rPr>
          <w:rFonts w:cs="宋体"/>
          <w:color w:val="auto"/>
          <w:sz w:val="24"/>
          <w:szCs w:val="24"/>
          <w:highlight w:val="none"/>
        </w:rPr>
      </w:pPr>
      <w:r>
        <w:rPr>
          <w:rFonts w:hint="eastAsia" w:cs="宋体"/>
          <w:color w:val="auto"/>
          <w:sz w:val="24"/>
          <w:szCs w:val="24"/>
          <w:highlight w:val="none"/>
        </w:rPr>
        <w:t>组织机构代码：</w:t>
      </w:r>
      <w:r>
        <w:rPr>
          <w:rFonts w:hint="eastAsia" w:cs="宋体"/>
          <w:color w:val="auto"/>
          <w:sz w:val="24"/>
          <w:szCs w:val="24"/>
          <w:highlight w:val="none"/>
          <w:u w:val="single"/>
        </w:rPr>
        <w:t xml:space="preserve">       </w:t>
      </w:r>
      <w:r>
        <w:rPr>
          <w:rFonts w:hint="eastAsia" w:cs="宋体"/>
          <w:color w:val="auto"/>
          <w:sz w:val="24"/>
          <w:szCs w:val="24"/>
          <w:highlight w:val="none"/>
        </w:rPr>
        <w:t xml:space="preserve">                组织机构代码：</w:t>
      </w:r>
      <w:r>
        <w:rPr>
          <w:rFonts w:hint="eastAsia" w:cs="宋体"/>
          <w:color w:val="auto"/>
          <w:sz w:val="24"/>
          <w:szCs w:val="24"/>
          <w:highlight w:val="none"/>
          <w:u w:val="single"/>
        </w:rPr>
        <w:t xml:space="preserve">        </w:t>
      </w:r>
    </w:p>
    <w:p w14:paraId="69A86ACE">
      <w:pPr>
        <w:snapToGrid w:val="0"/>
        <w:spacing w:line="360" w:lineRule="auto"/>
        <w:rPr>
          <w:rFonts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    </w:t>
      </w:r>
      <w:r>
        <w:rPr>
          <w:rFonts w:hint="eastAsia" w:cs="宋体"/>
          <w:color w:val="auto"/>
          <w:sz w:val="24"/>
          <w:szCs w:val="24"/>
          <w:highlight w:val="none"/>
        </w:rPr>
        <w:t xml:space="preserve">                地  址：</w:t>
      </w:r>
      <w:r>
        <w:rPr>
          <w:rFonts w:hint="eastAsia" w:cs="宋体"/>
          <w:color w:val="auto"/>
          <w:sz w:val="24"/>
          <w:szCs w:val="24"/>
          <w:highlight w:val="none"/>
          <w:u w:val="single"/>
        </w:rPr>
        <w:t xml:space="preserve">     </w:t>
      </w:r>
    </w:p>
    <w:p w14:paraId="453ED850">
      <w:pPr>
        <w:snapToGrid w:val="0"/>
        <w:spacing w:line="360" w:lineRule="auto"/>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     </w:t>
      </w:r>
      <w:r>
        <w:rPr>
          <w:rFonts w:hint="eastAsia" w:cs="宋体"/>
          <w:color w:val="auto"/>
          <w:sz w:val="24"/>
          <w:szCs w:val="24"/>
          <w:highlight w:val="none"/>
        </w:rPr>
        <w:t xml:space="preserve">               邮政编码：</w:t>
      </w:r>
      <w:r>
        <w:rPr>
          <w:rFonts w:hint="eastAsia" w:cs="宋体"/>
          <w:color w:val="auto"/>
          <w:sz w:val="24"/>
          <w:szCs w:val="24"/>
          <w:highlight w:val="none"/>
          <w:u w:val="single"/>
        </w:rPr>
        <w:t xml:space="preserve"> </w:t>
      </w:r>
    </w:p>
    <w:p w14:paraId="5BF55F5D">
      <w:pPr>
        <w:snapToGrid w:val="0"/>
        <w:spacing w:line="360" w:lineRule="auto"/>
        <w:rPr>
          <w:rFonts w:cs="宋体"/>
          <w:color w:val="auto"/>
          <w:sz w:val="24"/>
          <w:szCs w:val="24"/>
          <w:highlight w:val="none"/>
        </w:rPr>
      </w:pPr>
      <w:r>
        <w:rPr>
          <w:rFonts w:hint="eastAsia" w:cs="宋体"/>
          <w:color w:val="auto"/>
          <w:sz w:val="24"/>
          <w:szCs w:val="24"/>
          <w:highlight w:val="none"/>
        </w:rPr>
        <w:t>法定代表人：</w:t>
      </w:r>
      <w:r>
        <w:rPr>
          <w:rFonts w:hint="eastAsia" w:cs="宋体"/>
          <w:color w:val="auto"/>
          <w:sz w:val="24"/>
          <w:szCs w:val="24"/>
          <w:highlight w:val="none"/>
          <w:u w:val="single"/>
        </w:rPr>
        <w:t xml:space="preserve">           </w:t>
      </w:r>
      <w:r>
        <w:rPr>
          <w:rFonts w:hint="eastAsia" w:cs="宋体"/>
          <w:color w:val="auto"/>
          <w:sz w:val="24"/>
          <w:szCs w:val="24"/>
          <w:highlight w:val="none"/>
        </w:rPr>
        <w:t xml:space="preserve">                法定代表人：</w:t>
      </w:r>
      <w:r>
        <w:rPr>
          <w:rFonts w:hint="eastAsia" w:cs="宋体"/>
          <w:color w:val="auto"/>
          <w:sz w:val="24"/>
          <w:szCs w:val="24"/>
          <w:highlight w:val="none"/>
          <w:u w:val="single"/>
        </w:rPr>
        <w:t xml:space="preserve">          </w:t>
      </w:r>
    </w:p>
    <w:p w14:paraId="44FBA37C">
      <w:pPr>
        <w:snapToGrid w:val="0"/>
        <w:spacing w:line="360" w:lineRule="auto"/>
        <w:rPr>
          <w:rFonts w:cs="宋体"/>
          <w:color w:val="auto"/>
          <w:sz w:val="24"/>
          <w:szCs w:val="24"/>
          <w:highlight w:val="none"/>
        </w:rPr>
      </w:pPr>
      <w:r>
        <w:rPr>
          <w:rFonts w:hint="eastAsia" w:cs="宋体"/>
          <w:color w:val="auto"/>
          <w:sz w:val="24"/>
          <w:szCs w:val="24"/>
          <w:highlight w:val="none"/>
        </w:rPr>
        <w:t>委托代理人：</w:t>
      </w:r>
      <w:r>
        <w:rPr>
          <w:rFonts w:hint="eastAsia" w:cs="宋体"/>
          <w:color w:val="auto"/>
          <w:sz w:val="24"/>
          <w:szCs w:val="24"/>
          <w:highlight w:val="none"/>
          <w:u w:val="single"/>
        </w:rPr>
        <w:t xml:space="preserve">           </w:t>
      </w:r>
      <w:r>
        <w:rPr>
          <w:rFonts w:hint="eastAsia" w:cs="宋体"/>
          <w:color w:val="auto"/>
          <w:sz w:val="24"/>
          <w:szCs w:val="24"/>
          <w:highlight w:val="none"/>
        </w:rPr>
        <w:t xml:space="preserve">                委托代理人：</w:t>
      </w:r>
      <w:r>
        <w:rPr>
          <w:rFonts w:hint="eastAsia" w:cs="宋体"/>
          <w:color w:val="auto"/>
          <w:sz w:val="24"/>
          <w:szCs w:val="24"/>
          <w:highlight w:val="none"/>
          <w:u w:val="single"/>
        </w:rPr>
        <w:t xml:space="preserve">          </w:t>
      </w:r>
    </w:p>
    <w:p w14:paraId="398A6F3B">
      <w:pPr>
        <w:snapToGrid w:val="0"/>
        <w:spacing w:line="360" w:lineRule="auto"/>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r>
        <w:rPr>
          <w:rFonts w:hint="eastAsia" w:cs="宋体"/>
          <w:color w:val="auto"/>
          <w:sz w:val="24"/>
          <w:szCs w:val="24"/>
          <w:highlight w:val="none"/>
        </w:rPr>
        <w:t xml:space="preserve">                电  话：</w:t>
      </w:r>
      <w:r>
        <w:rPr>
          <w:rFonts w:hint="eastAsia" w:cs="宋体"/>
          <w:color w:val="auto"/>
          <w:sz w:val="24"/>
          <w:szCs w:val="24"/>
          <w:highlight w:val="none"/>
          <w:u w:val="single"/>
        </w:rPr>
        <w:t xml:space="preserve">  </w:t>
      </w:r>
    </w:p>
    <w:p w14:paraId="13A2EACA">
      <w:pPr>
        <w:snapToGrid w:val="0"/>
        <w:spacing w:line="360" w:lineRule="auto"/>
        <w:rPr>
          <w:rFonts w:cs="宋体"/>
          <w:color w:val="auto"/>
          <w:sz w:val="24"/>
          <w:szCs w:val="24"/>
          <w:highlight w:val="none"/>
        </w:rPr>
      </w:pPr>
      <w:r>
        <w:rPr>
          <w:rFonts w:hint="eastAsia" w:cs="宋体"/>
          <w:color w:val="auto"/>
          <w:sz w:val="24"/>
          <w:szCs w:val="24"/>
          <w:highlight w:val="none"/>
        </w:rPr>
        <w:t>传  真：</w:t>
      </w:r>
      <w:r>
        <w:rPr>
          <w:rFonts w:hint="eastAsia" w:cs="宋体"/>
          <w:color w:val="auto"/>
          <w:sz w:val="24"/>
          <w:szCs w:val="24"/>
          <w:highlight w:val="none"/>
          <w:u w:val="single"/>
        </w:rPr>
        <w:t xml:space="preserve">   </w:t>
      </w:r>
      <w:r>
        <w:rPr>
          <w:rFonts w:hint="eastAsia" w:cs="宋体"/>
          <w:color w:val="auto"/>
          <w:sz w:val="24"/>
          <w:szCs w:val="24"/>
          <w:highlight w:val="none"/>
        </w:rPr>
        <w:t xml:space="preserve">                传  真：</w:t>
      </w:r>
      <w:r>
        <w:rPr>
          <w:rFonts w:hint="eastAsia" w:cs="宋体"/>
          <w:color w:val="auto"/>
          <w:sz w:val="24"/>
          <w:szCs w:val="24"/>
          <w:highlight w:val="none"/>
          <w:u w:val="single"/>
        </w:rPr>
        <w:t>  </w:t>
      </w:r>
    </w:p>
    <w:p w14:paraId="0D4CB4AF">
      <w:pPr>
        <w:snapToGrid w:val="0"/>
        <w:spacing w:line="360" w:lineRule="auto"/>
        <w:rPr>
          <w:rFonts w:cs="宋体"/>
          <w:color w:val="auto"/>
          <w:sz w:val="24"/>
          <w:szCs w:val="24"/>
          <w:highlight w:val="none"/>
        </w:rPr>
      </w:pPr>
      <w:r>
        <w:rPr>
          <w:rFonts w:hint="eastAsia" w:cs="宋体"/>
          <w:color w:val="auto"/>
          <w:sz w:val="24"/>
          <w:szCs w:val="24"/>
          <w:highlight w:val="none"/>
        </w:rPr>
        <w:t>电子信箱：</w:t>
      </w:r>
      <w:r>
        <w:rPr>
          <w:rFonts w:hint="eastAsia" w:cs="宋体"/>
          <w:color w:val="auto"/>
          <w:sz w:val="24"/>
          <w:szCs w:val="24"/>
          <w:highlight w:val="none"/>
          <w:u w:val="single"/>
        </w:rPr>
        <w:t xml:space="preserve">                 </w:t>
      </w:r>
      <w:r>
        <w:rPr>
          <w:rFonts w:hint="eastAsia" w:cs="宋体"/>
          <w:color w:val="auto"/>
          <w:sz w:val="24"/>
          <w:szCs w:val="24"/>
          <w:highlight w:val="none"/>
        </w:rPr>
        <w:t xml:space="preserve">                电子信箱：</w:t>
      </w:r>
      <w:r>
        <w:rPr>
          <w:rFonts w:hint="eastAsia" w:cs="宋体"/>
          <w:color w:val="auto"/>
          <w:sz w:val="24"/>
          <w:szCs w:val="24"/>
          <w:highlight w:val="none"/>
          <w:u w:val="single"/>
        </w:rPr>
        <w:t></w:t>
      </w:r>
    </w:p>
    <w:p w14:paraId="62270A78">
      <w:pPr>
        <w:snapToGrid w:val="0"/>
        <w:spacing w:line="360" w:lineRule="auto"/>
        <w:rPr>
          <w:rFonts w:cs="宋体"/>
          <w:color w:val="auto"/>
          <w:sz w:val="24"/>
          <w:szCs w:val="24"/>
          <w:highlight w:val="none"/>
        </w:rPr>
      </w:pPr>
      <w:r>
        <w:rPr>
          <w:rFonts w:hint="eastAsia" w:cs="宋体"/>
          <w:color w:val="auto"/>
          <w:sz w:val="24"/>
          <w:szCs w:val="24"/>
          <w:highlight w:val="none"/>
        </w:rPr>
        <w:t>开户银行：</w:t>
      </w:r>
      <w:r>
        <w:rPr>
          <w:rFonts w:hint="eastAsia" w:cs="宋体"/>
          <w:color w:val="auto"/>
          <w:sz w:val="24"/>
          <w:szCs w:val="24"/>
          <w:highlight w:val="none"/>
          <w:u w:val="single"/>
        </w:rPr>
        <w:t xml:space="preserve">   </w:t>
      </w:r>
      <w:r>
        <w:rPr>
          <w:rFonts w:hint="eastAsia" w:cs="宋体"/>
          <w:color w:val="auto"/>
          <w:sz w:val="24"/>
          <w:szCs w:val="24"/>
          <w:highlight w:val="none"/>
        </w:rPr>
        <w:t xml:space="preserve">                开户银行：</w:t>
      </w:r>
      <w:r>
        <w:rPr>
          <w:rFonts w:hint="eastAsia" w:cs="宋体"/>
          <w:color w:val="auto"/>
          <w:sz w:val="24"/>
          <w:szCs w:val="24"/>
          <w:highlight w:val="none"/>
          <w:u w:val="single"/>
        </w:rPr>
        <w:t></w:t>
      </w:r>
    </w:p>
    <w:p w14:paraId="6FB59C6B">
      <w:pPr>
        <w:snapToGrid w:val="0"/>
        <w:spacing w:line="360" w:lineRule="auto"/>
        <w:rPr>
          <w:rFonts w:cs="宋体"/>
          <w:color w:val="auto"/>
          <w:sz w:val="24"/>
          <w:szCs w:val="24"/>
          <w:highlight w:val="none"/>
        </w:rPr>
      </w:pPr>
      <w:r>
        <w:rPr>
          <w:rFonts w:hint="eastAsia" w:cs="宋体"/>
          <w:color w:val="auto"/>
          <w:sz w:val="24"/>
          <w:szCs w:val="24"/>
          <w:highlight w:val="none"/>
        </w:rPr>
        <w:t>账  号：</w:t>
      </w:r>
      <w:r>
        <w:rPr>
          <w:rFonts w:hint="eastAsia" w:cs="宋体"/>
          <w:color w:val="auto"/>
          <w:sz w:val="24"/>
          <w:szCs w:val="24"/>
          <w:highlight w:val="none"/>
          <w:u w:val="single"/>
        </w:rPr>
        <w:t xml:space="preserve">       </w:t>
      </w:r>
      <w:r>
        <w:rPr>
          <w:rFonts w:hint="eastAsia" w:cs="宋体"/>
          <w:color w:val="auto"/>
          <w:sz w:val="24"/>
          <w:szCs w:val="24"/>
          <w:highlight w:val="none"/>
        </w:rPr>
        <w:t xml:space="preserve">                账  号：</w:t>
      </w:r>
      <w:r>
        <w:rPr>
          <w:rFonts w:hint="eastAsia" w:cs="宋体"/>
          <w:color w:val="auto"/>
          <w:sz w:val="24"/>
          <w:szCs w:val="24"/>
          <w:highlight w:val="none"/>
          <w:u w:val="single"/>
        </w:rPr>
        <w:t xml:space="preserve">   </w:t>
      </w:r>
    </w:p>
    <w:p w14:paraId="60150656">
      <w:pPr>
        <w:keepNext/>
        <w:keepLines/>
        <w:snapToGrid w:val="0"/>
        <w:spacing w:before="312" w:beforeLines="100" w:after="312" w:afterLines="100" w:line="360" w:lineRule="auto"/>
        <w:jc w:val="center"/>
        <w:outlineLvl w:val="1"/>
        <w:rPr>
          <w:rFonts w:cs="宋体"/>
          <w:bCs/>
          <w:color w:val="auto"/>
          <w:sz w:val="24"/>
          <w:szCs w:val="24"/>
          <w:highlight w:val="none"/>
        </w:rPr>
      </w:pPr>
      <w:r>
        <w:rPr>
          <w:rFonts w:hint="eastAsia" w:cs="宋体"/>
          <w:b/>
          <w:bCs/>
          <w:color w:val="auto"/>
          <w:sz w:val="24"/>
          <w:szCs w:val="24"/>
          <w:highlight w:val="none"/>
        </w:rPr>
        <w:br w:type="page"/>
      </w:r>
      <w:bookmarkStart w:id="62" w:name="_Toc28799377"/>
      <w:bookmarkStart w:id="63" w:name="_Toc130919121"/>
      <w:bookmarkStart w:id="64" w:name="_Toc30550"/>
      <w:r>
        <w:rPr>
          <w:rFonts w:hint="eastAsia" w:ascii="等线" w:hAnsi="等线" w:eastAsia="等线" w:cs="@仿宋_GB2312"/>
          <w:b/>
          <w:color w:val="auto"/>
          <w:kern w:val="2"/>
          <w:sz w:val="24"/>
          <w:szCs w:val="24"/>
          <w:highlight w:val="none"/>
        </w:rPr>
        <w:t>第二节  通用合同条款</w:t>
      </w:r>
      <w:bookmarkEnd w:id="62"/>
      <w:bookmarkEnd w:id="63"/>
      <w:bookmarkEnd w:id="64"/>
    </w:p>
    <w:p w14:paraId="6444F4EC">
      <w:pPr>
        <w:spacing w:line="360" w:lineRule="auto"/>
        <w:ind w:firstLine="480" w:firstLineChars="200"/>
        <w:rPr>
          <w:rFonts w:cs="Times New Roman"/>
          <w:snapToGrid w:val="0"/>
          <w:color w:val="auto"/>
          <w:sz w:val="24"/>
          <w:szCs w:val="24"/>
          <w:highlight w:val="none"/>
        </w:rPr>
      </w:pPr>
      <w:r>
        <w:rPr>
          <w:rFonts w:hint="eastAsia" w:cs="Times New Roman"/>
          <w:snapToGrid w:val="0"/>
          <w:color w:val="auto"/>
          <w:sz w:val="24"/>
          <w:szCs w:val="24"/>
          <w:highlight w:val="none"/>
        </w:rPr>
        <w:t>采用《建设工程施工合同（示范文本）》（GF-2017-0201）中通用合同条款。上述资料由承包人自行准备。</w:t>
      </w:r>
    </w:p>
    <w:p w14:paraId="5E1E5D5A">
      <w:pPr>
        <w:keepNext/>
        <w:keepLines/>
        <w:snapToGrid w:val="0"/>
        <w:spacing w:before="312" w:beforeLines="100" w:after="312" w:afterLines="100" w:line="360" w:lineRule="auto"/>
        <w:jc w:val="center"/>
        <w:outlineLvl w:val="1"/>
        <w:rPr>
          <w:rFonts w:cs="宋体"/>
          <w:bCs/>
          <w:color w:val="auto"/>
          <w:sz w:val="24"/>
          <w:szCs w:val="24"/>
          <w:highlight w:val="none"/>
        </w:rPr>
      </w:pPr>
      <w:r>
        <w:rPr>
          <w:rFonts w:hint="eastAsia" w:cs="宋体"/>
          <w:b/>
          <w:bCs/>
          <w:color w:val="auto"/>
          <w:sz w:val="24"/>
          <w:szCs w:val="24"/>
          <w:highlight w:val="none"/>
        </w:rPr>
        <w:br w:type="page"/>
      </w:r>
      <w:bookmarkStart w:id="65" w:name="_Toc31931"/>
      <w:bookmarkStart w:id="66" w:name="_Toc130919122"/>
      <w:bookmarkStart w:id="67" w:name="_Toc28799378"/>
      <w:r>
        <w:rPr>
          <w:rFonts w:hint="eastAsia" w:ascii="等线" w:hAnsi="等线" w:eastAsia="等线" w:cs="@仿宋_GB2312"/>
          <w:b/>
          <w:color w:val="auto"/>
          <w:kern w:val="2"/>
          <w:sz w:val="24"/>
          <w:szCs w:val="24"/>
          <w:highlight w:val="none"/>
        </w:rPr>
        <w:t>第三节  专用合同条款</w:t>
      </w:r>
      <w:bookmarkEnd w:id="65"/>
      <w:bookmarkEnd w:id="66"/>
      <w:bookmarkEnd w:id="67"/>
    </w:p>
    <w:p w14:paraId="61AE5C55">
      <w:pPr>
        <w:snapToGrid w:val="0"/>
        <w:spacing w:before="312" w:beforeLines="100" w:after="312" w:afterLines="100" w:line="360" w:lineRule="auto"/>
        <w:jc w:val="center"/>
        <w:outlineLvl w:val="2"/>
        <w:rPr>
          <w:rFonts w:cs="宋体"/>
          <w:color w:val="auto"/>
          <w:sz w:val="24"/>
          <w:szCs w:val="24"/>
          <w:highlight w:val="none"/>
        </w:rPr>
      </w:pPr>
      <w:bookmarkStart w:id="68" w:name="_Toc351203633"/>
      <w:r>
        <w:rPr>
          <w:rFonts w:hint="eastAsia" w:cs="宋体"/>
          <w:color w:val="auto"/>
          <w:sz w:val="24"/>
          <w:szCs w:val="24"/>
          <w:highlight w:val="none"/>
        </w:rPr>
        <w:t>专用合同条款数据表</w:t>
      </w:r>
    </w:p>
    <w:p w14:paraId="7F9A8F27">
      <w:pPr>
        <w:pStyle w:val="20"/>
        <w:snapToGrid w:val="0"/>
        <w:spacing w:line="360" w:lineRule="auto"/>
        <w:ind w:left="400" w:firstLine="480"/>
        <w:rPr>
          <w:rFonts w:ascii="宋体" w:hAnsi="宋体" w:cs="宋体"/>
          <w:color w:val="auto"/>
          <w:sz w:val="24"/>
          <w:szCs w:val="24"/>
          <w:highlight w:val="none"/>
        </w:rPr>
      </w:pPr>
      <w:r>
        <w:rPr>
          <w:rFonts w:hint="eastAsia" w:ascii="宋体" w:hAnsi="宋体" w:cs="宋体"/>
          <w:color w:val="auto"/>
          <w:sz w:val="24"/>
          <w:szCs w:val="24"/>
          <w:highlight w:val="none"/>
        </w:rPr>
        <w:t>说明：本数据表是项目专用合同条款中适用于本招标项目的信息和数据的归纳与提示，是项目专用合同条款的组成部分。</w:t>
      </w:r>
    </w:p>
    <w:tbl>
      <w:tblPr>
        <w:tblStyle w:val="55"/>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5928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29" w:type="dxa"/>
            <w:vAlign w:val="center"/>
          </w:tcPr>
          <w:p w14:paraId="47A7DABE">
            <w:pPr>
              <w:snapToGrid w:val="0"/>
              <w:spacing w:before="100" w:beforeAutospacing="1" w:line="360" w:lineRule="auto"/>
              <w:ind w:left="-100" w:leftChars="-50" w:right="-100" w:rightChars="-50"/>
              <w:jc w:val="center"/>
              <w:rPr>
                <w:rFonts w:cs="宋体"/>
                <w:b/>
                <w:color w:val="auto"/>
                <w:sz w:val="24"/>
                <w:szCs w:val="24"/>
                <w:highlight w:val="none"/>
              </w:rPr>
            </w:pPr>
            <w:r>
              <w:rPr>
                <w:rFonts w:hint="eastAsia" w:cs="宋体"/>
                <w:b/>
                <w:color w:val="auto"/>
                <w:sz w:val="24"/>
                <w:szCs w:val="24"/>
                <w:highlight w:val="none"/>
              </w:rPr>
              <w:t>序号</w:t>
            </w:r>
          </w:p>
        </w:tc>
        <w:tc>
          <w:tcPr>
            <w:tcW w:w="1111" w:type="dxa"/>
            <w:vAlign w:val="center"/>
          </w:tcPr>
          <w:p w14:paraId="2FE0B21F">
            <w:pPr>
              <w:snapToGrid w:val="0"/>
              <w:spacing w:line="360" w:lineRule="auto"/>
              <w:ind w:left="-100" w:leftChars="-50" w:right="-100" w:rightChars="-50"/>
              <w:jc w:val="center"/>
              <w:rPr>
                <w:rFonts w:cs="宋体"/>
                <w:b/>
                <w:color w:val="auto"/>
                <w:sz w:val="24"/>
                <w:szCs w:val="24"/>
                <w:highlight w:val="none"/>
              </w:rPr>
            </w:pPr>
            <w:r>
              <w:rPr>
                <w:rFonts w:hint="eastAsia" w:cs="宋体"/>
                <w:b/>
                <w:color w:val="auto"/>
                <w:sz w:val="24"/>
                <w:szCs w:val="24"/>
                <w:highlight w:val="none"/>
              </w:rPr>
              <w:t>条目号</w:t>
            </w:r>
          </w:p>
        </w:tc>
        <w:tc>
          <w:tcPr>
            <w:tcW w:w="7304" w:type="dxa"/>
            <w:vAlign w:val="center"/>
          </w:tcPr>
          <w:p w14:paraId="2F80C8B9">
            <w:pPr>
              <w:snapToGrid w:val="0"/>
              <w:spacing w:line="360" w:lineRule="auto"/>
              <w:jc w:val="center"/>
              <w:rPr>
                <w:rFonts w:cs="宋体"/>
                <w:b/>
                <w:color w:val="auto"/>
                <w:sz w:val="24"/>
                <w:szCs w:val="24"/>
                <w:highlight w:val="none"/>
              </w:rPr>
            </w:pPr>
            <w:r>
              <w:rPr>
                <w:rFonts w:hint="eastAsia" w:cs="宋体"/>
                <w:b/>
                <w:color w:val="auto"/>
                <w:sz w:val="24"/>
                <w:szCs w:val="24"/>
                <w:highlight w:val="none"/>
              </w:rPr>
              <w:t>信息或数据</w:t>
            </w:r>
          </w:p>
        </w:tc>
      </w:tr>
      <w:tr w14:paraId="42B0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9" w:type="dxa"/>
            <w:vAlign w:val="center"/>
          </w:tcPr>
          <w:p w14:paraId="44961322">
            <w:pPr>
              <w:numPr>
                <w:ilvl w:val="0"/>
                <w:numId w:val="19"/>
              </w:numPr>
              <w:snapToGrid w:val="0"/>
              <w:spacing w:line="360" w:lineRule="auto"/>
              <w:jc w:val="center"/>
              <w:rPr>
                <w:rFonts w:cs="宋体"/>
                <w:b w:val="0"/>
                <w:bCs/>
                <w:strike w:val="0"/>
                <w:dstrike w:val="0"/>
                <w:color w:val="auto"/>
                <w:kern w:val="2"/>
                <w:sz w:val="24"/>
                <w:szCs w:val="24"/>
                <w:highlight w:val="none"/>
              </w:rPr>
            </w:pPr>
          </w:p>
        </w:tc>
        <w:tc>
          <w:tcPr>
            <w:tcW w:w="1111" w:type="dxa"/>
            <w:vAlign w:val="center"/>
          </w:tcPr>
          <w:p w14:paraId="3FFFE11F">
            <w:pPr>
              <w:snapToGrid w:val="0"/>
              <w:spacing w:line="360" w:lineRule="auto"/>
              <w:jc w:val="center"/>
              <w:rPr>
                <w:rFonts w:cs="宋体"/>
                <w:b w:val="0"/>
                <w:bCs/>
                <w:strike w:val="0"/>
                <w:dstrike w:val="0"/>
                <w:color w:val="auto"/>
                <w:sz w:val="24"/>
                <w:szCs w:val="24"/>
                <w:highlight w:val="none"/>
              </w:rPr>
            </w:pPr>
            <w:r>
              <w:rPr>
                <w:rFonts w:hint="eastAsia" w:cs="宋体"/>
                <w:b w:val="0"/>
                <w:bCs/>
                <w:strike w:val="0"/>
                <w:dstrike w:val="0"/>
                <w:color w:val="auto"/>
                <w:sz w:val="24"/>
                <w:szCs w:val="24"/>
                <w:highlight w:val="none"/>
              </w:rPr>
              <w:t>2.5</w:t>
            </w:r>
          </w:p>
        </w:tc>
        <w:tc>
          <w:tcPr>
            <w:tcW w:w="7304" w:type="dxa"/>
            <w:vAlign w:val="center"/>
          </w:tcPr>
          <w:p w14:paraId="6DE753BF">
            <w:pPr>
              <w:snapToGrid w:val="0"/>
              <w:spacing w:line="360" w:lineRule="auto"/>
              <w:rPr>
                <w:rFonts w:hint="eastAsia" w:cs="宋体"/>
                <w:b w:val="0"/>
                <w:bCs/>
                <w:strike w:val="0"/>
                <w:dstrike w:val="0"/>
                <w:color w:val="auto"/>
                <w:sz w:val="24"/>
                <w:szCs w:val="24"/>
                <w:highlight w:val="none"/>
                <w:u w:val="single"/>
                <w:lang w:val="en-US" w:eastAsia="zh-CN"/>
              </w:rPr>
            </w:pPr>
            <w:r>
              <w:rPr>
                <w:rFonts w:hint="eastAsia" w:cs="宋体"/>
                <w:b w:val="0"/>
                <w:bCs/>
                <w:strike w:val="0"/>
                <w:dstrike w:val="0"/>
                <w:color w:val="auto"/>
                <w:sz w:val="24"/>
                <w:szCs w:val="24"/>
                <w:highlight w:val="none"/>
              </w:rPr>
              <w:t>发包人提供资金来源证明的期限要求：</w:t>
            </w:r>
            <w:r>
              <w:rPr>
                <w:rFonts w:hint="eastAsia" w:cs="宋体"/>
                <w:b w:val="0"/>
                <w:bCs/>
                <w:strike w:val="0"/>
                <w:dstrike w:val="0"/>
                <w:color w:val="auto"/>
                <w:sz w:val="24"/>
                <w:szCs w:val="24"/>
                <w:highlight w:val="none"/>
                <w:u w:val="single"/>
                <w:lang w:val="en-US" w:eastAsia="zh-CN"/>
              </w:rPr>
              <w:t>/</w:t>
            </w:r>
          </w:p>
          <w:p w14:paraId="3C43EBAD">
            <w:pPr>
              <w:snapToGrid w:val="0"/>
              <w:spacing w:line="360" w:lineRule="auto"/>
              <w:rPr>
                <w:rFonts w:hint="default" w:eastAsia="宋体" w:cs="宋体"/>
                <w:b w:val="0"/>
                <w:bCs/>
                <w:strike w:val="0"/>
                <w:dstrike w:val="0"/>
                <w:color w:val="auto"/>
                <w:sz w:val="24"/>
                <w:szCs w:val="24"/>
                <w:highlight w:val="none"/>
                <w:u w:val="single"/>
                <w:lang w:val="en-US" w:eastAsia="zh-CN"/>
              </w:rPr>
            </w:pPr>
            <w:r>
              <w:rPr>
                <w:rFonts w:hint="eastAsia" w:cs="宋体"/>
                <w:b w:val="0"/>
                <w:bCs/>
                <w:strike w:val="0"/>
                <w:dstrike w:val="0"/>
                <w:color w:val="auto"/>
                <w:sz w:val="24"/>
                <w:szCs w:val="24"/>
                <w:highlight w:val="none"/>
              </w:rPr>
              <w:t>发包人是否提供支付担保：</w:t>
            </w:r>
            <w:r>
              <w:rPr>
                <w:rFonts w:hint="eastAsia" w:cs="宋体"/>
                <w:b w:val="0"/>
                <w:bCs/>
                <w:strike w:val="0"/>
                <w:dstrike w:val="0"/>
                <w:color w:val="auto"/>
                <w:sz w:val="24"/>
                <w:szCs w:val="24"/>
                <w:highlight w:val="none"/>
                <w:u w:val="single"/>
                <w:lang w:val="en-US" w:eastAsia="zh-CN"/>
              </w:rPr>
              <w:t>/</w:t>
            </w:r>
          </w:p>
          <w:p w14:paraId="6DF7343B">
            <w:pPr>
              <w:snapToGrid w:val="0"/>
              <w:spacing w:line="360" w:lineRule="auto"/>
              <w:rPr>
                <w:rFonts w:hint="eastAsia" w:eastAsia="宋体" w:cs="宋体"/>
                <w:b w:val="0"/>
                <w:bCs/>
                <w:strike w:val="0"/>
                <w:dstrike w:val="0"/>
                <w:color w:val="auto"/>
                <w:sz w:val="24"/>
                <w:szCs w:val="24"/>
                <w:highlight w:val="none"/>
                <w:u w:val="single"/>
                <w:lang w:eastAsia="zh-CN"/>
              </w:rPr>
            </w:pPr>
            <w:r>
              <w:rPr>
                <w:rFonts w:hint="eastAsia" w:cs="宋体"/>
                <w:b w:val="0"/>
                <w:bCs/>
                <w:strike w:val="0"/>
                <w:dstrike w:val="0"/>
                <w:color w:val="auto"/>
                <w:sz w:val="24"/>
                <w:szCs w:val="24"/>
                <w:highlight w:val="none"/>
              </w:rPr>
              <w:t>发包人提供支付担保的形式：</w:t>
            </w:r>
            <w:r>
              <w:rPr>
                <w:rFonts w:hint="eastAsia" w:cs="宋体"/>
                <w:b w:val="0"/>
                <w:bCs/>
                <w:strike w:val="0"/>
                <w:dstrike w:val="0"/>
                <w:color w:val="auto"/>
                <w:sz w:val="24"/>
                <w:szCs w:val="24"/>
                <w:highlight w:val="none"/>
                <w:u w:val="single"/>
                <w:lang w:val="en-US" w:eastAsia="zh-CN"/>
              </w:rPr>
              <w:t>/</w:t>
            </w:r>
          </w:p>
        </w:tc>
      </w:tr>
      <w:tr w14:paraId="185D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9" w:type="dxa"/>
            <w:vAlign w:val="center"/>
          </w:tcPr>
          <w:p w14:paraId="385B5003">
            <w:pPr>
              <w:numPr>
                <w:ilvl w:val="0"/>
                <w:numId w:val="19"/>
              </w:numPr>
              <w:snapToGrid w:val="0"/>
              <w:spacing w:line="360" w:lineRule="auto"/>
              <w:jc w:val="center"/>
              <w:rPr>
                <w:rFonts w:cs="宋体"/>
                <w:bCs/>
                <w:color w:val="auto"/>
                <w:kern w:val="2"/>
                <w:sz w:val="24"/>
                <w:szCs w:val="24"/>
                <w:highlight w:val="none"/>
              </w:rPr>
            </w:pPr>
          </w:p>
        </w:tc>
        <w:tc>
          <w:tcPr>
            <w:tcW w:w="1111" w:type="dxa"/>
            <w:vAlign w:val="center"/>
          </w:tcPr>
          <w:p w14:paraId="5CAA67F1">
            <w:pPr>
              <w:snapToGrid w:val="0"/>
              <w:spacing w:line="360" w:lineRule="auto"/>
              <w:jc w:val="center"/>
              <w:rPr>
                <w:rFonts w:cs="宋体"/>
                <w:bCs/>
                <w:color w:val="auto"/>
                <w:kern w:val="2"/>
                <w:sz w:val="24"/>
                <w:szCs w:val="24"/>
                <w:highlight w:val="none"/>
              </w:rPr>
            </w:pPr>
            <w:r>
              <w:rPr>
                <w:rFonts w:hint="eastAsia" w:cs="宋体"/>
                <w:bCs/>
                <w:color w:val="auto"/>
                <w:sz w:val="24"/>
                <w:szCs w:val="24"/>
                <w:highlight w:val="none"/>
              </w:rPr>
              <w:t>3.2.1</w:t>
            </w:r>
          </w:p>
        </w:tc>
        <w:tc>
          <w:tcPr>
            <w:tcW w:w="7304" w:type="dxa"/>
            <w:vAlign w:val="center"/>
          </w:tcPr>
          <w:p w14:paraId="321C109D">
            <w:pPr>
              <w:snapToGrid w:val="0"/>
              <w:spacing w:line="360" w:lineRule="auto"/>
              <w:rPr>
                <w:rFonts w:cs="宋体"/>
                <w:bCs/>
                <w:color w:val="auto"/>
                <w:sz w:val="24"/>
                <w:szCs w:val="24"/>
                <w:highlight w:val="none"/>
              </w:rPr>
            </w:pPr>
            <w:r>
              <w:rPr>
                <w:rFonts w:hint="eastAsia" w:cs="宋体"/>
                <w:bCs/>
                <w:color w:val="auto"/>
                <w:sz w:val="24"/>
                <w:szCs w:val="24"/>
                <w:highlight w:val="none"/>
              </w:rPr>
              <w:t>项目经理</w:t>
            </w:r>
          </w:p>
          <w:p w14:paraId="11231DE3">
            <w:pPr>
              <w:snapToGrid w:val="0"/>
              <w:spacing w:line="360" w:lineRule="auto"/>
              <w:rPr>
                <w:rFonts w:cs="宋体"/>
                <w:bCs/>
                <w:color w:val="auto"/>
                <w:sz w:val="24"/>
                <w:szCs w:val="24"/>
                <w:highlight w:val="none"/>
              </w:rPr>
            </w:pPr>
            <w:r>
              <w:rPr>
                <w:rFonts w:hint="eastAsia" w:cs="宋体"/>
                <w:bCs/>
                <w:color w:val="auto"/>
                <w:sz w:val="24"/>
                <w:szCs w:val="24"/>
                <w:highlight w:val="none"/>
              </w:rPr>
              <w:t>姓    名：</w:t>
            </w:r>
            <w:r>
              <w:rPr>
                <w:rFonts w:hint="eastAsia" w:cs="宋体"/>
                <w:bCs/>
                <w:color w:val="auto"/>
                <w:sz w:val="24"/>
                <w:szCs w:val="24"/>
                <w:highlight w:val="none"/>
                <w:u w:val="single"/>
              </w:rPr>
              <w:t xml:space="preserve">          </w:t>
            </w:r>
          </w:p>
          <w:p w14:paraId="2DCD5F8B">
            <w:pPr>
              <w:snapToGrid w:val="0"/>
              <w:spacing w:line="360" w:lineRule="auto"/>
              <w:rPr>
                <w:rFonts w:cs="宋体"/>
                <w:bCs/>
                <w:color w:val="auto"/>
                <w:sz w:val="24"/>
                <w:szCs w:val="24"/>
                <w:highlight w:val="none"/>
              </w:rPr>
            </w:pPr>
            <w:r>
              <w:rPr>
                <w:rFonts w:hint="eastAsia" w:cs="宋体"/>
                <w:bCs/>
                <w:color w:val="auto"/>
                <w:sz w:val="24"/>
                <w:szCs w:val="24"/>
                <w:highlight w:val="none"/>
              </w:rPr>
              <w:t>身份证号：</w:t>
            </w:r>
            <w:r>
              <w:rPr>
                <w:rFonts w:hint="eastAsia" w:cs="宋体"/>
                <w:bCs/>
                <w:color w:val="auto"/>
                <w:sz w:val="24"/>
                <w:szCs w:val="24"/>
                <w:highlight w:val="none"/>
                <w:u w:val="single"/>
              </w:rPr>
              <w:t xml:space="preserve">          </w:t>
            </w:r>
          </w:p>
          <w:p w14:paraId="66AD7F79">
            <w:pPr>
              <w:snapToGrid w:val="0"/>
              <w:spacing w:line="360" w:lineRule="auto"/>
              <w:rPr>
                <w:rFonts w:cs="宋体"/>
                <w:bCs/>
                <w:color w:val="auto"/>
                <w:sz w:val="24"/>
                <w:szCs w:val="24"/>
                <w:highlight w:val="none"/>
              </w:rPr>
            </w:pPr>
            <w:r>
              <w:rPr>
                <w:rFonts w:hint="eastAsia" w:cs="宋体"/>
                <w:bCs/>
                <w:color w:val="auto"/>
                <w:sz w:val="24"/>
                <w:szCs w:val="24"/>
                <w:highlight w:val="none"/>
              </w:rPr>
              <w:t>建造师执业资格等级：</w:t>
            </w:r>
            <w:r>
              <w:rPr>
                <w:rFonts w:hint="eastAsia" w:cs="宋体"/>
                <w:bCs/>
                <w:color w:val="auto"/>
                <w:sz w:val="24"/>
                <w:szCs w:val="24"/>
                <w:highlight w:val="none"/>
                <w:u w:val="single"/>
              </w:rPr>
              <w:t xml:space="preserve">          </w:t>
            </w:r>
          </w:p>
          <w:p w14:paraId="14C3CF9A">
            <w:pPr>
              <w:snapToGrid w:val="0"/>
              <w:spacing w:line="360" w:lineRule="auto"/>
              <w:rPr>
                <w:rFonts w:cs="宋体"/>
                <w:bCs/>
                <w:color w:val="auto"/>
                <w:sz w:val="24"/>
                <w:szCs w:val="24"/>
                <w:highlight w:val="none"/>
              </w:rPr>
            </w:pPr>
            <w:r>
              <w:rPr>
                <w:rFonts w:hint="eastAsia" w:cs="宋体"/>
                <w:bCs/>
                <w:color w:val="auto"/>
                <w:sz w:val="24"/>
                <w:szCs w:val="24"/>
                <w:highlight w:val="none"/>
              </w:rPr>
              <w:t>建造师注册证书号：</w:t>
            </w:r>
            <w:r>
              <w:rPr>
                <w:rFonts w:hint="eastAsia" w:cs="宋体"/>
                <w:bCs/>
                <w:color w:val="auto"/>
                <w:sz w:val="24"/>
                <w:szCs w:val="24"/>
                <w:highlight w:val="none"/>
                <w:u w:val="single"/>
              </w:rPr>
              <w:t xml:space="preserve">            </w:t>
            </w:r>
          </w:p>
          <w:p w14:paraId="044F182D">
            <w:pPr>
              <w:snapToGrid w:val="0"/>
              <w:spacing w:line="360" w:lineRule="auto"/>
              <w:rPr>
                <w:rFonts w:hint="eastAsia" w:eastAsia="宋体" w:cs="宋体"/>
                <w:bCs/>
                <w:strike w:val="0"/>
                <w:dstrike w:val="0"/>
                <w:color w:val="auto"/>
                <w:sz w:val="24"/>
                <w:szCs w:val="24"/>
                <w:highlight w:val="none"/>
                <w:u w:val="single"/>
                <w:lang w:eastAsia="zh-CN"/>
              </w:rPr>
            </w:pPr>
            <w:r>
              <w:rPr>
                <w:rFonts w:hint="eastAsia" w:cs="宋体"/>
                <w:bCs/>
                <w:strike w:val="0"/>
                <w:dstrike w:val="0"/>
                <w:color w:val="auto"/>
                <w:sz w:val="24"/>
                <w:szCs w:val="24"/>
                <w:highlight w:val="none"/>
              </w:rPr>
              <w:t>承包人对项目经理的授权范围如下：</w:t>
            </w:r>
            <w:r>
              <w:rPr>
                <w:rFonts w:hint="eastAsia" w:cs="宋体"/>
                <w:bCs/>
                <w:strike w:val="0"/>
                <w:dstrike w:val="0"/>
                <w:color w:val="auto"/>
                <w:sz w:val="24"/>
                <w:szCs w:val="24"/>
                <w:highlight w:val="none"/>
                <w:u w:val="single"/>
                <w:lang w:val="en-US" w:eastAsia="zh-CN"/>
              </w:rPr>
              <w:t>/</w:t>
            </w:r>
          </w:p>
          <w:p w14:paraId="414BB1C1">
            <w:pPr>
              <w:snapToGrid w:val="0"/>
              <w:spacing w:line="360" w:lineRule="auto"/>
              <w:rPr>
                <w:rFonts w:cs="宋体"/>
                <w:bCs/>
                <w:color w:val="auto"/>
                <w:kern w:val="2"/>
                <w:sz w:val="24"/>
                <w:szCs w:val="24"/>
                <w:highlight w:val="none"/>
              </w:rPr>
            </w:pPr>
            <w:r>
              <w:rPr>
                <w:rFonts w:hint="eastAsia" w:cs="宋体"/>
                <w:bCs/>
                <w:color w:val="auto"/>
                <w:sz w:val="24"/>
                <w:szCs w:val="24"/>
                <w:highlight w:val="none"/>
              </w:rPr>
              <w:t>承包人项目经理每月在施工现场的时间：驻场时间每月不少于</w:t>
            </w:r>
            <w:r>
              <w:rPr>
                <w:rFonts w:hint="eastAsia" w:cs="宋体"/>
                <w:bCs/>
                <w:color w:val="auto"/>
                <w:sz w:val="24"/>
                <w:szCs w:val="24"/>
                <w:highlight w:val="none"/>
                <w:u w:val="single"/>
                <w:lang w:val="en-US" w:eastAsia="zh-CN"/>
              </w:rPr>
              <w:t>22</w:t>
            </w:r>
            <w:r>
              <w:rPr>
                <w:rFonts w:hint="eastAsia" w:cs="宋体"/>
                <w:bCs/>
                <w:color w:val="auto"/>
                <w:sz w:val="24"/>
                <w:szCs w:val="24"/>
                <w:highlight w:val="none"/>
              </w:rPr>
              <w:t>天，每天在岗工作时间不得少于</w:t>
            </w:r>
            <w:r>
              <w:rPr>
                <w:rFonts w:hint="eastAsia" w:cs="宋体"/>
                <w:bCs/>
                <w:color w:val="auto"/>
                <w:sz w:val="24"/>
                <w:szCs w:val="24"/>
                <w:highlight w:val="none"/>
                <w:u w:val="single"/>
                <w:lang w:val="en-US" w:eastAsia="zh-CN"/>
              </w:rPr>
              <w:t>8</w:t>
            </w:r>
            <w:r>
              <w:rPr>
                <w:rFonts w:hint="eastAsia" w:cs="宋体"/>
                <w:bCs/>
                <w:color w:val="auto"/>
                <w:sz w:val="24"/>
                <w:szCs w:val="24"/>
                <w:highlight w:val="none"/>
              </w:rPr>
              <w:t>小时。</w:t>
            </w:r>
          </w:p>
        </w:tc>
      </w:tr>
      <w:tr w14:paraId="43827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9" w:type="dxa"/>
            <w:vAlign w:val="center"/>
          </w:tcPr>
          <w:p w14:paraId="1B592DCC">
            <w:pPr>
              <w:numPr>
                <w:ilvl w:val="0"/>
                <w:numId w:val="19"/>
              </w:numPr>
              <w:snapToGrid w:val="0"/>
              <w:spacing w:line="360" w:lineRule="auto"/>
              <w:jc w:val="center"/>
              <w:rPr>
                <w:rFonts w:cs="宋体"/>
                <w:bCs/>
                <w:color w:val="auto"/>
                <w:kern w:val="2"/>
                <w:sz w:val="24"/>
                <w:szCs w:val="24"/>
                <w:highlight w:val="none"/>
              </w:rPr>
            </w:pPr>
          </w:p>
        </w:tc>
        <w:tc>
          <w:tcPr>
            <w:tcW w:w="1111" w:type="dxa"/>
            <w:vAlign w:val="center"/>
          </w:tcPr>
          <w:p w14:paraId="4A4080D2">
            <w:pPr>
              <w:snapToGrid w:val="0"/>
              <w:spacing w:line="360" w:lineRule="auto"/>
              <w:jc w:val="center"/>
              <w:rPr>
                <w:rFonts w:cs="宋体"/>
                <w:bCs/>
                <w:color w:val="auto"/>
                <w:kern w:val="2"/>
                <w:sz w:val="24"/>
                <w:szCs w:val="24"/>
                <w:highlight w:val="none"/>
              </w:rPr>
            </w:pPr>
            <w:r>
              <w:rPr>
                <w:rFonts w:hint="eastAsia" w:cs="宋体"/>
                <w:bCs/>
                <w:color w:val="auto"/>
                <w:sz w:val="24"/>
                <w:szCs w:val="24"/>
                <w:highlight w:val="none"/>
              </w:rPr>
              <w:t>3.7</w:t>
            </w:r>
          </w:p>
        </w:tc>
        <w:tc>
          <w:tcPr>
            <w:tcW w:w="7304" w:type="dxa"/>
            <w:vAlign w:val="center"/>
          </w:tcPr>
          <w:p w14:paraId="7547CB6D">
            <w:pPr>
              <w:spacing w:line="360" w:lineRule="auto"/>
              <w:rPr>
                <w:bCs/>
                <w:color w:val="auto"/>
                <w:sz w:val="24"/>
                <w:szCs w:val="24"/>
                <w:highlight w:val="none"/>
              </w:rPr>
            </w:pPr>
            <w:r>
              <w:rPr>
                <w:rFonts w:hint="eastAsia"/>
                <w:bCs/>
                <w:color w:val="auto"/>
                <w:sz w:val="24"/>
                <w:szCs w:val="24"/>
                <w:highlight w:val="none"/>
              </w:rPr>
              <w:t>（1）金额：合同价的</w:t>
            </w:r>
            <w:r>
              <w:rPr>
                <w:rFonts w:hint="eastAsia"/>
                <w:bCs/>
                <w:color w:val="auto"/>
                <w:sz w:val="24"/>
                <w:szCs w:val="24"/>
                <w:highlight w:val="none"/>
                <w:u w:val="single"/>
                <w:lang w:val="en-US" w:eastAsia="zh-CN"/>
              </w:rPr>
              <w:t>10</w:t>
            </w:r>
            <w:r>
              <w:rPr>
                <w:bCs/>
                <w:color w:val="auto"/>
                <w:sz w:val="24"/>
                <w:szCs w:val="24"/>
                <w:highlight w:val="none"/>
              </w:rPr>
              <w:t>%</w:t>
            </w:r>
          </w:p>
          <w:p w14:paraId="17986E24">
            <w:pPr>
              <w:spacing w:line="360" w:lineRule="auto"/>
              <w:rPr>
                <w:bCs/>
                <w:color w:val="auto"/>
                <w:sz w:val="24"/>
                <w:szCs w:val="24"/>
                <w:highlight w:val="none"/>
              </w:rPr>
            </w:pPr>
            <w:r>
              <w:rPr>
                <w:rFonts w:hint="eastAsia"/>
                <w:bCs/>
                <w:color w:val="auto"/>
                <w:sz w:val="24"/>
                <w:szCs w:val="24"/>
                <w:highlight w:val="none"/>
              </w:rPr>
              <w:t>（2）支付方式：</w:t>
            </w:r>
          </w:p>
          <w:p w14:paraId="544FAE54">
            <w:pPr>
              <w:spacing w:line="360" w:lineRule="auto"/>
              <w:rPr>
                <w:bCs/>
                <w:color w:val="auto"/>
                <w:sz w:val="24"/>
                <w:szCs w:val="24"/>
                <w:highlight w:val="none"/>
              </w:rPr>
            </w:pPr>
            <w:r>
              <w:rPr>
                <w:rFonts w:hint="eastAsia"/>
                <w:bCs/>
                <w:color w:val="auto"/>
                <w:sz w:val="24"/>
                <w:szCs w:val="24"/>
                <w:highlight w:val="none"/>
              </w:rPr>
              <w:sym w:font="Wingdings" w:char="00FE"/>
            </w:r>
            <w:r>
              <w:rPr>
                <w:bCs/>
                <w:color w:val="auto"/>
                <w:sz w:val="24"/>
                <w:szCs w:val="24"/>
                <w:highlight w:val="none"/>
              </w:rPr>
              <w:t>转账/电汇</w:t>
            </w:r>
            <w:r>
              <w:rPr>
                <w:rFonts w:hint="eastAsia"/>
                <w:bCs/>
                <w:color w:val="auto"/>
                <w:sz w:val="24"/>
                <w:szCs w:val="24"/>
                <w:highlight w:val="none"/>
              </w:rPr>
              <w:t xml:space="preserve"> </w:t>
            </w:r>
            <w:r>
              <w:rPr>
                <w:rFonts w:hint="eastAsia"/>
                <w:bCs/>
                <w:color w:val="auto"/>
                <w:sz w:val="24"/>
                <w:szCs w:val="24"/>
                <w:highlight w:val="none"/>
              </w:rPr>
              <w:sym w:font="Wingdings" w:char="00FE"/>
            </w:r>
            <w:r>
              <w:rPr>
                <w:bCs/>
                <w:color w:val="auto"/>
                <w:sz w:val="24"/>
                <w:szCs w:val="24"/>
                <w:highlight w:val="none"/>
              </w:rPr>
              <w:t xml:space="preserve">支票 </w:t>
            </w:r>
            <w:r>
              <w:rPr>
                <w:rFonts w:hint="eastAsia"/>
                <w:bCs/>
                <w:color w:val="auto"/>
                <w:sz w:val="24"/>
                <w:szCs w:val="24"/>
                <w:highlight w:val="none"/>
              </w:rPr>
              <w:sym w:font="Wingdings" w:char="00FE"/>
            </w:r>
            <w:r>
              <w:rPr>
                <w:bCs/>
                <w:color w:val="auto"/>
                <w:sz w:val="24"/>
                <w:szCs w:val="24"/>
                <w:highlight w:val="none"/>
              </w:rPr>
              <w:t>汇票</w:t>
            </w:r>
            <w:r>
              <w:rPr>
                <w:rFonts w:hint="eastAsia"/>
                <w:bCs/>
                <w:color w:val="auto"/>
                <w:sz w:val="24"/>
                <w:szCs w:val="24"/>
                <w:highlight w:val="none"/>
              </w:rPr>
              <w:t xml:space="preserve"> </w:t>
            </w:r>
            <w:r>
              <w:rPr>
                <w:rFonts w:hint="eastAsia"/>
                <w:bCs/>
                <w:color w:val="auto"/>
                <w:sz w:val="24"/>
                <w:szCs w:val="24"/>
                <w:highlight w:val="none"/>
              </w:rPr>
              <w:sym w:font="Wingdings" w:char="00FE"/>
            </w:r>
            <w:r>
              <w:rPr>
                <w:rFonts w:hint="eastAsia"/>
                <w:bCs/>
                <w:color w:val="auto"/>
                <w:sz w:val="24"/>
                <w:szCs w:val="24"/>
                <w:highlight w:val="none"/>
              </w:rPr>
              <w:t xml:space="preserve">本票 </w:t>
            </w:r>
            <w:r>
              <w:rPr>
                <w:rFonts w:hint="eastAsia"/>
                <w:bCs/>
                <w:color w:val="auto"/>
                <w:sz w:val="24"/>
                <w:szCs w:val="24"/>
                <w:highlight w:val="none"/>
              </w:rPr>
              <w:sym w:font="Wingdings" w:char="00FE"/>
            </w:r>
            <w:r>
              <w:rPr>
                <w:bCs/>
                <w:color w:val="auto"/>
                <w:sz w:val="24"/>
                <w:szCs w:val="24"/>
                <w:highlight w:val="none"/>
              </w:rPr>
              <w:t>保</w:t>
            </w:r>
            <w:r>
              <w:rPr>
                <w:rFonts w:hint="eastAsia"/>
                <w:bCs/>
                <w:color w:val="auto"/>
                <w:sz w:val="24"/>
                <w:szCs w:val="24"/>
                <w:highlight w:val="none"/>
              </w:rPr>
              <w:t xml:space="preserve">险 </w:t>
            </w:r>
            <w:r>
              <w:rPr>
                <w:rFonts w:hint="eastAsia"/>
                <w:bCs/>
                <w:color w:val="auto"/>
                <w:sz w:val="24"/>
                <w:szCs w:val="24"/>
                <w:highlight w:val="none"/>
              </w:rPr>
              <w:sym w:font="Wingdings" w:char="00FE"/>
            </w:r>
            <w:r>
              <w:rPr>
                <w:rFonts w:hint="eastAsia"/>
                <w:bCs/>
                <w:color w:val="auto"/>
                <w:sz w:val="24"/>
                <w:szCs w:val="24"/>
                <w:highlight w:val="none"/>
              </w:rPr>
              <w:t>保</w:t>
            </w:r>
            <w:r>
              <w:rPr>
                <w:bCs/>
                <w:color w:val="auto"/>
                <w:sz w:val="24"/>
                <w:szCs w:val="24"/>
                <w:highlight w:val="none"/>
              </w:rPr>
              <w:t>函</w:t>
            </w:r>
          </w:p>
          <w:p w14:paraId="6D481CC0">
            <w:pPr>
              <w:numPr>
                <w:ilvl w:val="0"/>
                <w:numId w:val="16"/>
              </w:numPr>
              <w:spacing w:line="360" w:lineRule="auto"/>
              <w:ind w:left="0" w:leftChars="0" w:firstLine="0" w:firstLineChars="0"/>
              <w:rPr>
                <w:rFonts w:hint="eastAsia"/>
                <w:b/>
                <w:color w:val="auto"/>
                <w:kern w:val="0"/>
                <w:sz w:val="24"/>
                <w:szCs w:val="24"/>
                <w:highlight w:val="none"/>
                <w:u w:val="single"/>
                <w:lang w:val="en-US" w:eastAsia="zh-CN"/>
              </w:rPr>
            </w:pPr>
            <w:r>
              <w:rPr>
                <w:rFonts w:hint="eastAsia" w:ascii="宋体" w:hAnsi="宋体" w:eastAsia="宋体"/>
                <w:bCs/>
                <w:color w:val="auto"/>
                <w:kern w:val="0"/>
                <w:sz w:val="24"/>
                <w:szCs w:val="24"/>
                <w:highlight w:val="none"/>
              </w:rPr>
              <w:t>收取单位：</w:t>
            </w:r>
            <w:r>
              <w:rPr>
                <w:rFonts w:hint="eastAsia"/>
                <w:b/>
                <w:color w:val="auto"/>
                <w:kern w:val="0"/>
                <w:sz w:val="24"/>
                <w:szCs w:val="24"/>
                <w:highlight w:val="none"/>
                <w:u w:val="single"/>
                <w:lang w:val="en-US" w:eastAsia="zh-CN"/>
              </w:rPr>
              <w:t>各合同甲方</w:t>
            </w:r>
          </w:p>
          <w:p w14:paraId="36DDB829">
            <w:pPr>
              <w:numPr>
                <w:ilvl w:val="0"/>
                <w:numId w:val="0"/>
              </w:numPr>
              <w:spacing w:line="360" w:lineRule="auto"/>
              <w:ind w:leftChars="0"/>
              <w:rPr>
                <w:rFonts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（4）收取账号：</w:t>
            </w:r>
            <w:r>
              <w:rPr>
                <w:rFonts w:hint="eastAsia" w:ascii="宋体" w:hAnsi="宋体" w:eastAsia="宋体"/>
                <w:bCs/>
                <w:color w:val="auto"/>
                <w:kern w:val="0"/>
                <w:sz w:val="24"/>
                <w:szCs w:val="24"/>
                <w:highlight w:val="none"/>
                <w:u w:val="single"/>
              </w:rPr>
              <w:t>成交后提供</w:t>
            </w:r>
          </w:p>
          <w:p w14:paraId="74C43370">
            <w:pPr>
              <w:spacing w:line="360" w:lineRule="auto"/>
              <w:rPr>
                <w:rFonts w:hint="eastAsia" w:ascii="Times New Roman" w:hAnsi="Times New Roman" w:eastAsia="宋体" w:cs="Times New Roman"/>
                <w:color w:val="auto"/>
                <w:sz w:val="24"/>
                <w:szCs w:val="24"/>
                <w:highlight w:val="none"/>
                <w:u w:val="single"/>
                <w:lang w:eastAsia="zh-CN"/>
              </w:rPr>
            </w:pPr>
            <w:r>
              <w:rPr>
                <w:rFonts w:hint="eastAsia" w:ascii="宋体" w:hAnsi="宋体" w:eastAsia="宋体"/>
                <w:bCs/>
                <w:color w:val="auto"/>
                <w:kern w:val="0"/>
                <w:sz w:val="24"/>
                <w:szCs w:val="24"/>
                <w:highlight w:val="none"/>
              </w:rPr>
              <w:t>（5）</w:t>
            </w:r>
            <w:r>
              <w:rPr>
                <w:rFonts w:hint="eastAsia" w:ascii="宋体" w:hAnsi="宋体" w:eastAsia="宋体"/>
                <w:color w:val="auto"/>
                <w:sz w:val="24"/>
                <w:szCs w:val="24"/>
                <w:highlight w:val="none"/>
              </w:rPr>
              <w:t>退还时间：</w:t>
            </w:r>
            <w:r>
              <w:rPr>
                <w:rFonts w:hint="eastAsia" w:ascii="Times New Roman" w:hAnsi="Times New Roman" w:cs="Times New Roman"/>
                <w:color w:val="auto"/>
                <w:sz w:val="24"/>
                <w:szCs w:val="24"/>
                <w:highlight w:val="none"/>
                <w:u w:val="single"/>
                <w:lang w:eastAsia="zh-CN"/>
              </w:rPr>
              <w:t>履约保证金在合同生效之日起至项目验收合格前一直有效，验收</w:t>
            </w:r>
            <w:r>
              <w:rPr>
                <w:rFonts w:hint="eastAsia" w:ascii="Times New Roman" w:hAnsi="Times New Roman" w:cs="Times New Roman"/>
                <w:color w:val="auto"/>
                <w:sz w:val="24"/>
                <w:szCs w:val="24"/>
                <w:highlight w:val="none"/>
                <w:u w:val="single"/>
                <w:lang w:val="en-US" w:eastAsia="zh-CN"/>
              </w:rPr>
              <w:t>合格</w:t>
            </w:r>
            <w:r>
              <w:rPr>
                <w:rFonts w:hint="eastAsia" w:ascii="Times New Roman" w:hAnsi="Times New Roman" w:cs="Times New Roman"/>
                <w:color w:val="auto"/>
                <w:sz w:val="24"/>
                <w:szCs w:val="24"/>
                <w:highlight w:val="none"/>
                <w:u w:val="single"/>
                <w:lang w:eastAsia="zh-CN"/>
              </w:rPr>
              <w:t>后经乙方申请，甲方确认后按规定及时将履约保证金款项退还给乙方或者解除履约担保。</w:t>
            </w:r>
          </w:p>
          <w:p w14:paraId="76E92936">
            <w:pPr>
              <w:spacing w:line="360" w:lineRule="auto"/>
              <w:rPr>
                <w:rFonts w:ascii="宋体" w:hAnsi="宋体" w:eastAsia="宋体"/>
                <w:color w:val="auto"/>
                <w:sz w:val="24"/>
                <w:szCs w:val="24"/>
                <w:highlight w:val="none"/>
              </w:rPr>
            </w:pPr>
            <w:r>
              <w:rPr>
                <w:rFonts w:hint="eastAsia" w:ascii="宋体" w:hAnsi="宋体" w:eastAsia="宋体" w:cs="宋体"/>
                <w:b/>
                <w:color w:val="auto"/>
                <w:sz w:val="24"/>
                <w:szCs w:val="24"/>
                <w:highlight w:val="none"/>
              </w:rPr>
              <w:t>如果</w:t>
            </w:r>
            <w:r>
              <w:rPr>
                <w:rFonts w:hint="eastAsia" w:cs="宋体"/>
                <w:b/>
                <w:color w:val="auto"/>
                <w:sz w:val="24"/>
                <w:szCs w:val="24"/>
                <w:highlight w:val="none"/>
                <w:lang w:eastAsia="zh-CN"/>
              </w:rPr>
              <w:t>乙方</w:t>
            </w:r>
            <w:r>
              <w:rPr>
                <w:rFonts w:hint="eastAsia" w:ascii="宋体" w:hAnsi="宋体" w:eastAsia="宋体" w:cs="宋体"/>
                <w:b/>
                <w:color w:val="auto"/>
                <w:sz w:val="24"/>
                <w:szCs w:val="24"/>
                <w:highlight w:val="none"/>
              </w:rPr>
              <w:t>不履行合同，履约保证金不予退还；如果</w:t>
            </w:r>
            <w:r>
              <w:rPr>
                <w:rFonts w:hint="eastAsia" w:cs="宋体"/>
                <w:b/>
                <w:color w:val="auto"/>
                <w:sz w:val="24"/>
                <w:szCs w:val="24"/>
                <w:highlight w:val="none"/>
                <w:lang w:eastAsia="zh-CN"/>
              </w:rPr>
              <w:t>乙方</w:t>
            </w:r>
            <w:r>
              <w:rPr>
                <w:rFonts w:hint="eastAsia" w:ascii="宋体" w:hAnsi="宋体" w:eastAsia="宋体" w:cs="宋体"/>
                <w:b/>
                <w:color w:val="auto"/>
                <w:sz w:val="24"/>
                <w:szCs w:val="24"/>
                <w:highlight w:val="none"/>
              </w:rPr>
              <w:t>未能按合同约定全面履行义务，</w:t>
            </w:r>
            <w:r>
              <w:rPr>
                <w:rFonts w:hint="eastAsia" w:cs="宋体"/>
                <w:b/>
                <w:color w:val="auto"/>
                <w:sz w:val="24"/>
                <w:szCs w:val="24"/>
                <w:highlight w:val="none"/>
                <w:lang w:eastAsia="zh-CN"/>
              </w:rPr>
              <w:t>甲方</w:t>
            </w:r>
            <w:r>
              <w:rPr>
                <w:rFonts w:hint="eastAsia" w:ascii="宋体" w:hAnsi="宋体" w:eastAsia="宋体" w:cs="宋体"/>
                <w:b/>
                <w:color w:val="auto"/>
                <w:sz w:val="24"/>
                <w:szCs w:val="24"/>
                <w:highlight w:val="none"/>
              </w:rPr>
              <w:t>有权从履约保证金中取得补偿或赔偿，同时不影响</w:t>
            </w:r>
            <w:r>
              <w:rPr>
                <w:rFonts w:hint="eastAsia" w:cs="宋体"/>
                <w:b/>
                <w:color w:val="auto"/>
                <w:sz w:val="24"/>
                <w:szCs w:val="24"/>
                <w:highlight w:val="none"/>
                <w:lang w:eastAsia="zh-CN"/>
              </w:rPr>
              <w:t>甲方</w:t>
            </w:r>
            <w:r>
              <w:rPr>
                <w:rFonts w:hint="eastAsia" w:ascii="宋体" w:hAnsi="宋体" w:eastAsia="宋体" w:cs="宋体"/>
                <w:b/>
                <w:color w:val="auto"/>
                <w:sz w:val="24"/>
                <w:szCs w:val="24"/>
                <w:highlight w:val="none"/>
              </w:rPr>
              <w:t>要求</w:t>
            </w:r>
            <w:r>
              <w:rPr>
                <w:rFonts w:hint="eastAsia" w:cs="宋体"/>
                <w:b/>
                <w:color w:val="auto"/>
                <w:sz w:val="24"/>
                <w:szCs w:val="24"/>
                <w:highlight w:val="none"/>
                <w:lang w:eastAsia="zh-CN"/>
              </w:rPr>
              <w:t>乙方</w:t>
            </w:r>
            <w:r>
              <w:rPr>
                <w:rFonts w:hint="eastAsia" w:ascii="宋体" w:hAnsi="宋体" w:eastAsia="宋体" w:cs="宋体"/>
                <w:b/>
                <w:color w:val="auto"/>
                <w:sz w:val="24"/>
                <w:szCs w:val="24"/>
                <w:highlight w:val="none"/>
              </w:rPr>
              <w:t>承担合同约定的超过履约保证金的违约责任的权利。</w:t>
            </w:r>
          </w:p>
          <w:p w14:paraId="5096062F">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DB79C1F">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7DFB6656">
            <w:pPr>
              <w:snapToGrid w:val="0"/>
              <w:spacing w:line="360" w:lineRule="auto"/>
              <w:rPr>
                <w:rFonts w:cs="宋体"/>
                <w:bCs/>
                <w:color w:val="auto"/>
                <w:kern w:val="2"/>
                <w:sz w:val="24"/>
                <w:szCs w:val="24"/>
                <w:highlight w:val="none"/>
              </w:rPr>
            </w:pPr>
            <w:r>
              <w:rPr>
                <w:rFonts w:hint="eastAsia" w:ascii="宋体" w:hAnsi="宋体" w:eastAsia="宋体"/>
                <w:bCs w:val="0"/>
                <w:color w:val="auto"/>
                <w:sz w:val="24"/>
                <w:szCs w:val="24"/>
                <w:highlight w:val="none"/>
              </w:rPr>
              <w:t>（2）以担保函、保证保险形式缴纳履约保证金的，受益人和收取单位须为</w:t>
            </w:r>
            <w:r>
              <w:rPr>
                <w:rFonts w:hint="eastAsia"/>
                <w:bCs w:val="0"/>
                <w:color w:val="auto"/>
                <w:sz w:val="24"/>
                <w:szCs w:val="24"/>
                <w:highlight w:val="none"/>
                <w:lang w:eastAsia="zh-CN"/>
              </w:rPr>
              <w:t>甲方</w:t>
            </w:r>
            <w:r>
              <w:rPr>
                <w:rFonts w:hint="eastAsia" w:ascii="宋体" w:hAnsi="宋体" w:eastAsia="宋体"/>
                <w:bCs w:val="0"/>
                <w:color w:val="auto"/>
                <w:sz w:val="24"/>
                <w:szCs w:val="24"/>
                <w:highlight w:val="none"/>
              </w:rPr>
              <w:t>。</w:t>
            </w:r>
          </w:p>
        </w:tc>
      </w:tr>
      <w:tr w14:paraId="3E8A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9" w:type="dxa"/>
            <w:vAlign w:val="center"/>
          </w:tcPr>
          <w:p w14:paraId="485C1C28">
            <w:pPr>
              <w:numPr>
                <w:ilvl w:val="0"/>
                <w:numId w:val="19"/>
              </w:numPr>
              <w:snapToGrid w:val="0"/>
              <w:spacing w:line="360" w:lineRule="auto"/>
              <w:jc w:val="center"/>
              <w:rPr>
                <w:rFonts w:cs="宋体"/>
                <w:bCs/>
                <w:strike w:val="0"/>
                <w:dstrike w:val="0"/>
                <w:color w:val="auto"/>
                <w:sz w:val="24"/>
                <w:szCs w:val="24"/>
                <w:highlight w:val="none"/>
              </w:rPr>
            </w:pPr>
          </w:p>
        </w:tc>
        <w:tc>
          <w:tcPr>
            <w:tcW w:w="1111" w:type="dxa"/>
            <w:vAlign w:val="center"/>
          </w:tcPr>
          <w:p w14:paraId="0E383551">
            <w:pPr>
              <w:snapToGrid w:val="0"/>
              <w:spacing w:line="360" w:lineRule="auto"/>
              <w:jc w:val="center"/>
              <w:rPr>
                <w:rFonts w:cs="宋体"/>
                <w:bCs/>
                <w:strike w:val="0"/>
                <w:dstrike w:val="0"/>
                <w:color w:val="auto"/>
                <w:sz w:val="24"/>
                <w:szCs w:val="24"/>
                <w:highlight w:val="none"/>
              </w:rPr>
            </w:pPr>
            <w:r>
              <w:rPr>
                <w:rFonts w:hint="eastAsia" w:cs="宋体"/>
                <w:bCs/>
                <w:strike w:val="0"/>
                <w:dstrike w:val="0"/>
                <w:color w:val="auto"/>
                <w:sz w:val="24"/>
                <w:szCs w:val="24"/>
                <w:highlight w:val="none"/>
              </w:rPr>
              <w:t>5.1.1</w:t>
            </w:r>
          </w:p>
        </w:tc>
        <w:tc>
          <w:tcPr>
            <w:tcW w:w="7304" w:type="dxa"/>
            <w:vAlign w:val="center"/>
          </w:tcPr>
          <w:p w14:paraId="40C938B5">
            <w:pPr>
              <w:snapToGrid w:val="0"/>
              <w:spacing w:line="360" w:lineRule="auto"/>
              <w:rPr>
                <w:rFonts w:cs="宋体"/>
                <w:bCs/>
                <w:strike w:val="0"/>
                <w:dstrike w:val="0"/>
                <w:color w:val="auto"/>
                <w:sz w:val="24"/>
                <w:szCs w:val="24"/>
                <w:highlight w:val="none"/>
              </w:rPr>
            </w:pPr>
            <w:r>
              <w:rPr>
                <w:rFonts w:hint="eastAsia" w:cs="宋体"/>
                <w:bCs/>
                <w:strike w:val="0"/>
                <w:dstrike w:val="0"/>
                <w:color w:val="auto"/>
                <w:sz w:val="24"/>
                <w:szCs w:val="24"/>
                <w:highlight w:val="none"/>
              </w:rPr>
              <w:t>5.1.1 特殊质量标准和要求：</w:t>
            </w:r>
            <w:r>
              <w:rPr>
                <w:rFonts w:hint="eastAsia" w:cs="宋体"/>
                <w:bCs/>
                <w:strike w:val="0"/>
                <w:dstrike w:val="0"/>
                <w:color w:val="auto"/>
                <w:sz w:val="24"/>
                <w:szCs w:val="24"/>
                <w:highlight w:val="none"/>
                <w:u w:val="single"/>
                <w:lang w:val="en-US" w:eastAsia="zh-CN"/>
              </w:rPr>
              <w:t>/</w:t>
            </w:r>
            <w:r>
              <w:rPr>
                <w:rFonts w:hint="eastAsia" w:cs="宋体"/>
                <w:bCs/>
                <w:strike w:val="0"/>
                <w:dstrike w:val="0"/>
                <w:color w:val="auto"/>
                <w:sz w:val="24"/>
                <w:szCs w:val="24"/>
                <w:highlight w:val="none"/>
              </w:rPr>
              <w:t>。</w:t>
            </w:r>
          </w:p>
          <w:p w14:paraId="481F45A3">
            <w:pPr>
              <w:snapToGrid w:val="0"/>
              <w:spacing w:line="360" w:lineRule="auto"/>
              <w:rPr>
                <w:rFonts w:cs="宋体"/>
                <w:bCs/>
                <w:strike w:val="0"/>
                <w:dstrike w:val="0"/>
                <w:color w:val="auto"/>
                <w:sz w:val="24"/>
                <w:szCs w:val="24"/>
                <w:highlight w:val="none"/>
              </w:rPr>
            </w:pPr>
            <w:r>
              <w:rPr>
                <w:rFonts w:hint="eastAsia" w:cs="宋体"/>
                <w:bCs/>
                <w:strike w:val="0"/>
                <w:dstrike w:val="0"/>
                <w:color w:val="auto"/>
                <w:sz w:val="24"/>
                <w:szCs w:val="24"/>
                <w:highlight w:val="none"/>
              </w:rPr>
              <w:t>关于工程奖项的约定：</w:t>
            </w:r>
            <w:r>
              <w:rPr>
                <w:rFonts w:hint="eastAsia" w:cs="宋体"/>
                <w:bCs/>
                <w:strike w:val="0"/>
                <w:dstrike w:val="0"/>
                <w:color w:val="auto"/>
                <w:sz w:val="24"/>
                <w:szCs w:val="24"/>
                <w:highlight w:val="none"/>
                <w:u w:val="single"/>
                <w:lang w:val="en-US" w:eastAsia="zh-CN"/>
              </w:rPr>
              <w:t>/</w:t>
            </w:r>
            <w:r>
              <w:rPr>
                <w:rFonts w:hint="eastAsia" w:cs="宋体"/>
                <w:bCs/>
                <w:strike w:val="0"/>
                <w:dstrike w:val="0"/>
                <w:color w:val="auto"/>
                <w:sz w:val="24"/>
                <w:szCs w:val="24"/>
                <w:highlight w:val="none"/>
              </w:rPr>
              <w:t>。</w:t>
            </w:r>
          </w:p>
          <w:p w14:paraId="18AC222B">
            <w:pPr>
              <w:snapToGrid w:val="0"/>
              <w:spacing w:line="360" w:lineRule="auto"/>
              <w:rPr>
                <w:rFonts w:cs="宋体"/>
                <w:bCs/>
                <w:strike w:val="0"/>
                <w:dstrike w:val="0"/>
                <w:color w:val="auto"/>
                <w:sz w:val="24"/>
                <w:szCs w:val="24"/>
                <w:highlight w:val="none"/>
              </w:rPr>
            </w:pPr>
            <w:r>
              <w:rPr>
                <w:rFonts w:hint="eastAsia" w:cs="宋体"/>
                <w:bCs/>
                <w:strike w:val="0"/>
                <w:dstrike w:val="0"/>
                <w:color w:val="auto"/>
                <w:sz w:val="24"/>
                <w:szCs w:val="24"/>
                <w:highlight w:val="none"/>
              </w:rPr>
              <w:t>关于建造要求：</w:t>
            </w:r>
          </w:p>
          <w:p w14:paraId="139E70DB">
            <w:pPr>
              <w:snapToGrid w:val="0"/>
              <w:spacing w:line="360" w:lineRule="auto"/>
              <w:rPr>
                <w:rFonts w:cs="宋体"/>
                <w:bCs/>
                <w:strike w:val="0"/>
                <w:dstrike w:val="0"/>
                <w:color w:val="auto"/>
                <w:sz w:val="24"/>
                <w:szCs w:val="24"/>
                <w:highlight w:val="none"/>
              </w:rPr>
            </w:pPr>
            <w:r>
              <w:rPr>
                <w:rFonts w:hint="eastAsia" w:cs="宋体"/>
                <w:bCs/>
                <w:strike w:val="0"/>
                <w:dstrike w:val="0"/>
                <w:color w:val="auto"/>
                <w:sz w:val="24"/>
                <w:szCs w:val="24"/>
                <w:highlight w:val="none"/>
              </w:rPr>
              <w:t>（1）绿色建筑等级要求：</w:t>
            </w:r>
            <w:r>
              <w:rPr>
                <w:rFonts w:hint="eastAsia" w:cs="宋体"/>
                <w:bCs/>
                <w:strike w:val="0"/>
                <w:dstrike w:val="0"/>
                <w:color w:val="auto"/>
                <w:sz w:val="24"/>
                <w:szCs w:val="24"/>
                <w:highlight w:val="none"/>
                <w:u w:val="single"/>
                <w:lang w:val="en-US" w:eastAsia="zh-CN"/>
              </w:rPr>
              <w:t>/</w:t>
            </w:r>
            <w:r>
              <w:rPr>
                <w:rFonts w:hint="eastAsia" w:cs="宋体"/>
                <w:bCs/>
                <w:strike w:val="0"/>
                <w:dstrike w:val="0"/>
                <w:color w:val="auto"/>
                <w:sz w:val="24"/>
                <w:szCs w:val="24"/>
                <w:highlight w:val="none"/>
              </w:rPr>
              <w:t>；</w:t>
            </w:r>
          </w:p>
          <w:p w14:paraId="7F51191F">
            <w:pPr>
              <w:snapToGrid w:val="0"/>
              <w:spacing w:line="360" w:lineRule="auto"/>
              <w:rPr>
                <w:rFonts w:cs="宋体"/>
                <w:bCs/>
                <w:strike w:val="0"/>
                <w:dstrike w:val="0"/>
                <w:color w:val="auto"/>
                <w:sz w:val="24"/>
                <w:szCs w:val="24"/>
                <w:highlight w:val="none"/>
              </w:rPr>
            </w:pPr>
            <w:r>
              <w:rPr>
                <w:rFonts w:hint="eastAsia" w:cs="宋体"/>
                <w:bCs/>
                <w:strike w:val="0"/>
                <w:dstrike w:val="0"/>
                <w:color w:val="auto"/>
                <w:sz w:val="24"/>
                <w:szCs w:val="24"/>
                <w:highlight w:val="none"/>
              </w:rPr>
              <w:t>（2）智慧工地管理要求：</w:t>
            </w:r>
            <w:r>
              <w:rPr>
                <w:rFonts w:hint="eastAsia" w:cs="宋体"/>
                <w:bCs/>
                <w:strike w:val="0"/>
                <w:dstrike w:val="0"/>
                <w:color w:val="auto"/>
                <w:sz w:val="24"/>
                <w:szCs w:val="24"/>
                <w:highlight w:val="none"/>
                <w:u w:val="single"/>
                <w:lang w:val="en-US" w:eastAsia="zh-CN"/>
              </w:rPr>
              <w:t>/</w:t>
            </w:r>
            <w:r>
              <w:rPr>
                <w:rFonts w:hint="eastAsia" w:cs="宋体"/>
                <w:bCs/>
                <w:strike w:val="0"/>
                <w:dstrike w:val="0"/>
                <w:color w:val="auto"/>
                <w:sz w:val="24"/>
                <w:szCs w:val="24"/>
                <w:highlight w:val="none"/>
              </w:rPr>
              <w:t>；</w:t>
            </w:r>
          </w:p>
          <w:p w14:paraId="252F36D4">
            <w:pPr>
              <w:snapToGrid w:val="0"/>
              <w:spacing w:line="360" w:lineRule="auto"/>
              <w:rPr>
                <w:rFonts w:cs="宋体"/>
                <w:bCs/>
                <w:strike w:val="0"/>
                <w:dstrike w:val="0"/>
                <w:color w:val="auto"/>
                <w:sz w:val="24"/>
                <w:szCs w:val="24"/>
                <w:highlight w:val="none"/>
              </w:rPr>
            </w:pPr>
            <w:r>
              <w:rPr>
                <w:rFonts w:hint="eastAsia" w:cs="宋体"/>
                <w:bCs/>
                <w:strike w:val="0"/>
                <w:dstrike w:val="0"/>
                <w:color w:val="auto"/>
                <w:sz w:val="24"/>
                <w:szCs w:val="24"/>
                <w:highlight w:val="none"/>
              </w:rPr>
              <w:t>（3）建筑垃圾减量化目标：</w:t>
            </w:r>
            <w:r>
              <w:rPr>
                <w:rFonts w:hint="eastAsia" w:cs="宋体"/>
                <w:bCs/>
                <w:strike w:val="0"/>
                <w:dstrike w:val="0"/>
                <w:color w:val="auto"/>
                <w:sz w:val="24"/>
                <w:szCs w:val="24"/>
                <w:highlight w:val="none"/>
                <w:u w:val="single"/>
              </w:rPr>
              <w:t>/</w:t>
            </w:r>
            <w:r>
              <w:rPr>
                <w:rFonts w:hint="eastAsia" w:cs="宋体"/>
                <w:bCs/>
                <w:strike w:val="0"/>
                <w:dstrike w:val="0"/>
                <w:color w:val="auto"/>
                <w:sz w:val="24"/>
                <w:szCs w:val="24"/>
                <w:highlight w:val="none"/>
              </w:rPr>
              <w:t>；</w:t>
            </w:r>
          </w:p>
          <w:p w14:paraId="523F997E">
            <w:pPr>
              <w:snapToGrid w:val="0"/>
              <w:spacing w:line="360" w:lineRule="auto"/>
              <w:rPr>
                <w:rFonts w:cs="宋体"/>
                <w:bCs/>
                <w:strike w:val="0"/>
                <w:dstrike w:val="0"/>
                <w:color w:val="auto"/>
                <w:sz w:val="24"/>
                <w:szCs w:val="24"/>
                <w:highlight w:val="none"/>
              </w:rPr>
            </w:pPr>
            <w:r>
              <w:rPr>
                <w:rFonts w:hint="eastAsia" w:cs="宋体"/>
                <w:bCs/>
                <w:strike w:val="0"/>
                <w:dstrike w:val="0"/>
                <w:color w:val="auto"/>
                <w:sz w:val="24"/>
                <w:szCs w:val="24"/>
                <w:highlight w:val="none"/>
              </w:rPr>
              <w:t>（4）装配式建筑装配率要求：</w:t>
            </w:r>
            <w:r>
              <w:rPr>
                <w:rFonts w:hint="eastAsia" w:cs="宋体"/>
                <w:bCs/>
                <w:strike w:val="0"/>
                <w:dstrike w:val="0"/>
                <w:color w:val="auto"/>
                <w:sz w:val="24"/>
                <w:szCs w:val="24"/>
                <w:highlight w:val="none"/>
                <w:u w:val="single"/>
                <w:lang w:val="en-US" w:eastAsia="zh-CN"/>
              </w:rPr>
              <w:t xml:space="preserve"> </w:t>
            </w:r>
            <w:r>
              <w:rPr>
                <w:rFonts w:hint="eastAsia" w:cs="宋体"/>
                <w:bCs/>
                <w:strike w:val="0"/>
                <w:dstrike w:val="0"/>
                <w:color w:val="auto"/>
                <w:sz w:val="24"/>
                <w:szCs w:val="24"/>
                <w:highlight w:val="none"/>
                <w:u w:val="single"/>
              </w:rPr>
              <w:t xml:space="preserve">/ </w:t>
            </w:r>
            <w:r>
              <w:rPr>
                <w:rFonts w:hint="eastAsia" w:cs="宋体"/>
                <w:bCs/>
                <w:strike w:val="0"/>
                <w:dstrike w:val="0"/>
                <w:color w:val="auto"/>
                <w:sz w:val="24"/>
                <w:szCs w:val="24"/>
                <w:highlight w:val="none"/>
              </w:rPr>
              <w:t>；</w:t>
            </w:r>
          </w:p>
        </w:tc>
      </w:tr>
      <w:tr w14:paraId="6262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9" w:type="dxa"/>
            <w:vAlign w:val="center"/>
          </w:tcPr>
          <w:p w14:paraId="4BED670A">
            <w:pPr>
              <w:numPr>
                <w:ilvl w:val="0"/>
                <w:numId w:val="19"/>
              </w:numPr>
              <w:snapToGrid w:val="0"/>
              <w:spacing w:line="360" w:lineRule="auto"/>
              <w:jc w:val="center"/>
              <w:rPr>
                <w:rFonts w:cs="宋体"/>
                <w:bCs/>
                <w:color w:val="auto"/>
                <w:kern w:val="2"/>
                <w:sz w:val="24"/>
                <w:szCs w:val="24"/>
                <w:highlight w:val="none"/>
              </w:rPr>
            </w:pPr>
          </w:p>
        </w:tc>
        <w:tc>
          <w:tcPr>
            <w:tcW w:w="1111" w:type="dxa"/>
            <w:vAlign w:val="center"/>
          </w:tcPr>
          <w:p w14:paraId="7BCD3F5A">
            <w:pPr>
              <w:snapToGrid w:val="0"/>
              <w:spacing w:line="360" w:lineRule="auto"/>
              <w:jc w:val="center"/>
              <w:rPr>
                <w:rFonts w:cs="宋体"/>
                <w:bCs/>
                <w:color w:val="auto"/>
                <w:kern w:val="2"/>
                <w:sz w:val="24"/>
                <w:szCs w:val="24"/>
                <w:highlight w:val="none"/>
              </w:rPr>
            </w:pPr>
            <w:r>
              <w:rPr>
                <w:rFonts w:hint="eastAsia" w:cs="宋体"/>
                <w:bCs/>
                <w:color w:val="auto"/>
                <w:sz w:val="24"/>
                <w:szCs w:val="24"/>
                <w:highlight w:val="none"/>
              </w:rPr>
              <w:t>7.5.2</w:t>
            </w:r>
          </w:p>
        </w:tc>
        <w:tc>
          <w:tcPr>
            <w:tcW w:w="7304" w:type="dxa"/>
            <w:tcBorders>
              <w:bottom w:val="single" w:color="auto" w:sz="4" w:space="0"/>
            </w:tcBorders>
            <w:vAlign w:val="center"/>
          </w:tcPr>
          <w:p w14:paraId="05469BC6">
            <w:pPr>
              <w:snapToGrid w:val="0"/>
              <w:spacing w:line="360" w:lineRule="auto"/>
              <w:rPr>
                <w:rFonts w:hint="eastAsia" w:ascii="宋体" w:hAnsi="宋体" w:eastAsia="宋体" w:cs="宋体"/>
                <w:bCs/>
                <w:color w:val="auto"/>
                <w:kern w:val="2"/>
                <w:sz w:val="24"/>
                <w:szCs w:val="24"/>
                <w:highlight w:val="none"/>
                <w:u w:val="single"/>
              </w:rPr>
            </w:pPr>
            <w:r>
              <w:rPr>
                <w:rFonts w:hint="eastAsia" w:cs="宋体"/>
                <w:bCs/>
                <w:color w:val="auto"/>
                <w:kern w:val="2"/>
                <w:sz w:val="24"/>
                <w:szCs w:val="24"/>
                <w:highlight w:val="none"/>
                <w:u w:val="none"/>
              </w:rPr>
              <w:t xml:space="preserve"> </w:t>
            </w:r>
            <w:r>
              <w:rPr>
                <w:rFonts w:hint="eastAsia" w:cs="宋体"/>
                <w:bCs/>
                <w:color w:val="auto"/>
                <w:kern w:val="2"/>
                <w:sz w:val="24"/>
                <w:szCs w:val="24"/>
                <w:highlight w:val="none"/>
              </w:rPr>
              <w:t>因</w:t>
            </w:r>
            <w:r>
              <w:rPr>
                <w:rFonts w:hint="eastAsia" w:cs="宋体"/>
                <w:bCs/>
                <w:color w:val="auto"/>
                <w:kern w:val="2"/>
                <w:sz w:val="24"/>
                <w:szCs w:val="24"/>
                <w:highlight w:val="none"/>
                <w:lang w:eastAsia="zh-CN"/>
              </w:rPr>
              <w:t>乙方</w:t>
            </w:r>
            <w:r>
              <w:rPr>
                <w:rFonts w:hint="eastAsia" w:cs="宋体"/>
                <w:bCs/>
                <w:color w:val="auto"/>
                <w:kern w:val="2"/>
                <w:sz w:val="24"/>
                <w:szCs w:val="24"/>
                <w:highlight w:val="none"/>
              </w:rPr>
              <w:t>原因造成工期延误，逾期</w:t>
            </w:r>
            <w:r>
              <w:rPr>
                <w:rFonts w:hint="eastAsia" w:cs="宋体"/>
                <w:bCs/>
                <w:color w:val="auto"/>
                <w:kern w:val="2"/>
                <w:sz w:val="24"/>
                <w:szCs w:val="24"/>
                <w:highlight w:val="none"/>
                <w:lang w:eastAsia="zh-CN"/>
              </w:rPr>
              <w:t>完工</w:t>
            </w:r>
            <w:r>
              <w:rPr>
                <w:rFonts w:hint="eastAsia" w:cs="宋体"/>
                <w:bCs/>
                <w:color w:val="auto"/>
                <w:kern w:val="2"/>
                <w:sz w:val="24"/>
                <w:szCs w:val="24"/>
                <w:highlight w:val="none"/>
              </w:rPr>
              <w:t>违约金的计算方法为</w:t>
            </w:r>
            <w:r>
              <w:rPr>
                <w:rFonts w:hint="eastAsia" w:ascii="宋体" w:hAnsi="宋体" w:eastAsia="宋体" w:cs="宋体"/>
                <w:bCs/>
                <w:color w:val="auto"/>
                <w:kern w:val="2"/>
                <w:sz w:val="24"/>
                <w:szCs w:val="24"/>
                <w:highlight w:val="none"/>
              </w:rPr>
              <w:t>：</w:t>
            </w:r>
            <w:r>
              <w:rPr>
                <w:rFonts w:hint="eastAsia" w:cs="宋体"/>
                <w:bCs/>
                <w:color w:val="auto"/>
                <w:kern w:val="2"/>
                <w:sz w:val="24"/>
                <w:szCs w:val="24"/>
                <w:highlight w:val="none"/>
                <w:u w:val="single"/>
              </w:rPr>
              <w:t>因</w:t>
            </w:r>
            <w:r>
              <w:rPr>
                <w:rFonts w:hint="eastAsia" w:cs="宋体"/>
                <w:bCs/>
                <w:color w:val="auto"/>
                <w:kern w:val="2"/>
                <w:sz w:val="24"/>
                <w:szCs w:val="24"/>
                <w:highlight w:val="none"/>
                <w:u w:val="single"/>
                <w:lang w:eastAsia="zh-CN"/>
              </w:rPr>
              <w:t>乙方</w:t>
            </w:r>
            <w:r>
              <w:rPr>
                <w:rFonts w:hint="eastAsia" w:cs="宋体"/>
                <w:bCs/>
                <w:color w:val="auto"/>
                <w:kern w:val="2"/>
                <w:sz w:val="24"/>
                <w:szCs w:val="24"/>
                <w:highlight w:val="none"/>
                <w:u w:val="single"/>
              </w:rPr>
              <w:t>原因造成工程质量不合格的，</w:t>
            </w:r>
            <w:r>
              <w:rPr>
                <w:rFonts w:hint="eastAsia" w:cs="宋体"/>
                <w:bCs/>
                <w:color w:val="auto"/>
                <w:kern w:val="2"/>
                <w:sz w:val="24"/>
                <w:szCs w:val="24"/>
                <w:highlight w:val="none"/>
                <w:u w:val="single"/>
                <w:lang w:eastAsia="zh-CN"/>
              </w:rPr>
              <w:t>乙方</w:t>
            </w:r>
            <w:r>
              <w:rPr>
                <w:rFonts w:hint="eastAsia" w:cs="宋体"/>
                <w:bCs/>
                <w:color w:val="auto"/>
                <w:kern w:val="2"/>
                <w:sz w:val="24"/>
                <w:szCs w:val="24"/>
                <w:highlight w:val="none"/>
                <w:u w:val="single"/>
              </w:rPr>
              <w:t>应无条件修复达到合同约定的质量标准；无法维修的，双方协商处理。发生该条违约时，</w:t>
            </w:r>
            <w:r>
              <w:rPr>
                <w:rFonts w:hint="eastAsia" w:cs="宋体"/>
                <w:bCs/>
                <w:color w:val="auto"/>
                <w:kern w:val="2"/>
                <w:sz w:val="24"/>
                <w:szCs w:val="24"/>
                <w:highlight w:val="none"/>
                <w:u w:val="single"/>
                <w:lang w:eastAsia="zh-CN"/>
              </w:rPr>
              <w:t>甲方</w:t>
            </w:r>
            <w:r>
              <w:rPr>
                <w:rFonts w:hint="eastAsia" w:cs="宋体"/>
                <w:bCs/>
                <w:color w:val="auto"/>
                <w:kern w:val="2"/>
                <w:sz w:val="24"/>
                <w:szCs w:val="24"/>
                <w:highlight w:val="none"/>
                <w:u w:val="single"/>
              </w:rPr>
              <w:t>有权停止支付所有工程款项，不退还履约担保</w:t>
            </w:r>
            <w:r>
              <w:rPr>
                <w:rFonts w:hint="eastAsia" w:ascii="宋体" w:hAnsi="宋体" w:eastAsia="宋体" w:cs="宋体"/>
                <w:bCs/>
                <w:color w:val="auto"/>
                <w:kern w:val="2"/>
                <w:sz w:val="24"/>
                <w:szCs w:val="24"/>
                <w:highlight w:val="none"/>
                <w:u w:val="single"/>
                <w:lang w:val="en-US" w:eastAsia="zh-CN"/>
              </w:rPr>
              <w:t>。</w:t>
            </w:r>
          </w:p>
          <w:p w14:paraId="238A0A74">
            <w:pPr>
              <w:snapToGrid w:val="0"/>
              <w:spacing w:line="360" w:lineRule="auto"/>
              <w:rPr>
                <w:rFonts w:cs="宋体"/>
                <w:bCs/>
                <w:color w:val="auto"/>
                <w:kern w:val="2"/>
                <w:sz w:val="24"/>
                <w:szCs w:val="24"/>
                <w:highlight w:val="none"/>
              </w:rPr>
            </w:pPr>
            <w:r>
              <w:rPr>
                <w:rFonts w:hint="eastAsia" w:cs="宋体"/>
                <w:bCs/>
                <w:color w:val="auto"/>
                <w:kern w:val="2"/>
                <w:sz w:val="24"/>
                <w:szCs w:val="24"/>
                <w:highlight w:val="none"/>
              </w:rPr>
              <w:t>因</w:t>
            </w:r>
            <w:r>
              <w:rPr>
                <w:rFonts w:hint="eastAsia" w:cs="宋体"/>
                <w:bCs/>
                <w:color w:val="auto"/>
                <w:kern w:val="2"/>
                <w:sz w:val="24"/>
                <w:szCs w:val="24"/>
                <w:highlight w:val="none"/>
                <w:lang w:eastAsia="zh-CN"/>
              </w:rPr>
              <w:t>乙方</w:t>
            </w:r>
            <w:r>
              <w:rPr>
                <w:rFonts w:hint="eastAsia" w:cs="宋体"/>
                <w:bCs/>
                <w:color w:val="auto"/>
                <w:kern w:val="2"/>
                <w:sz w:val="24"/>
                <w:szCs w:val="24"/>
                <w:highlight w:val="none"/>
              </w:rPr>
              <w:t>原因造成工期延误，逾期</w:t>
            </w:r>
            <w:r>
              <w:rPr>
                <w:rFonts w:hint="eastAsia" w:cs="宋体"/>
                <w:bCs/>
                <w:color w:val="auto"/>
                <w:kern w:val="2"/>
                <w:sz w:val="24"/>
                <w:szCs w:val="24"/>
                <w:highlight w:val="none"/>
                <w:lang w:eastAsia="zh-CN"/>
              </w:rPr>
              <w:t>完工</w:t>
            </w:r>
            <w:r>
              <w:rPr>
                <w:rFonts w:hint="eastAsia" w:cs="宋体"/>
                <w:bCs/>
                <w:color w:val="auto"/>
                <w:kern w:val="2"/>
                <w:sz w:val="24"/>
                <w:szCs w:val="24"/>
                <w:highlight w:val="none"/>
              </w:rPr>
              <w:t>违约金的上限：</w:t>
            </w:r>
            <w:r>
              <w:rPr>
                <w:rFonts w:hint="eastAsia" w:cs="宋体"/>
                <w:bCs/>
                <w:color w:val="auto"/>
                <w:kern w:val="2"/>
                <w:sz w:val="24"/>
                <w:szCs w:val="24"/>
                <w:highlight w:val="none"/>
                <w:u w:val="single"/>
              </w:rPr>
              <w:t>合同总价的10%</w:t>
            </w:r>
            <w:r>
              <w:rPr>
                <w:rFonts w:hint="eastAsia" w:cs="宋体"/>
                <w:bCs/>
                <w:color w:val="auto"/>
                <w:kern w:val="2"/>
                <w:sz w:val="24"/>
                <w:szCs w:val="24"/>
                <w:highlight w:val="none"/>
              </w:rPr>
              <w:t>。</w:t>
            </w:r>
          </w:p>
        </w:tc>
      </w:tr>
      <w:tr w14:paraId="331A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9" w:type="dxa"/>
            <w:vAlign w:val="center"/>
          </w:tcPr>
          <w:p w14:paraId="0D51A118">
            <w:pPr>
              <w:numPr>
                <w:ilvl w:val="0"/>
                <w:numId w:val="19"/>
              </w:numPr>
              <w:snapToGrid w:val="0"/>
              <w:spacing w:line="360" w:lineRule="auto"/>
              <w:jc w:val="center"/>
              <w:rPr>
                <w:rFonts w:cs="宋体"/>
                <w:bCs/>
                <w:strike w:val="0"/>
                <w:dstrike w:val="0"/>
                <w:color w:val="auto"/>
                <w:kern w:val="2"/>
                <w:sz w:val="24"/>
                <w:szCs w:val="24"/>
                <w:highlight w:val="none"/>
              </w:rPr>
            </w:pPr>
          </w:p>
        </w:tc>
        <w:tc>
          <w:tcPr>
            <w:tcW w:w="1111" w:type="dxa"/>
            <w:vAlign w:val="center"/>
          </w:tcPr>
          <w:p w14:paraId="303BDEE5">
            <w:pPr>
              <w:snapToGrid w:val="0"/>
              <w:spacing w:line="360" w:lineRule="auto"/>
              <w:jc w:val="center"/>
              <w:rPr>
                <w:rFonts w:cs="宋体"/>
                <w:bCs/>
                <w:strike w:val="0"/>
                <w:dstrike w:val="0"/>
                <w:color w:val="auto"/>
                <w:kern w:val="2"/>
                <w:sz w:val="24"/>
                <w:szCs w:val="24"/>
                <w:highlight w:val="none"/>
              </w:rPr>
            </w:pPr>
            <w:r>
              <w:rPr>
                <w:rFonts w:hint="eastAsia" w:cs="宋体"/>
                <w:bCs/>
                <w:strike w:val="0"/>
                <w:dstrike w:val="0"/>
                <w:color w:val="auto"/>
                <w:sz w:val="24"/>
                <w:szCs w:val="24"/>
                <w:highlight w:val="none"/>
              </w:rPr>
              <w:t>7.9.2</w:t>
            </w:r>
          </w:p>
        </w:tc>
        <w:tc>
          <w:tcPr>
            <w:tcW w:w="7304" w:type="dxa"/>
            <w:tcBorders>
              <w:bottom w:val="single" w:color="auto" w:sz="4" w:space="0"/>
            </w:tcBorders>
            <w:vAlign w:val="center"/>
          </w:tcPr>
          <w:p w14:paraId="0DE36217">
            <w:pPr>
              <w:snapToGrid w:val="0"/>
              <w:spacing w:line="360" w:lineRule="auto"/>
              <w:rPr>
                <w:rFonts w:cs="宋体"/>
                <w:bCs/>
                <w:strike w:val="0"/>
                <w:dstrike w:val="0"/>
                <w:color w:val="auto"/>
                <w:kern w:val="2"/>
                <w:sz w:val="24"/>
                <w:szCs w:val="24"/>
                <w:highlight w:val="none"/>
              </w:rPr>
            </w:pPr>
            <w:r>
              <w:rPr>
                <w:rFonts w:hint="eastAsia" w:cs="宋体"/>
                <w:strike w:val="0"/>
                <w:dstrike w:val="0"/>
                <w:color w:val="auto"/>
                <w:sz w:val="24"/>
                <w:szCs w:val="24"/>
                <w:highlight w:val="none"/>
              </w:rPr>
              <w:t>提前竣工的奖励：</w:t>
            </w:r>
            <w:r>
              <w:rPr>
                <w:rFonts w:hint="eastAsia" w:cs="宋体"/>
                <w:strike w:val="0"/>
                <w:dstrike w:val="0"/>
                <w:color w:val="auto"/>
                <w:sz w:val="24"/>
                <w:szCs w:val="24"/>
                <w:highlight w:val="none"/>
                <w:u w:val="single"/>
              </w:rPr>
              <w:t xml:space="preserve"> </w:t>
            </w:r>
            <w:r>
              <w:rPr>
                <w:rFonts w:hint="eastAsia" w:cs="宋体"/>
                <w:bCs/>
                <w:strike w:val="0"/>
                <w:dstrike w:val="0"/>
                <w:color w:val="auto"/>
                <w:sz w:val="24"/>
                <w:szCs w:val="24"/>
                <w:highlight w:val="none"/>
                <w:u w:val="single"/>
              </w:rPr>
              <w:t>/</w:t>
            </w:r>
            <w:r>
              <w:rPr>
                <w:rFonts w:hint="eastAsia" w:cs="宋体"/>
                <w:strike w:val="0"/>
                <w:dstrike w:val="0"/>
                <w:color w:val="auto"/>
                <w:sz w:val="24"/>
                <w:szCs w:val="24"/>
                <w:highlight w:val="none"/>
                <w:u w:val="single"/>
              </w:rPr>
              <w:t xml:space="preserve">  </w:t>
            </w:r>
            <w:r>
              <w:rPr>
                <w:rFonts w:hint="eastAsia" w:cs="宋体"/>
                <w:strike w:val="0"/>
                <w:dstrike w:val="0"/>
                <w:color w:val="auto"/>
                <w:sz w:val="24"/>
                <w:szCs w:val="24"/>
                <w:highlight w:val="none"/>
              </w:rPr>
              <w:t>。</w:t>
            </w:r>
          </w:p>
        </w:tc>
      </w:tr>
      <w:tr w14:paraId="0DAA1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9" w:type="dxa"/>
            <w:vAlign w:val="center"/>
          </w:tcPr>
          <w:p w14:paraId="179BA828">
            <w:pPr>
              <w:numPr>
                <w:ilvl w:val="0"/>
                <w:numId w:val="19"/>
              </w:numPr>
              <w:snapToGrid w:val="0"/>
              <w:spacing w:line="360" w:lineRule="auto"/>
              <w:jc w:val="center"/>
              <w:rPr>
                <w:rFonts w:cs="宋体"/>
                <w:bCs/>
                <w:color w:val="auto"/>
                <w:kern w:val="2"/>
                <w:sz w:val="24"/>
                <w:szCs w:val="24"/>
                <w:highlight w:val="none"/>
              </w:rPr>
            </w:pPr>
          </w:p>
        </w:tc>
        <w:tc>
          <w:tcPr>
            <w:tcW w:w="1111" w:type="dxa"/>
            <w:vAlign w:val="center"/>
          </w:tcPr>
          <w:p w14:paraId="16DE72A6">
            <w:pPr>
              <w:snapToGrid w:val="0"/>
              <w:spacing w:line="360" w:lineRule="auto"/>
              <w:jc w:val="center"/>
              <w:rPr>
                <w:rFonts w:cs="宋体"/>
                <w:bCs/>
                <w:color w:val="auto"/>
                <w:kern w:val="2"/>
                <w:sz w:val="24"/>
                <w:szCs w:val="24"/>
                <w:highlight w:val="none"/>
              </w:rPr>
            </w:pPr>
            <w:r>
              <w:rPr>
                <w:rFonts w:hint="eastAsia" w:cs="宋体"/>
                <w:bCs/>
                <w:color w:val="auto"/>
                <w:sz w:val="24"/>
                <w:szCs w:val="24"/>
                <w:highlight w:val="none"/>
              </w:rPr>
              <w:t>11.1</w:t>
            </w:r>
          </w:p>
        </w:tc>
        <w:tc>
          <w:tcPr>
            <w:tcW w:w="7304" w:type="dxa"/>
            <w:tcBorders>
              <w:bottom w:val="single" w:color="auto" w:sz="4" w:space="0"/>
            </w:tcBorders>
            <w:vAlign w:val="center"/>
          </w:tcPr>
          <w:p w14:paraId="17470E61">
            <w:pPr>
              <w:pStyle w:val="33"/>
              <w:tabs>
                <w:tab w:val="clear" w:pos="4153"/>
                <w:tab w:val="clear" w:pos="8306"/>
              </w:tabs>
              <w:spacing w:line="360" w:lineRule="auto"/>
              <w:rPr>
                <w:rFonts w:cs="宋体"/>
                <w:bCs/>
                <w:color w:val="auto"/>
                <w:kern w:val="2"/>
                <w:sz w:val="24"/>
                <w:szCs w:val="24"/>
                <w:highlight w:val="none"/>
              </w:rPr>
            </w:pPr>
            <w:r>
              <w:rPr>
                <w:rFonts w:hint="eastAsia" w:cs="宋体"/>
                <w:bCs/>
                <w:color w:val="auto"/>
                <w:kern w:val="2"/>
                <w:sz w:val="24"/>
                <w:szCs w:val="24"/>
                <w:highlight w:val="none"/>
              </w:rPr>
              <w:t>市场价格波动是否调整合同价格的约定：</w:t>
            </w:r>
            <w:r>
              <w:rPr>
                <w:rFonts w:hint="eastAsia" w:cs="宋体"/>
                <w:bCs/>
                <w:color w:val="auto"/>
                <w:kern w:val="2"/>
                <w:sz w:val="24"/>
                <w:szCs w:val="24"/>
                <w:highlight w:val="none"/>
                <w:u w:val="single"/>
              </w:rPr>
              <w:t xml:space="preserve"> </w:t>
            </w:r>
            <w:r>
              <w:rPr>
                <w:rFonts w:hint="eastAsia" w:cs="宋体"/>
                <w:bCs/>
                <w:color w:val="auto"/>
                <w:sz w:val="24"/>
                <w:szCs w:val="24"/>
                <w:highlight w:val="none"/>
                <w:u w:val="single"/>
                <w:lang w:val="en-US" w:eastAsia="zh-CN"/>
              </w:rPr>
              <w:t>不调整</w:t>
            </w:r>
            <w:r>
              <w:rPr>
                <w:rFonts w:hint="eastAsia" w:cs="宋体"/>
                <w:bCs/>
                <w:color w:val="auto"/>
                <w:kern w:val="2"/>
                <w:sz w:val="24"/>
                <w:szCs w:val="24"/>
                <w:highlight w:val="none"/>
                <w:u w:val="single"/>
              </w:rPr>
              <w:t xml:space="preserve"> </w:t>
            </w:r>
            <w:r>
              <w:rPr>
                <w:rFonts w:hint="eastAsia" w:cs="宋体"/>
                <w:bCs/>
                <w:color w:val="auto"/>
                <w:kern w:val="2"/>
                <w:sz w:val="24"/>
                <w:szCs w:val="24"/>
                <w:highlight w:val="none"/>
              </w:rPr>
              <w:t>。</w:t>
            </w:r>
          </w:p>
        </w:tc>
      </w:tr>
      <w:tr w14:paraId="3694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9" w:type="dxa"/>
            <w:vAlign w:val="center"/>
          </w:tcPr>
          <w:p w14:paraId="5668F680">
            <w:pPr>
              <w:numPr>
                <w:ilvl w:val="0"/>
                <w:numId w:val="19"/>
              </w:numPr>
              <w:snapToGrid w:val="0"/>
              <w:spacing w:line="360" w:lineRule="auto"/>
              <w:jc w:val="center"/>
              <w:rPr>
                <w:rFonts w:cs="宋体"/>
                <w:bCs/>
                <w:color w:val="auto"/>
                <w:sz w:val="24"/>
                <w:szCs w:val="24"/>
                <w:highlight w:val="none"/>
              </w:rPr>
            </w:pPr>
          </w:p>
        </w:tc>
        <w:tc>
          <w:tcPr>
            <w:tcW w:w="1111" w:type="dxa"/>
            <w:vAlign w:val="center"/>
          </w:tcPr>
          <w:p w14:paraId="0B3A008C">
            <w:pPr>
              <w:snapToGrid w:val="0"/>
              <w:spacing w:line="360" w:lineRule="auto"/>
              <w:jc w:val="center"/>
              <w:rPr>
                <w:rFonts w:cs="宋体"/>
                <w:bCs/>
                <w:color w:val="auto"/>
                <w:sz w:val="24"/>
                <w:szCs w:val="24"/>
                <w:highlight w:val="none"/>
              </w:rPr>
            </w:pPr>
            <w:r>
              <w:rPr>
                <w:rFonts w:hint="eastAsia" w:cs="宋体"/>
                <w:bCs/>
                <w:color w:val="auto"/>
                <w:sz w:val="24"/>
                <w:szCs w:val="24"/>
                <w:highlight w:val="none"/>
              </w:rPr>
              <w:t>12.1</w:t>
            </w:r>
          </w:p>
        </w:tc>
        <w:tc>
          <w:tcPr>
            <w:tcW w:w="7304" w:type="dxa"/>
            <w:tcBorders>
              <w:bottom w:val="single" w:color="auto" w:sz="4" w:space="0"/>
            </w:tcBorders>
            <w:vAlign w:val="center"/>
          </w:tcPr>
          <w:p w14:paraId="0C4CCA5B">
            <w:pPr>
              <w:pStyle w:val="33"/>
              <w:tabs>
                <w:tab w:val="clear" w:pos="4153"/>
                <w:tab w:val="clear" w:pos="8306"/>
              </w:tabs>
              <w:spacing w:line="360" w:lineRule="auto"/>
              <w:rPr>
                <w:rFonts w:cs="宋体"/>
                <w:bCs/>
                <w:color w:val="auto"/>
                <w:sz w:val="24"/>
                <w:szCs w:val="24"/>
                <w:highlight w:val="none"/>
              </w:rPr>
            </w:pPr>
            <w:r>
              <w:rPr>
                <w:rFonts w:hint="eastAsia" w:cs="宋体"/>
                <w:bCs/>
                <w:color w:val="auto"/>
                <w:sz w:val="24"/>
                <w:szCs w:val="24"/>
                <w:highlight w:val="none"/>
              </w:rPr>
              <w:t>合同价格形式</w:t>
            </w:r>
          </w:p>
          <w:p w14:paraId="3CA0908A">
            <w:pPr>
              <w:pStyle w:val="33"/>
              <w:tabs>
                <w:tab w:val="clear" w:pos="4153"/>
                <w:tab w:val="clear" w:pos="8306"/>
              </w:tabs>
              <w:spacing w:line="360" w:lineRule="auto"/>
              <w:rPr>
                <w:rFonts w:cs="宋体"/>
                <w:bCs/>
                <w:color w:val="auto"/>
                <w:sz w:val="24"/>
                <w:szCs w:val="24"/>
                <w:highlight w:val="none"/>
              </w:rPr>
            </w:pPr>
            <w:r>
              <w:rPr>
                <w:rFonts w:hint="eastAsia" w:cs="宋体"/>
                <w:bCs/>
                <w:color w:val="auto"/>
                <w:sz w:val="24"/>
                <w:szCs w:val="24"/>
                <w:highlight w:val="none"/>
              </w:rPr>
              <w:t>(1)单价合同。</w:t>
            </w:r>
          </w:p>
          <w:p w14:paraId="6310B419">
            <w:pPr>
              <w:pStyle w:val="33"/>
              <w:tabs>
                <w:tab w:val="clear" w:pos="4153"/>
                <w:tab w:val="clear" w:pos="8306"/>
              </w:tabs>
              <w:spacing w:line="360" w:lineRule="auto"/>
              <w:rPr>
                <w:rFonts w:hint="eastAsia" w:cs="宋体"/>
                <w:bCs/>
                <w:color w:val="auto"/>
                <w:sz w:val="24"/>
                <w:szCs w:val="24"/>
                <w:highlight w:val="none"/>
              </w:rPr>
            </w:pPr>
            <w:r>
              <w:rPr>
                <w:rFonts w:hint="eastAsia" w:cs="宋体"/>
                <w:bCs/>
                <w:color w:val="auto"/>
                <w:sz w:val="24"/>
                <w:szCs w:val="24"/>
                <w:highlight w:val="none"/>
              </w:rPr>
              <w:t>综合单价包含的风险范围：</w:t>
            </w:r>
            <w:r>
              <w:rPr>
                <w:rFonts w:hint="eastAsia" w:cs="宋体"/>
                <w:bCs/>
                <w:color w:val="auto"/>
                <w:sz w:val="24"/>
                <w:szCs w:val="24"/>
                <w:highlight w:val="none"/>
                <w:u w:val="single"/>
              </w:rPr>
              <w:t xml:space="preserve">材料价格、人工成本上涨，异常天气导致的工期延误 </w:t>
            </w:r>
            <w:r>
              <w:rPr>
                <w:rFonts w:hint="eastAsia" w:cs="宋体"/>
                <w:bCs/>
                <w:color w:val="auto"/>
                <w:sz w:val="24"/>
                <w:szCs w:val="24"/>
                <w:highlight w:val="none"/>
              </w:rPr>
              <w:t>。</w:t>
            </w:r>
          </w:p>
          <w:p w14:paraId="4BC4FF19">
            <w:pPr>
              <w:pStyle w:val="33"/>
              <w:tabs>
                <w:tab w:val="clear" w:pos="4153"/>
                <w:tab w:val="clear" w:pos="8306"/>
              </w:tabs>
              <w:spacing w:line="360" w:lineRule="auto"/>
              <w:rPr>
                <w:rFonts w:cs="宋体"/>
                <w:bCs/>
                <w:color w:val="auto"/>
                <w:sz w:val="24"/>
                <w:szCs w:val="24"/>
                <w:highlight w:val="none"/>
              </w:rPr>
            </w:pPr>
            <w:r>
              <w:rPr>
                <w:rFonts w:hint="eastAsia" w:cs="宋体"/>
                <w:bCs/>
                <w:color w:val="auto"/>
                <w:sz w:val="24"/>
                <w:szCs w:val="24"/>
                <w:highlight w:val="none"/>
              </w:rPr>
              <w:t>风险费用的计算方法：</w:t>
            </w:r>
            <w:r>
              <w:rPr>
                <w:rFonts w:hint="eastAsia" w:cs="宋体"/>
                <w:bCs/>
                <w:color w:val="auto"/>
                <w:sz w:val="24"/>
                <w:szCs w:val="24"/>
                <w:highlight w:val="none"/>
                <w:u w:val="single"/>
              </w:rPr>
              <w:t xml:space="preserve">              /                    </w:t>
            </w:r>
            <w:r>
              <w:rPr>
                <w:rFonts w:hint="eastAsia" w:cs="宋体"/>
                <w:bCs/>
                <w:color w:val="auto"/>
                <w:sz w:val="24"/>
                <w:szCs w:val="24"/>
                <w:highlight w:val="none"/>
              </w:rPr>
              <w:t>。</w:t>
            </w:r>
          </w:p>
          <w:p w14:paraId="22238124">
            <w:pPr>
              <w:pStyle w:val="33"/>
              <w:tabs>
                <w:tab w:val="clear" w:pos="4153"/>
                <w:tab w:val="clear" w:pos="8306"/>
              </w:tabs>
              <w:spacing w:line="360" w:lineRule="auto"/>
              <w:rPr>
                <w:rFonts w:cs="宋体"/>
                <w:bCs/>
                <w:color w:val="auto"/>
                <w:sz w:val="24"/>
                <w:szCs w:val="24"/>
                <w:highlight w:val="none"/>
              </w:rPr>
            </w:pPr>
            <w:r>
              <w:rPr>
                <w:rFonts w:hint="eastAsia" w:cs="宋体"/>
                <w:bCs/>
                <w:color w:val="auto"/>
                <w:sz w:val="24"/>
                <w:szCs w:val="24"/>
                <w:highlight w:val="none"/>
              </w:rPr>
              <w:t>风险范围以外合同价格的调整方法：</w:t>
            </w:r>
            <w:r>
              <w:rPr>
                <w:rFonts w:hint="eastAsia" w:cs="宋体"/>
                <w:bCs/>
                <w:color w:val="auto"/>
                <w:sz w:val="24"/>
                <w:szCs w:val="24"/>
                <w:highlight w:val="none"/>
                <w:u w:val="single"/>
              </w:rPr>
              <w:t xml:space="preserve">  </w:t>
            </w:r>
            <w:r>
              <w:rPr>
                <w:rFonts w:hint="eastAsia" w:cs="宋体"/>
                <w:bCs/>
                <w:color w:val="auto"/>
                <w:sz w:val="24"/>
                <w:szCs w:val="24"/>
                <w:highlight w:val="none"/>
                <w:u w:val="single"/>
                <w:lang w:val="en-US" w:eastAsia="zh-CN"/>
              </w:rPr>
              <w:t>不调整</w:t>
            </w:r>
            <w:r>
              <w:rPr>
                <w:rFonts w:hint="eastAsia" w:cs="宋体"/>
                <w:bCs/>
                <w:color w:val="auto"/>
                <w:kern w:val="2"/>
                <w:sz w:val="24"/>
                <w:szCs w:val="24"/>
                <w:highlight w:val="none"/>
                <w:u w:val="single"/>
              </w:rPr>
              <w:t xml:space="preserve"> </w:t>
            </w:r>
            <w:r>
              <w:rPr>
                <w:rFonts w:hint="eastAsia" w:cs="宋体"/>
                <w:bCs/>
                <w:color w:val="auto"/>
                <w:sz w:val="24"/>
                <w:szCs w:val="24"/>
                <w:highlight w:val="none"/>
                <w:u w:val="single"/>
              </w:rPr>
              <w:t xml:space="preserve"> </w:t>
            </w:r>
            <w:r>
              <w:rPr>
                <w:rFonts w:hint="eastAsia" w:cs="宋体"/>
                <w:bCs/>
                <w:color w:val="auto"/>
                <w:sz w:val="24"/>
                <w:szCs w:val="24"/>
                <w:highlight w:val="none"/>
              </w:rPr>
              <w:t>。</w:t>
            </w:r>
          </w:p>
          <w:p w14:paraId="7222B034">
            <w:pPr>
              <w:pStyle w:val="33"/>
              <w:tabs>
                <w:tab w:val="clear" w:pos="4153"/>
                <w:tab w:val="clear" w:pos="8306"/>
              </w:tabs>
              <w:spacing w:line="360" w:lineRule="auto"/>
              <w:rPr>
                <w:rFonts w:cs="宋体"/>
                <w:bCs/>
                <w:color w:val="auto"/>
                <w:sz w:val="24"/>
                <w:szCs w:val="24"/>
                <w:highlight w:val="none"/>
              </w:rPr>
            </w:pPr>
            <w:r>
              <w:rPr>
                <w:rFonts w:hint="eastAsia" w:cs="宋体"/>
                <w:bCs/>
                <w:color w:val="auto"/>
                <w:sz w:val="24"/>
                <w:szCs w:val="24"/>
                <w:highlight w:val="none"/>
              </w:rPr>
              <w:t>(2)总价合同。</w:t>
            </w:r>
          </w:p>
          <w:p w14:paraId="6301A932">
            <w:pPr>
              <w:pStyle w:val="33"/>
              <w:tabs>
                <w:tab w:val="clear" w:pos="4153"/>
                <w:tab w:val="clear" w:pos="8306"/>
              </w:tabs>
              <w:spacing w:line="360" w:lineRule="auto"/>
              <w:rPr>
                <w:rFonts w:cs="宋体"/>
                <w:bCs/>
                <w:color w:val="auto"/>
                <w:sz w:val="24"/>
                <w:szCs w:val="24"/>
                <w:highlight w:val="none"/>
              </w:rPr>
            </w:pPr>
            <w:r>
              <w:rPr>
                <w:rFonts w:hint="eastAsia" w:cs="宋体"/>
                <w:bCs/>
                <w:color w:val="auto"/>
                <w:sz w:val="24"/>
                <w:szCs w:val="24"/>
                <w:highlight w:val="none"/>
              </w:rPr>
              <w:t>总价包含的风险范围：</w:t>
            </w:r>
            <w:r>
              <w:rPr>
                <w:rFonts w:hint="eastAsia" w:cs="宋体"/>
                <w:bCs/>
                <w:color w:val="auto"/>
                <w:sz w:val="24"/>
                <w:szCs w:val="24"/>
                <w:highlight w:val="none"/>
                <w:u w:val="single"/>
              </w:rPr>
              <w:t xml:space="preserve">              /                        </w:t>
            </w:r>
          </w:p>
          <w:p w14:paraId="614192FC">
            <w:pPr>
              <w:pStyle w:val="33"/>
              <w:tabs>
                <w:tab w:val="clear" w:pos="4153"/>
                <w:tab w:val="clear" w:pos="8306"/>
              </w:tabs>
              <w:spacing w:line="360" w:lineRule="auto"/>
              <w:rPr>
                <w:rFonts w:cs="宋体"/>
                <w:bCs/>
                <w:color w:val="auto"/>
                <w:sz w:val="24"/>
                <w:szCs w:val="24"/>
                <w:highlight w:val="none"/>
              </w:rPr>
            </w:pPr>
            <w:r>
              <w:rPr>
                <w:rFonts w:hint="eastAsia" w:cs="宋体"/>
                <w:bCs/>
                <w:color w:val="auto"/>
                <w:sz w:val="24"/>
                <w:szCs w:val="24"/>
                <w:highlight w:val="none"/>
              </w:rPr>
              <w:t>风险费用的计算方法：</w:t>
            </w:r>
            <w:r>
              <w:rPr>
                <w:rFonts w:hint="eastAsia" w:cs="宋体"/>
                <w:bCs/>
                <w:color w:val="auto"/>
                <w:sz w:val="24"/>
                <w:szCs w:val="24"/>
                <w:highlight w:val="none"/>
                <w:u w:val="single"/>
              </w:rPr>
              <w:t xml:space="preserve">             /          </w:t>
            </w:r>
            <w:r>
              <w:rPr>
                <w:rFonts w:hint="eastAsia" w:cs="宋体"/>
                <w:bCs/>
                <w:color w:val="auto"/>
                <w:sz w:val="24"/>
                <w:szCs w:val="24"/>
                <w:highlight w:val="none"/>
              </w:rPr>
              <w:t>。</w:t>
            </w:r>
          </w:p>
          <w:p w14:paraId="1202E2A9">
            <w:pPr>
              <w:pStyle w:val="33"/>
              <w:tabs>
                <w:tab w:val="clear" w:pos="4153"/>
                <w:tab w:val="clear" w:pos="8306"/>
              </w:tabs>
              <w:spacing w:line="360" w:lineRule="auto"/>
              <w:rPr>
                <w:rFonts w:cs="宋体"/>
                <w:bCs/>
                <w:color w:val="auto"/>
                <w:sz w:val="24"/>
                <w:szCs w:val="24"/>
                <w:highlight w:val="none"/>
              </w:rPr>
            </w:pPr>
            <w:r>
              <w:rPr>
                <w:rFonts w:hint="eastAsia" w:cs="宋体"/>
                <w:bCs/>
                <w:color w:val="auto"/>
                <w:sz w:val="24"/>
                <w:szCs w:val="24"/>
                <w:highlight w:val="none"/>
              </w:rPr>
              <w:t>风险范围以外合同价格的调整方法：</w:t>
            </w:r>
            <w:r>
              <w:rPr>
                <w:rFonts w:hint="eastAsia" w:cs="宋体"/>
                <w:bCs/>
                <w:color w:val="auto"/>
                <w:sz w:val="24"/>
                <w:szCs w:val="24"/>
                <w:highlight w:val="none"/>
                <w:u w:val="single"/>
              </w:rPr>
              <w:t xml:space="preserve"> </w:t>
            </w:r>
            <w:r>
              <w:rPr>
                <w:rFonts w:hint="eastAsia" w:cs="宋体"/>
                <w:bCs/>
                <w:color w:val="auto"/>
                <w:sz w:val="24"/>
                <w:szCs w:val="24"/>
                <w:highlight w:val="none"/>
                <w:u w:val="single"/>
                <w:lang w:val="en-US" w:eastAsia="zh-CN"/>
              </w:rPr>
              <w:t xml:space="preserve">  </w:t>
            </w:r>
            <w:r>
              <w:rPr>
                <w:rFonts w:hint="eastAsia" w:cs="宋体"/>
                <w:bCs/>
                <w:color w:val="auto"/>
                <w:sz w:val="24"/>
                <w:szCs w:val="24"/>
                <w:highlight w:val="none"/>
                <w:u w:val="single"/>
              </w:rPr>
              <w:t xml:space="preserve">  /        </w:t>
            </w:r>
            <w:r>
              <w:rPr>
                <w:rFonts w:hint="eastAsia" w:cs="宋体"/>
                <w:bCs/>
                <w:color w:val="auto"/>
                <w:sz w:val="24"/>
                <w:szCs w:val="24"/>
                <w:highlight w:val="none"/>
              </w:rPr>
              <w:t>。</w:t>
            </w:r>
          </w:p>
          <w:p w14:paraId="1314B719">
            <w:pPr>
              <w:pStyle w:val="33"/>
              <w:tabs>
                <w:tab w:val="clear" w:pos="4153"/>
                <w:tab w:val="clear" w:pos="8306"/>
              </w:tabs>
              <w:spacing w:line="360" w:lineRule="auto"/>
              <w:rPr>
                <w:rFonts w:cs="宋体"/>
                <w:bCs/>
                <w:color w:val="auto"/>
                <w:sz w:val="24"/>
                <w:szCs w:val="24"/>
                <w:highlight w:val="none"/>
              </w:rPr>
            </w:pPr>
            <w:r>
              <w:rPr>
                <w:rFonts w:hint="eastAsia" w:cs="宋体"/>
                <w:bCs/>
                <w:color w:val="auto"/>
                <w:sz w:val="24"/>
                <w:szCs w:val="24"/>
                <w:highlight w:val="none"/>
              </w:rPr>
              <w:t>（3）其他价格方式：</w:t>
            </w:r>
            <w:r>
              <w:rPr>
                <w:rFonts w:hint="eastAsia" w:cs="宋体"/>
                <w:bCs/>
                <w:color w:val="auto"/>
                <w:sz w:val="24"/>
                <w:szCs w:val="24"/>
                <w:highlight w:val="none"/>
                <w:u w:val="single"/>
              </w:rPr>
              <w:t xml:space="preserve">    </w:t>
            </w:r>
            <w:r>
              <w:rPr>
                <w:rFonts w:hint="eastAsia" w:cs="宋体"/>
                <w:bCs/>
                <w:color w:val="auto"/>
                <w:sz w:val="24"/>
                <w:szCs w:val="24"/>
                <w:highlight w:val="none"/>
                <w:u w:val="single"/>
                <w:lang w:val="en-US" w:eastAsia="zh-CN"/>
              </w:rPr>
              <w:t>/</w:t>
            </w:r>
            <w:r>
              <w:rPr>
                <w:rFonts w:hint="eastAsia" w:cs="宋体"/>
                <w:bCs/>
                <w:color w:val="auto"/>
                <w:sz w:val="24"/>
                <w:szCs w:val="24"/>
                <w:highlight w:val="none"/>
                <w:u w:val="single"/>
              </w:rPr>
              <w:t xml:space="preserve">  </w:t>
            </w:r>
            <w:r>
              <w:rPr>
                <w:rFonts w:hint="eastAsia" w:cs="宋体"/>
                <w:bCs/>
                <w:color w:val="auto"/>
                <w:sz w:val="24"/>
                <w:szCs w:val="24"/>
                <w:highlight w:val="none"/>
              </w:rPr>
              <w:t>。</w:t>
            </w:r>
          </w:p>
        </w:tc>
      </w:tr>
      <w:tr w14:paraId="41A5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9" w:type="dxa"/>
            <w:vAlign w:val="center"/>
          </w:tcPr>
          <w:p w14:paraId="4A9A5089">
            <w:pPr>
              <w:numPr>
                <w:ilvl w:val="0"/>
                <w:numId w:val="19"/>
              </w:numPr>
              <w:snapToGrid w:val="0"/>
              <w:spacing w:line="360" w:lineRule="auto"/>
              <w:jc w:val="center"/>
              <w:rPr>
                <w:rFonts w:cs="宋体"/>
                <w:bCs/>
                <w:color w:val="auto"/>
                <w:kern w:val="2"/>
                <w:sz w:val="24"/>
                <w:szCs w:val="24"/>
                <w:highlight w:val="none"/>
              </w:rPr>
            </w:pPr>
          </w:p>
        </w:tc>
        <w:tc>
          <w:tcPr>
            <w:tcW w:w="1111" w:type="dxa"/>
            <w:vAlign w:val="center"/>
          </w:tcPr>
          <w:p w14:paraId="0DCBCE67">
            <w:pPr>
              <w:snapToGrid w:val="0"/>
              <w:spacing w:line="360" w:lineRule="auto"/>
              <w:jc w:val="center"/>
              <w:rPr>
                <w:rFonts w:cs="宋体"/>
                <w:bCs/>
                <w:color w:val="auto"/>
                <w:kern w:val="2"/>
                <w:sz w:val="24"/>
                <w:szCs w:val="24"/>
                <w:highlight w:val="none"/>
              </w:rPr>
            </w:pPr>
            <w:r>
              <w:rPr>
                <w:rFonts w:hint="eastAsia" w:cs="宋体"/>
                <w:bCs/>
                <w:color w:val="auto"/>
                <w:sz w:val="24"/>
                <w:szCs w:val="24"/>
                <w:highlight w:val="none"/>
              </w:rPr>
              <w:t xml:space="preserve">12.2.1 </w:t>
            </w:r>
          </w:p>
        </w:tc>
        <w:tc>
          <w:tcPr>
            <w:tcW w:w="7304" w:type="dxa"/>
            <w:tcBorders>
              <w:bottom w:val="single" w:color="auto" w:sz="4" w:space="0"/>
            </w:tcBorders>
            <w:vAlign w:val="center"/>
          </w:tcPr>
          <w:p w14:paraId="47C935C1">
            <w:pPr>
              <w:adjustRightInd w:val="0"/>
              <w:snapToGrid w:val="0"/>
              <w:spacing w:line="360" w:lineRule="auto"/>
              <w:rPr>
                <w:rFonts w:cs="宋体"/>
                <w:bCs/>
                <w:color w:val="auto"/>
                <w:sz w:val="24"/>
                <w:szCs w:val="24"/>
                <w:highlight w:val="none"/>
              </w:rPr>
            </w:pPr>
            <w:r>
              <w:rPr>
                <w:rFonts w:hint="eastAsia" w:cs="宋体"/>
                <w:bCs/>
                <w:color w:val="auto"/>
                <w:sz w:val="24"/>
                <w:szCs w:val="24"/>
                <w:highlight w:val="none"/>
              </w:rPr>
              <w:t>预付款的支付</w:t>
            </w:r>
          </w:p>
          <w:p w14:paraId="1CC6F085">
            <w:pPr>
              <w:adjustRightInd w:val="0"/>
              <w:snapToGrid w:val="0"/>
              <w:spacing w:line="360" w:lineRule="auto"/>
              <w:rPr>
                <w:rFonts w:hint="default" w:cs="宋体"/>
                <w:bCs/>
                <w:color w:val="auto"/>
                <w:sz w:val="24"/>
                <w:szCs w:val="24"/>
                <w:highlight w:val="none"/>
                <w:u w:val="single"/>
                <w:lang w:val="en-US" w:eastAsia="zh-CN"/>
              </w:rPr>
            </w:pPr>
            <w:r>
              <w:rPr>
                <w:rFonts w:hint="eastAsia" w:cs="宋体"/>
                <w:bCs/>
                <w:color w:val="auto"/>
                <w:sz w:val="24"/>
                <w:szCs w:val="24"/>
                <w:highlight w:val="none"/>
              </w:rPr>
              <w:t>预付款支付比例或金额：</w:t>
            </w:r>
            <w:r>
              <w:rPr>
                <w:rFonts w:hint="eastAsia" w:cs="宋体"/>
                <w:bCs/>
                <w:color w:val="auto"/>
                <w:sz w:val="24"/>
                <w:szCs w:val="24"/>
                <w:highlight w:val="none"/>
                <w:u w:val="single"/>
              </w:rPr>
              <w:t>签约合同价的</w:t>
            </w:r>
            <w:r>
              <w:rPr>
                <w:rFonts w:hint="eastAsia" w:cs="宋体"/>
                <w:bCs/>
                <w:color w:val="auto"/>
                <w:sz w:val="24"/>
                <w:szCs w:val="24"/>
                <w:highlight w:val="none"/>
                <w:u w:val="single"/>
                <w:lang w:val="en-US" w:eastAsia="zh-CN"/>
              </w:rPr>
              <w:t>60</w:t>
            </w:r>
            <w:r>
              <w:rPr>
                <w:rFonts w:hint="eastAsia" w:cs="宋体"/>
                <w:bCs/>
                <w:color w:val="auto"/>
                <w:sz w:val="24"/>
                <w:szCs w:val="24"/>
                <w:highlight w:val="none"/>
                <w:u w:val="single"/>
              </w:rPr>
              <w:t>%</w:t>
            </w:r>
          </w:p>
          <w:p w14:paraId="19846915">
            <w:pPr>
              <w:adjustRightInd w:val="0"/>
              <w:snapToGrid w:val="0"/>
              <w:spacing w:line="360" w:lineRule="auto"/>
              <w:rPr>
                <w:rFonts w:hint="eastAsia" w:ascii="宋体" w:hAnsi="宋体" w:eastAsia="宋体" w:cs="宋体"/>
                <w:bCs/>
                <w:color w:val="auto"/>
                <w:sz w:val="24"/>
                <w:szCs w:val="24"/>
                <w:highlight w:val="none"/>
                <w:u w:val="single"/>
                <w:lang w:val="en-US" w:eastAsia="zh-CN"/>
              </w:rPr>
            </w:pPr>
            <w:r>
              <w:rPr>
                <w:rFonts w:hint="eastAsia" w:cs="宋体"/>
                <w:bCs/>
                <w:color w:val="auto"/>
                <w:sz w:val="24"/>
                <w:szCs w:val="24"/>
                <w:highlight w:val="none"/>
              </w:rPr>
              <w:t>预付款支付期限：</w:t>
            </w:r>
            <w:r>
              <w:rPr>
                <w:rFonts w:hint="eastAsia" w:ascii="宋体" w:hAnsi="宋体" w:eastAsia="宋体" w:cs="宋体"/>
                <w:bCs/>
                <w:color w:val="auto"/>
                <w:sz w:val="24"/>
                <w:szCs w:val="24"/>
                <w:highlight w:val="none"/>
                <w:u w:val="single"/>
                <w:lang w:val="en-US" w:eastAsia="zh-CN"/>
              </w:rPr>
              <w:t>担保措施生效以及</w:t>
            </w:r>
            <w:r>
              <w:rPr>
                <w:rFonts w:hint="eastAsia" w:ascii="宋体" w:hAnsi="宋体" w:eastAsia="宋体" w:cs="宋体"/>
                <w:bCs/>
                <w:color w:val="auto"/>
                <w:sz w:val="24"/>
                <w:szCs w:val="24"/>
                <w:highlight w:val="none"/>
                <w:u w:val="single"/>
              </w:rPr>
              <w:t>具备施工条件的前提下，</w:t>
            </w:r>
            <w:r>
              <w:rPr>
                <w:rFonts w:hint="eastAsia" w:ascii="宋体" w:hAnsi="宋体" w:eastAsia="宋体" w:cs="宋体"/>
                <w:bCs/>
                <w:color w:val="auto"/>
                <w:sz w:val="24"/>
                <w:szCs w:val="24"/>
                <w:highlight w:val="none"/>
                <w:u w:val="single"/>
                <w:lang w:val="en-US" w:eastAsia="zh-CN"/>
              </w:rPr>
              <w:t>经</w:t>
            </w:r>
            <w:r>
              <w:rPr>
                <w:rFonts w:hint="eastAsia" w:cs="宋体"/>
                <w:bCs/>
                <w:color w:val="auto"/>
                <w:sz w:val="24"/>
                <w:szCs w:val="24"/>
                <w:highlight w:val="none"/>
                <w:u w:val="single"/>
                <w:lang w:val="en-US" w:eastAsia="zh-CN"/>
              </w:rPr>
              <w:t>乙方</w:t>
            </w:r>
            <w:r>
              <w:rPr>
                <w:rFonts w:hint="eastAsia" w:ascii="宋体" w:hAnsi="宋体" w:eastAsia="宋体" w:cs="宋体"/>
                <w:bCs/>
                <w:color w:val="auto"/>
                <w:sz w:val="24"/>
                <w:szCs w:val="24"/>
                <w:highlight w:val="none"/>
                <w:u w:val="single"/>
                <w:lang w:val="en-US" w:eastAsia="zh-CN"/>
              </w:rPr>
              <w:t>申请，合同甲方审核确认后按规定及时</w:t>
            </w:r>
            <w:r>
              <w:rPr>
                <w:rFonts w:hint="eastAsia" w:ascii="宋体" w:hAnsi="宋体" w:eastAsia="宋体" w:cs="宋体"/>
                <w:bCs/>
                <w:color w:val="auto"/>
                <w:sz w:val="24"/>
                <w:szCs w:val="24"/>
                <w:highlight w:val="none"/>
                <w:u w:val="single"/>
              </w:rPr>
              <w:t>支付预付价款。</w:t>
            </w:r>
          </w:p>
          <w:p w14:paraId="52792C91">
            <w:pPr>
              <w:adjustRightInd w:val="0"/>
              <w:snapToGrid w:val="0"/>
              <w:spacing w:line="360" w:lineRule="auto"/>
              <w:rPr>
                <w:rFonts w:hint="default" w:eastAsia="宋体" w:cs="宋体"/>
                <w:bCs/>
                <w:color w:val="auto"/>
                <w:sz w:val="24"/>
                <w:szCs w:val="24"/>
                <w:highlight w:val="none"/>
                <w:lang w:val="en-US" w:eastAsia="zh-CN"/>
              </w:rPr>
            </w:pPr>
            <w:r>
              <w:rPr>
                <w:rFonts w:hint="eastAsia" w:cs="宋体"/>
                <w:bCs/>
                <w:color w:val="auto"/>
                <w:sz w:val="24"/>
                <w:szCs w:val="24"/>
                <w:highlight w:val="none"/>
              </w:rPr>
              <w:t>预付款扣回的方式：</w:t>
            </w:r>
            <w:r>
              <w:rPr>
                <w:rFonts w:hint="eastAsia" w:cs="宋体"/>
                <w:bCs/>
                <w:color w:val="auto"/>
                <w:sz w:val="24"/>
                <w:szCs w:val="24"/>
                <w:highlight w:val="none"/>
                <w:u w:val="single"/>
              </w:rPr>
              <w:t xml:space="preserve"> </w:t>
            </w:r>
            <w:r>
              <w:rPr>
                <w:rFonts w:hint="eastAsia" w:cs="宋体"/>
                <w:bCs/>
                <w:color w:val="auto"/>
                <w:sz w:val="24"/>
                <w:szCs w:val="24"/>
                <w:highlight w:val="none"/>
                <w:u w:val="single"/>
                <w:lang w:val="en-US" w:eastAsia="zh-CN"/>
              </w:rPr>
              <w:t>见付款方式。</w:t>
            </w:r>
          </w:p>
          <w:p w14:paraId="6FA85917">
            <w:pPr>
              <w:adjustRightInd w:val="0"/>
              <w:snapToGrid w:val="0"/>
              <w:spacing w:line="360" w:lineRule="auto"/>
              <w:rPr>
                <w:rFonts w:hint="default" w:eastAsia="宋体" w:cs="宋体"/>
                <w:bCs/>
                <w:color w:val="auto"/>
                <w:kern w:val="2"/>
                <w:sz w:val="24"/>
                <w:szCs w:val="24"/>
                <w:highlight w:val="none"/>
                <w:lang w:val="en-US" w:eastAsia="zh-CN"/>
              </w:rPr>
            </w:pPr>
            <w:r>
              <w:rPr>
                <w:rFonts w:hint="eastAsia" w:ascii="宋体" w:hAnsi="宋体" w:eastAsia="宋体" w:cs="宋体"/>
                <w:b/>
                <w:bCs w:val="0"/>
                <w:color w:val="auto"/>
                <w:sz w:val="24"/>
                <w:szCs w:val="24"/>
                <w:highlight w:val="none"/>
                <w:u w:val="single"/>
              </w:rPr>
              <w:t>注：在签订合同时，</w:t>
            </w:r>
            <w:r>
              <w:rPr>
                <w:rFonts w:hint="eastAsia" w:cs="宋体"/>
                <w:b/>
                <w:bCs w:val="0"/>
                <w:color w:val="auto"/>
                <w:sz w:val="24"/>
                <w:szCs w:val="24"/>
                <w:highlight w:val="none"/>
                <w:u w:val="single"/>
                <w:lang w:val="en-US" w:eastAsia="zh-CN"/>
              </w:rPr>
              <w:t>乙方</w:t>
            </w:r>
            <w:r>
              <w:rPr>
                <w:rFonts w:hint="eastAsia" w:ascii="宋体" w:hAnsi="宋体" w:eastAsia="宋体" w:cs="宋体"/>
                <w:b/>
                <w:bCs w:val="0"/>
                <w:color w:val="auto"/>
                <w:sz w:val="24"/>
                <w:szCs w:val="24"/>
                <w:highlight w:val="none"/>
                <w:u w:val="single"/>
              </w:rPr>
              <w:t>书面明确表示无需预付款，即</w:t>
            </w:r>
            <w:r>
              <w:rPr>
                <w:rFonts w:hint="eastAsia" w:cs="宋体"/>
                <w:b/>
                <w:bCs w:val="0"/>
                <w:color w:val="auto"/>
                <w:sz w:val="24"/>
                <w:szCs w:val="24"/>
                <w:highlight w:val="none"/>
                <w:u w:val="single"/>
                <w:lang w:val="en-US" w:eastAsia="zh-CN"/>
              </w:rPr>
              <w:t>乙方</w:t>
            </w:r>
            <w:r>
              <w:rPr>
                <w:rFonts w:hint="eastAsia" w:ascii="宋体" w:hAnsi="宋体" w:eastAsia="宋体" w:cs="宋体"/>
                <w:b/>
                <w:bCs w:val="0"/>
                <w:color w:val="auto"/>
                <w:sz w:val="24"/>
                <w:szCs w:val="24"/>
                <w:highlight w:val="none"/>
                <w:u w:val="single"/>
              </w:rPr>
              <w:t>无需提供预付款担保，按皖财购〔2022〕556号规定，合同甲方可不再支付预付款</w:t>
            </w:r>
            <w:r>
              <w:rPr>
                <w:rFonts w:hint="eastAsia" w:ascii="宋体" w:hAnsi="宋体" w:eastAsia="宋体" w:cs="宋体"/>
                <w:b/>
                <w:bCs w:val="0"/>
                <w:color w:val="auto"/>
                <w:sz w:val="24"/>
                <w:szCs w:val="24"/>
                <w:highlight w:val="none"/>
                <w:u w:val="single"/>
                <w:lang w:eastAsia="zh-CN"/>
              </w:rPr>
              <w:t>。</w:t>
            </w:r>
          </w:p>
        </w:tc>
      </w:tr>
      <w:tr w14:paraId="5C36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629" w:type="dxa"/>
            <w:vAlign w:val="center"/>
          </w:tcPr>
          <w:p w14:paraId="2D384F94">
            <w:pPr>
              <w:numPr>
                <w:ilvl w:val="0"/>
                <w:numId w:val="19"/>
              </w:numPr>
              <w:snapToGrid w:val="0"/>
              <w:spacing w:line="360" w:lineRule="auto"/>
              <w:jc w:val="center"/>
              <w:rPr>
                <w:rFonts w:cs="宋体"/>
                <w:bCs/>
                <w:color w:val="auto"/>
                <w:kern w:val="2"/>
                <w:sz w:val="24"/>
                <w:szCs w:val="24"/>
                <w:highlight w:val="none"/>
              </w:rPr>
            </w:pPr>
          </w:p>
        </w:tc>
        <w:tc>
          <w:tcPr>
            <w:tcW w:w="1111" w:type="dxa"/>
            <w:vAlign w:val="center"/>
          </w:tcPr>
          <w:p w14:paraId="1643A57E">
            <w:pPr>
              <w:snapToGrid w:val="0"/>
              <w:spacing w:line="360" w:lineRule="auto"/>
              <w:jc w:val="center"/>
              <w:rPr>
                <w:rFonts w:cs="宋体"/>
                <w:bCs/>
                <w:color w:val="auto"/>
                <w:kern w:val="2"/>
                <w:sz w:val="24"/>
                <w:szCs w:val="24"/>
                <w:highlight w:val="none"/>
              </w:rPr>
            </w:pPr>
            <w:r>
              <w:rPr>
                <w:rFonts w:hint="eastAsia" w:cs="宋体"/>
                <w:bCs/>
                <w:color w:val="auto"/>
                <w:sz w:val="24"/>
                <w:szCs w:val="24"/>
                <w:highlight w:val="none"/>
              </w:rPr>
              <w:t>12.2.2</w:t>
            </w:r>
          </w:p>
        </w:tc>
        <w:tc>
          <w:tcPr>
            <w:tcW w:w="7304" w:type="dxa"/>
            <w:tcBorders>
              <w:bottom w:val="single" w:color="auto" w:sz="4" w:space="0"/>
            </w:tcBorders>
            <w:vAlign w:val="center"/>
          </w:tcPr>
          <w:p w14:paraId="6B5DE406">
            <w:pPr>
              <w:adjustRightInd w:val="0"/>
              <w:snapToGrid w:val="0"/>
              <w:spacing w:line="360" w:lineRule="auto"/>
              <w:rPr>
                <w:b/>
                <w:bCs/>
                <w:color w:val="auto"/>
                <w:sz w:val="24"/>
                <w:szCs w:val="24"/>
                <w:highlight w:val="none"/>
              </w:rPr>
            </w:pPr>
            <w:r>
              <w:rPr>
                <w:rFonts w:hint="eastAsia"/>
                <w:b/>
                <w:bCs/>
                <w:color w:val="auto"/>
                <w:sz w:val="24"/>
                <w:szCs w:val="24"/>
                <w:highlight w:val="none"/>
              </w:rPr>
              <w:t>预付款担保</w:t>
            </w:r>
          </w:p>
          <w:p w14:paraId="4CA29D18">
            <w:pPr>
              <w:adjustRightInd w:val="0"/>
              <w:snapToGrid w:val="0"/>
              <w:spacing w:line="360" w:lineRule="auto"/>
              <w:rPr>
                <w:rFonts w:hint="default"/>
                <w:color w:val="auto"/>
                <w:sz w:val="24"/>
                <w:szCs w:val="24"/>
                <w:highlight w:val="none"/>
                <w:u w:val="single"/>
                <w:lang w:val="en-US" w:eastAsia="zh-CN"/>
              </w:rPr>
            </w:pPr>
            <w:r>
              <w:rPr>
                <w:rFonts w:hint="eastAsia"/>
                <w:color w:val="auto"/>
                <w:sz w:val="24"/>
                <w:szCs w:val="24"/>
                <w:highlight w:val="none"/>
                <w:lang w:eastAsia="zh-CN"/>
              </w:rPr>
              <w:t>乙方</w:t>
            </w:r>
            <w:r>
              <w:rPr>
                <w:rFonts w:hint="eastAsia"/>
                <w:color w:val="auto"/>
                <w:sz w:val="24"/>
                <w:szCs w:val="24"/>
                <w:highlight w:val="none"/>
              </w:rPr>
              <w:t>提交预付款担保的期限：</w:t>
            </w:r>
            <w:r>
              <w:rPr>
                <w:rFonts w:hint="eastAsia" w:cs="宋体"/>
                <w:bCs/>
                <w:color w:val="auto"/>
                <w:sz w:val="24"/>
                <w:szCs w:val="24"/>
                <w:highlight w:val="none"/>
                <w:u w:val="single"/>
              </w:rPr>
              <w:t>支付预付款前</w:t>
            </w:r>
            <w:r>
              <w:rPr>
                <w:rFonts w:hint="eastAsia" w:cs="宋体"/>
                <w:bCs/>
                <w:color w:val="auto"/>
                <w:sz w:val="24"/>
                <w:szCs w:val="24"/>
                <w:highlight w:val="none"/>
                <w:u w:val="single"/>
                <w:lang w:val="en-US" w:eastAsia="zh-CN"/>
              </w:rPr>
              <w:t>由乙方</w:t>
            </w:r>
            <w:r>
              <w:rPr>
                <w:rFonts w:hint="eastAsia" w:cs="宋体"/>
                <w:bCs/>
                <w:color w:val="auto"/>
                <w:sz w:val="24"/>
                <w:szCs w:val="24"/>
                <w:highlight w:val="none"/>
                <w:u w:val="single"/>
              </w:rPr>
              <w:t>提供给</w:t>
            </w:r>
            <w:r>
              <w:rPr>
                <w:rFonts w:hint="eastAsia" w:cs="宋体"/>
                <w:bCs/>
                <w:color w:val="auto"/>
                <w:sz w:val="24"/>
                <w:szCs w:val="24"/>
                <w:highlight w:val="none"/>
                <w:u w:val="single"/>
                <w:lang w:val="en-US" w:eastAsia="zh-CN"/>
              </w:rPr>
              <w:t>合同</w:t>
            </w:r>
            <w:r>
              <w:rPr>
                <w:rFonts w:hint="eastAsia" w:cs="宋体"/>
                <w:bCs/>
                <w:color w:val="auto"/>
                <w:sz w:val="24"/>
                <w:szCs w:val="24"/>
                <w:highlight w:val="none"/>
                <w:u w:val="single"/>
                <w:lang w:eastAsia="zh-CN"/>
              </w:rPr>
              <w:t>甲方</w:t>
            </w:r>
            <w:r>
              <w:rPr>
                <w:rFonts w:hint="eastAsia" w:cs="宋体"/>
                <w:bCs/>
                <w:color w:val="auto"/>
                <w:sz w:val="24"/>
                <w:szCs w:val="24"/>
                <w:highlight w:val="none"/>
                <w:u w:val="single"/>
              </w:rPr>
              <w:t>，担保期限至预付款全部扣回</w:t>
            </w:r>
            <w:r>
              <w:rPr>
                <w:rFonts w:hint="eastAsia" w:cs="宋体"/>
                <w:bCs/>
                <w:color w:val="auto"/>
                <w:sz w:val="24"/>
                <w:szCs w:val="24"/>
                <w:highlight w:val="none"/>
              </w:rPr>
              <w:t>。</w:t>
            </w:r>
          </w:p>
          <w:p w14:paraId="0E7063DE">
            <w:pPr>
              <w:adjustRightInd w:val="0"/>
              <w:snapToGrid w:val="0"/>
              <w:spacing w:line="360" w:lineRule="auto"/>
              <w:rPr>
                <w:rFonts w:hint="eastAsia"/>
                <w:color w:val="auto"/>
                <w:sz w:val="24"/>
                <w:szCs w:val="24"/>
                <w:highlight w:val="none"/>
                <w:u w:val="single"/>
                <w:lang w:eastAsia="zh-CN"/>
              </w:rPr>
            </w:pPr>
            <w:r>
              <w:rPr>
                <w:rFonts w:hint="eastAsia"/>
                <w:color w:val="auto"/>
                <w:sz w:val="24"/>
                <w:szCs w:val="24"/>
                <w:highlight w:val="none"/>
              </w:rPr>
              <w:t>预付款担保的形式为：</w:t>
            </w:r>
            <w:r>
              <w:rPr>
                <w:rFonts w:hint="eastAsia"/>
                <w:color w:val="auto"/>
                <w:sz w:val="24"/>
                <w:szCs w:val="24"/>
                <w:highlight w:val="none"/>
                <w:u w:val="single"/>
              </w:rPr>
              <w:t>合同签订后</w:t>
            </w:r>
            <w:r>
              <w:rPr>
                <w:rFonts w:hint="eastAsia"/>
                <w:color w:val="auto"/>
                <w:sz w:val="24"/>
                <w:szCs w:val="24"/>
                <w:highlight w:val="none"/>
                <w:u w:val="single"/>
                <w:lang w:eastAsia="zh-CN"/>
              </w:rPr>
              <w:t>乙方</w:t>
            </w:r>
            <w:r>
              <w:rPr>
                <w:rFonts w:hint="eastAsia"/>
                <w:color w:val="auto"/>
                <w:sz w:val="24"/>
                <w:szCs w:val="24"/>
                <w:highlight w:val="none"/>
                <w:u w:val="single"/>
              </w:rPr>
              <w:t>须向</w:t>
            </w:r>
            <w:r>
              <w:rPr>
                <w:rFonts w:hint="eastAsia"/>
                <w:color w:val="auto"/>
                <w:sz w:val="24"/>
                <w:szCs w:val="24"/>
                <w:highlight w:val="none"/>
                <w:u w:val="single"/>
                <w:lang w:val="en-US" w:eastAsia="zh-CN"/>
              </w:rPr>
              <w:t>甲方</w:t>
            </w:r>
            <w:r>
              <w:rPr>
                <w:rFonts w:hint="eastAsia"/>
                <w:color w:val="auto"/>
                <w:sz w:val="24"/>
                <w:szCs w:val="24"/>
                <w:highlight w:val="none"/>
                <w:u w:val="single"/>
              </w:rPr>
              <w:t>提交银行、保险公司、担保公司等金融机构出具的金额为合同总价</w:t>
            </w:r>
            <w:r>
              <w:rPr>
                <w:rFonts w:hint="eastAsia"/>
                <w:color w:val="auto"/>
                <w:sz w:val="24"/>
                <w:szCs w:val="24"/>
                <w:highlight w:val="none"/>
                <w:u w:val="single"/>
                <w:lang w:val="en-US" w:eastAsia="zh-CN"/>
              </w:rPr>
              <w:t>60</w:t>
            </w:r>
            <w:r>
              <w:rPr>
                <w:rFonts w:hint="eastAsia"/>
                <w:color w:val="auto"/>
                <w:sz w:val="24"/>
                <w:szCs w:val="24"/>
                <w:highlight w:val="none"/>
                <w:u w:val="single"/>
              </w:rPr>
              <w:t>%的预付款保函作为担保</w:t>
            </w:r>
            <w:r>
              <w:rPr>
                <w:rFonts w:hint="eastAsia"/>
                <w:color w:val="auto"/>
                <w:sz w:val="24"/>
                <w:szCs w:val="24"/>
                <w:highlight w:val="none"/>
                <w:u w:val="single"/>
                <w:lang w:eastAsia="zh-CN"/>
              </w:rPr>
              <w:t>。</w:t>
            </w:r>
          </w:p>
          <w:p w14:paraId="4A370C2C">
            <w:pPr>
              <w:adjustRightInd w:val="0"/>
              <w:snapToGrid w:val="0"/>
              <w:spacing w:line="360" w:lineRule="auto"/>
              <w:rPr>
                <w:rFonts w:hint="eastAsia"/>
                <w:color w:val="auto"/>
                <w:sz w:val="24"/>
                <w:szCs w:val="24"/>
                <w:highlight w:val="none"/>
                <w:lang w:val="en-US" w:eastAsia="zh-CN"/>
              </w:rPr>
            </w:pPr>
            <w:r>
              <w:rPr>
                <w:rFonts w:hint="eastAsia"/>
                <w:b/>
                <w:bCs/>
                <w:color w:val="auto"/>
                <w:sz w:val="24"/>
                <w:szCs w:val="24"/>
                <w:highlight w:val="none"/>
              </w:rPr>
              <w:t>备注：①预付款支付前，</w:t>
            </w:r>
            <w:r>
              <w:rPr>
                <w:rFonts w:hint="eastAsia"/>
                <w:b/>
                <w:bCs/>
                <w:color w:val="auto"/>
                <w:sz w:val="24"/>
                <w:szCs w:val="24"/>
                <w:highlight w:val="none"/>
                <w:lang w:val="en-US" w:eastAsia="zh-CN"/>
              </w:rPr>
              <w:t>乙方</w:t>
            </w:r>
            <w:r>
              <w:rPr>
                <w:rFonts w:hint="eastAsia"/>
                <w:b/>
                <w:bCs/>
                <w:color w:val="auto"/>
                <w:sz w:val="24"/>
                <w:szCs w:val="24"/>
                <w:highlight w:val="none"/>
              </w:rPr>
              <w:t>须提交银行、保险公司、担保公司等金融机构出具的预付款保函（见索即付保函）；②在签订合同时，</w:t>
            </w:r>
            <w:r>
              <w:rPr>
                <w:rFonts w:hint="eastAsia"/>
                <w:b/>
                <w:bCs/>
                <w:color w:val="auto"/>
                <w:sz w:val="24"/>
                <w:szCs w:val="24"/>
                <w:highlight w:val="none"/>
                <w:lang w:val="en-US" w:eastAsia="zh-CN"/>
              </w:rPr>
              <w:t>乙方</w:t>
            </w:r>
            <w:r>
              <w:rPr>
                <w:rFonts w:hint="eastAsia"/>
                <w:b/>
                <w:bCs/>
                <w:color w:val="auto"/>
                <w:sz w:val="24"/>
                <w:szCs w:val="24"/>
                <w:highlight w:val="none"/>
              </w:rPr>
              <w:t>书面明确表示无需预付款，即</w:t>
            </w:r>
            <w:r>
              <w:rPr>
                <w:rFonts w:hint="eastAsia"/>
                <w:b/>
                <w:bCs/>
                <w:color w:val="auto"/>
                <w:sz w:val="24"/>
                <w:szCs w:val="24"/>
                <w:highlight w:val="none"/>
                <w:lang w:val="en-US" w:eastAsia="zh-CN"/>
              </w:rPr>
              <w:t>乙方</w:t>
            </w:r>
            <w:r>
              <w:rPr>
                <w:rFonts w:hint="eastAsia"/>
                <w:b/>
                <w:bCs/>
                <w:color w:val="auto"/>
                <w:sz w:val="24"/>
                <w:szCs w:val="24"/>
                <w:highlight w:val="none"/>
              </w:rPr>
              <w:t>无需提供预付款担保，按皖财购〔2022〕556号规定，</w:t>
            </w:r>
            <w:r>
              <w:rPr>
                <w:rFonts w:hint="eastAsia"/>
                <w:b/>
                <w:bCs/>
                <w:color w:val="auto"/>
                <w:sz w:val="24"/>
                <w:szCs w:val="24"/>
                <w:highlight w:val="none"/>
                <w:lang w:val="en-US" w:eastAsia="zh-CN"/>
              </w:rPr>
              <w:t>甲方</w:t>
            </w:r>
            <w:r>
              <w:rPr>
                <w:rFonts w:hint="eastAsia"/>
                <w:b/>
                <w:bCs/>
                <w:color w:val="auto"/>
                <w:sz w:val="24"/>
                <w:szCs w:val="24"/>
                <w:highlight w:val="none"/>
              </w:rPr>
              <w:t>可不再支付预付款；</w:t>
            </w:r>
          </w:p>
        </w:tc>
      </w:tr>
      <w:tr w14:paraId="7432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29" w:type="dxa"/>
            <w:vAlign w:val="center"/>
          </w:tcPr>
          <w:p w14:paraId="2B4F2FA8">
            <w:pPr>
              <w:numPr>
                <w:ilvl w:val="0"/>
                <w:numId w:val="19"/>
              </w:numPr>
              <w:snapToGrid w:val="0"/>
              <w:spacing w:line="360" w:lineRule="auto"/>
              <w:jc w:val="center"/>
              <w:rPr>
                <w:rFonts w:cs="宋体"/>
                <w:bCs/>
                <w:color w:val="auto"/>
                <w:kern w:val="2"/>
                <w:sz w:val="24"/>
                <w:szCs w:val="24"/>
                <w:highlight w:val="none"/>
              </w:rPr>
            </w:pPr>
          </w:p>
        </w:tc>
        <w:tc>
          <w:tcPr>
            <w:tcW w:w="1111" w:type="dxa"/>
            <w:vAlign w:val="center"/>
          </w:tcPr>
          <w:p w14:paraId="792D87F1">
            <w:pPr>
              <w:snapToGrid w:val="0"/>
              <w:spacing w:line="360" w:lineRule="auto"/>
              <w:jc w:val="center"/>
              <w:rPr>
                <w:rFonts w:cs="宋体"/>
                <w:bCs/>
                <w:color w:val="auto"/>
                <w:sz w:val="24"/>
                <w:szCs w:val="24"/>
                <w:highlight w:val="none"/>
              </w:rPr>
            </w:pPr>
            <w:r>
              <w:rPr>
                <w:rFonts w:hint="eastAsia" w:cs="宋体"/>
                <w:bCs/>
                <w:color w:val="auto"/>
                <w:sz w:val="24"/>
                <w:szCs w:val="24"/>
                <w:highlight w:val="none"/>
              </w:rPr>
              <w:t>12.4.1</w:t>
            </w:r>
          </w:p>
        </w:tc>
        <w:tc>
          <w:tcPr>
            <w:tcW w:w="7304" w:type="dxa"/>
            <w:tcBorders>
              <w:bottom w:val="single" w:color="auto" w:sz="4" w:space="0"/>
            </w:tcBorders>
            <w:vAlign w:val="center"/>
          </w:tcPr>
          <w:p w14:paraId="72E90EFB">
            <w:pPr>
              <w:snapToGrid w:val="0"/>
              <w:spacing w:line="360" w:lineRule="auto"/>
              <w:jc w:val="left"/>
              <w:rPr>
                <w:rFonts w:hint="eastAsia" w:cs="宋体"/>
                <w:b/>
                <w:bCs w:val="0"/>
                <w:color w:val="auto"/>
                <w:sz w:val="24"/>
                <w:szCs w:val="24"/>
                <w:highlight w:val="none"/>
                <w:u w:val="none"/>
                <w:lang w:val="en-US" w:eastAsia="zh-CN"/>
              </w:rPr>
            </w:pPr>
            <w:r>
              <w:rPr>
                <w:rFonts w:hint="eastAsia" w:cs="宋体"/>
                <w:b/>
                <w:bCs w:val="0"/>
                <w:color w:val="auto"/>
                <w:sz w:val="24"/>
                <w:szCs w:val="24"/>
                <w:highlight w:val="none"/>
                <w:u w:val="none"/>
                <w:lang w:val="en-US" w:eastAsia="zh-CN"/>
              </w:rPr>
              <w:t>付款方式：</w:t>
            </w:r>
          </w:p>
          <w:p w14:paraId="12A0C0DC">
            <w:pPr>
              <w:snapToGrid w:val="0"/>
              <w:spacing w:line="360" w:lineRule="auto"/>
              <w:jc w:val="left"/>
              <w:rPr>
                <w:rFonts w:hint="eastAsia"/>
                <w:color w:val="auto"/>
                <w:sz w:val="24"/>
                <w:szCs w:val="24"/>
                <w:highlight w:val="none"/>
                <w:u w:val="none"/>
              </w:rPr>
            </w:pPr>
            <w:r>
              <w:rPr>
                <w:rFonts w:hint="eastAsia" w:cs="宋体"/>
                <w:b w:val="0"/>
                <w:bCs/>
                <w:color w:val="auto"/>
                <w:sz w:val="24"/>
                <w:szCs w:val="24"/>
                <w:highlight w:val="none"/>
                <w:u w:val="none"/>
                <w:lang w:val="en-US" w:eastAsia="zh-CN"/>
              </w:rPr>
              <w:t>①</w:t>
            </w:r>
            <w:r>
              <w:rPr>
                <w:rFonts w:hint="eastAsia" w:ascii="宋体" w:hAnsi="宋体" w:eastAsia="宋体" w:cs="宋体"/>
                <w:b w:val="0"/>
                <w:bCs/>
                <w:color w:val="auto"/>
                <w:sz w:val="24"/>
                <w:szCs w:val="24"/>
                <w:highlight w:val="none"/>
                <w:u w:val="none"/>
              </w:rPr>
              <w:t>合同签订后，经</w:t>
            </w:r>
            <w:r>
              <w:rPr>
                <w:rFonts w:hint="eastAsia" w:cs="宋体"/>
                <w:b w:val="0"/>
                <w:bCs/>
                <w:color w:val="auto"/>
                <w:sz w:val="24"/>
                <w:szCs w:val="24"/>
                <w:highlight w:val="none"/>
                <w:u w:val="none"/>
                <w:lang w:eastAsia="zh-CN"/>
              </w:rPr>
              <w:t>乙方</w:t>
            </w:r>
            <w:r>
              <w:rPr>
                <w:rFonts w:hint="eastAsia" w:ascii="宋体" w:hAnsi="宋体" w:eastAsia="宋体" w:cs="宋体"/>
                <w:b w:val="0"/>
                <w:bCs/>
                <w:color w:val="auto"/>
                <w:sz w:val="24"/>
                <w:szCs w:val="24"/>
                <w:highlight w:val="none"/>
                <w:u w:val="none"/>
              </w:rPr>
              <w:t>申请</w:t>
            </w:r>
            <w:r>
              <w:rPr>
                <w:rFonts w:hint="eastAsia" w:ascii="宋体" w:hAnsi="宋体" w:eastAsia="宋体" w:cs="宋体"/>
                <w:b w:val="0"/>
                <w:bCs/>
                <w:color w:val="auto"/>
                <w:sz w:val="24"/>
                <w:szCs w:val="24"/>
                <w:highlight w:val="none"/>
                <w:u w:val="none"/>
                <w:lang w:eastAsia="zh-CN"/>
              </w:rPr>
              <w:t>，</w:t>
            </w:r>
            <w:r>
              <w:rPr>
                <w:rFonts w:hint="eastAsia" w:ascii="宋体" w:hAnsi="宋体" w:eastAsia="宋体" w:cs="宋体"/>
                <w:b w:val="0"/>
                <w:bCs/>
                <w:color w:val="auto"/>
                <w:sz w:val="24"/>
                <w:szCs w:val="24"/>
                <w:highlight w:val="none"/>
                <w:u w:val="none"/>
                <w:lang w:val="en-US" w:eastAsia="zh-CN"/>
              </w:rPr>
              <w:t>合同甲方审核确认后</w:t>
            </w:r>
            <w:r>
              <w:rPr>
                <w:rFonts w:hint="eastAsia" w:ascii="宋体" w:hAnsi="宋体" w:eastAsia="宋体" w:cs="宋体"/>
                <w:b w:val="0"/>
                <w:bCs/>
                <w:color w:val="auto"/>
                <w:sz w:val="24"/>
                <w:szCs w:val="24"/>
                <w:highlight w:val="none"/>
                <w:u w:val="none"/>
              </w:rPr>
              <w:t>支付</w:t>
            </w:r>
            <w:r>
              <w:rPr>
                <w:rFonts w:hint="eastAsia" w:cs="宋体"/>
                <w:b w:val="0"/>
                <w:bCs/>
                <w:color w:val="auto"/>
                <w:sz w:val="24"/>
                <w:szCs w:val="24"/>
                <w:highlight w:val="none"/>
                <w:u w:val="none"/>
                <w:lang w:val="en-US" w:eastAsia="zh-CN"/>
              </w:rPr>
              <w:t>乙方</w:t>
            </w:r>
            <w:r>
              <w:rPr>
                <w:rFonts w:hint="eastAsia" w:ascii="宋体" w:hAnsi="宋体" w:eastAsia="宋体" w:cs="宋体"/>
                <w:b w:val="0"/>
                <w:bCs/>
                <w:color w:val="auto"/>
                <w:sz w:val="24"/>
                <w:szCs w:val="24"/>
                <w:highlight w:val="none"/>
                <w:u w:val="none"/>
              </w:rPr>
              <w:t>签约合同价的</w:t>
            </w:r>
            <w:r>
              <w:rPr>
                <w:rFonts w:hint="eastAsia" w:cs="宋体"/>
                <w:b w:val="0"/>
                <w:bCs/>
                <w:color w:val="auto"/>
                <w:sz w:val="24"/>
                <w:szCs w:val="24"/>
                <w:highlight w:val="none"/>
                <w:u w:val="none"/>
                <w:lang w:val="en-US" w:eastAsia="zh-CN"/>
              </w:rPr>
              <w:t>60</w:t>
            </w:r>
            <w:r>
              <w:rPr>
                <w:rFonts w:hint="eastAsia" w:ascii="宋体" w:hAnsi="宋体" w:eastAsia="宋体" w:cs="宋体"/>
                <w:b w:val="0"/>
                <w:bCs/>
                <w:color w:val="auto"/>
                <w:sz w:val="24"/>
                <w:szCs w:val="24"/>
                <w:highlight w:val="none"/>
                <w:u w:val="none"/>
              </w:rPr>
              <w:t>%</w:t>
            </w:r>
            <w:r>
              <w:rPr>
                <w:rFonts w:hint="eastAsia" w:cs="宋体"/>
                <w:b w:val="0"/>
                <w:bCs/>
                <w:color w:val="auto"/>
                <w:sz w:val="24"/>
                <w:szCs w:val="24"/>
                <w:highlight w:val="none"/>
                <w:u w:val="none"/>
                <w:lang w:val="en-US" w:eastAsia="zh-CN"/>
              </w:rPr>
              <w:t>作为预付款</w:t>
            </w:r>
            <w:r>
              <w:rPr>
                <w:rFonts w:hint="eastAsia" w:ascii="宋体" w:hAnsi="宋体" w:eastAsia="宋体" w:cs="宋体"/>
                <w:b w:val="0"/>
                <w:bCs/>
                <w:color w:val="auto"/>
                <w:sz w:val="24"/>
                <w:szCs w:val="24"/>
                <w:highlight w:val="none"/>
                <w:u w:val="none"/>
              </w:rPr>
              <w:t>（</w:t>
            </w:r>
            <w:r>
              <w:rPr>
                <w:rFonts w:hint="eastAsia" w:cs="宋体"/>
                <w:b w:val="0"/>
                <w:bCs/>
                <w:color w:val="auto"/>
                <w:sz w:val="24"/>
                <w:szCs w:val="24"/>
                <w:highlight w:val="none"/>
                <w:u w:val="none"/>
                <w:lang w:val="en-US" w:eastAsia="zh-CN"/>
              </w:rPr>
              <w:t>乙方</w:t>
            </w:r>
            <w:r>
              <w:rPr>
                <w:rFonts w:hint="eastAsia" w:ascii="宋体" w:hAnsi="宋体" w:eastAsia="宋体" w:cs="宋体"/>
                <w:b w:val="0"/>
                <w:bCs/>
                <w:color w:val="auto"/>
                <w:sz w:val="24"/>
                <w:szCs w:val="24"/>
                <w:highlight w:val="none"/>
                <w:u w:val="none"/>
              </w:rPr>
              <w:t>须提交等额预付款担保）</w:t>
            </w:r>
            <w:r>
              <w:rPr>
                <w:rFonts w:hint="eastAsia" w:cs="宋体"/>
                <w:b w:val="0"/>
                <w:bCs/>
                <w:color w:val="auto"/>
                <w:sz w:val="24"/>
                <w:szCs w:val="24"/>
                <w:highlight w:val="none"/>
                <w:u w:val="none"/>
                <w:lang w:eastAsia="zh-CN"/>
              </w:rPr>
              <w:t>。</w:t>
            </w:r>
            <w:r>
              <w:rPr>
                <w:rFonts w:hint="eastAsia" w:cs="宋体"/>
                <w:b w:val="0"/>
                <w:bCs/>
                <w:color w:val="auto"/>
                <w:sz w:val="24"/>
                <w:szCs w:val="24"/>
                <w:highlight w:val="none"/>
                <w:u w:val="none"/>
                <w:lang w:val="en-US" w:eastAsia="zh-CN"/>
              </w:rPr>
              <w:t>合同价款</w:t>
            </w:r>
            <w:r>
              <w:rPr>
                <w:rFonts w:hint="eastAsia" w:ascii="宋体" w:hAnsi="宋体" w:eastAsia="宋体" w:cs="宋体"/>
                <w:b w:val="0"/>
                <w:bCs/>
                <w:color w:val="auto"/>
                <w:sz w:val="24"/>
                <w:szCs w:val="24"/>
                <w:highlight w:val="none"/>
                <w:u w:val="none"/>
              </w:rPr>
              <w:t>按工程进度支付，验收合格并经结算审核后支付至结算价款的100%，并扣回所有预付款。</w:t>
            </w:r>
          </w:p>
          <w:p w14:paraId="677F55BF">
            <w:pPr>
              <w:snapToGrid w:val="0"/>
              <w:spacing w:line="360" w:lineRule="auto"/>
              <w:rPr>
                <w:rFonts w:hint="default" w:eastAsia="宋体" w:cs="宋体"/>
                <w:bCs/>
                <w:color w:val="auto"/>
                <w:sz w:val="24"/>
                <w:szCs w:val="24"/>
                <w:highlight w:val="none"/>
                <w:lang w:val="en-US" w:eastAsia="zh-CN"/>
              </w:rPr>
            </w:pPr>
            <w:r>
              <w:rPr>
                <w:rFonts w:hint="eastAsia" w:cs="宋体"/>
                <w:b w:val="0"/>
                <w:bCs/>
                <w:color w:val="auto"/>
                <w:sz w:val="24"/>
                <w:szCs w:val="24"/>
                <w:highlight w:val="none"/>
                <w:u w:val="none"/>
                <w:lang w:val="en-US" w:eastAsia="zh-CN"/>
              </w:rPr>
              <w:t>②</w:t>
            </w:r>
            <w:r>
              <w:rPr>
                <w:rFonts w:hint="eastAsia" w:ascii="宋体" w:hAnsi="宋体" w:eastAsia="宋体" w:cs="宋体"/>
                <w:b w:val="0"/>
                <w:bCs/>
                <w:color w:val="auto"/>
                <w:sz w:val="24"/>
                <w:szCs w:val="24"/>
                <w:highlight w:val="none"/>
                <w:u w:val="none"/>
              </w:rPr>
              <w:t>在签订合同时，</w:t>
            </w:r>
            <w:r>
              <w:rPr>
                <w:rFonts w:hint="eastAsia" w:cs="宋体"/>
                <w:b w:val="0"/>
                <w:bCs/>
                <w:color w:val="auto"/>
                <w:sz w:val="24"/>
                <w:szCs w:val="24"/>
                <w:highlight w:val="none"/>
                <w:u w:val="none"/>
                <w:lang w:val="en-US" w:eastAsia="zh-CN"/>
              </w:rPr>
              <w:t>乙方</w:t>
            </w:r>
            <w:r>
              <w:rPr>
                <w:rFonts w:hint="eastAsia" w:ascii="宋体" w:hAnsi="宋体" w:eastAsia="宋体" w:cs="宋体"/>
                <w:b w:val="0"/>
                <w:bCs/>
                <w:color w:val="auto"/>
                <w:sz w:val="24"/>
                <w:szCs w:val="24"/>
                <w:highlight w:val="none"/>
                <w:u w:val="none"/>
              </w:rPr>
              <w:t>书面明确表示无需预付款，即</w:t>
            </w:r>
            <w:r>
              <w:rPr>
                <w:rFonts w:hint="eastAsia" w:cs="宋体"/>
                <w:b w:val="0"/>
                <w:bCs/>
                <w:color w:val="auto"/>
                <w:sz w:val="24"/>
                <w:szCs w:val="24"/>
                <w:highlight w:val="none"/>
                <w:u w:val="none"/>
                <w:lang w:val="en-US" w:eastAsia="zh-CN"/>
              </w:rPr>
              <w:t>乙方</w:t>
            </w:r>
            <w:r>
              <w:rPr>
                <w:rFonts w:hint="eastAsia" w:ascii="宋体" w:hAnsi="宋体" w:eastAsia="宋体" w:cs="宋体"/>
                <w:b w:val="0"/>
                <w:bCs/>
                <w:color w:val="auto"/>
                <w:sz w:val="24"/>
                <w:szCs w:val="24"/>
                <w:highlight w:val="none"/>
                <w:u w:val="none"/>
              </w:rPr>
              <w:t>无需提供预付款担保，按皖财购〔2022〕556号规定，合同甲方可不再支付预付款</w:t>
            </w:r>
            <w:r>
              <w:rPr>
                <w:rFonts w:hint="eastAsia" w:ascii="宋体" w:hAnsi="宋体" w:eastAsia="宋体" w:cs="宋体"/>
                <w:b w:val="0"/>
                <w:bCs/>
                <w:color w:val="auto"/>
                <w:sz w:val="24"/>
                <w:szCs w:val="24"/>
                <w:highlight w:val="none"/>
                <w:u w:val="none"/>
                <w:lang w:eastAsia="zh-CN"/>
              </w:rPr>
              <w:t>。</w:t>
            </w:r>
            <w:r>
              <w:rPr>
                <w:rFonts w:hint="eastAsia" w:cs="宋体"/>
                <w:b w:val="0"/>
                <w:bCs/>
                <w:color w:val="auto"/>
                <w:sz w:val="24"/>
                <w:szCs w:val="24"/>
                <w:highlight w:val="none"/>
                <w:u w:val="none"/>
                <w:lang w:val="en-US" w:eastAsia="zh-CN"/>
              </w:rPr>
              <w:t>合同价款</w:t>
            </w:r>
            <w:r>
              <w:rPr>
                <w:rFonts w:hint="eastAsia" w:ascii="宋体" w:hAnsi="宋体" w:eastAsia="宋体" w:cs="宋体"/>
                <w:b w:val="0"/>
                <w:bCs/>
                <w:color w:val="auto"/>
                <w:sz w:val="24"/>
                <w:szCs w:val="24"/>
                <w:highlight w:val="none"/>
                <w:u w:val="none"/>
              </w:rPr>
              <w:t>按工程进度支付，验收合格并经结算审核后支付至结算价款的100%。</w:t>
            </w:r>
          </w:p>
        </w:tc>
      </w:tr>
      <w:tr w14:paraId="567F3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9" w:type="dxa"/>
            <w:vAlign w:val="center"/>
          </w:tcPr>
          <w:p w14:paraId="448927D5">
            <w:pPr>
              <w:numPr>
                <w:ilvl w:val="0"/>
                <w:numId w:val="19"/>
              </w:numPr>
              <w:snapToGrid w:val="0"/>
              <w:spacing w:line="360" w:lineRule="auto"/>
              <w:jc w:val="center"/>
              <w:rPr>
                <w:rFonts w:cs="宋体"/>
                <w:bCs/>
                <w:color w:val="auto"/>
                <w:kern w:val="2"/>
                <w:sz w:val="24"/>
                <w:szCs w:val="24"/>
                <w:highlight w:val="none"/>
              </w:rPr>
            </w:pPr>
          </w:p>
        </w:tc>
        <w:tc>
          <w:tcPr>
            <w:tcW w:w="1111" w:type="dxa"/>
            <w:vAlign w:val="center"/>
          </w:tcPr>
          <w:p w14:paraId="165E53F7">
            <w:pPr>
              <w:snapToGrid w:val="0"/>
              <w:spacing w:line="360" w:lineRule="auto"/>
              <w:jc w:val="center"/>
              <w:rPr>
                <w:rFonts w:cs="宋体"/>
                <w:bCs/>
                <w:color w:val="auto"/>
                <w:kern w:val="2"/>
                <w:sz w:val="24"/>
                <w:szCs w:val="24"/>
                <w:highlight w:val="none"/>
              </w:rPr>
            </w:pPr>
            <w:r>
              <w:rPr>
                <w:rFonts w:hint="eastAsia" w:cs="宋体"/>
                <w:bCs/>
                <w:color w:val="auto"/>
                <w:sz w:val="24"/>
                <w:szCs w:val="24"/>
                <w:highlight w:val="none"/>
              </w:rPr>
              <w:t>15.2.1</w:t>
            </w:r>
          </w:p>
        </w:tc>
        <w:tc>
          <w:tcPr>
            <w:tcW w:w="7304" w:type="dxa"/>
            <w:vAlign w:val="center"/>
          </w:tcPr>
          <w:p w14:paraId="1C831BA7">
            <w:pPr>
              <w:snapToGrid w:val="0"/>
              <w:spacing w:line="360" w:lineRule="auto"/>
              <w:rPr>
                <w:rFonts w:cs="宋体"/>
                <w:bCs/>
                <w:color w:val="auto"/>
                <w:kern w:val="2"/>
                <w:sz w:val="24"/>
                <w:szCs w:val="24"/>
                <w:highlight w:val="none"/>
              </w:rPr>
            </w:pPr>
            <w:r>
              <w:rPr>
                <w:rFonts w:hint="eastAsia" w:cs="宋体"/>
                <w:color w:val="auto"/>
                <w:sz w:val="24"/>
                <w:szCs w:val="24"/>
                <w:highlight w:val="none"/>
              </w:rPr>
              <w:t>缺陷责任期的具体期限：</w:t>
            </w:r>
            <w:r>
              <w:rPr>
                <w:rFonts w:hint="eastAsia" w:cs="宋体"/>
                <w:color w:val="auto"/>
                <w:sz w:val="24"/>
                <w:szCs w:val="24"/>
                <w:highlight w:val="none"/>
                <w:u w:val="single"/>
              </w:rPr>
              <w:t>工程通过合同工程</w:t>
            </w:r>
            <w:r>
              <w:rPr>
                <w:rFonts w:hint="eastAsia" w:cs="宋体"/>
                <w:color w:val="auto"/>
                <w:sz w:val="24"/>
                <w:szCs w:val="24"/>
                <w:highlight w:val="none"/>
                <w:u w:val="single"/>
                <w:lang w:val="en-US" w:eastAsia="zh-CN"/>
              </w:rPr>
              <w:t>完工</w:t>
            </w:r>
            <w:r>
              <w:rPr>
                <w:rFonts w:hint="eastAsia" w:cs="宋体"/>
                <w:color w:val="auto"/>
                <w:sz w:val="24"/>
                <w:szCs w:val="24"/>
                <w:highlight w:val="none"/>
                <w:u w:val="single"/>
              </w:rPr>
              <w:t>验收后</w:t>
            </w:r>
            <w:r>
              <w:rPr>
                <w:rFonts w:hint="eastAsia" w:cs="宋体"/>
                <w:color w:val="auto"/>
                <w:sz w:val="24"/>
                <w:szCs w:val="24"/>
                <w:highlight w:val="none"/>
                <w:u w:val="single"/>
                <w:lang w:val="en-US" w:eastAsia="zh-CN"/>
              </w:rPr>
              <w:t>1</w:t>
            </w:r>
            <w:r>
              <w:rPr>
                <w:rFonts w:hint="eastAsia" w:cs="宋体"/>
                <w:color w:val="auto"/>
                <w:sz w:val="24"/>
                <w:szCs w:val="24"/>
                <w:highlight w:val="none"/>
                <w:u w:val="single"/>
              </w:rPr>
              <w:t xml:space="preserve">年  </w:t>
            </w:r>
            <w:r>
              <w:rPr>
                <w:rFonts w:hint="eastAsia" w:cs="宋体"/>
                <w:color w:val="auto"/>
                <w:sz w:val="24"/>
                <w:szCs w:val="24"/>
                <w:highlight w:val="none"/>
              </w:rPr>
              <w:t>。</w:t>
            </w:r>
          </w:p>
        </w:tc>
      </w:tr>
      <w:tr w14:paraId="02B4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9" w:type="dxa"/>
            <w:vAlign w:val="center"/>
          </w:tcPr>
          <w:p w14:paraId="21BDD824">
            <w:pPr>
              <w:numPr>
                <w:ilvl w:val="0"/>
                <w:numId w:val="19"/>
              </w:numPr>
              <w:snapToGrid w:val="0"/>
              <w:spacing w:line="360" w:lineRule="auto"/>
              <w:jc w:val="center"/>
              <w:rPr>
                <w:rFonts w:cs="宋体"/>
                <w:bCs/>
                <w:color w:val="auto"/>
                <w:kern w:val="2"/>
                <w:sz w:val="24"/>
                <w:szCs w:val="24"/>
                <w:highlight w:val="none"/>
              </w:rPr>
            </w:pPr>
          </w:p>
        </w:tc>
        <w:tc>
          <w:tcPr>
            <w:tcW w:w="1111" w:type="dxa"/>
            <w:vAlign w:val="center"/>
          </w:tcPr>
          <w:p w14:paraId="5A685019">
            <w:pPr>
              <w:snapToGrid w:val="0"/>
              <w:spacing w:line="360" w:lineRule="auto"/>
              <w:jc w:val="center"/>
              <w:rPr>
                <w:rFonts w:cs="宋体"/>
                <w:bCs/>
                <w:color w:val="auto"/>
                <w:kern w:val="2"/>
                <w:sz w:val="24"/>
                <w:szCs w:val="24"/>
                <w:highlight w:val="none"/>
              </w:rPr>
            </w:pPr>
            <w:r>
              <w:rPr>
                <w:rFonts w:hint="eastAsia" w:cs="宋体"/>
                <w:bCs/>
                <w:color w:val="auto"/>
                <w:sz w:val="24"/>
                <w:szCs w:val="24"/>
                <w:highlight w:val="none"/>
              </w:rPr>
              <w:t>15.3.1</w:t>
            </w:r>
          </w:p>
        </w:tc>
        <w:tc>
          <w:tcPr>
            <w:tcW w:w="7304" w:type="dxa"/>
            <w:vAlign w:val="center"/>
          </w:tcPr>
          <w:p w14:paraId="00BC2D67">
            <w:pPr>
              <w:snapToGrid w:val="0"/>
              <w:spacing w:line="360" w:lineRule="auto"/>
              <w:jc w:val="left"/>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质量保证金金额为结算审核价款的3%，缴纳方式可采用以下任意一种方式：</w:t>
            </w:r>
          </w:p>
          <w:p w14:paraId="17FBABAF">
            <w:pPr>
              <w:snapToGrid w:val="0"/>
              <w:spacing w:line="360" w:lineRule="auto"/>
              <w:jc w:val="left"/>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（1）由银行业金融机构、工程担保公司、保险机构出具银行保函、工程质量保险等担保方式；</w:t>
            </w:r>
          </w:p>
          <w:p w14:paraId="6200159F">
            <w:pPr>
              <w:snapToGrid w:val="0"/>
              <w:spacing w:line="360" w:lineRule="auto"/>
              <w:jc w:val="left"/>
              <w:rPr>
                <w:rFonts w:hint="eastAsia" w:ascii="宋体" w:hAnsi="宋体" w:eastAsia="宋体" w:cs="宋体"/>
                <w:b w:val="0"/>
                <w:bCs/>
                <w:color w:val="auto"/>
                <w:sz w:val="24"/>
                <w:szCs w:val="24"/>
                <w:highlight w:val="none"/>
                <w:u w:val="none"/>
                <w:lang w:eastAsia="zh-CN"/>
              </w:rPr>
            </w:pPr>
            <w:r>
              <w:rPr>
                <w:rFonts w:hint="eastAsia" w:ascii="宋体" w:hAnsi="宋体" w:eastAsia="宋体" w:cs="宋体"/>
                <w:b w:val="0"/>
                <w:bCs/>
                <w:color w:val="auto"/>
                <w:sz w:val="24"/>
                <w:szCs w:val="24"/>
                <w:highlight w:val="none"/>
                <w:u w:val="none"/>
                <w:lang w:val="en-US" w:eastAsia="zh-CN"/>
              </w:rPr>
              <w:t>（2</w:t>
            </w:r>
            <w:r>
              <w:rPr>
                <w:rFonts w:hint="eastAsia" w:ascii="宋体" w:hAnsi="宋体" w:eastAsia="宋体" w:cs="宋体"/>
                <w:b w:val="0"/>
                <w:bCs/>
                <w:color w:val="auto"/>
                <w:sz w:val="24"/>
                <w:szCs w:val="24"/>
                <w:highlight w:val="none"/>
                <w:u w:val="none"/>
              </w:rPr>
              <w:t>）转账的方式缴纳</w:t>
            </w:r>
            <w:r>
              <w:rPr>
                <w:rFonts w:hint="eastAsia" w:cs="宋体"/>
                <w:b w:val="0"/>
                <w:bCs/>
                <w:color w:val="auto"/>
                <w:sz w:val="24"/>
                <w:szCs w:val="24"/>
                <w:highlight w:val="none"/>
                <w:u w:val="none"/>
                <w:lang w:eastAsia="zh-CN"/>
              </w:rPr>
              <w:t>；</w:t>
            </w:r>
          </w:p>
          <w:p w14:paraId="4594C1F0">
            <w:pPr>
              <w:adjustRightInd w:val="0"/>
              <w:snapToGrid w:val="0"/>
              <w:spacing w:line="360" w:lineRule="auto"/>
              <w:rPr>
                <w:rFonts w:hint="eastAsia" w:cs="宋体"/>
                <w:strike/>
                <w:dstrike w:val="0"/>
                <w:color w:val="auto"/>
                <w:sz w:val="24"/>
                <w:szCs w:val="24"/>
                <w:highlight w:val="none"/>
              </w:rPr>
            </w:pPr>
            <w:r>
              <w:rPr>
                <w:rFonts w:hint="eastAsia" w:ascii="宋体" w:hAnsi="宋体" w:eastAsia="宋体" w:cs="宋体"/>
                <w:b w:val="0"/>
                <w:bCs/>
                <w:color w:val="auto"/>
                <w:sz w:val="24"/>
                <w:szCs w:val="24"/>
                <w:highlight w:val="none"/>
                <w:u w:val="none"/>
                <w:lang w:val="en-US" w:eastAsia="zh-CN"/>
              </w:rPr>
              <w:t>（3）在工程项目完工前，乙方按甲方要求提供履约保证金的，可在工程进入缺陷责任期时按照多退少补原则转为质量保证金。</w:t>
            </w:r>
          </w:p>
          <w:p w14:paraId="5BE3B7FA">
            <w:pPr>
              <w:adjustRightInd w:val="0"/>
              <w:snapToGrid w:val="0"/>
              <w:spacing w:line="360" w:lineRule="auto"/>
              <w:rPr>
                <w:rFonts w:hint="eastAsia" w:cs="宋体"/>
                <w:b/>
                <w:bCs/>
                <w:color w:val="auto"/>
                <w:sz w:val="24"/>
                <w:szCs w:val="24"/>
                <w:highlight w:val="none"/>
              </w:rPr>
            </w:pPr>
            <w:r>
              <w:rPr>
                <w:rFonts w:hint="eastAsia" w:cs="宋体"/>
                <w:b/>
                <w:bCs/>
                <w:color w:val="auto"/>
                <w:sz w:val="24"/>
                <w:szCs w:val="24"/>
                <w:highlight w:val="none"/>
              </w:rPr>
              <w:t>注：（1）缺陷责任期内，承包人认真履行合同约定的责任，到期后，承包人向发包人申请返还质量保证金。发包人在接到承包人返还保证金申请后，应于14天内会同承包人按照合同约定的内容进行核实。如无异议，发包人应当按照约定将保证金无息返还给承包人。</w:t>
            </w:r>
          </w:p>
          <w:p w14:paraId="6B5557D7">
            <w:pPr>
              <w:adjustRightInd w:val="0"/>
              <w:snapToGrid w:val="0"/>
              <w:spacing w:line="360" w:lineRule="auto"/>
              <w:rPr>
                <w:rFonts w:hint="eastAsia" w:eastAsia="宋体" w:cs="宋体"/>
                <w:bCs w:val="0"/>
                <w:color w:val="auto"/>
                <w:kern w:val="2"/>
                <w:sz w:val="24"/>
                <w:szCs w:val="24"/>
                <w:highlight w:val="none"/>
                <w:lang w:eastAsia="zh-CN"/>
              </w:rPr>
            </w:pPr>
            <w:r>
              <w:rPr>
                <w:rFonts w:hint="eastAsia" w:cs="宋体"/>
                <w:color w:val="auto"/>
                <w:sz w:val="24"/>
                <w:szCs w:val="24"/>
                <w:highlight w:val="none"/>
              </w:rPr>
              <w:t>（2）采用银行保函形式，须由国有或国有控股的银行出具的见索即付无条件保函</w:t>
            </w:r>
            <w:r>
              <w:rPr>
                <w:rFonts w:hint="eastAsia" w:cs="宋体"/>
                <w:color w:val="auto"/>
                <w:sz w:val="24"/>
                <w:szCs w:val="24"/>
                <w:highlight w:val="none"/>
                <w:lang w:eastAsia="zh-CN"/>
              </w:rPr>
              <w:t>；采用担保机构出具的保函（担保机构担保），应为依法取得融资担保业务经营许可证的融资担保机构出具的无条件保函。</w:t>
            </w:r>
          </w:p>
        </w:tc>
      </w:tr>
    </w:tbl>
    <w:p w14:paraId="7D7D2FA4">
      <w:pPr>
        <w:snapToGrid w:val="0"/>
        <w:spacing w:before="312" w:beforeLines="100" w:after="312" w:afterLines="100" w:line="360" w:lineRule="auto"/>
        <w:outlineLvl w:val="2"/>
        <w:rPr>
          <w:rFonts w:cs="宋体"/>
          <w:color w:val="auto"/>
          <w:sz w:val="24"/>
          <w:szCs w:val="24"/>
          <w:highlight w:val="none"/>
        </w:rPr>
      </w:pPr>
      <w:r>
        <w:rPr>
          <w:rFonts w:hint="eastAsia" w:cs="宋体"/>
          <w:color w:val="auto"/>
          <w:sz w:val="24"/>
          <w:szCs w:val="24"/>
          <w:highlight w:val="none"/>
        </w:rPr>
        <w:br w:type="page"/>
      </w:r>
      <w:bookmarkEnd w:id="68"/>
      <w:r>
        <w:rPr>
          <w:rFonts w:hint="eastAsia" w:cs="宋体"/>
          <w:color w:val="auto"/>
          <w:sz w:val="24"/>
          <w:szCs w:val="24"/>
          <w:highlight w:val="none"/>
        </w:rPr>
        <w:t>1</w:t>
      </w:r>
      <w:bookmarkStart w:id="69" w:name="_Toc292559866"/>
      <w:bookmarkStart w:id="70" w:name="_Toc296944495"/>
      <w:bookmarkStart w:id="71" w:name="_Toc296891196"/>
      <w:bookmarkStart w:id="72" w:name="_Toc292559361"/>
      <w:bookmarkStart w:id="73" w:name="_Toc297048342"/>
      <w:bookmarkStart w:id="74" w:name="_Toc296346657"/>
      <w:bookmarkStart w:id="75" w:name="_Toc297120456"/>
      <w:bookmarkStart w:id="76" w:name="_Toc296503156"/>
      <w:bookmarkStart w:id="77" w:name="_Toc296347155"/>
      <w:bookmarkStart w:id="78" w:name="_Toc296890984"/>
      <w:r>
        <w:rPr>
          <w:rFonts w:hint="eastAsia" w:cs="宋体"/>
          <w:color w:val="auto"/>
          <w:sz w:val="24"/>
          <w:szCs w:val="24"/>
          <w:highlight w:val="none"/>
        </w:rPr>
        <w:t>. 一般约定</w:t>
      </w:r>
    </w:p>
    <w:bookmarkEnd w:id="69"/>
    <w:bookmarkEnd w:id="70"/>
    <w:bookmarkEnd w:id="71"/>
    <w:bookmarkEnd w:id="72"/>
    <w:bookmarkEnd w:id="73"/>
    <w:bookmarkEnd w:id="74"/>
    <w:bookmarkEnd w:id="75"/>
    <w:bookmarkEnd w:id="76"/>
    <w:bookmarkEnd w:id="77"/>
    <w:bookmarkEnd w:id="78"/>
    <w:p w14:paraId="34EB4C6D">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1.1 词语定义与解释</w:t>
      </w:r>
    </w:p>
    <w:p w14:paraId="5C2EC1C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1.1.1 合同</w:t>
      </w:r>
    </w:p>
    <w:p w14:paraId="11A17AB7">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1.1.1.10 其他合同文件包括：</w:t>
      </w:r>
      <w:r>
        <w:rPr>
          <w:rFonts w:hint="eastAsia" w:cs="宋体"/>
          <w:color w:val="auto"/>
          <w:sz w:val="24"/>
          <w:szCs w:val="24"/>
          <w:highlight w:val="none"/>
          <w:u w:val="single"/>
        </w:rPr>
        <w:t xml:space="preserve">                 </w:t>
      </w:r>
    </w:p>
    <w:p w14:paraId="6EC47AC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1.1.2 合同当事人及其他相关方</w:t>
      </w:r>
    </w:p>
    <w:p w14:paraId="2981FEC3">
      <w:pPr>
        <w:adjustRightInd w:val="0"/>
        <w:snapToGrid w:val="0"/>
        <w:spacing w:line="360" w:lineRule="auto"/>
        <w:ind w:firstLine="480" w:firstLineChars="200"/>
        <w:rPr>
          <w:rFonts w:hint="eastAsia" w:eastAsia="宋体" w:cs="宋体"/>
          <w:color w:val="auto"/>
          <w:sz w:val="24"/>
          <w:szCs w:val="24"/>
          <w:highlight w:val="none"/>
          <w:lang w:eastAsia="zh-CN"/>
        </w:rPr>
      </w:pPr>
      <w:r>
        <w:rPr>
          <w:rFonts w:hint="eastAsia" w:cs="宋体"/>
          <w:color w:val="auto"/>
          <w:sz w:val="24"/>
          <w:szCs w:val="24"/>
          <w:highlight w:val="none"/>
        </w:rPr>
        <w:t>1.1.2.4 监理人：</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无</w:t>
      </w:r>
      <w:r>
        <w:rPr>
          <w:rFonts w:hint="eastAsia" w:cs="宋体"/>
          <w:color w:val="auto"/>
          <w:sz w:val="24"/>
          <w:szCs w:val="24"/>
          <w:highlight w:val="none"/>
          <w:u w:val="single"/>
        </w:rPr>
        <w:t xml:space="preserve"> </w:t>
      </w:r>
    </w:p>
    <w:p w14:paraId="65CB7C2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1.1.2.5 设计人：</w:t>
      </w:r>
    </w:p>
    <w:p w14:paraId="4973715B">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名    称：</w:t>
      </w:r>
      <w:r>
        <w:rPr>
          <w:rFonts w:hint="eastAsia" w:cs="宋体"/>
          <w:color w:val="auto"/>
          <w:sz w:val="24"/>
          <w:szCs w:val="24"/>
          <w:highlight w:val="none"/>
          <w:u w:val="single"/>
        </w:rPr>
        <w:t xml:space="preserve">                 </w:t>
      </w:r>
      <w:r>
        <w:rPr>
          <w:rFonts w:hint="eastAsia" w:cs="宋体"/>
          <w:color w:val="auto"/>
          <w:sz w:val="24"/>
          <w:szCs w:val="24"/>
          <w:highlight w:val="none"/>
        </w:rPr>
        <w:t>；</w:t>
      </w:r>
    </w:p>
    <w:p w14:paraId="34FE4ADB">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资质类别和等级：</w:t>
      </w:r>
      <w:r>
        <w:rPr>
          <w:rFonts w:hint="eastAsia" w:cs="宋体"/>
          <w:color w:val="auto"/>
          <w:sz w:val="24"/>
          <w:szCs w:val="24"/>
          <w:highlight w:val="none"/>
          <w:u w:val="single"/>
        </w:rPr>
        <w:t xml:space="preserve">                 </w:t>
      </w:r>
      <w:r>
        <w:rPr>
          <w:rFonts w:hint="eastAsia" w:cs="宋体"/>
          <w:color w:val="auto"/>
          <w:sz w:val="24"/>
          <w:szCs w:val="24"/>
          <w:highlight w:val="none"/>
        </w:rPr>
        <w:t>；</w:t>
      </w:r>
    </w:p>
    <w:p w14:paraId="352A1B38">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联系电话：</w:t>
      </w:r>
      <w:r>
        <w:rPr>
          <w:rFonts w:hint="eastAsia" w:cs="宋体"/>
          <w:color w:val="auto"/>
          <w:sz w:val="24"/>
          <w:szCs w:val="24"/>
          <w:highlight w:val="none"/>
          <w:u w:val="single"/>
        </w:rPr>
        <w:t xml:space="preserve">                 </w:t>
      </w:r>
      <w:r>
        <w:rPr>
          <w:rFonts w:hint="eastAsia" w:cs="宋体"/>
          <w:color w:val="auto"/>
          <w:sz w:val="24"/>
          <w:szCs w:val="24"/>
          <w:highlight w:val="none"/>
        </w:rPr>
        <w:t>；</w:t>
      </w:r>
    </w:p>
    <w:p w14:paraId="1407A9F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电子信箱：</w:t>
      </w:r>
      <w:r>
        <w:rPr>
          <w:rFonts w:hint="eastAsia" w:cs="宋体"/>
          <w:color w:val="auto"/>
          <w:sz w:val="24"/>
          <w:szCs w:val="24"/>
          <w:highlight w:val="none"/>
          <w:u w:val="single"/>
        </w:rPr>
        <w:t xml:space="preserve">                 </w:t>
      </w:r>
      <w:r>
        <w:rPr>
          <w:rFonts w:hint="eastAsia" w:cs="宋体"/>
          <w:color w:val="auto"/>
          <w:sz w:val="24"/>
          <w:szCs w:val="24"/>
          <w:highlight w:val="none"/>
        </w:rPr>
        <w:t>；</w:t>
      </w:r>
    </w:p>
    <w:p w14:paraId="412B67F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通信地址：</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7F2C5FB">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1.1.3 工程和设备</w:t>
      </w:r>
    </w:p>
    <w:p w14:paraId="64FC29E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1.1.3.7 作为施工现场组成部分的其他场所包括：</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w:t>
      </w:r>
      <w:r>
        <w:rPr>
          <w:rFonts w:hint="eastAsia" w:cs="宋体"/>
          <w:color w:val="auto"/>
          <w:sz w:val="24"/>
          <w:szCs w:val="24"/>
          <w:highlight w:val="none"/>
        </w:rPr>
        <w:t>。</w:t>
      </w:r>
    </w:p>
    <w:p w14:paraId="06D6FAED">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1.1.3.9 永久占地包括：</w:t>
      </w:r>
      <w:r>
        <w:rPr>
          <w:rFonts w:hint="eastAsia" w:cs="宋体"/>
          <w:color w:val="auto"/>
          <w:sz w:val="24"/>
          <w:szCs w:val="24"/>
          <w:highlight w:val="none"/>
          <w:u w:val="single"/>
        </w:rPr>
        <w:t xml:space="preserve"> </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为建设本合同工程永久征用的场地</w:t>
      </w:r>
      <w:r>
        <w:rPr>
          <w:rFonts w:hint="eastAsia" w:cs="宋体"/>
          <w:color w:val="auto"/>
          <w:sz w:val="24"/>
          <w:szCs w:val="24"/>
          <w:highlight w:val="none"/>
        </w:rPr>
        <w:t>。</w:t>
      </w:r>
    </w:p>
    <w:p w14:paraId="7AF04F4A">
      <w:pPr>
        <w:adjustRightInd w:val="0"/>
        <w:snapToGrid w:val="0"/>
        <w:spacing w:line="360" w:lineRule="auto"/>
        <w:ind w:firstLine="480" w:firstLineChars="200"/>
        <w:rPr>
          <w:rFonts w:hint="eastAsia" w:cs="宋体"/>
          <w:color w:val="auto"/>
          <w:sz w:val="24"/>
          <w:szCs w:val="24"/>
          <w:highlight w:val="none"/>
          <w:u w:val="single"/>
        </w:rPr>
      </w:pPr>
      <w:r>
        <w:rPr>
          <w:rFonts w:hint="eastAsia" w:cs="宋体"/>
          <w:color w:val="auto"/>
          <w:sz w:val="24"/>
          <w:szCs w:val="24"/>
          <w:highlight w:val="none"/>
        </w:rPr>
        <w:t>1.1.3.10 临时占地包括：</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为建设本合同工程临时征用，</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在完工后须按合同要求退还的场地；工程施工用地（含地面附着物）由</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负责与工程所在地的乡镇协调解决；</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负责办理永久占地和招标图示的临时用地范围内的征地搬迁工作，向</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 xml:space="preserve"> 提供永久用地和招标图示的临时用地，</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应无条件接受现场条件。永久占地由</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承担，临时用地</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负责协调，费用由</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承担。</w:t>
      </w:r>
    </w:p>
    <w:p w14:paraId="5B0DF914">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 xml:space="preserve">1.3 法律 </w:t>
      </w:r>
    </w:p>
    <w:p w14:paraId="3D050003">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适用于合同的其他规范性文件：</w:t>
      </w:r>
      <w:r>
        <w:rPr>
          <w:rFonts w:hint="eastAsia" w:cs="宋体"/>
          <w:color w:val="auto"/>
          <w:sz w:val="24"/>
          <w:szCs w:val="24"/>
          <w:highlight w:val="none"/>
          <w:u w:val="single"/>
        </w:rPr>
        <w:t>《中华人民共和国民法典》、《中华人民共和国建筑法》、《中华人民共和国政府采购法》、《建设工程质量管理条例》、《建设工程安全生产管理条例》等国家及工程所在地现行有效的法律法规和规章</w:t>
      </w:r>
      <w:r>
        <w:rPr>
          <w:rFonts w:hint="eastAsia" w:cs="宋体"/>
          <w:color w:val="auto"/>
          <w:sz w:val="24"/>
          <w:szCs w:val="24"/>
          <w:highlight w:val="none"/>
        </w:rPr>
        <w:t>。</w:t>
      </w:r>
    </w:p>
    <w:p w14:paraId="0DB5FA43">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1.4 标准和规范</w:t>
      </w:r>
    </w:p>
    <w:p w14:paraId="17599B8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1.4.1 适用于工程的标准规范包括：</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4B73E48D">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 xml:space="preserve">1.4.2 </w:t>
      </w:r>
      <w:r>
        <w:rPr>
          <w:rFonts w:hint="eastAsia" w:cs="宋体"/>
          <w:color w:val="auto"/>
          <w:sz w:val="24"/>
          <w:szCs w:val="24"/>
          <w:highlight w:val="none"/>
          <w:lang w:eastAsia="zh-CN"/>
        </w:rPr>
        <w:t>甲方</w:t>
      </w:r>
      <w:r>
        <w:rPr>
          <w:rFonts w:hint="eastAsia" w:cs="宋体"/>
          <w:color w:val="auto"/>
          <w:sz w:val="24"/>
          <w:szCs w:val="24"/>
          <w:highlight w:val="none"/>
        </w:rPr>
        <w:t>提供国外标准、规范的名称：</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69D002C">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提供国外标准、规范的份数：</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43E6DD84">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提供国外标准、规范的时间：</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1DC0516C">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1.4.3 </w:t>
      </w:r>
      <w:r>
        <w:rPr>
          <w:rFonts w:hint="eastAsia" w:cs="宋体"/>
          <w:color w:val="auto"/>
          <w:sz w:val="24"/>
          <w:szCs w:val="24"/>
          <w:highlight w:val="none"/>
          <w:lang w:eastAsia="zh-CN"/>
        </w:rPr>
        <w:t>甲方</w:t>
      </w:r>
      <w:r>
        <w:rPr>
          <w:rFonts w:hint="eastAsia" w:cs="宋体"/>
          <w:color w:val="auto"/>
          <w:sz w:val="24"/>
          <w:szCs w:val="24"/>
          <w:highlight w:val="none"/>
        </w:rPr>
        <w:t>对工程的技术标准和功能要求的特殊要求：</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32245C6">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1.5 合同文件的优先顺序</w:t>
      </w:r>
    </w:p>
    <w:p w14:paraId="18925444">
      <w:pPr>
        <w:adjustRightInd w:val="0"/>
        <w:snapToGrid w:val="0"/>
        <w:spacing w:line="360" w:lineRule="auto"/>
        <w:ind w:firstLine="480" w:firstLineChars="200"/>
        <w:rPr>
          <w:rFonts w:cs="宋体"/>
          <w:b/>
          <w:color w:val="auto"/>
          <w:sz w:val="24"/>
          <w:szCs w:val="24"/>
          <w:highlight w:val="none"/>
          <w:u w:val="single"/>
        </w:rPr>
      </w:pPr>
      <w:r>
        <w:rPr>
          <w:rFonts w:hint="eastAsia" w:cs="宋体"/>
          <w:color w:val="auto"/>
          <w:sz w:val="24"/>
          <w:szCs w:val="24"/>
          <w:highlight w:val="none"/>
        </w:rPr>
        <w:t>合同文件组成及优先顺序为：</w:t>
      </w:r>
      <w:r>
        <w:rPr>
          <w:rFonts w:hint="eastAsia" w:cs="宋体"/>
          <w:color w:val="auto"/>
          <w:sz w:val="24"/>
          <w:szCs w:val="24"/>
          <w:highlight w:val="none"/>
          <w:u w:val="single"/>
        </w:rPr>
        <w:t xml:space="preserve"> 执行通用条款   </w:t>
      </w:r>
    </w:p>
    <w:p w14:paraId="47FFF692">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1.6 图纸和</w:t>
      </w:r>
      <w:r>
        <w:rPr>
          <w:rFonts w:hint="eastAsia" w:cs="宋体"/>
          <w:bCs/>
          <w:color w:val="auto"/>
          <w:sz w:val="24"/>
          <w:szCs w:val="24"/>
          <w:highlight w:val="none"/>
          <w:lang w:eastAsia="zh-CN"/>
        </w:rPr>
        <w:t>乙方</w:t>
      </w:r>
      <w:r>
        <w:rPr>
          <w:rFonts w:hint="eastAsia" w:cs="宋体"/>
          <w:bCs/>
          <w:color w:val="auto"/>
          <w:sz w:val="24"/>
          <w:szCs w:val="24"/>
          <w:highlight w:val="none"/>
        </w:rPr>
        <w:t>文件</w:t>
      </w:r>
      <w:r>
        <w:rPr>
          <w:rFonts w:hint="eastAsia" w:cs="宋体"/>
          <w:bCs/>
          <w:color w:val="auto"/>
          <w:sz w:val="24"/>
          <w:szCs w:val="24"/>
          <w:highlight w:val="none"/>
        </w:rPr>
        <w:tab/>
      </w:r>
    </w:p>
    <w:p w14:paraId="032C03F1">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1.6.1 图纸的提供和交底</w:t>
      </w:r>
    </w:p>
    <w:p w14:paraId="46CBCA0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向</w:t>
      </w:r>
      <w:r>
        <w:rPr>
          <w:rFonts w:hint="eastAsia" w:cs="宋体"/>
          <w:color w:val="auto"/>
          <w:sz w:val="24"/>
          <w:szCs w:val="24"/>
          <w:highlight w:val="none"/>
          <w:lang w:eastAsia="zh-CN"/>
        </w:rPr>
        <w:t>乙方</w:t>
      </w:r>
      <w:r>
        <w:rPr>
          <w:rFonts w:hint="eastAsia" w:cs="宋体"/>
          <w:color w:val="auto"/>
          <w:sz w:val="24"/>
          <w:szCs w:val="24"/>
          <w:highlight w:val="none"/>
        </w:rPr>
        <w:t>提供图纸的期限：</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15A75F1C">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向</w:t>
      </w:r>
      <w:r>
        <w:rPr>
          <w:rFonts w:hint="eastAsia" w:cs="宋体"/>
          <w:color w:val="auto"/>
          <w:sz w:val="24"/>
          <w:szCs w:val="24"/>
          <w:highlight w:val="none"/>
          <w:lang w:eastAsia="zh-CN"/>
        </w:rPr>
        <w:t>乙方</w:t>
      </w:r>
      <w:r>
        <w:rPr>
          <w:rFonts w:hint="eastAsia" w:cs="宋体"/>
          <w:color w:val="auto"/>
          <w:sz w:val="24"/>
          <w:szCs w:val="24"/>
          <w:highlight w:val="none"/>
        </w:rPr>
        <w:t>提供图纸的数量：</w:t>
      </w:r>
      <w:r>
        <w:rPr>
          <w:rFonts w:hint="eastAsia" w:cs="宋体"/>
          <w:color w:val="auto"/>
          <w:sz w:val="24"/>
          <w:szCs w:val="24"/>
          <w:highlight w:val="none"/>
          <w:u w:val="single"/>
        </w:rPr>
        <w:t>提供</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套（含</w:t>
      </w:r>
      <w:r>
        <w:rPr>
          <w:rFonts w:hint="eastAsia" w:cs="宋体"/>
          <w:color w:val="auto"/>
          <w:sz w:val="24"/>
          <w:szCs w:val="24"/>
          <w:highlight w:val="none"/>
          <w:u w:val="single"/>
          <w:lang w:eastAsia="zh-CN"/>
        </w:rPr>
        <w:t>完工</w:t>
      </w:r>
      <w:r>
        <w:rPr>
          <w:rFonts w:hint="eastAsia" w:cs="宋体"/>
          <w:color w:val="auto"/>
          <w:sz w:val="24"/>
          <w:szCs w:val="24"/>
          <w:highlight w:val="none"/>
          <w:u w:val="single"/>
        </w:rPr>
        <w:t>图</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套），不足的由</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自行复制，费用自理；</w:t>
      </w:r>
    </w:p>
    <w:p w14:paraId="63B5664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向</w:t>
      </w:r>
      <w:r>
        <w:rPr>
          <w:rFonts w:hint="eastAsia" w:cs="宋体"/>
          <w:color w:val="auto"/>
          <w:sz w:val="24"/>
          <w:szCs w:val="24"/>
          <w:highlight w:val="none"/>
          <w:lang w:eastAsia="zh-CN"/>
        </w:rPr>
        <w:t>乙方</w:t>
      </w:r>
      <w:r>
        <w:rPr>
          <w:rFonts w:hint="eastAsia" w:cs="宋体"/>
          <w:color w:val="auto"/>
          <w:sz w:val="24"/>
          <w:szCs w:val="24"/>
          <w:highlight w:val="none"/>
        </w:rPr>
        <w:t>提供图纸的内容：</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45DAF1FB">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1.6.4 </w:t>
      </w:r>
      <w:r>
        <w:rPr>
          <w:rFonts w:hint="eastAsia" w:cs="宋体"/>
          <w:color w:val="auto"/>
          <w:sz w:val="24"/>
          <w:szCs w:val="24"/>
          <w:highlight w:val="none"/>
          <w:lang w:eastAsia="zh-CN"/>
        </w:rPr>
        <w:t>乙方</w:t>
      </w:r>
      <w:r>
        <w:rPr>
          <w:rFonts w:hint="eastAsia" w:cs="宋体"/>
          <w:color w:val="auto"/>
          <w:sz w:val="24"/>
          <w:szCs w:val="24"/>
          <w:highlight w:val="none"/>
        </w:rPr>
        <w:t>文件</w:t>
      </w:r>
    </w:p>
    <w:p w14:paraId="35D4E5F9">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需要由</w:t>
      </w:r>
      <w:r>
        <w:rPr>
          <w:rFonts w:hint="eastAsia" w:cs="宋体"/>
          <w:color w:val="auto"/>
          <w:sz w:val="24"/>
          <w:szCs w:val="24"/>
          <w:highlight w:val="none"/>
          <w:lang w:eastAsia="zh-CN"/>
        </w:rPr>
        <w:t>乙方</w:t>
      </w:r>
      <w:r>
        <w:rPr>
          <w:rFonts w:hint="eastAsia" w:cs="宋体"/>
          <w:color w:val="auto"/>
          <w:sz w:val="24"/>
          <w:szCs w:val="24"/>
          <w:highlight w:val="none"/>
        </w:rPr>
        <w:t>提供的文件，包括：</w:t>
      </w:r>
      <w:r>
        <w:rPr>
          <w:rFonts w:hint="eastAsia" w:cs="宋体"/>
          <w:color w:val="auto"/>
          <w:sz w:val="24"/>
          <w:szCs w:val="24"/>
          <w:highlight w:val="none"/>
          <w:u w:val="single"/>
        </w:rPr>
        <w:t xml:space="preserve">          </w:t>
      </w:r>
      <w:r>
        <w:rPr>
          <w:rFonts w:hint="eastAsia" w:cs="宋体"/>
          <w:color w:val="auto"/>
          <w:sz w:val="24"/>
          <w:szCs w:val="24"/>
          <w:highlight w:val="none"/>
        </w:rPr>
        <w:t>；</w:t>
      </w:r>
    </w:p>
    <w:p w14:paraId="6C850B0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提供的文件的期限为：</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97D0CE8">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提供的文件的数量为：</w:t>
      </w:r>
      <w:r>
        <w:rPr>
          <w:rFonts w:hint="eastAsia" w:cs="宋体"/>
          <w:color w:val="auto"/>
          <w:sz w:val="24"/>
          <w:szCs w:val="24"/>
          <w:highlight w:val="none"/>
          <w:u w:val="single"/>
        </w:rPr>
        <w:t xml:space="preserve">          </w:t>
      </w:r>
      <w:r>
        <w:rPr>
          <w:rFonts w:hint="eastAsia" w:cs="宋体"/>
          <w:color w:val="auto"/>
          <w:sz w:val="24"/>
          <w:szCs w:val="24"/>
          <w:highlight w:val="none"/>
        </w:rPr>
        <w:t>；</w:t>
      </w:r>
    </w:p>
    <w:p w14:paraId="1BB1D7E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提供的文件的形式为：</w:t>
      </w:r>
      <w:r>
        <w:rPr>
          <w:rFonts w:hint="eastAsia" w:cs="宋体"/>
          <w:color w:val="auto"/>
          <w:sz w:val="24"/>
          <w:szCs w:val="24"/>
          <w:highlight w:val="none"/>
          <w:u w:val="single"/>
        </w:rPr>
        <w:t xml:space="preserve">          </w:t>
      </w:r>
      <w:r>
        <w:rPr>
          <w:rFonts w:hint="eastAsia" w:cs="宋体"/>
          <w:color w:val="auto"/>
          <w:sz w:val="24"/>
          <w:szCs w:val="24"/>
          <w:highlight w:val="none"/>
        </w:rPr>
        <w:t>；</w:t>
      </w:r>
    </w:p>
    <w:p w14:paraId="4C340E1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审批</w:t>
      </w:r>
      <w:r>
        <w:rPr>
          <w:rFonts w:hint="eastAsia" w:cs="宋体"/>
          <w:color w:val="auto"/>
          <w:sz w:val="24"/>
          <w:szCs w:val="24"/>
          <w:highlight w:val="none"/>
          <w:lang w:eastAsia="zh-CN"/>
        </w:rPr>
        <w:t>乙方</w:t>
      </w:r>
      <w:r>
        <w:rPr>
          <w:rFonts w:hint="eastAsia" w:cs="宋体"/>
          <w:color w:val="auto"/>
          <w:sz w:val="24"/>
          <w:szCs w:val="24"/>
          <w:highlight w:val="none"/>
        </w:rPr>
        <w:t>文件的期限：</w:t>
      </w:r>
      <w:r>
        <w:rPr>
          <w:rFonts w:hint="eastAsia" w:cs="宋体"/>
          <w:color w:val="auto"/>
          <w:sz w:val="24"/>
          <w:szCs w:val="24"/>
          <w:highlight w:val="none"/>
          <w:u w:val="single"/>
        </w:rPr>
        <w:t xml:space="preserve">          </w:t>
      </w:r>
      <w:r>
        <w:rPr>
          <w:rFonts w:hint="eastAsia" w:cs="宋体"/>
          <w:color w:val="auto"/>
          <w:sz w:val="24"/>
          <w:szCs w:val="24"/>
          <w:highlight w:val="none"/>
        </w:rPr>
        <w:t>。</w:t>
      </w:r>
    </w:p>
    <w:p w14:paraId="01544CAC">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1.6.5 图纸和</w:t>
      </w:r>
      <w:r>
        <w:rPr>
          <w:rFonts w:hint="eastAsia" w:cs="宋体"/>
          <w:color w:val="auto"/>
          <w:sz w:val="24"/>
          <w:szCs w:val="24"/>
          <w:highlight w:val="none"/>
          <w:lang w:eastAsia="zh-CN"/>
        </w:rPr>
        <w:t>乙方</w:t>
      </w:r>
      <w:r>
        <w:rPr>
          <w:rFonts w:hint="eastAsia" w:cs="宋体"/>
          <w:color w:val="auto"/>
          <w:sz w:val="24"/>
          <w:szCs w:val="24"/>
          <w:highlight w:val="none"/>
        </w:rPr>
        <w:t>文件的保管</w:t>
      </w:r>
    </w:p>
    <w:p w14:paraId="411B4631">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关于图纸和</w:t>
      </w:r>
      <w:r>
        <w:rPr>
          <w:rFonts w:hint="eastAsia" w:cs="宋体"/>
          <w:color w:val="auto"/>
          <w:sz w:val="24"/>
          <w:szCs w:val="24"/>
          <w:highlight w:val="none"/>
          <w:lang w:eastAsia="zh-CN"/>
        </w:rPr>
        <w:t>乙方</w:t>
      </w:r>
      <w:r>
        <w:rPr>
          <w:rFonts w:hint="eastAsia" w:cs="宋体"/>
          <w:color w:val="auto"/>
          <w:sz w:val="24"/>
          <w:szCs w:val="24"/>
          <w:highlight w:val="none"/>
        </w:rPr>
        <w:t>文件保管的约定：</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5E39820C">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1.7 联络</w:t>
      </w:r>
    </w:p>
    <w:p w14:paraId="33F78D8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1.7.1 </w:t>
      </w:r>
      <w:r>
        <w:rPr>
          <w:rFonts w:hint="eastAsia" w:cs="宋体"/>
          <w:color w:val="auto"/>
          <w:sz w:val="24"/>
          <w:szCs w:val="24"/>
          <w:highlight w:val="none"/>
          <w:lang w:eastAsia="zh-CN"/>
        </w:rPr>
        <w:t>甲方</w:t>
      </w:r>
      <w:r>
        <w:rPr>
          <w:rFonts w:hint="eastAsia" w:cs="宋体"/>
          <w:color w:val="auto"/>
          <w:sz w:val="24"/>
          <w:szCs w:val="24"/>
          <w:highlight w:val="none"/>
        </w:rPr>
        <w:t>和</w:t>
      </w:r>
      <w:r>
        <w:rPr>
          <w:rFonts w:hint="eastAsia" w:cs="宋体"/>
          <w:color w:val="auto"/>
          <w:sz w:val="24"/>
          <w:szCs w:val="24"/>
          <w:highlight w:val="none"/>
          <w:lang w:eastAsia="zh-CN"/>
        </w:rPr>
        <w:t>乙方</w:t>
      </w:r>
      <w:r>
        <w:rPr>
          <w:rFonts w:hint="eastAsia" w:cs="宋体"/>
          <w:color w:val="auto"/>
          <w:sz w:val="24"/>
          <w:szCs w:val="24"/>
          <w:highlight w:val="none"/>
        </w:rPr>
        <w:t>应当在</w:t>
      </w:r>
      <w:r>
        <w:rPr>
          <w:rFonts w:hint="eastAsia" w:cs="宋体"/>
          <w:color w:val="auto"/>
          <w:sz w:val="24"/>
          <w:szCs w:val="24"/>
          <w:highlight w:val="none"/>
          <w:u w:val="single"/>
        </w:rPr>
        <w:t>7</w:t>
      </w:r>
      <w:r>
        <w:rPr>
          <w:rFonts w:hint="eastAsia" w:cs="宋体"/>
          <w:color w:val="auto"/>
          <w:sz w:val="24"/>
          <w:szCs w:val="24"/>
          <w:highlight w:val="none"/>
        </w:rPr>
        <w:t>天内将与合同有关的通知、批准、证明、证书、指示、指令、要求、请求、同意、意见、确定和决定等书面函件送达对方当事人。</w:t>
      </w:r>
    </w:p>
    <w:p w14:paraId="6ED7ACB9">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1.7.2 </w:t>
      </w:r>
      <w:r>
        <w:rPr>
          <w:rFonts w:hint="eastAsia" w:cs="宋体"/>
          <w:color w:val="auto"/>
          <w:sz w:val="24"/>
          <w:szCs w:val="24"/>
          <w:highlight w:val="none"/>
          <w:lang w:eastAsia="zh-CN"/>
        </w:rPr>
        <w:t>甲方</w:t>
      </w:r>
      <w:r>
        <w:rPr>
          <w:rFonts w:hint="eastAsia" w:cs="宋体"/>
          <w:color w:val="auto"/>
          <w:sz w:val="24"/>
          <w:szCs w:val="24"/>
          <w:highlight w:val="none"/>
        </w:rPr>
        <w:t>接收文件的地点：</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09E07D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指定的接收人为：</w:t>
      </w:r>
      <w:r>
        <w:rPr>
          <w:rFonts w:hint="eastAsia" w:cs="宋体"/>
          <w:color w:val="auto"/>
          <w:sz w:val="24"/>
          <w:szCs w:val="24"/>
          <w:highlight w:val="none"/>
          <w:u w:val="single"/>
        </w:rPr>
        <w:t xml:space="preserve">          </w:t>
      </w:r>
      <w:r>
        <w:rPr>
          <w:rFonts w:hint="eastAsia" w:cs="宋体"/>
          <w:color w:val="auto"/>
          <w:sz w:val="24"/>
          <w:szCs w:val="24"/>
          <w:highlight w:val="none"/>
        </w:rPr>
        <w:t>。</w:t>
      </w:r>
    </w:p>
    <w:p w14:paraId="6ECE287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接收文件的地点：</w:t>
      </w:r>
      <w:r>
        <w:rPr>
          <w:rFonts w:hint="eastAsia" w:cs="宋体"/>
          <w:color w:val="auto"/>
          <w:sz w:val="24"/>
          <w:szCs w:val="24"/>
          <w:highlight w:val="none"/>
          <w:u w:val="single"/>
        </w:rPr>
        <w:t xml:space="preserve">          </w:t>
      </w:r>
      <w:r>
        <w:rPr>
          <w:rFonts w:hint="eastAsia" w:cs="宋体"/>
          <w:color w:val="auto"/>
          <w:sz w:val="24"/>
          <w:szCs w:val="24"/>
          <w:highlight w:val="none"/>
        </w:rPr>
        <w:t>；</w:t>
      </w:r>
    </w:p>
    <w:p w14:paraId="62970EE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指定的接收人为：</w:t>
      </w:r>
      <w:r>
        <w:rPr>
          <w:rFonts w:hint="eastAsia" w:cs="宋体"/>
          <w:color w:val="auto"/>
          <w:sz w:val="24"/>
          <w:szCs w:val="24"/>
          <w:highlight w:val="none"/>
          <w:u w:val="single"/>
        </w:rPr>
        <w:t xml:space="preserve">          </w:t>
      </w:r>
      <w:r>
        <w:rPr>
          <w:rFonts w:hint="eastAsia" w:cs="宋体"/>
          <w:color w:val="auto"/>
          <w:sz w:val="24"/>
          <w:szCs w:val="24"/>
          <w:highlight w:val="none"/>
        </w:rPr>
        <w:t>。</w:t>
      </w:r>
    </w:p>
    <w:p w14:paraId="6201A55C">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1.10 交通运输</w:t>
      </w:r>
    </w:p>
    <w:p w14:paraId="08455C9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w:t>
      </w:r>
      <w:bookmarkStart w:id="79" w:name="_Toc300934943"/>
      <w:bookmarkStart w:id="80" w:name="_Toc303539100"/>
      <w:bookmarkStart w:id="81" w:name="_Toc304295521"/>
      <w:bookmarkStart w:id="82" w:name="_Toc318581155"/>
      <w:bookmarkStart w:id="83" w:name="_Toc312677986"/>
      <w:r>
        <w:rPr>
          <w:rFonts w:hint="eastAsia" w:cs="宋体"/>
          <w:color w:val="auto"/>
          <w:sz w:val="24"/>
          <w:szCs w:val="24"/>
          <w:highlight w:val="none"/>
        </w:rPr>
        <w:t>.10.1 出入现场的权利</w:t>
      </w:r>
    </w:p>
    <w:p w14:paraId="008065A4">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关于出入现场的权利的约定：</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bookmarkEnd w:id="79"/>
    <w:bookmarkEnd w:id="80"/>
    <w:bookmarkEnd w:id="81"/>
    <w:bookmarkEnd w:id="82"/>
    <w:bookmarkEnd w:id="83"/>
    <w:p w14:paraId="17A0DEC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w:t>
      </w:r>
      <w:bookmarkStart w:id="84" w:name="_Toc303539101"/>
      <w:bookmarkStart w:id="85" w:name="_Toc318581156"/>
      <w:bookmarkStart w:id="86" w:name="_Toc300934944"/>
      <w:bookmarkStart w:id="87" w:name="_Toc304295522"/>
      <w:bookmarkStart w:id="88" w:name="_Toc312677987"/>
      <w:r>
        <w:rPr>
          <w:rFonts w:hint="eastAsia" w:cs="宋体"/>
          <w:color w:val="auto"/>
          <w:sz w:val="24"/>
          <w:szCs w:val="24"/>
          <w:highlight w:val="none"/>
        </w:rPr>
        <w:t>.10.3 场内交通</w:t>
      </w:r>
    </w:p>
    <w:p w14:paraId="4A4D6BB0">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关于场外交通和场内交通的边界的约定：</w:t>
      </w:r>
      <w:r>
        <w:rPr>
          <w:rFonts w:hint="eastAsia" w:cs="宋体"/>
          <w:color w:val="auto"/>
          <w:sz w:val="24"/>
          <w:szCs w:val="24"/>
          <w:highlight w:val="none"/>
          <w:u w:val="single"/>
        </w:rPr>
        <w:t xml:space="preserve">          </w:t>
      </w:r>
      <w:r>
        <w:rPr>
          <w:rFonts w:hint="eastAsia" w:cs="宋体"/>
          <w:color w:val="auto"/>
          <w:sz w:val="24"/>
          <w:szCs w:val="24"/>
          <w:highlight w:val="none"/>
        </w:rPr>
        <w:t>。</w:t>
      </w:r>
    </w:p>
    <w:p w14:paraId="2689B3BF">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cs="宋体"/>
          <w:color w:val="auto"/>
          <w:sz w:val="24"/>
          <w:szCs w:val="24"/>
          <w:highlight w:val="none"/>
        </w:rPr>
        <w:t>关于</w:t>
      </w:r>
      <w:r>
        <w:rPr>
          <w:rFonts w:hint="eastAsia" w:cs="宋体"/>
          <w:color w:val="auto"/>
          <w:sz w:val="24"/>
          <w:szCs w:val="24"/>
          <w:highlight w:val="none"/>
          <w:lang w:eastAsia="zh-CN"/>
        </w:rPr>
        <w:t>甲方</w:t>
      </w:r>
      <w:r>
        <w:rPr>
          <w:rFonts w:hint="eastAsia" w:cs="宋体"/>
          <w:color w:val="auto"/>
          <w:sz w:val="24"/>
          <w:szCs w:val="24"/>
          <w:highlight w:val="none"/>
        </w:rPr>
        <w:t>向</w:t>
      </w:r>
      <w:r>
        <w:rPr>
          <w:rFonts w:hint="eastAsia" w:cs="宋体"/>
          <w:color w:val="auto"/>
          <w:sz w:val="24"/>
          <w:szCs w:val="24"/>
          <w:highlight w:val="none"/>
          <w:lang w:eastAsia="zh-CN"/>
        </w:rPr>
        <w:t>乙方</w:t>
      </w:r>
      <w:r>
        <w:rPr>
          <w:rFonts w:hint="eastAsia" w:cs="宋体"/>
          <w:color w:val="auto"/>
          <w:sz w:val="24"/>
          <w:szCs w:val="24"/>
          <w:highlight w:val="none"/>
        </w:rPr>
        <w:t>免费提供满足工程施工需要的场内道路和交通设施的约定：</w:t>
      </w:r>
      <w:r>
        <w:rPr>
          <w:rFonts w:hint="eastAsia" w:ascii="宋体" w:hAnsi="宋体" w:eastAsia="宋体" w:cs="宋体"/>
          <w:color w:val="auto"/>
          <w:sz w:val="24"/>
          <w:szCs w:val="24"/>
          <w:highlight w:val="none"/>
          <w:u w:val="single"/>
        </w:rPr>
        <w:t>执行通</w:t>
      </w:r>
    </w:p>
    <w:p w14:paraId="3B1DDABA">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用条款。</w:t>
      </w:r>
      <w:bookmarkEnd w:id="84"/>
      <w:bookmarkEnd w:id="85"/>
      <w:bookmarkEnd w:id="86"/>
      <w:bookmarkEnd w:id="87"/>
      <w:bookmarkEnd w:id="88"/>
      <w:bookmarkStart w:id="89" w:name="_Toc318581157"/>
    </w:p>
    <w:p w14:paraId="2BD2EA8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1.10.4 超大件和超重件的运输</w:t>
      </w:r>
    </w:p>
    <w:p w14:paraId="1AA3EF4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运输超大件或超重件所需的道路和桥梁临时加固改造费用和其他有关费用由</w:t>
      </w:r>
      <w:r>
        <w:rPr>
          <w:rFonts w:hint="eastAsia" w:cs="宋体"/>
          <w:color w:val="auto"/>
          <w:sz w:val="24"/>
          <w:szCs w:val="24"/>
          <w:highlight w:val="none"/>
          <w:u w:val="single"/>
        </w:rPr>
        <w:t xml:space="preserve"> 执行通用条款 </w:t>
      </w:r>
      <w:r>
        <w:rPr>
          <w:rFonts w:hint="eastAsia" w:cs="宋体"/>
          <w:color w:val="auto"/>
          <w:sz w:val="24"/>
          <w:szCs w:val="24"/>
          <w:highlight w:val="none"/>
        </w:rPr>
        <w:t>承担。</w:t>
      </w:r>
    </w:p>
    <w:bookmarkEnd w:id="89"/>
    <w:p w14:paraId="6CDE1A80">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1.11 知识产权</w:t>
      </w:r>
    </w:p>
    <w:p w14:paraId="1FB7B8FC">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1.11.1 关于</w:t>
      </w:r>
      <w:r>
        <w:rPr>
          <w:rFonts w:hint="eastAsia" w:cs="宋体"/>
          <w:color w:val="auto"/>
          <w:sz w:val="24"/>
          <w:szCs w:val="24"/>
          <w:highlight w:val="none"/>
          <w:lang w:eastAsia="zh-CN"/>
        </w:rPr>
        <w:t>甲方</w:t>
      </w:r>
      <w:r>
        <w:rPr>
          <w:rFonts w:hint="eastAsia" w:cs="宋体"/>
          <w:color w:val="auto"/>
          <w:sz w:val="24"/>
          <w:szCs w:val="24"/>
          <w:highlight w:val="none"/>
        </w:rPr>
        <w:t>提供给</w:t>
      </w:r>
      <w:r>
        <w:rPr>
          <w:rFonts w:hint="eastAsia" w:cs="宋体"/>
          <w:color w:val="auto"/>
          <w:sz w:val="24"/>
          <w:szCs w:val="24"/>
          <w:highlight w:val="none"/>
          <w:lang w:eastAsia="zh-CN"/>
        </w:rPr>
        <w:t>乙方</w:t>
      </w:r>
      <w:r>
        <w:rPr>
          <w:rFonts w:hint="eastAsia" w:cs="宋体"/>
          <w:color w:val="auto"/>
          <w:sz w:val="24"/>
          <w:szCs w:val="24"/>
          <w:highlight w:val="none"/>
        </w:rPr>
        <w:t>的图纸、</w:t>
      </w:r>
      <w:r>
        <w:rPr>
          <w:rFonts w:hint="eastAsia" w:cs="宋体"/>
          <w:color w:val="auto"/>
          <w:sz w:val="24"/>
          <w:szCs w:val="24"/>
          <w:highlight w:val="none"/>
          <w:lang w:eastAsia="zh-CN"/>
        </w:rPr>
        <w:t>甲方</w:t>
      </w:r>
      <w:r>
        <w:rPr>
          <w:rFonts w:hint="eastAsia" w:cs="宋体"/>
          <w:color w:val="auto"/>
          <w:sz w:val="24"/>
          <w:szCs w:val="24"/>
          <w:highlight w:val="none"/>
        </w:rPr>
        <w:t>为实施工程自行编制或委托编制的技术规范以及反映</w:t>
      </w:r>
      <w:r>
        <w:rPr>
          <w:rFonts w:hint="eastAsia" w:cs="宋体"/>
          <w:color w:val="auto"/>
          <w:sz w:val="24"/>
          <w:szCs w:val="24"/>
          <w:highlight w:val="none"/>
          <w:lang w:eastAsia="zh-CN"/>
        </w:rPr>
        <w:t>甲方</w:t>
      </w:r>
      <w:r>
        <w:rPr>
          <w:rFonts w:hint="eastAsia" w:cs="宋体"/>
          <w:color w:val="auto"/>
          <w:sz w:val="24"/>
          <w:szCs w:val="24"/>
          <w:highlight w:val="none"/>
        </w:rPr>
        <w:t>关于合同要求或其他类似性质的文件的著作权的归属：</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4762D46D">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关于</w:t>
      </w:r>
      <w:r>
        <w:rPr>
          <w:rFonts w:hint="eastAsia" w:cs="宋体"/>
          <w:color w:val="auto"/>
          <w:sz w:val="24"/>
          <w:szCs w:val="24"/>
          <w:highlight w:val="none"/>
          <w:lang w:eastAsia="zh-CN"/>
        </w:rPr>
        <w:t>甲方</w:t>
      </w:r>
      <w:r>
        <w:rPr>
          <w:rFonts w:hint="eastAsia" w:cs="宋体"/>
          <w:color w:val="auto"/>
          <w:sz w:val="24"/>
          <w:szCs w:val="24"/>
          <w:highlight w:val="none"/>
        </w:rPr>
        <w:t>提供的上述文件的使用限制的要求：</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410C23C9">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1.11.2 关于</w:t>
      </w:r>
      <w:r>
        <w:rPr>
          <w:rFonts w:hint="eastAsia" w:cs="宋体"/>
          <w:color w:val="auto"/>
          <w:sz w:val="24"/>
          <w:szCs w:val="24"/>
          <w:highlight w:val="none"/>
          <w:lang w:eastAsia="zh-CN"/>
        </w:rPr>
        <w:t>乙方</w:t>
      </w:r>
      <w:r>
        <w:rPr>
          <w:rFonts w:hint="eastAsia" w:cs="宋体"/>
          <w:color w:val="auto"/>
          <w:sz w:val="24"/>
          <w:szCs w:val="24"/>
          <w:highlight w:val="none"/>
        </w:rPr>
        <w:t>为实施工程所编制文件的著作权的归属：</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316899A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关于</w:t>
      </w:r>
      <w:r>
        <w:rPr>
          <w:rFonts w:hint="eastAsia" w:cs="宋体"/>
          <w:color w:val="auto"/>
          <w:sz w:val="24"/>
          <w:szCs w:val="24"/>
          <w:highlight w:val="none"/>
          <w:lang w:eastAsia="zh-CN"/>
        </w:rPr>
        <w:t>乙方</w:t>
      </w:r>
      <w:r>
        <w:rPr>
          <w:rFonts w:hint="eastAsia" w:cs="宋体"/>
          <w:color w:val="auto"/>
          <w:sz w:val="24"/>
          <w:szCs w:val="24"/>
          <w:highlight w:val="none"/>
        </w:rPr>
        <w:t>提供的上述文件的使用限制的要求：</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55CA802D">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1.11.4 </w:t>
      </w:r>
      <w:r>
        <w:rPr>
          <w:rFonts w:hint="eastAsia" w:cs="宋体"/>
          <w:color w:val="auto"/>
          <w:sz w:val="24"/>
          <w:szCs w:val="24"/>
          <w:highlight w:val="none"/>
          <w:lang w:eastAsia="zh-CN"/>
        </w:rPr>
        <w:t>乙方</w:t>
      </w:r>
      <w:r>
        <w:rPr>
          <w:rFonts w:hint="eastAsia" w:cs="宋体"/>
          <w:color w:val="auto"/>
          <w:sz w:val="24"/>
          <w:szCs w:val="24"/>
          <w:highlight w:val="none"/>
        </w:rPr>
        <w:t>在施工过程中所采用的专利、专有技术、技术秘密的使用费的承担方式：</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4D510991">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1.13 工程量清单错误的修正</w:t>
      </w:r>
    </w:p>
    <w:p w14:paraId="4D9F296A">
      <w:pPr>
        <w:adjustRightInd w:val="0"/>
        <w:snapToGrid w:val="0"/>
        <w:spacing w:line="360" w:lineRule="auto"/>
        <w:ind w:firstLine="480" w:firstLineChars="200"/>
        <w:rPr>
          <w:rFonts w:cs="宋体"/>
          <w:b/>
          <w:bCs/>
          <w:i/>
          <w:iCs/>
          <w:color w:val="auto"/>
          <w:kern w:val="2"/>
          <w:sz w:val="24"/>
          <w:szCs w:val="24"/>
          <w:highlight w:val="none"/>
        </w:rPr>
      </w:pPr>
      <w:r>
        <w:rPr>
          <w:rFonts w:hint="eastAsia" w:cs="宋体"/>
          <w:color w:val="auto"/>
          <w:sz w:val="24"/>
          <w:szCs w:val="24"/>
          <w:highlight w:val="none"/>
        </w:rPr>
        <w:t>出现工程量清单错误时，是否调整合同价格：</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不调整</w:t>
      </w:r>
      <w:r>
        <w:rPr>
          <w:rFonts w:hint="eastAsia" w:cs="宋体"/>
          <w:color w:val="auto"/>
          <w:sz w:val="24"/>
          <w:szCs w:val="24"/>
          <w:highlight w:val="none"/>
          <w:u w:val="single"/>
        </w:rPr>
        <w:t xml:space="preserve">  </w:t>
      </w:r>
      <w:r>
        <w:rPr>
          <w:rFonts w:hint="eastAsia" w:cs="宋体"/>
          <w:b/>
          <w:bCs/>
          <w:i/>
          <w:iCs/>
          <w:color w:val="auto"/>
          <w:kern w:val="2"/>
          <w:sz w:val="24"/>
          <w:szCs w:val="24"/>
          <w:highlight w:val="none"/>
        </w:rPr>
        <w:t xml:space="preserve">  （备注：与合同补充条款相对应）。</w:t>
      </w:r>
    </w:p>
    <w:p w14:paraId="2615679B">
      <w:pPr>
        <w:adjustRightInd w:val="0"/>
        <w:snapToGrid w:val="0"/>
        <w:spacing w:line="360" w:lineRule="auto"/>
        <w:ind w:firstLine="480" w:firstLineChars="200"/>
        <w:rPr>
          <w:rFonts w:cs="宋体"/>
          <w:b/>
          <w:bCs/>
          <w:i/>
          <w:iCs/>
          <w:color w:val="auto"/>
          <w:kern w:val="2"/>
          <w:sz w:val="24"/>
          <w:szCs w:val="24"/>
          <w:highlight w:val="none"/>
          <w:shd w:val="clear" w:color="FFFFFF" w:fill="D9D9D9"/>
        </w:rPr>
      </w:pPr>
      <w:r>
        <w:rPr>
          <w:rFonts w:hint="eastAsia" w:cs="宋体"/>
          <w:color w:val="auto"/>
          <w:sz w:val="24"/>
          <w:szCs w:val="24"/>
          <w:highlight w:val="none"/>
        </w:rPr>
        <w:t>允许调整合同价格的工程量偏差范围：</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b/>
          <w:bCs/>
          <w:i/>
          <w:iCs/>
          <w:color w:val="auto"/>
          <w:kern w:val="2"/>
          <w:sz w:val="24"/>
          <w:szCs w:val="24"/>
          <w:highlight w:val="none"/>
        </w:rPr>
        <w:t xml:space="preserve">  （备注：与合同补充条款相对应）。</w:t>
      </w:r>
    </w:p>
    <w:p w14:paraId="077B85A4">
      <w:pPr>
        <w:snapToGrid w:val="0"/>
        <w:spacing w:before="312" w:beforeLines="100" w:after="312" w:afterLines="100" w:line="360" w:lineRule="auto"/>
        <w:outlineLvl w:val="2"/>
        <w:rPr>
          <w:rFonts w:hint="eastAsia" w:eastAsia="宋体" w:cs="宋体"/>
          <w:color w:val="auto"/>
          <w:sz w:val="24"/>
          <w:szCs w:val="24"/>
          <w:highlight w:val="none"/>
          <w:lang w:eastAsia="zh-CN"/>
        </w:rPr>
      </w:pPr>
      <w:bookmarkStart w:id="90" w:name="_Toc351203634"/>
      <w:r>
        <w:rPr>
          <w:rFonts w:hint="eastAsia" w:cs="宋体"/>
          <w:color w:val="auto"/>
          <w:sz w:val="24"/>
          <w:szCs w:val="24"/>
          <w:highlight w:val="none"/>
        </w:rPr>
        <w:t>2</w:t>
      </w:r>
      <w:bookmarkStart w:id="91" w:name="_Toc297048343"/>
      <w:bookmarkStart w:id="92" w:name="_Toc296890985"/>
      <w:bookmarkStart w:id="93" w:name="_Toc292559362"/>
      <w:bookmarkStart w:id="94" w:name="_Toc296347156"/>
      <w:bookmarkStart w:id="95" w:name="_Toc296891197"/>
      <w:bookmarkStart w:id="96" w:name="_Toc296503157"/>
      <w:bookmarkStart w:id="97" w:name="_Toc296346658"/>
      <w:bookmarkStart w:id="98" w:name="_Toc292559867"/>
      <w:bookmarkStart w:id="99" w:name="_Toc296944496"/>
      <w:bookmarkStart w:id="100" w:name="_Toc297120457"/>
      <w:r>
        <w:rPr>
          <w:rFonts w:hint="eastAsia" w:cs="宋体"/>
          <w:color w:val="auto"/>
          <w:sz w:val="24"/>
          <w:szCs w:val="24"/>
          <w:highlight w:val="none"/>
        </w:rPr>
        <w:t xml:space="preserve">. </w:t>
      </w:r>
      <w:bookmarkEnd w:id="90"/>
      <w:r>
        <w:rPr>
          <w:rFonts w:hint="eastAsia" w:cs="宋体"/>
          <w:color w:val="auto"/>
          <w:sz w:val="24"/>
          <w:szCs w:val="24"/>
          <w:highlight w:val="none"/>
          <w:lang w:eastAsia="zh-CN"/>
        </w:rPr>
        <w:t>甲方</w:t>
      </w:r>
    </w:p>
    <w:bookmarkEnd w:id="91"/>
    <w:bookmarkEnd w:id="92"/>
    <w:bookmarkEnd w:id="93"/>
    <w:bookmarkEnd w:id="94"/>
    <w:bookmarkEnd w:id="95"/>
    <w:bookmarkEnd w:id="96"/>
    <w:bookmarkEnd w:id="97"/>
    <w:bookmarkEnd w:id="98"/>
    <w:bookmarkEnd w:id="99"/>
    <w:bookmarkEnd w:id="100"/>
    <w:p w14:paraId="2FB96B44">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 xml:space="preserve">2.2 </w:t>
      </w:r>
      <w:r>
        <w:rPr>
          <w:rFonts w:hint="eastAsia" w:cs="宋体"/>
          <w:bCs/>
          <w:color w:val="auto"/>
          <w:sz w:val="24"/>
          <w:szCs w:val="24"/>
          <w:highlight w:val="none"/>
          <w:lang w:eastAsia="zh-CN"/>
        </w:rPr>
        <w:t>甲方</w:t>
      </w:r>
      <w:r>
        <w:rPr>
          <w:rFonts w:hint="eastAsia" w:cs="宋体"/>
          <w:bCs/>
          <w:color w:val="auto"/>
          <w:sz w:val="24"/>
          <w:szCs w:val="24"/>
          <w:highlight w:val="none"/>
        </w:rPr>
        <w:t>代表</w:t>
      </w:r>
    </w:p>
    <w:p w14:paraId="6D3B293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代表：</w:t>
      </w:r>
    </w:p>
    <w:p w14:paraId="026588B0">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姓    名：</w:t>
      </w:r>
      <w:r>
        <w:rPr>
          <w:rFonts w:hint="eastAsia" w:cs="宋体"/>
          <w:color w:val="auto"/>
          <w:sz w:val="24"/>
          <w:szCs w:val="24"/>
          <w:highlight w:val="none"/>
          <w:u w:val="single"/>
        </w:rPr>
        <w:t xml:space="preserve">                          </w:t>
      </w:r>
      <w:r>
        <w:rPr>
          <w:rFonts w:hint="eastAsia" w:cs="宋体"/>
          <w:color w:val="auto"/>
          <w:sz w:val="24"/>
          <w:szCs w:val="24"/>
          <w:highlight w:val="none"/>
        </w:rPr>
        <w:t>；</w:t>
      </w:r>
    </w:p>
    <w:p w14:paraId="5415B641">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身份证号：</w:t>
      </w:r>
      <w:r>
        <w:rPr>
          <w:rFonts w:hint="eastAsia" w:cs="宋体"/>
          <w:color w:val="auto"/>
          <w:sz w:val="24"/>
          <w:szCs w:val="24"/>
          <w:highlight w:val="none"/>
          <w:u w:val="single"/>
        </w:rPr>
        <w:t xml:space="preserve">                          </w:t>
      </w:r>
      <w:r>
        <w:rPr>
          <w:rFonts w:hint="eastAsia" w:cs="宋体"/>
          <w:color w:val="auto"/>
          <w:sz w:val="24"/>
          <w:szCs w:val="24"/>
          <w:highlight w:val="none"/>
        </w:rPr>
        <w:t>；</w:t>
      </w:r>
    </w:p>
    <w:p w14:paraId="6CED7F4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职    务：</w:t>
      </w:r>
      <w:r>
        <w:rPr>
          <w:rFonts w:hint="eastAsia" w:cs="宋体"/>
          <w:color w:val="auto"/>
          <w:sz w:val="24"/>
          <w:szCs w:val="24"/>
          <w:highlight w:val="none"/>
          <w:u w:val="single"/>
        </w:rPr>
        <w:t xml:space="preserve">                          </w:t>
      </w:r>
      <w:r>
        <w:rPr>
          <w:rFonts w:hint="eastAsia" w:cs="宋体"/>
          <w:color w:val="auto"/>
          <w:sz w:val="24"/>
          <w:szCs w:val="24"/>
          <w:highlight w:val="none"/>
        </w:rPr>
        <w:t>；</w:t>
      </w:r>
    </w:p>
    <w:p w14:paraId="61B8A03B">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联系电话：</w:t>
      </w:r>
      <w:r>
        <w:rPr>
          <w:rFonts w:hint="eastAsia" w:cs="宋体"/>
          <w:color w:val="auto"/>
          <w:sz w:val="24"/>
          <w:szCs w:val="24"/>
          <w:highlight w:val="none"/>
          <w:u w:val="single"/>
        </w:rPr>
        <w:t xml:space="preserve">                          </w:t>
      </w:r>
      <w:r>
        <w:rPr>
          <w:rFonts w:hint="eastAsia" w:cs="宋体"/>
          <w:color w:val="auto"/>
          <w:sz w:val="24"/>
          <w:szCs w:val="24"/>
          <w:highlight w:val="none"/>
        </w:rPr>
        <w:t>；</w:t>
      </w:r>
    </w:p>
    <w:p w14:paraId="10366E53">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电子信箱：</w:t>
      </w:r>
      <w:r>
        <w:rPr>
          <w:rFonts w:hint="eastAsia" w:cs="宋体"/>
          <w:color w:val="auto"/>
          <w:sz w:val="24"/>
          <w:szCs w:val="24"/>
          <w:highlight w:val="none"/>
          <w:u w:val="single"/>
        </w:rPr>
        <w:t xml:space="preserve">                          </w:t>
      </w:r>
      <w:r>
        <w:rPr>
          <w:rFonts w:hint="eastAsia" w:cs="宋体"/>
          <w:color w:val="auto"/>
          <w:sz w:val="24"/>
          <w:szCs w:val="24"/>
          <w:highlight w:val="none"/>
        </w:rPr>
        <w:t>；</w:t>
      </w:r>
    </w:p>
    <w:p w14:paraId="2328BA1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通信地址：</w:t>
      </w:r>
      <w:r>
        <w:rPr>
          <w:rFonts w:hint="eastAsia" w:cs="宋体"/>
          <w:color w:val="auto"/>
          <w:sz w:val="24"/>
          <w:szCs w:val="24"/>
          <w:highlight w:val="none"/>
          <w:u w:val="single"/>
        </w:rPr>
        <w:t xml:space="preserve">                          </w:t>
      </w:r>
      <w:r>
        <w:rPr>
          <w:rFonts w:hint="eastAsia" w:cs="宋体"/>
          <w:color w:val="auto"/>
          <w:sz w:val="24"/>
          <w:szCs w:val="24"/>
          <w:highlight w:val="none"/>
        </w:rPr>
        <w:t>。</w:t>
      </w:r>
    </w:p>
    <w:p w14:paraId="06A3D7A3">
      <w:pPr>
        <w:adjustRightInd w:val="0"/>
        <w:snapToGrid w:val="0"/>
        <w:spacing w:line="360" w:lineRule="auto"/>
        <w:ind w:firstLine="480" w:firstLineChars="200"/>
        <w:rPr>
          <w:rFonts w:cs="宋体"/>
          <w:b/>
          <w:strike/>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对</w:t>
      </w:r>
      <w:r>
        <w:rPr>
          <w:rFonts w:hint="eastAsia" w:cs="宋体"/>
          <w:color w:val="auto"/>
          <w:sz w:val="24"/>
          <w:szCs w:val="24"/>
          <w:highlight w:val="none"/>
          <w:lang w:eastAsia="zh-CN"/>
        </w:rPr>
        <w:t>甲方</w:t>
      </w:r>
      <w:r>
        <w:rPr>
          <w:rFonts w:hint="eastAsia" w:cs="宋体"/>
          <w:color w:val="auto"/>
          <w:sz w:val="24"/>
          <w:szCs w:val="24"/>
          <w:highlight w:val="none"/>
        </w:rPr>
        <w:t>代表的授权范围如下：</w:t>
      </w:r>
      <w:r>
        <w:rPr>
          <w:rFonts w:hint="eastAsia" w:cs="宋体"/>
          <w:color w:val="auto"/>
          <w:sz w:val="24"/>
          <w:szCs w:val="24"/>
          <w:highlight w:val="none"/>
          <w:u w:val="single"/>
        </w:rPr>
        <w:t xml:space="preserve">                          </w:t>
      </w:r>
      <w:r>
        <w:rPr>
          <w:rFonts w:hint="eastAsia" w:cs="宋体"/>
          <w:color w:val="auto"/>
          <w:sz w:val="24"/>
          <w:szCs w:val="24"/>
          <w:highlight w:val="none"/>
        </w:rPr>
        <w:t>。</w:t>
      </w:r>
    </w:p>
    <w:p w14:paraId="056FCF9F">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2.4 施工现场、施工条件和基础资料的提供</w:t>
      </w:r>
    </w:p>
    <w:p w14:paraId="44043F8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2.4.1 提供施工现场</w:t>
      </w:r>
    </w:p>
    <w:p w14:paraId="416E41E3">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关于</w:t>
      </w:r>
      <w:r>
        <w:rPr>
          <w:rFonts w:hint="eastAsia" w:cs="宋体"/>
          <w:color w:val="auto"/>
          <w:sz w:val="24"/>
          <w:szCs w:val="24"/>
          <w:highlight w:val="none"/>
          <w:lang w:eastAsia="zh-CN"/>
        </w:rPr>
        <w:t>甲方</w:t>
      </w:r>
      <w:r>
        <w:rPr>
          <w:rFonts w:hint="eastAsia" w:cs="宋体"/>
          <w:color w:val="auto"/>
          <w:sz w:val="24"/>
          <w:szCs w:val="24"/>
          <w:highlight w:val="none"/>
        </w:rPr>
        <w:t>移交施工现场的期限要求：</w:t>
      </w:r>
      <w:r>
        <w:rPr>
          <w:rFonts w:hint="eastAsia" w:cs="宋体"/>
          <w:color w:val="auto"/>
          <w:sz w:val="24"/>
          <w:szCs w:val="24"/>
          <w:highlight w:val="none"/>
          <w:u w:val="single"/>
        </w:rPr>
        <w:t xml:space="preserve"> 开工日期 7 天前 </w:t>
      </w:r>
      <w:r>
        <w:rPr>
          <w:rFonts w:hint="eastAsia" w:cs="宋体"/>
          <w:color w:val="auto"/>
          <w:sz w:val="24"/>
          <w:szCs w:val="24"/>
          <w:highlight w:val="none"/>
        </w:rPr>
        <w:t>。</w:t>
      </w:r>
    </w:p>
    <w:p w14:paraId="476C8D9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2.4.2 提供施工条件</w:t>
      </w:r>
    </w:p>
    <w:p w14:paraId="59316F24">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w:t>
      </w:r>
      <w:r>
        <w:rPr>
          <w:rFonts w:hint="eastAsia" w:cs="宋体"/>
          <w:color w:val="auto"/>
          <w:sz w:val="24"/>
          <w:szCs w:val="24"/>
          <w:highlight w:val="none"/>
          <w:lang w:eastAsia="zh-CN"/>
        </w:rPr>
        <w:t>甲方</w:t>
      </w:r>
      <w:r>
        <w:rPr>
          <w:rFonts w:hint="eastAsia" w:cs="宋体"/>
          <w:color w:val="auto"/>
          <w:sz w:val="24"/>
          <w:szCs w:val="24"/>
          <w:highlight w:val="none"/>
        </w:rPr>
        <w:t>应负责提供施工所需要的条件，包括：</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3957E100">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2.5 资金来源证明及支付担保</w:t>
      </w:r>
    </w:p>
    <w:p w14:paraId="6F1A4A61">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提供资金来源证明的期限要求：</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2544E87D">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是否提供支付担保：</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5127E0B8">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甲方</w:t>
      </w:r>
      <w:r>
        <w:rPr>
          <w:rFonts w:hint="eastAsia" w:cs="宋体"/>
          <w:color w:val="auto"/>
          <w:sz w:val="24"/>
          <w:szCs w:val="24"/>
          <w:highlight w:val="none"/>
        </w:rPr>
        <w:t>提供支付担保的形式：</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197E15BC">
      <w:pPr>
        <w:snapToGrid w:val="0"/>
        <w:spacing w:before="312" w:beforeLines="100" w:after="312" w:afterLines="100" w:line="360" w:lineRule="auto"/>
        <w:outlineLvl w:val="2"/>
        <w:rPr>
          <w:rFonts w:hint="eastAsia" w:eastAsia="宋体" w:cs="宋体"/>
          <w:color w:val="auto"/>
          <w:sz w:val="24"/>
          <w:szCs w:val="24"/>
          <w:highlight w:val="none"/>
          <w:lang w:eastAsia="zh-CN"/>
        </w:rPr>
      </w:pPr>
      <w:bookmarkStart w:id="101" w:name="_Toc351203635"/>
      <w:r>
        <w:rPr>
          <w:rFonts w:hint="eastAsia" w:cs="宋体"/>
          <w:color w:val="auto"/>
          <w:sz w:val="24"/>
          <w:szCs w:val="24"/>
          <w:highlight w:val="none"/>
        </w:rPr>
        <w:t>3</w:t>
      </w:r>
      <w:bookmarkStart w:id="102" w:name="_Toc296890986"/>
      <w:bookmarkStart w:id="103" w:name="_Toc296944497"/>
      <w:bookmarkStart w:id="104" w:name="_Toc297048344"/>
      <w:bookmarkStart w:id="105" w:name="_Toc296891198"/>
      <w:bookmarkStart w:id="106" w:name="_Toc292559868"/>
      <w:bookmarkStart w:id="107" w:name="_Toc296503158"/>
      <w:bookmarkStart w:id="108" w:name="_Toc297120458"/>
      <w:bookmarkStart w:id="109" w:name="_Toc296346659"/>
      <w:bookmarkStart w:id="110" w:name="_Toc292559363"/>
      <w:bookmarkStart w:id="111" w:name="_Toc296347157"/>
      <w:r>
        <w:rPr>
          <w:rFonts w:hint="eastAsia" w:cs="宋体"/>
          <w:color w:val="auto"/>
          <w:sz w:val="24"/>
          <w:szCs w:val="24"/>
          <w:highlight w:val="none"/>
        </w:rPr>
        <w:t xml:space="preserve">. </w:t>
      </w:r>
      <w:bookmarkEnd w:id="101"/>
      <w:r>
        <w:rPr>
          <w:rFonts w:hint="eastAsia" w:cs="宋体"/>
          <w:color w:val="auto"/>
          <w:sz w:val="24"/>
          <w:szCs w:val="24"/>
          <w:highlight w:val="none"/>
          <w:lang w:eastAsia="zh-CN"/>
        </w:rPr>
        <w:t>乙方</w:t>
      </w:r>
    </w:p>
    <w:bookmarkEnd w:id="102"/>
    <w:bookmarkEnd w:id="103"/>
    <w:bookmarkEnd w:id="104"/>
    <w:bookmarkEnd w:id="105"/>
    <w:bookmarkEnd w:id="106"/>
    <w:bookmarkEnd w:id="107"/>
    <w:bookmarkEnd w:id="108"/>
    <w:bookmarkEnd w:id="109"/>
    <w:bookmarkEnd w:id="110"/>
    <w:bookmarkEnd w:id="111"/>
    <w:p w14:paraId="43B6EA2B">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 xml:space="preserve">3.1 </w:t>
      </w:r>
      <w:r>
        <w:rPr>
          <w:rFonts w:hint="eastAsia" w:cs="宋体"/>
          <w:bCs/>
          <w:color w:val="auto"/>
          <w:sz w:val="24"/>
          <w:szCs w:val="24"/>
          <w:highlight w:val="none"/>
          <w:lang w:eastAsia="zh-CN"/>
        </w:rPr>
        <w:t>乙方</w:t>
      </w:r>
      <w:r>
        <w:rPr>
          <w:rFonts w:hint="eastAsia" w:cs="宋体"/>
          <w:bCs/>
          <w:color w:val="auto"/>
          <w:sz w:val="24"/>
          <w:szCs w:val="24"/>
          <w:highlight w:val="none"/>
        </w:rPr>
        <w:t>的一般义务</w:t>
      </w:r>
    </w:p>
    <w:p w14:paraId="201531C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（9）</w:t>
      </w:r>
      <w:r>
        <w:rPr>
          <w:rFonts w:hint="eastAsia" w:cs="宋体"/>
          <w:color w:val="auto"/>
          <w:sz w:val="24"/>
          <w:szCs w:val="24"/>
          <w:highlight w:val="none"/>
          <w:lang w:eastAsia="zh-CN"/>
        </w:rPr>
        <w:t>乙方</w:t>
      </w:r>
      <w:r>
        <w:rPr>
          <w:rFonts w:hint="eastAsia" w:cs="宋体"/>
          <w:color w:val="auto"/>
          <w:sz w:val="24"/>
          <w:szCs w:val="24"/>
          <w:highlight w:val="none"/>
        </w:rPr>
        <w:t>提交的</w:t>
      </w:r>
      <w:r>
        <w:rPr>
          <w:rFonts w:hint="eastAsia" w:cs="宋体"/>
          <w:color w:val="auto"/>
          <w:sz w:val="24"/>
          <w:szCs w:val="24"/>
          <w:highlight w:val="none"/>
          <w:lang w:eastAsia="zh-CN"/>
        </w:rPr>
        <w:t>完工</w:t>
      </w:r>
      <w:r>
        <w:rPr>
          <w:rFonts w:hint="eastAsia" w:cs="宋体"/>
          <w:color w:val="auto"/>
          <w:sz w:val="24"/>
          <w:szCs w:val="24"/>
          <w:highlight w:val="none"/>
        </w:rPr>
        <w:t>资料的内容：</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提供全套</w:t>
      </w:r>
      <w:r>
        <w:rPr>
          <w:rFonts w:hint="eastAsia" w:cs="宋体"/>
          <w:color w:val="auto"/>
          <w:sz w:val="24"/>
          <w:szCs w:val="24"/>
          <w:highlight w:val="none"/>
          <w:u w:val="single"/>
          <w:lang w:eastAsia="zh-CN"/>
        </w:rPr>
        <w:t>完工</w:t>
      </w:r>
      <w:r>
        <w:rPr>
          <w:rFonts w:hint="eastAsia" w:cs="宋体"/>
          <w:color w:val="auto"/>
          <w:sz w:val="24"/>
          <w:szCs w:val="24"/>
          <w:highlight w:val="none"/>
          <w:u w:val="single"/>
        </w:rPr>
        <w:t>图，所有</w:t>
      </w:r>
      <w:r>
        <w:rPr>
          <w:rFonts w:hint="eastAsia" w:cs="宋体"/>
          <w:color w:val="auto"/>
          <w:sz w:val="24"/>
          <w:szCs w:val="24"/>
          <w:highlight w:val="none"/>
          <w:u w:val="single"/>
          <w:lang w:eastAsia="zh-CN"/>
        </w:rPr>
        <w:t>完工</w:t>
      </w:r>
      <w:r>
        <w:rPr>
          <w:rFonts w:hint="eastAsia" w:cs="宋体"/>
          <w:color w:val="auto"/>
          <w:sz w:val="24"/>
          <w:szCs w:val="24"/>
          <w:highlight w:val="none"/>
          <w:u w:val="single"/>
        </w:rPr>
        <w:t>图应为新图纸</w:t>
      </w:r>
      <w:r>
        <w:rPr>
          <w:rFonts w:hint="eastAsia" w:cs="宋体"/>
          <w:color w:val="auto"/>
          <w:sz w:val="24"/>
          <w:szCs w:val="24"/>
          <w:highlight w:val="none"/>
        </w:rPr>
        <w:t>。</w:t>
      </w:r>
    </w:p>
    <w:p w14:paraId="5BE9F3FB">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需要提交的</w:t>
      </w:r>
      <w:r>
        <w:rPr>
          <w:rFonts w:hint="eastAsia" w:cs="宋体"/>
          <w:color w:val="auto"/>
          <w:sz w:val="24"/>
          <w:szCs w:val="24"/>
          <w:highlight w:val="none"/>
          <w:lang w:eastAsia="zh-CN"/>
        </w:rPr>
        <w:t>完工</w:t>
      </w:r>
      <w:r>
        <w:rPr>
          <w:rFonts w:hint="eastAsia" w:cs="宋体"/>
          <w:color w:val="auto"/>
          <w:sz w:val="24"/>
          <w:szCs w:val="24"/>
          <w:highlight w:val="none"/>
        </w:rPr>
        <w:t>资料套数：</w:t>
      </w:r>
      <w:r>
        <w:rPr>
          <w:rFonts w:hint="eastAsia" w:cs="宋体"/>
          <w:color w:val="auto"/>
          <w:sz w:val="24"/>
          <w:szCs w:val="24"/>
          <w:highlight w:val="none"/>
          <w:u w:val="single"/>
        </w:rPr>
        <w:t xml:space="preserve">        </w:t>
      </w:r>
      <w:r>
        <w:rPr>
          <w:rFonts w:hint="eastAsia" w:cs="宋体"/>
          <w:color w:val="auto"/>
          <w:sz w:val="24"/>
          <w:szCs w:val="24"/>
          <w:highlight w:val="none"/>
        </w:rPr>
        <w:t>。</w:t>
      </w:r>
    </w:p>
    <w:p w14:paraId="3DC21E80">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提交的</w:t>
      </w:r>
      <w:r>
        <w:rPr>
          <w:rFonts w:hint="eastAsia" w:cs="宋体"/>
          <w:color w:val="auto"/>
          <w:sz w:val="24"/>
          <w:szCs w:val="24"/>
          <w:highlight w:val="none"/>
          <w:lang w:eastAsia="zh-CN"/>
        </w:rPr>
        <w:t>完工</w:t>
      </w:r>
      <w:r>
        <w:rPr>
          <w:rFonts w:hint="eastAsia" w:cs="宋体"/>
          <w:color w:val="auto"/>
          <w:sz w:val="24"/>
          <w:szCs w:val="24"/>
          <w:highlight w:val="none"/>
        </w:rPr>
        <w:t>资料的费用承担：</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承担</w:t>
      </w:r>
      <w:r>
        <w:rPr>
          <w:rFonts w:hint="eastAsia" w:cs="宋体"/>
          <w:color w:val="auto"/>
          <w:sz w:val="24"/>
          <w:szCs w:val="24"/>
          <w:highlight w:val="none"/>
        </w:rPr>
        <w:t>。</w:t>
      </w:r>
    </w:p>
    <w:p w14:paraId="7377EEF2">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提交的</w:t>
      </w:r>
      <w:r>
        <w:rPr>
          <w:rFonts w:hint="eastAsia" w:cs="宋体"/>
          <w:color w:val="auto"/>
          <w:sz w:val="24"/>
          <w:szCs w:val="24"/>
          <w:highlight w:val="none"/>
          <w:lang w:eastAsia="zh-CN"/>
        </w:rPr>
        <w:t>完工</w:t>
      </w:r>
      <w:r>
        <w:rPr>
          <w:rFonts w:hint="eastAsia" w:cs="宋体"/>
          <w:color w:val="auto"/>
          <w:sz w:val="24"/>
          <w:szCs w:val="24"/>
          <w:highlight w:val="none"/>
        </w:rPr>
        <w:t>资料移交时间：</w:t>
      </w:r>
      <w:r>
        <w:rPr>
          <w:rFonts w:hint="eastAsia" w:cs="宋体"/>
          <w:color w:val="auto"/>
          <w:sz w:val="24"/>
          <w:szCs w:val="24"/>
          <w:highlight w:val="none"/>
          <w:u w:val="single"/>
        </w:rPr>
        <w:t xml:space="preserve">        </w:t>
      </w:r>
      <w:r>
        <w:rPr>
          <w:rFonts w:hint="eastAsia" w:cs="宋体"/>
          <w:color w:val="auto"/>
          <w:sz w:val="24"/>
          <w:szCs w:val="24"/>
          <w:highlight w:val="none"/>
        </w:rPr>
        <w:t>。</w:t>
      </w:r>
    </w:p>
    <w:p w14:paraId="1EF60811">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提交的</w:t>
      </w:r>
      <w:r>
        <w:rPr>
          <w:rFonts w:hint="eastAsia" w:cs="宋体"/>
          <w:color w:val="auto"/>
          <w:sz w:val="24"/>
          <w:szCs w:val="24"/>
          <w:highlight w:val="none"/>
          <w:lang w:eastAsia="zh-CN"/>
        </w:rPr>
        <w:t>完工</w:t>
      </w:r>
      <w:r>
        <w:rPr>
          <w:rFonts w:hint="eastAsia" w:cs="宋体"/>
          <w:color w:val="auto"/>
          <w:sz w:val="24"/>
          <w:szCs w:val="24"/>
          <w:highlight w:val="none"/>
        </w:rPr>
        <w:t>资料形式要求：</w:t>
      </w:r>
      <w:r>
        <w:rPr>
          <w:rFonts w:hint="eastAsia" w:cs="宋体"/>
          <w:color w:val="auto"/>
          <w:sz w:val="24"/>
          <w:szCs w:val="24"/>
          <w:highlight w:val="none"/>
          <w:u w:val="single"/>
        </w:rPr>
        <w:t xml:space="preserve">        </w:t>
      </w:r>
      <w:r>
        <w:rPr>
          <w:rFonts w:hint="eastAsia" w:cs="宋体"/>
          <w:color w:val="auto"/>
          <w:sz w:val="24"/>
          <w:szCs w:val="24"/>
          <w:highlight w:val="none"/>
        </w:rPr>
        <w:t>。</w:t>
      </w:r>
    </w:p>
    <w:p w14:paraId="0C45E400">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（10）</w:t>
      </w:r>
      <w:r>
        <w:rPr>
          <w:rFonts w:hint="eastAsia" w:cs="宋体"/>
          <w:color w:val="auto"/>
          <w:sz w:val="24"/>
          <w:szCs w:val="24"/>
          <w:highlight w:val="none"/>
          <w:lang w:eastAsia="zh-CN"/>
        </w:rPr>
        <w:t>乙方</w:t>
      </w:r>
      <w:r>
        <w:rPr>
          <w:rFonts w:hint="eastAsia" w:cs="宋体"/>
          <w:color w:val="auto"/>
          <w:sz w:val="24"/>
          <w:szCs w:val="24"/>
          <w:highlight w:val="none"/>
        </w:rPr>
        <w:t>应履行的其他义务：</w:t>
      </w:r>
      <w:r>
        <w:rPr>
          <w:rFonts w:hint="eastAsia" w:cs="宋体"/>
          <w:color w:val="auto"/>
          <w:sz w:val="24"/>
          <w:szCs w:val="24"/>
          <w:highlight w:val="none"/>
          <w:u w:val="single"/>
        </w:rPr>
        <w:t xml:space="preserve">        </w:t>
      </w:r>
      <w:r>
        <w:rPr>
          <w:rFonts w:hint="eastAsia" w:cs="宋体"/>
          <w:color w:val="auto"/>
          <w:sz w:val="24"/>
          <w:szCs w:val="24"/>
          <w:highlight w:val="none"/>
        </w:rPr>
        <w:t>。</w:t>
      </w:r>
    </w:p>
    <w:p w14:paraId="1CC62809">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3.2 项目经理</w:t>
      </w:r>
    </w:p>
    <w:p w14:paraId="259F427C">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3.2.1 项目经理：</w:t>
      </w:r>
    </w:p>
    <w:p w14:paraId="57CF20D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姓    名：</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3081F36C">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身份证号：</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485F0CC4">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建造师执业资格等级：</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59614C2C">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建造师注册证书号：</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2ED0C58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建造师执业印章号：</w:t>
      </w:r>
      <w:r>
        <w:rPr>
          <w:rFonts w:hint="eastAsia" w:cs="宋体"/>
          <w:color w:val="auto"/>
          <w:sz w:val="24"/>
          <w:szCs w:val="24"/>
          <w:highlight w:val="none"/>
          <w:u w:val="single"/>
        </w:rPr>
        <w:t xml:space="preserve">                          </w:t>
      </w:r>
      <w:r>
        <w:rPr>
          <w:rFonts w:hint="eastAsia" w:cs="宋体"/>
          <w:color w:val="auto"/>
          <w:sz w:val="24"/>
          <w:szCs w:val="24"/>
          <w:highlight w:val="none"/>
        </w:rPr>
        <w:t>；</w:t>
      </w:r>
    </w:p>
    <w:p w14:paraId="5627E82C">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安全生产考核合格证书号：</w:t>
      </w:r>
      <w:r>
        <w:rPr>
          <w:rFonts w:hint="eastAsia" w:cs="宋体"/>
          <w:color w:val="auto"/>
          <w:sz w:val="24"/>
          <w:szCs w:val="24"/>
          <w:highlight w:val="none"/>
          <w:u w:val="single"/>
        </w:rPr>
        <w:t xml:space="preserve">                          </w:t>
      </w:r>
      <w:r>
        <w:rPr>
          <w:rFonts w:hint="eastAsia" w:cs="宋体"/>
          <w:color w:val="auto"/>
          <w:sz w:val="24"/>
          <w:szCs w:val="24"/>
          <w:highlight w:val="none"/>
        </w:rPr>
        <w:t>；</w:t>
      </w:r>
    </w:p>
    <w:p w14:paraId="2F4DC9D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联系电话：</w:t>
      </w:r>
      <w:r>
        <w:rPr>
          <w:rFonts w:hint="eastAsia" w:cs="宋体"/>
          <w:color w:val="auto"/>
          <w:sz w:val="24"/>
          <w:szCs w:val="24"/>
          <w:highlight w:val="none"/>
          <w:u w:val="single"/>
        </w:rPr>
        <w:t xml:space="preserve">                          </w:t>
      </w:r>
      <w:r>
        <w:rPr>
          <w:rFonts w:hint="eastAsia" w:cs="宋体"/>
          <w:color w:val="auto"/>
          <w:sz w:val="24"/>
          <w:szCs w:val="24"/>
          <w:highlight w:val="none"/>
        </w:rPr>
        <w:t>；</w:t>
      </w:r>
    </w:p>
    <w:p w14:paraId="57D8477D">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电子信箱：</w:t>
      </w:r>
      <w:r>
        <w:rPr>
          <w:rFonts w:hint="eastAsia" w:cs="宋体"/>
          <w:color w:val="auto"/>
          <w:sz w:val="24"/>
          <w:szCs w:val="24"/>
          <w:highlight w:val="none"/>
          <w:u w:val="single"/>
        </w:rPr>
        <w:t xml:space="preserve">                          </w:t>
      </w:r>
      <w:r>
        <w:rPr>
          <w:rFonts w:hint="eastAsia" w:cs="宋体"/>
          <w:color w:val="auto"/>
          <w:sz w:val="24"/>
          <w:szCs w:val="24"/>
          <w:highlight w:val="none"/>
        </w:rPr>
        <w:t>；</w:t>
      </w:r>
    </w:p>
    <w:p w14:paraId="28DA967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通信地址：</w:t>
      </w:r>
      <w:r>
        <w:rPr>
          <w:rFonts w:hint="eastAsia" w:cs="宋体"/>
          <w:color w:val="auto"/>
          <w:sz w:val="24"/>
          <w:szCs w:val="24"/>
          <w:highlight w:val="none"/>
          <w:u w:val="single"/>
        </w:rPr>
        <w:t xml:space="preserve">                          </w:t>
      </w:r>
      <w:r>
        <w:rPr>
          <w:rFonts w:hint="eastAsia" w:cs="宋体"/>
          <w:color w:val="auto"/>
          <w:sz w:val="24"/>
          <w:szCs w:val="24"/>
          <w:highlight w:val="none"/>
        </w:rPr>
        <w:t>；</w:t>
      </w:r>
    </w:p>
    <w:p w14:paraId="47D32FC1">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对项目经理的授权范围如下：</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7358EE70">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关于项目经理每月在施工现场的时间要求：</w:t>
      </w:r>
      <w:r>
        <w:rPr>
          <w:rFonts w:hint="eastAsia" w:cs="宋体"/>
          <w:color w:val="auto"/>
          <w:sz w:val="24"/>
          <w:szCs w:val="24"/>
          <w:highlight w:val="none"/>
          <w:u w:val="single"/>
        </w:rPr>
        <w:t>见《专用合同条款数据表》。</w:t>
      </w:r>
    </w:p>
    <w:p w14:paraId="2D4C18B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未提交劳动合同，以及没有为项目经理缴纳社会保险证明的违约责任：</w:t>
      </w:r>
      <w:r>
        <w:rPr>
          <w:rFonts w:hint="eastAsia" w:cs="宋体"/>
          <w:color w:val="auto"/>
          <w:sz w:val="24"/>
          <w:szCs w:val="24"/>
          <w:highlight w:val="none"/>
          <w:u w:val="single"/>
        </w:rPr>
        <w:t xml:space="preserve"> </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 xml:space="preserve">应依照有关法律以及人力资源和社会保障部门、建筑行政主管部门的相关规定，为其履行合同所雇佣的全部人员投保工伤保险，缴纳工伤保险费，并要求其分包人也投保此项保险 </w:t>
      </w:r>
      <w:r>
        <w:rPr>
          <w:rFonts w:hint="eastAsia" w:cs="宋体"/>
          <w:color w:val="auto"/>
          <w:sz w:val="24"/>
          <w:szCs w:val="24"/>
          <w:highlight w:val="none"/>
        </w:rPr>
        <w:t>。</w:t>
      </w:r>
    </w:p>
    <w:p w14:paraId="05E4151D">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项目经理未经批准，擅自离开施工现场的违约责任：</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未能按照承诺到岗尽职的，</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将视情况严重程度对其作出相应处理，给予警告并发出整改通知。如仍未及时整改，</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有权责令其停工整改直至解除合同。</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还将停止支付工程款项，扣留任何未付的工程进度款项补偿</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的有关损失或工期延误的损失，并就此向</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索赔。</w:t>
      </w:r>
    </w:p>
    <w:p w14:paraId="515413D2">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3.2.3 </w:t>
      </w:r>
      <w:r>
        <w:rPr>
          <w:rFonts w:hint="eastAsia" w:cs="宋体"/>
          <w:color w:val="auto"/>
          <w:sz w:val="24"/>
          <w:szCs w:val="24"/>
          <w:highlight w:val="none"/>
          <w:lang w:eastAsia="zh-CN"/>
        </w:rPr>
        <w:t>乙方</w:t>
      </w:r>
      <w:r>
        <w:rPr>
          <w:rFonts w:hint="eastAsia" w:cs="宋体"/>
          <w:color w:val="auto"/>
          <w:sz w:val="24"/>
          <w:szCs w:val="24"/>
          <w:highlight w:val="none"/>
        </w:rPr>
        <w:t>擅自更换项目经理的违约责任：</w:t>
      </w:r>
    </w:p>
    <w:p w14:paraId="0F8AF3C1">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u w:val="single"/>
          <w:lang w:eastAsia="zh-CN"/>
        </w:rPr>
        <w:t>乙方</w:t>
      </w:r>
      <w:r>
        <w:rPr>
          <w:rFonts w:hint="eastAsia" w:cs="宋体"/>
          <w:color w:val="auto"/>
          <w:sz w:val="24"/>
          <w:szCs w:val="24"/>
          <w:highlight w:val="none"/>
          <w:u w:val="single"/>
        </w:rPr>
        <w:t>不得擅自更换投标时所报项目经理，否则</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有权解除合同，由此造成的损失由</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自行承担，</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还应赔偿由此造成</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的全部损失。确需更换的须在签订合同后，报经</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同意后按相关规定办理，更换后的人员不得低于</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投标时所报人员资质和技术水平。</w:t>
      </w:r>
    </w:p>
    <w:p w14:paraId="53D4727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3.2.4 </w:t>
      </w:r>
      <w:r>
        <w:rPr>
          <w:rFonts w:hint="eastAsia" w:cs="宋体"/>
          <w:color w:val="auto"/>
          <w:sz w:val="24"/>
          <w:szCs w:val="24"/>
          <w:highlight w:val="none"/>
          <w:lang w:eastAsia="zh-CN"/>
        </w:rPr>
        <w:t>乙方</w:t>
      </w:r>
      <w:r>
        <w:rPr>
          <w:rFonts w:hint="eastAsia" w:cs="宋体"/>
          <w:color w:val="auto"/>
          <w:sz w:val="24"/>
          <w:szCs w:val="24"/>
          <w:highlight w:val="none"/>
        </w:rPr>
        <w:t>无正当理由拒绝更换项目经理的违约责任：</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要求撤换不能胜任本职工作、行为不端或玩忽职守的</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项目经理和其他人员的，应通知</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应于收到</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的书面通知之日起 7 天内将不少于两位继任者及其资质和业绩情况提供给</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，供</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选择。</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选择的新项目经理或其他人员应于 7 天内进驻工程现场；否则，每迟延一天，</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有权自</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应得的工程款中扣除违约金人民币合同总价的万分之五</w:t>
      </w:r>
      <w:r>
        <w:rPr>
          <w:rFonts w:hint="eastAsia" w:cs="宋体"/>
          <w:color w:val="auto"/>
          <w:sz w:val="24"/>
          <w:szCs w:val="24"/>
          <w:highlight w:val="none"/>
        </w:rPr>
        <w:t>。</w:t>
      </w:r>
    </w:p>
    <w:p w14:paraId="073461AA">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 xml:space="preserve">3.3 </w:t>
      </w:r>
      <w:r>
        <w:rPr>
          <w:rFonts w:hint="eastAsia" w:cs="宋体"/>
          <w:bCs/>
          <w:color w:val="auto"/>
          <w:sz w:val="24"/>
          <w:szCs w:val="24"/>
          <w:highlight w:val="none"/>
          <w:lang w:eastAsia="zh-CN"/>
        </w:rPr>
        <w:t>乙方</w:t>
      </w:r>
      <w:r>
        <w:rPr>
          <w:rFonts w:hint="eastAsia" w:cs="宋体"/>
          <w:bCs/>
          <w:color w:val="auto"/>
          <w:sz w:val="24"/>
          <w:szCs w:val="24"/>
          <w:highlight w:val="none"/>
        </w:rPr>
        <w:t>人员</w:t>
      </w:r>
    </w:p>
    <w:p w14:paraId="51BB780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3.3.1 </w:t>
      </w:r>
      <w:r>
        <w:rPr>
          <w:rFonts w:hint="eastAsia" w:cs="宋体"/>
          <w:color w:val="auto"/>
          <w:sz w:val="24"/>
          <w:szCs w:val="24"/>
          <w:highlight w:val="none"/>
          <w:lang w:eastAsia="zh-CN"/>
        </w:rPr>
        <w:t>乙方</w:t>
      </w:r>
      <w:r>
        <w:rPr>
          <w:rFonts w:hint="eastAsia" w:cs="宋体"/>
          <w:color w:val="auto"/>
          <w:sz w:val="24"/>
          <w:szCs w:val="24"/>
          <w:highlight w:val="none"/>
        </w:rPr>
        <w:t>提交项目管理机构及施工现场管理人员安排报告的期限：</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72F69C08">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3.3.3 </w:t>
      </w:r>
      <w:r>
        <w:rPr>
          <w:rFonts w:hint="eastAsia" w:cs="宋体"/>
          <w:color w:val="auto"/>
          <w:sz w:val="24"/>
          <w:szCs w:val="24"/>
          <w:highlight w:val="none"/>
          <w:lang w:eastAsia="zh-CN"/>
        </w:rPr>
        <w:t>乙方</w:t>
      </w:r>
      <w:r>
        <w:rPr>
          <w:rFonts w:hint="eastAsia" w:cs="宋体"/>
          <w:color w:val="auto"/>
          <w:sz w:val="24"/>
          <w:szCs w:val="24"/>
          <w:highlight w:val="none"/>
        </w:rPr>
        <w:t>无正当理由拒绝撤换主要施工管理人员的违约责任：</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要求撤换不能胜任本职工作、行为不端或玩忽职守的</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主要施工管理人员的，应书面通知</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应于收到</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的书面通知之日起 7 天内将不少于两位继任者及其资质和业绩情况提供给</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，供</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选择。</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选择的新人员应于 7 天内进驻工程现场；否则，每迟延一天，</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有权自</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应得的工程款中扣除违约金人民币合同总价的万分之一</w:t>
      </w:r>
      <w:r>
        <w:rPr>
          <w:rFonts w:hint="eastAsia" w:cs="宋体"/>
          <w:color w:val="auto"/>
          <w:sz w:val="24"/>
          <w:szCs w:val="24"/>
          <w:highlight w:val="none"/>
        </w:rPr>
        <w:t>。</w:t>
      </w:r>
    </w:p>
    <w:p w14:paraId="3EE27766">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 xml:space="preserve">3.3.4 </w:t>
      </w:r>
      <w:r>
        <w:rPr>
          <w:rFonts w:hint="eastAsia" w:cs="宋体"/>
          <w:color w:val="auto"/>
          <w:sz w:val="24"/>
          <w:szCs w:val="24"/>
          <w:highlight w:val="none"/>
          <w:lang w:eastAsia="zh-CN"/>
        </w:rPr>
        <w:t>乙方</w:t>
      </w:r>
      <w:r>
        <w:rPr>
          <w:rFonts w:hint="eastAsia" w:cs="宋体"/>
          <w:color w:val="auto"/>
          <w:sz w:val="24"/>
          <w:szCs w:val="24"/>
          <w:highlight w:val="none"/>
        </w:rPr>
        <w:t>主要施工管理人员离开施工现场的批准要求：</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5C0F48BD">
      <w:pPr>
        <w:adjustRightInd w:val="0"/>
        <w:snapToGrid w:val="0"/>
        <w:spacing w:line="360" w:lineRule="auto"/>
        <w:ind w:firstLine="484" w:firstLineChars="202"/>
        <w:rPr>
          <w:rFonts w:cs="宋体"/>
          <w:color w:val="auto"/>
          <w:sz w:val="24"/>
          <w:szCs w:val="24"/>
          <w:highlight w:val="none"/>
        </w:rPr>
      </w:pPr>
      <w:r>
        <w:rPr>
          <w:rFonts w:hint="eastAsia" w:cs="宋体"/>
          <w:color w:val="auto"/>
          <w:sz w:val="24"/>
          <w:szCs w:val="24"/>
          <w:highlight w:val="none"/>
        </w:rPr>
        <w:t xml:space="preserve">3.3.5 </w:t>
      </w:r>
      <w:r>
        <w:rPr>
          <w:rFonts w:hint="eastAsia" w:cs="宋体"/>
          <w:color w:val="auto"/>
          <w:sz w:val="24"/>
          <w:szCs w:val="24"/>
          <w:highlight w:val="none"/>
          <w:lang w:eastAsia="zh-CN"/>
        </w:rPr>
        <w:t>乙方</w:t>
      </w:r>
      <w:r>
        <w:rPr>
          <w:rFonts w:hint="eastAsia" w:cs="宋体"/>
          <w:color w:val="auto"/>
          <w:sz w:val="24"/>
          <w:szCs w:val="24"/>
          <w:highlight w:val="none"/>
        </w:rPr>
        <w:t>擅自更换主要施工管理人员的违约责任：</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不得擅自更换主要管理人员，否则</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有权解除合同，由此造成的损失由</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自行承担，</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还应赔偿由此造成</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的全部损失。确需更换的须在签订合同后，报经</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同意后按相关规定办理，更换后的人员不得低于</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投标时所报人员资质和技术水平。</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如认为有必要，可要求对上述人员中的部分人员作出更好的调整。</w:t>
      </w:r>
    </w:p>
    <w:p w14:paraId="44997B9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主要施工管理人员擅自离开施工现场的违约责任：</w:t>
      </w:r>
      <w:r>
        <w:rPr>
          <w:rFonts w:hint="eastAsia" w:cs="宋体"/>
          <w:color w:val="auto"/>
          <w:sz w:val="24"/>
          <w:szCs w:val="24"/>
          <w:highlight w:val="none"/>
          <w:u w:val="single"/>
        </w:rPr>
        <w:t>未征得</w:t>
      </w:r>
      <w:r>
        <w:rPr>
          <w:rFonts w:hint="eastAsia" w:cs="宋体"/>
          <w:color w:val="auto"/>
          <w:sz w:val="24"/>
          <w:szCs w:val="24"/>
          <w:highlight w:val="none"/>
          <w:u w:val="single"/>
          <w:lang w:val="en-US" w:eastAsia="zh-CN"/>
        </w:rPr>
        <w:t>发包方</w:t>
      </w:r>
      <w:r>
        <w:rPr>
          <w:rFonts w:hint="eastAsia" w:cs="宋体"/>
          <w:color w:val="auto"/>
          <w:sz w:val="24"/>
          <w:szCs w:val="24"/>
          <w:highlight w:val="none"/>
          <w:u w:val="single"/>
        </w:rPr>
        <w:t>书面同意擅自离开施工现场，</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有权自</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应获得的工程款中扣除违约金，违约金标准为每次人民币</w:t>
      </w:r>
      <w:r>
        <w:rPr>
          <w:rFonts w:hint="eastAsia" w:cs="宋体"/>
          <w:color w:val="auto"/>
          <w:sz w:val="24"/>
          <w:szCs w:val="24"/>
          <w:highlight w:val="none"/>
          <w:u w:val="single"/>
          <w:lang w:eastAsia="zh-CN"/>
        </w:rPr>
        <w:t>伍</w:t>
      </w:r>
      <w:r>
        <w:rPr>
          <w:rFonts w:hint="eastAsia" w:cs="宋体"/>
          <w:color w:val="auto"/>
          <w:sz w:val="24"/>
          <w:szCs w:val="24"/>
          <w:highlight w:val="none"/>
          <w:u w:val="single"/>
        </w:rPr>
        <w:t>千元</w:t>
      </w:r>
      <w:r>
        <w:rPr>
          <w:rFonts w:hint="eastAsia" w:cs="宋体"/>
          <w:color w:val="auto"/>
          <w:sz w:val="24"/>
          <w:szCs w:val="24"/>
          <w:highlight w:val="none"/>
        </w:rPr>
        <w:t>。</w:t>
      </w:r>
    </w:p>
    <w:p w14:paraId="67D86882">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3</w:t>
      </w:r>
      <w:bookmarkStart w:id="112" w:name="_Toc296891199"/>
      <w:bookmarkStart w:id="113" w:name="_Toc296346660"/>
      <w:bookmarkStart w:id="114" w:name="_Toc292559364"/>
      <w:bookmarkStart w:id="115" w:name="_Toc303539102"/>
      <w:bookmarkStart w:id="116" w:name="_Toc292559869"/>
      <w:bookmarkStart w:id="117" w:name="_Toc312677988"/>
      <w:bookmarkStart w:id="118" w:name="_Toc297048345"/>
      <w:bookmarkStart w:id="119" w:name="_Toc296503159"/>
      <w:bookmarkStart w:id="120" w:name="_Toc296890987"/>
      <w:bookmarkStart w:id="121" w:name="_Toc296944498"/>
      <w:bookmarkStart w:id="122" w:name="_Toc297123492"/>
      <w:bookmarkStart w:id="123" w:name="_Toc304295523"/>
      <w:bookmarkStart w:id="124" w:name="_Toc300934945"/>
      <w:bookmarkStart w:id="125" w:name="_Toc297216151"/>
      <w:bookmarkStart w:id="126" w:name="_Toc297120459"/>
      <w:bookmarkStart w:id="127" w:name="_Toc296347158"/>
      <w:r>
        <w:rPr>
          <w:rFonts w:hint="eastAsia" w:cs="宋体"/>
          <w:bCs/>
          <w:color w:val="auto"/>
          <w:sz w:val="24"/>
          <w:szCs w:val="24"/>
          <w:highlight w:val="none"/>
        </w:rPr>
        <w:t>.5 分包</w:t>
      </w:r>
    </w:p>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14:paraId="5362A488">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3</w:t>
      </w:r>
      <w:bookmarkStart w:id="128" w:name="_Toc296347159"/>
      <w:bookmarkStart w:id="129" w:name="_Toc297120460"/>
      <w:bookmarkStart w:id="130" w:name="_Toc297123493"/>
      <w:bookmarkStart w:id="131" w:name="_Toc296891200"/>
      <w:bookmarkStart w:id="132" w:name="_Toc296944499"/>
      <w:bookmarkStart w:id="133" w:name="_Toc296346661"/>
      <w:bookmarkStart w:id="134" w:name="_Toc296890988"/>
      <w:bookmarkStart w:id="135" w:name="_Toc292559365"/>
      <w:bookmarkStart w:id="136" w:name="_Toc304295524"/>
      <w:bookmarkStart w:id="137" w:name="_Toc297048346"/>
      <w:bookmarkStart w:id="138" w:name="_Toc303539103"/>
      <w:bookmarkStart w:id="139" w:name="_Toc292559870"/>
      <w:bookmarkStart w:id="140" w:name="_Toc297216152"/>
      <w:bookmarkStart w:id="141" w:name="_Toc296503160"/>
      <w:bookmarkStart w:id="142" w:name="_Toc300934946"/>
      <w:bookmarkStart w:id="143" w:name="_Toc312677989"/>
      <w:bookmarkStart w:id="144" w:name="_Toc318581158"/>
      <w:r>
        <w:rPr>
          <w:rFonts w:hint="eastAsia" w:cs="宋体"/>
          <w:color w:val="auto"/>
          <w:sz w:val="24"/>
          <w:szCs w:val="24"/>
          <w:highlight w:val="none"/>
        </w:rPr>
        <w:t>.5.1 分包的一般约定</w:t>
      </w:r>
    </w:p>
    <w:p w14:paraId="1F51B8D9">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禁止分包的工程包括：</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06A7BFEB">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主体结构、关键性工作的范围：</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Start w:id="145" w:name="_Toc304295525"/>
      <w:bookmarkStart w:id="146" w:name="_Toc297120461"/>
      <w:bookmarkStart w:id="147" w:name="_Toc303539104"/>
      <w:bookmarkStart w:id="148" w:name="_Toc296347160"/>
      <w:bookmarkStart w:id="149" w:name="_Toc300934947"/>
      <w:bookmarkStart w:id="150" w:name="_Toc296890989"/>
      <w:bookmarkStart w:id="151" w:name="_Toc296944500"/>
      <w:bookmarkStart w:id="152" w:name="_Toc296891201"/>
      <w:bookmarkStart w:id="153" w:name="_Toc296346662"/>
      <w:bookmarkStart w:id="154" w:name="_Toc296503161"/>
      <w:bookmarkStart w:id="155" w:name="_Toc297216153"/>
      <w:bookmarkStart w:id="156" w:name="_Toc297048347"/>
      <w:bookmarkStart w:id="157" w:name="_Toc297123494"/>
      <w:r>
        <w:rPr>
          <w:rFonts w:hint="eastAsia" w:cs="宋体"/>
          <w:color w:val="auto"/>
          <w:sz w:val="24"/>
          <w:szCs w:val="24"/>
          <w:highlight w:val="none"/>
          <w:u w:val="single"/>
        </w:rPr>
        <w:t xml:space="preserve">执行通用条款 </w:t>
      </w:r>
      <w:r>
        <w:rPr>
          <w:rFonts w:hint="eastAsia" w:cs="宋体"/>
          <w:color w:val="auto"/>
          <w:sz w:val="24"/>
          <w:szCs w:val="24"/>
          <w:highlight w:val="none"/>
        </w:rPr>
        <w:t>。</w:t>
      </w:r>
    </w:p>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14:paraId="3DA8281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3</w:t>
      </w:r>
      <w:bookmarkStart w:id="158" w:name="_Toc312677990"/>
      <w:bookmarkStart w:id="159" w:name="_Toc318581159"/>
      <w:r>
        <w:rPr>
          <w:rFonts w:hint="eastAsia" w:cs="宋体"/>
          <w:color w:val="auto"/>
          <w:sz w:val="24"/>
          <w:szCs w:val="24"/>
          <w:highlight w:val="none"/>
        </w:rPr>
        <w:t>.5.2 分包的确定</w:t>
      </w:r>
    </w:p>
    <w:p w14:paraId="1E3D5088">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允许分包的专业工程包括：</w:t>
      </w:r>
      <w:r>
        <w:rPr>
          <w:rFonts w:hint="eastAsia" w:cs="宋体"/>
          <w:color w:val="auto"/>
          <w:sz w:val="24"/>
          <w:szCs w:val="24"/>
          <w:highlight w:val="none"/>
          <w:u w:val="single"/>
        </w:rPr>
        <w:t xml:space="preserve"> / </w:t>
      </w:r>
      <w:r>
        <w:rPr>
          <w:rFonts w:hint="eastAsia" w:cs="宋体"/>
          <w:color w:val="auto"/>
          <w:sz w:val="24"/>
          <w:szCs w:val="24"/>
          <w:highlight w:val="none"/>
        </w:rPr>
        <w:t>。</w:t>
      </w:r>
    </w:p>
    <w:p w14:paraId="19EB9C7F">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其他关于分包的约定：</w:t>
      </w:r>
      <w:r>
        <w:rPr>
          <w:rFonts w:hint="eastAsia" w:cs="宋体"/>
          <w:color w:val="auto"/>
          <w:sz w:val="24"/>
          <w:szCs w:val="24"/>
          <w:highlight w:val="none"/>
          <w:u w:val="single"/>
        </w:rPr>
        <w:t xml:space="preserve"> / </w:t>
      </w:r>
      <w:r>
        <w:rPr>
          <w:rFonts w:hint="eastAsia" w:cs="宋体"/>
          <w:color w:val="auto"/>
          <w:sz w:val="24"/>
          <w:szCs w:val="24"/>
          <w:highlight w:val="none"/>
        </w:rPr>
        <w:t>。</w:t>
      </w:r>
    </w:p>
    <w:p w14:paraId="0055D982">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3.5.4 分包合同价款</w:t>
      </w:r>
    </w:p>
    <w:p w14:paraId="0324CCA4">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关于分包合同价款支付的约定：</w:t>
      </w:r>
      <w:r>
        <w:rPr>
          <w:rFonts w:hint="eastAsia" w:cs="宋体"/>
          <w:color w:val="auto"/>
          <w:sz w:val="24"/>
          <w:szCs w:val="24"/>
          <w:highlight w:val="none"/>
          <w:u w:val="single"/>
        </w:rPr>
        <w:t xml:space="preserve">          </w:t>
      </w:r>
      <w:r>
        <w:rPr>
          <w:rFonts w:hint="eastAsia" w:cs="宋体"/>
          <w:color w:val="auto"/>
          <w:sz w:val="24"/>
          <w:szCs w:val="24"/>
          <w:highlight w:val="none"/>
        </w:rPr>
        <w:t>。</w:t>
      </w:r>
    </w:p>
    <w:bookmarkEnd w:id="158"/>
    <w:bookmarkEnd w:id="159"/>
    <w:p w14:paraId="2AB463B9">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3.6 工程照管与成品、半成品保护</w:t>
      </w:r>
    </w:p>
    <w:p w14:paraId="07B527CC">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乙方</w:t>
      </w:r>
      <w:r>
        <w:rPr>
          <w:rFonts w:hint="eastAsia" w:cs="宋体"/>
          <w:color w:val="auto"/>
          <w:sz w:val="24"/>
          <w:szCs w:val="24"/>
          <w:highlight w:val="none"/>
        </w:rPr>
        <w:t>负责照管工程及工程相关的材料、工程设备的起始时间：</w:t>
      </w:r>
      <w:r>
        <w:rPr>
          <w:rFonts w:hint="eastAsia" w:cs="宋体"/>
          <w:color w:val="auto"/>
          <w:sz w:val="24"/>
          <w:szCs w:val="24"/>
          <w:highlight w:val="none"/>
          <w:u w:val="single"/>
        </w:rPr>
        <w:t>自</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向</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移交施工现场之日起，</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应负责照管工程及工程相关的材料、工程设备，直到颁发工程接收证书之日止。</w:t>
      </w:r>
    </w:p>
    <w:p w14:paraId="45B608D8">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3.7 履约保证金</w:t>
      </w:r>
    </w:p>
    <w:p w14:paraId="7F7BEB9D">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是否提供履约保证金：</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1CC292BA">
      <w:pPr>
        <w:adjustRightInd w:val="0"/>
        <w:snapToGrid w:val="0"/>
        <w:spacing w:line="360" w:lineRule="auto"/>
        <w:ind w:left="-70" w:leftChars="-35" w:firstLine="568" w:firstLineChars="237"/>
        <w:rPr>
          <w:rFonts w:cs="宋体"/>
          <w:b/>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提供履约保证金的形式：</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76CDCFFB">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履约保证金的金额：</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34B1A991">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履约保证金提交期限的要求：</w:t>
      </w:r>
      <w:r>
        <w:rPr>
          <w:rFonts w:hint="eastAsia" w:cs="宋体"/>
          <w:color w:val="auto"/>
          <w:sz w:val="24"/>
          <w:szCs w:val="24"/>
          <w:highlight w:val="none"/>
          <w:u w:val="single"/>
        </w:rPr>
        <w:t>见《专用合同条款数据表》。</w:t>
      </w:r>
    </w:p>
    <w:p w14:paraId="0CD8C3F0">
      <w:pPr>
        <w:adjustRightInd w:val="0"/>
        <w:snapToGrid w:val="0"/>
        <w:spacing w:line="360" w:lineRule="auto"/>
        <w:ind w:firstLine="480" w:firstLineChars="200"/>
        <w:rPr>
          <w:rFonts w:cs="宋体"/>
          <w:strike/>
          <w:color w:val="auto"/>
          <w:sz w:val="24"/>
          <w:szCs w:val="24"/>
          <w:highlight w:val="none"/>
        </w:rPr>
      </w:pPr>
      <w:r>
        <w:rPr>
          <w:rFonts w:hint="eastAsia" w:cs="宋体"/>
          <w:bCs/>
          <w:snapToGrid w:val="0"/>
          <w:color w:val="auto"/>
          <w:sz w:val="24"/>
          <w:szCs w:val="24"/>
          <w:highlight w:val="none"/>
        </w:rPr>
        <w:t>履约保证金退还时限：</w:t>
      </w:r>
      <w:r>
        <w:rPr>
          <w:rFonts w:hint="eastAsia" w:cs="宋体"/>
          <w:color w:val="auto"/>
          <w:sz w:val="24"/>
          <w:szCs w:val="24"/>
          <w:highlight w:val="none"/>
          <w:u w:val="single"/>
        </w:rPr>
        <w:t>见《专用合同条款数据表》。</w:t>
      </w:r>
    </w:p>
    <w:p w14:paraId="6D736752">
      <w:pPr>
        <w:snapToGrid w:val="0"/>
        <w:spacing w:before="312" w:beforeLines="100" w:after="312" w:afterLines="100" w:line="360" w:lineRule="auto"/>
        <w:outlineLvl w:val="2"/>
        <w:rPr>
          <w:rFonts w:hint="default" w:cs="宋体"/>
          <w:color w:val="auto"/>
          <w:sz w:val="24"/>
          <w:szCs w:val="24"/>
          <w:highlight w:val="none"/>
          <w:lang w:val="en-US" w:eastAsia="zh-CN"/>
        </w:rPr>
      </w:pPr>
      <w:bookmarkStart w:id="160" w:name="_Toc351203636"/>
      <w:r>
        <w:rPr>
          <w:rFonts w:hint="eastAsia" w:cs="宋体"/>
          <w:color w:val="auto"/>
          <w:sz w:val="24"/>
          <w:szCs w:val="24"/>
          <w:highlight w:val="none"/>
        </w:rPr>
        <w:t>4</w:t>
      </w:r>
      <w:bookmarkStart w:id="161" w:name="_Toc296503162"/>
      <w:bookmarkStart w:id="162" w:name="_Toc296890990"/>
      <w:bookmarkStart w:id="163" w:name="_Toc296944501"/>
      <w:bookmarkStart w:id="164" w:name="_Toc292559366"/>
      <w:bookmarkStart w:id="165" w:name="_Toc296346663"/>
      <w:bookmarkStart w:id="166" w:name="_Toc292559871"/>
      <w:bookmarkStart w:id="167" w:name="_Toc296347161"/>
      <w:bookmarkStart w:id="168" w:name="_Toc297048348"/>
      <w:bookmarkStart w:id="169" w:name="_Toc297120462"/>
      <w:bookmarkStart w:id="170" w:name="_Toc267251413"/>
      <w:bookmarkStart w:id="171" w:name="_Toc296891202"/>
      <w:r>
        <w:rPr>
          <w:rFonts w:hint="eastAsia" w:cs="宋体"/>
          <w:color w:val="auto"/>
          <w:sz w:val="24"/>
          <w:szCs w:val="24"/>
          <w:highlight w:val="none"/>
        </w:rPr>
        <w:t>. 监</w:t>
      </w:r>
      <w:bookmarkEnd w:id="161"/>
      <w:bookmarkEnd w:id="162"/>
      <w:bookmarkEnd w:id="163"/>
      <w:bookmarkEnd w:id="164"/>
      <w:bookmarkEnd w:id="165"/>
      <w:bookmarkEnd w:id="166"/>
      <w:bookmarkEnd w:id="167"/>
      <w:bookmarkEnd w:id="168"/>
      <w:bookmarkEnd w:id="169"/>
      <w:bookmarkEnd w:id="170"/>
      <w:bookmarkEnd w:id="171"/>
      <w:r>
        <w:rPr>
          <w:rFonts w:hint="eastAsia" w:cs="宋体"/>
          <w:color w:val="auto"/>
          <w:sz w:val="24"/>
          <w:szCs w:val="24"/>
          <w:highlight w:val="none"/>
        </w:rPr>
        <w:t>理人</w:t>
      </w:r>
      <w:bookmarkEnd w:id="160"/>
      <w:r>
        <w:rPr>
          <w:rFonts w:hint="eastAsia" w:cs="宋体"/>
          <w:color w:val="auto"/>
          <w:sz w:val="24"/>
          <w:szCs w:val="24"/>
          <w:highlight w:val="none"/>
          <w:lang w:eastAsia="zh-CN"/>
        </w:rPr>
        <w:t>：</w:t>
      </w:r>
      <w:r>
        <w:rPr>
          <w:rFonts w:hint="eastAsia" w:cs="宋体"/>
          <w:color w:val="auto"/>
          <w:sz w:val="24"/>
          <w:szCs w:val="24"/>
          <w:highlight w:val="none"/>
          <w:lang w:val="en-US" w:eastAsia="zh-CN"/>
        </w:rPr>
        <w:t>（如有）</w:t>
      </w:r>
    </w:p>
    <w:p w14:paraId="14F1388B">
      <w:pPr>
        <w:snapToGrid w:val="0"/>
        <w:spacing w:before="312" w:beforeLines="100" w:after="312" w:afterLines="100" w:line="360" w:lineRule="auto"/>
        <w:outlineLvl w:val="2"/>
        <w:rPr>
          <w:rFonts w:cs="宋体"/>
          <w:color w:val="auto"/>
          <w:sz w:val="24"/>
          <w:szCs w:val="24"/>
          <w:highlight w:val="none"/>
        </w:rPr>
      </w:pPr>
      <w:bookmarkStart w:id="172" w:name="_Toc267251418"/>
      <w:bookmarkStart w:id="173" w:name="_Toc351203637"/>
      <w:r>
        <w:rPr>
          <w:rFonts w:hint="eastAsia" w:cs="宋体"/>
          <w:color w:val="auto"/>
          <w:sz w:val="24"/>
          <w:szCs w:val="24"/>
          <w:highlight w:val="none"/>
        </w:rPr>
        <w:t>5</w:t>
      </w:r>
      <w:bookmarkEnd w:id="172"/>
      <w:bookmarkStart w:id="174" w:name="_Toc296346664"/>
      <w:bookmarkStart w:id="175" w:name="_Toc292559872"/>
      <w:bookmarkStart w:id="176" w:name="_Toc297120463"/>
      <w:bookmarkStart w:id="177" w:name="_Toc296944502"/>
      <w:bookmarkStart w:id="178" w:name="_Toc297048349"/>
      <w:bookmarkStart w:id="179" w:name="_Toc296503163"/>
      <w:bookmarkStart w:id="180" w:name="_Toc292559367"/>
      <w:bookmarkStart w:id="181" w:name="_Toc296891203"/>
      <w:bookmarkStart w:id="182" w:name="_Toc296890991"/>
      <w:bookmarkStart w:id="183" w:name="_Toc296347162"/>
      <w:r>
        <w:rPr>
          <w:rFonts w:hint="eastAsia" w:cs="宋体"/>
          <w:color w:val="auto"/>
          <w:sz w:val="24"/>
          <w:szCs w:val="24"/>
          <w:highlight w:val="none"/>
        </w:rPr>
        <w:t>. 工程质量</w:t>
      </w:r>
      <w:bookmarkEnd w:id="173"/>
    </w:p>
    <w:p w14:paraId="1DB0CD10">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5.1 质量要求</w:t>
      </w:r>
    </w:p>
    <w:p w14:paraId="17A588F4">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5</w:t>
      </w:r>
      <w:bookmarkStart w:id="184" w:name="_Toc318581164"/>
      <w:bookmarkStart w:id="185" w:name="_Toc297216155"/>
      <w:bookmarkStart w:id="186" w:name="_Toc303539106"/>
      <w:bookmarkStart w:id="187" w:name="_Toc304295527"/>
      <w:bookmarkStart w:id="188" w:name="_Toc312677997"/>
      <w:bookmarkStart w:id="189" w:name="_Toc300934949"/>
      <w:bookmarkStart w:id="190" w:name="_Toc297123496"/>
      <w:r>
        <w:rPr>
          <w:rFonts w:hint="eastAsia" w:cs="宋体"/>
          <w:color w:val="auto"/>
          <w:sz w:val="24"/>
          <w:szCs w:val="24"/>
          <w:highlight w:val="none"/>
        </w:rPr>
        <w:t>.1.1 特殊质量标准和要求：</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05396F7A">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关于工程奖项的约定：</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4C4218A8">
      <w:pPr>
        <w:snapToGrid w:val="0"/>
        <w:spacing w:line="360" w:lineRule="auto"/>
        <w:ind w:firstLine="480" w:firstLineChars="200"/>
        <w:jc w:val="left"/>
        <w:rPr>
          <w:rFonts w:cs="宋体"/>
          <w:color w:val="auto"/>
          <w:sz w:val="24"/>
          <w:szCs w:val="24"/>
          <w:highlight w:val="none"/>
        </w:rPr>
      </w:pPr>
      <w:bookmarkStart w:id="191" w:name="_Toc351203638"/>
      <w:r>
        <w:rPr>
          <w:rFonts w:hint="eastAsia" w:cs="宋体"/>
          <w:color w:val="auto"/>
          <w:sz w:val="24"/>
          <w:szCs w:val="24"/>
          <w:highlight w:val="none"/>
        </w:rPr>
        <w:t>关于建造要求：</w:t>
      </w:r>
    </w:p>
    <w:p w14:paraId="5EB3E85B">
      <w:pPr>
        <w:pStyle w:val="13"/>
        <w:snapToGrid w:val="0"/>
        <w:spacing w:line="360" w:lineRule="auto"/>
        <w:ind w:firstLine="480"/>
        <w:rPr>
          <w:rFonts w:hAnsi="宋体" w:cs="宋体"/>
          <w:color w:val="auto"/>
          <w:sz w:val="24"/>
          <w:szCs w:val="24"/>
          <w:highlight w:val="none"/>
        </w:rPr>
      </w:pPr>
      <w:r>
        <w:rPr>
          <w:rFonts w:hint="eastAsia" w:hAnsi="宋体" w:cs="宋体"/>
          <w:color w:val="auto"/>
          <w:sz w:val="24"/>
          <w:szCs w:val="24"/>
          <w:highlight w:val="none"/>
        </w:rPr>
        <w:t>（1）绿色建筑等级要求：</w:t>
      </w:r>
      <w:r>
        <w:rPr>
          <w:rFonts w:hint="eastAsia" w:hAnsi="宋体" w:cs="宋体"/>
          <w:color w:val="auto"/>
          <w:sz w:val="24"/>
          <w:szCs w:val="24"/>
          <w:highlight w:val="none"/>
          <w:u w:val="single"/>
        </w:rPr>
        <w:t>见《专用合同条款数据表》</w:t>
      </w:r>
      <w:r>
        <w:rPr>
          <w:rFonts w:hint="eastAsia" w:hAnsi="宋体" w:cs="宋体"/>
          <w:color w:val="auto"/>
          <w:sz w:val="24"/>
          <w:szCs w:val="24"/>
          <w:highlight w:val="none"/>
        </w:rPr>
        <w:t>；</w:t>
      </w:r>
    </w:p>
    <w:p w14:paraId="3352766F">
      <w:pPr>
        <w:pStyle w:val="13"/>
        <w:snapToGrid w:val="0"/>
        <w:spacing w:line="360" w:lineRule="auto"/>
        <w:ind w:firstLine="480"/>
        <w:rPr>
          <w:rFonts w:hAnsi="宋体" w:cs="宋体"/>
          <w:color w:val="auto"/>
          <w:sz w:val="24"/>
          <w:szCs w:val="24"/>
          <w:highlight w:val="none"/>
        </w:rPr>
      </w:pPr>
      <w:r>
        <w:rPr>
          <w:rFonts w:hint="eastAsia" w:hAnsi="宋体" w:cs="宋体"/>
          <w:color w:val="auto"/>
          <w:sz w:val="24"/>
          <w:szCs w:val="24"/>
          <w:highlight w:val="none"/>
        </w:rPr>
        <w:t>（2）智慧工地管理要求：</w:t>
      </w:r>
      <w:r>
        <w:rPr>
          <w:rFonts w:hint="eastAsia" w:hAnsi="宋体" w:cs="宋体"/>
          <w:color w:val="auto"/>
          <w:sz w:val="24"/>
          <w:szCs w:val="24"/>
          <w:highlight w:val="none"/>
          <w:u w:val="single"/>
        </w:rPr>
        <w:t>见《专用合同条款数据表》</w:t>
      </w:r>
      <w:r>
        <w:rPr>
          <w:rFonts w:hint="eastAsia" w:hAnsi="宋体" w:cs="宋体"/>
          <w:color w:val="auto"/>
          <w:sz w:val="24"/>
          <w:szCs w:val="24"/>
          <w:highlight w:val="none"/>
        </w:rPr>
        <w:t>；</w:t>
      </w:r>
    </w:p>
    <w:p w14:paraId="6B5579A7">
      <w:pPr>
        <w:pStyle w:val="13"/>
        <w:snapToGrid w:val="0"/>
        <w:spacing w:line="360" w:lineRule="auto"/>
        <w:ind w:firstLine="480"/>
        <w:rPr>
          <w:rFonts w:hAnsi="宋体" w:cs="宋体"/>
          <w:color w:val="auto"/>
          <w:sz w:val="24"/>
          <w:szCs w:val="24"/>
          <w:highlight w:val="none"/>
        </w:rPr>
      </w:pPr>
      <w:r>
        <w:rPr>
          <w:rFonts w:hint="eastAsia" w:hAnsi="宋体" w:cs="宋体"/>
          <w:color w:val="auto"/>
          <w:sz w:val="24"/>
          <w:szCs w:val="24"/>
          <w:highlight w:val="none"/>
        </w:rPr>
        <w:t>（3）建筑垃圾减量化目标：</w:t>
      </w:r>
      <w:r>
        <w:rPr>
          <w:rFonts w:hint="eastAsia" w:hAnsi="宋体" w:cs="宋体"/>
          <w:color w:val="auto"/>
          <w:sz w:val="24"/>
          <w:szCs w:val="24"/>
          <w:highlight w:val="none"/>
          <w:u w:val="single"/>
        </w:rPr>
        <w:t>见《专用合同条款数据表》</w:t>
      </w:r>
      <w:r>
        <w:rPr>
          <w:rFonts w:hint="eastAsia" w:hAnsi="宋体" w:cs="宋体"/>
          <w:color w:val="auto"/>
          <w:sz w:val="24"/>
          <w:szCs w:val="24"/>
          <w:highlight w:val="none"/>
        </w:rPr>
        <w:t>；</w:t>
      </w:r>
    </w:p>
    <w:p w14:paraId="75483688">
      <w:pPr>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（4）装配式建筑装配率要求：</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5DDD0889">
      <w:pPr>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（5）</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6722ACC0">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5.3 隐蔽工程检查</w:t>
      </w:r>
    </w:p>
    <w:p w14:paraId="6BB484A6">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 xml:space="preserve">5.3.2 </w:t>
      </w:r>
      <w:r>
        <w:rPr>
          <w:rFonts w:hint="eastAsia" w:cs="宋体"/>
          <w:color w:val="auto"/>
          <w:sz w:val="24"/>
          <w:szCs w:val="24"/>
          <w:highlight w:val="none"/>
          <w:lang w:eastAsia="zh-CN"/>
        </w:rPr>
        <w:t>乙方</w:t>
      </w:r>
      <w:r>
        <w:rPr>
          <w:rFonts w:hint="eastAsia" w:cs="宋体"/>
          <w:color w:val="auto"/>
          <w:sz w:val="24"/>
          <w:szCs w:val="24"/>
          <w:highlight w:val="none"/>
        </w:rPr>
        <w:t>提前通知隐蔽工程检查的期限的约定：</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18D6ED20">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关于延期最长不得超过：</w:t>
      </w:r>
      <w:r>
        <w:rPr>
          <w:rFonts w:hint="eastAsia" w:cs="宋体"/>
          <w:color w:val="auto"/>
          <w:sz w:val="24"/>
          <w:szCs w:val="24"/>
          <w:highlight w:val="none"/>
          <w:u w:val="single"/>
        </w:rPr>
        <w:t xml:space="preserve"> 执行通用条款 </w:t>
      </w:r>
      <w:r>
        <w:rPr>
          <w:rFonts w:hint="eastAsia" w:cs="宋体"/>
          <w:color w:val="auto"/>
          <w:sz w:val="24"/>
          <w:szCs w:val="24"/>
          <w:highlight w:val="none"/>
        </w:rPr>
        <w:t>小时。</w:t>
      </w:r>
    </w:p>
    <w:p w14:paraId="5C1E995C">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5</w:t>
      </w:r>
      <w:bookmarkStart w:id="192" w:name="_Toc337558762"/>
      <w:r>
        <w:rPr>
          <w:rFonts w:hint="eastAsia" w:cs="宋体"/>
          <w:bCs/>
          <w:color w:val="auto"/>
          <w:sz w:val="24"/>
          <w:szCs w:val="24"/>
          <w:highlight w:val="none"/>
        </w:rPr>
        <w:t>.4 不合格工程的处理</w:t>
      </w:r>
    </w:p>
    <w:bookmarkEnd w:id="192"/>
    <w:p w14:paraId="1BE36C6A">
      <w:pPr>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本款补充5.4.3项：</w:t>
      </w:r>
    </w:p>
    <w:p w14:paraId="333C41EA">
      <w:pPr>
        <w:snapToGrid w:val="0"/>
        <w:spacing w:line="360" w:lineRule="auto"/>
        <w:ind w:firstLine="480" w:firstLineChars="200"/>
        <w:jc w:val="left"/>
        <w:rPr>
          <w:rFonts w:cs="宋体"/>
          <w:strike w:val="0"/>
          <w:dstrike w:val="0"/>
          <w:color w:val="auto"/>
          <w:sz w:val="24"/>
          <w:szCs w:val="24"/>
          <w:highlight w:val="none"/>
        </w:rPr>
      </w:pPr>
      <w:r>
        <w:rPr>
          <w:rFonts w:hint="eastAsia" w:cs="宋体"/>
          <w:color w:val="auto"/>
          <w:sz w:val="24"/>
          <w:szCs w:val="24"/>
          <w:highlight w:val="none"/>
        </w:rPr>
        <w:t xml:space="preserve">5.4.3 </w:t>
      </w:r>
      <w:r>
        <w:rPr>
          <w:rFonts w:hint="eastAsia" w:cs="宋体"/>
          <w:strike w:val="0"/>
          <w:dstrike w:val="0"/>
          <w:color w:val="auto"/>
          <w:sz w:val="24"/>
          <w:szCs w:val="24"/>
          <w:highlight w:val="none"/>
          <w:lang w:eastAsia="zh-CN"/>
        </w:rPr>
        <w:t>乙方</w:t>
      </w:r>
      <w:r>
        <w:rPr>
          <w:rFonts w:hint="eastAsia" w:cs="宋体"/>
          <w:strike w:val="0"/>
          <w:dstrike w:val="0"/>
          <w:color w:val="auto"/>
          <w:sz w:val="24"/>
          <w:szCs w:val="24"/>
          <w:highlight w:val="none"/>
        </w:rPr>
        <w:t>在收到</w:t>
      </w:r>
      <w:r>
        <w:rPr>
          <w:rFonts w:hint="eastAsia" w:cs="宋体"/>
          <w:strike w:val="0"/>
          <w:dstrike w:val="0"/>
          <w:color w:val="auto"/>
          <w:sz w:val="24"/>
          <w:szCs w:val="24"/>
          <w:highlight w:val="none"/>
          <w:lang w:val="en-US" w:eastAsia="zh-CN"/>
        </w:rPr>
        <w:t>甲方</w:t>
      </w:r>
      <w:r>
        <w:rPr>
          <w:rFonts w:hint="eastAsia" w:cs="宋体"/>
          <w:strike w:val="0"/>
          <w:dstrike w:val="0"/>
          <w:color w:val="auto"/>
          <w:sz w:val="24"/>
          <w:szCs w:val="24"/>
          <w:highlight w:val="none"/>
        </w:rPr>
        <w:t>发出的</w:t>
      </w:r>
      <w:r>
        <w:rPr>
          <w:rFonts w:hint="eastAsia" w:cs="宋体"/>
          <w:strike w:val="0"/>
          <w:dstrike w:val="0"/>
          <w:color w:val="auto"/>
          <w:sz w:val="24"/>
          <w:szCs w:val="24"/>
          <w:highlight w:val="none"/>
          <w:lang w:val="en-US" w:eastAsia="zh-CN"/>
        </w:rPr>
        <w:t>整改通知后</w:t>
      </w:r>
      <w:r>
        <w:rPr>
          <w:rFonts w:hint="eastAsia" w:cs="宋体"/>
          <w:strike w:val="0"/>
          <w:dstrike w:val="0"/>
          <w:color w:val="auto"/>
          <w:sz w:val="24"/>
          <w:szCs w:val="24"/>
          <w:highlight w:val="none"/>
        </w:rPr>
        <w:t>，必须在</w:t>
      </w:r>
      <w:r>
        <w:rPr>
          <w:rFonts w:hint="eastAsia" w:cs="宋体"/>
          <w:strike w:val="0"/>
          <w:dstrike w:val="0"/>
          <w:color w:val="auto"/>
          <w:sz w:val="24"/>
          <w:szCs w:val="24"/>
          <w:highlight w:val="none"/>
          <w:lang w:val="en-US" w:eastAsia="zh-CN"/>
        </w:rPr>
        <w:t>甲方</w:t>
      </w:r>
      <w:r>
        <w:rPr>
          <w:rFonts w:hint="eastAsia" w:cs="宋体"/>
          <w:strike w:val="0"/>
          <w:dstrike w:val="0"/>
          <w:color w:val="auto"/>
          <w:sz w:val="24"/>
          <w:szCs w:val="24"/>
          <w:highlight w:val="none"/>
        </w:rPr>
        <w:t>规定时间内按要求完成整改，未能在限定时间内完成整改的，须承担相应违约责任。</w:t>
      </w:r>
    </w:p>
    <w:p w14:paraId="5844B0F2">
      <w:pPr>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本条补充5.6款：</w:t>
      </w:r>
    </w:p>
    <w:p w14:paraId="773F1827">
      <w:pPr>
        <w:keepNext/>
        <w:keepLines/>
        <w:snapToGrid w:val="0"/>
        <w:spacing w:before="120" w:after="120" w:line="360" w:lineRule="auto"/>
        <w:ind w:firstLine="480" w:firstLineChars="200"/>
        <w:outlineLvl w:val="3"/>
        <w:rPr>
          <w:rFonts w:cs="宋体"/>
          <w:bCs/>
          <w:color w:val="auto"/>
          <w:sz w:val="24"/>
          <w:szCs w:val="24"/>
          <w:highlight w:val="none"/>
        </w:rPr>
      </w:pPr>
      <w:bookmarkStart w:id="193" w:name="_Toc532377348"/>
      <w:r>
        <w:rPr>
          <w:rFonts w:hint="eastAsia" w:cs="宋体"/>
          <w:bCs/>
          <w:color w:val="auto"/>
          <w:sz w:val="24"/>
          <w:szCs w:val="24"/>
          <w:highlight w:val="none"/>
        </w:rPr>
        <w:t>5.6 质量事故的处理</w:t>
      </w:r>
      <w:bookmarkEnd w:id="193"/>
    </w:p>
    <w:p w14:paraId="6F286841">
      <w:pPr>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5.6.1 合同履行过程中，发生工程质量事故的调查处理按照国家现行规定处理。</w:t>
      </w:r>
    </w:p>
    <w:p w14:paraId="060633F0">
      <w:pPr>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5.6.2 </w:t>
      </w:r>
      <w:r>
        <w:rPr>
          <w:rFonts w:hint="eastAsia" w:cs="宋体"/>
          <w:color w:val="auto"/>
          <w:sz w:val="24"/>
          <w:szCs w:val="24"/>
          <w:highlight w:val="none"/>
          <w:lang w:eastAsia="zh-CN"/>
        </w:rPr>
        <w:t>甲方</w:t>
      </w:r>
      <w:r>
        <w:rPr>
          <w:rFonts w:hint="eastAsia" w:cs="宋体"/>
          <w:color w:val="auto"/>
          <w:sz w:val="24"/>
          <w:szCs w:val="24"/>
          <w:highlight w:val="none"/>
        </w:rPr>
        <w:t>在对工程质量、安全和环境保护、水土保持等建设全过程管理中发现有技术、质量和其他问题的，可责令</w:t>
      </w:r>
      <w:r>
        <w:rPr>
          <w:rFonts w:hint="eastAsia" w:cs="宋体"/>
          <w:color w:val="auto"/>
          <w:sz w:val="24"/>
          <w:szCs w:val="24"/>
          <w:highlight w:val="none"/>
          <w:lang w:eastAsia="zh-CN"/>
        </w:rPr>
        <w:t>乙方</w:t>
      </w:r>
      <w:r>
        <w:rPr>
          <w:rFonts w:hint="eastAsia" w:cs="宋体"/>
          <w:color w:val="auto"/>
          <w:sz w:val="24"/>
          <w:szCs w:val="24"/>
          <w:highlight w:val="none"/>
        </w:rPr>
        <w:t>返工或整改；对存在的隐患，有权责令</w:t>
      </w:r>
      <w:r>
        <w:rPr>
          <w:rFonts w:hint="eastAsia" w:cs="宋体"/>
          <w:color w:val="auto"/>
          <w:sz w:val="24"/>
          <w:szCs w:val="24"/>
          <w:highlight w:val="none"/>
          <w:lang w:eastAsia="zh-CN"/>
        </w:rPr>
        <w:t>乙方</w:t>
      </w:r>
      <w:r>
        <w:rPr>
          <w:rFonts w:hint="eastAsia" w:cs="宋体"/>
          <w:color w:val="auto"/>
          <w:sz w:val="24"/>
          <w:szCs w:val="24"/>
          <w:highlight w:val="none"/>
        </w:rPr>
        <w:t>予以解决，</w:t>
      </w:r>
      <w:r>
        <w:rPr>
          <w:rFonts w:hint="eastAsia" w:cs="宋体"/>
          <w:color w:val="auto"/>
          <w:sz w:val="24"/>
          <w:szCs w:val="24"/>
          <w:highlight w:val="none"/>
          <w:lang w:eastAsia="zh-CN"/>
        </w:rPr>
        <w:t>乙方</w:t>
      </w:r>
      <w:r>
        <w:rPr>
          <w:rFonts w:hint="eastAsia" w:cs="宋体"/>
          <w:color w:val="auto"/>
          <w:sz w:val="24"/>
          <w:szCs w:val="24"/>
          <w:highlight w:val="none"/>
        </w:rPr>
        <w:t>按照合同中其他条款约定承担违约责任。</w:t>
      </w:r>
    </w:p>
    <w:p w14:paraId="72D431FD">
      <w:pPr>
        <w:snapToGrid w:val="0"/>
        <w:spacing w:before="312" w:beforeLines="100" w:after="312" w:afterLines="100" w:line="360" w:lineRule="auto"/>
        <w:outlineLvl w:val="2"/>
        <w:rPr>
          <w:rFonts w:cs="宋体"/>
          <w:color w:val="auto"/>
          <w:sz w:val="24"/>
          <w:szCs w:val="24"/>
          <w:highlight w:val="none"/>
        </w:rPr>
      </w:pPr>
      <w:r>
        <w:rPr>
          <w:rFonts w:hint="eastAsia" w:cs="宋体"/>
          <w:color w:val="auto"/>
          <w:sz w:val="24"/>
          <w:szCs w:val="24"/>
          <w:highlight w:val="none"/>
        </w:rPr>
        <w:t>6. 安全文明施工与环境保护</w:t>
      </w:r>
      <w:bookmarkEnd w:id="191"/>
    </w:p>
    <w:p w14:paraId="07F9E006">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6.1 安全文明施工</w:t>
      </w:r>
    </w:p>
    <w:p w14:paraId="5CB7310A">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6.1.1 项目安全生产的达标目标及相应事项的约定：</w:t>
      </w:r>
      <w:r>
        <w:rPr>
          <w:rFonts w:hint="eastAsia" w:cs="宋体"/>
          <w:color w:val="auto"/>
          <w:sz w:val="24"/>
          <w:szCs w:val="24"/>
          <w:highlight w:val="none"/>
          <w:u w:val="single"/>
        </w:rPr>
        <w:t xml:space="preserve">               </w:t>
      </w:r>
      <w:r>
        <w:rPr>
          <w:rFonts w:hint="eastAsia" w:cs="宋体"/>
          <w:color w:val="auto"/>
          <w:sz w:val="24"/>
          <w:szCs w:val="24"/>
          <w:highlight w:val="none"/>
        </w:rPr>
        <w:t>。</w:t>
      </w:r>
    </w:p>
    <w:p w14:paraId="1B8577C3">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6.1.4 关于治安保卫的特别约定：</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61BD59F8">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关于编制施工场地治安管理计划的约定：</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7C2093E2">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6.1.5 文明施工</w:t>
      </w:r>
    </w:p>
    <w:p w14:paraId="4E6E97FF">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合同当事人对文明施工的要求：</w:t>
      </w:r>
      <w:r>
        <w:rPr>
          <w:rFonts w:hint="eastAsia" w:cs="宋体"/>
          <w:color w:val="auto"/>
          <w:sz w:val="24"/>
          <w:szCs w:val="24"/>
          <w:highlight w:val="none"/>
          <w:u w:val="single"/>
        </w:rPr>
        <w:t xml:space="preserve"> </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应按国家及地方有关规定制定的“文明工地标准”文明施工，并应在施工组织设计中提出施工全过程的文明施工措施计划。</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承担文明施工所需的一切费用，否则，</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有权对相关措施费不予支付，且</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 xml:space="preserve">不得提出任何异议 </w:t>
      </w:r>
      <w:r>
        <w:rPr>
          <w:rFonts w:hint="eastAsia" w:cs="宋体"/>
          <w:color w:val="auto"/>
          <w:sz w:val="24"/>
          <w:szCs w:val="24"/>
          <w:highlight w:val="none"/>
        </w:rPr>
        <w:t>。</w:t>
      </w:r>
    </w:p>
    <w:p w14:paraId="37350570">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6.1.6 关于安全文明施工费支付比例和支付期限的约定：</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rPr>
        <w:t>。</w:t>
      </w:r>
    </w:p>
    <w:bookmarkEnd w:id="184"/>
    <w:bookmarkEnd w:id="185"/>
    <w:bookmarkEnd w:id="186"/>
    <w:bookmarkEnd w:id="187"/>
    <w:bookmarkEnd w:id="188"/>
    <w:bookmarkEnd w:id="189"/>
    <w:bookmarkEnd w:id="190"/>
    <w:p w14:paraId="0288427E">
      <w:pPr>
        <w:snapToGrid w:val="0"/>
        <w:spacing w:before="312" w:beforeLines="100" w:after="312" w:afterLines="100" w:line="360" w:lineRule="auto"/>
        <w:outlineLvl w:val="2"/>
        <w:rPr>
          <w:rFonts w:cs="宋体"/>
          <w:color w:val="auto"/>
          <w:sz w:val="24"/>
          <w:szCs w:val="24"/>
          <w:highlight w:val="none"/>
        </w:rPr>
      </w:pPr>
      <w:bookmarkStart w:id="194" w:name="_Toc351203639"/>
      <w:r>
        <w:rPr>
          <w:rFonts w:hint="eastAsia" w:cs="宋体"/>
          <w:color w:val="auto"/>
          <w:sz w:val="24"/>
          <w:szCs w:val="24"/>
          <w:highlight w:val="none"/>
        </w:rPr>
        <w:t>7. 工期和进度</w:t>
      </w:r>
      <w:bookmarkEnd w:id="194"/>
    </w:p>
    <w:p w14:paraId="64C45BAD">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7.1 施工组织设计</w:t>
      </w:r>
    </w:p>
    <w:p w14:paraId="23A2A219">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7.1.1 合同当事人约定的施工组织设计应包括的其他内容：</w:t>
      </w:r>
      <w:r>
        <w:rPr>
          <w:rFonts w:hint="eastAsia" w:cs="宋体"/>
          <w:color w:val="auto"/>
          <w:sz w:val="24"/>
          <w:szCs w:val="24"/>
          <w:highlight w:val="none"/>
          <w:u w:val="single"/>
        </w:rPr>
        <w:t>总进度计划须含网络图、横道图。</w:t>
      </w:r>
    </w:p>
    <w:p w14:paraId="207E8EF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7.1.2 施工组织设计的提交和修改</w:t>
      </w:r>
    </w:p>
    <w:p w14:paraId="5DCEADDE">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乙方</w:t>
      </w:r>
      <w:r>
        <w:rPr>
          <w:rFonts w:hint="eastAsia" w:cs="宋体"/>
          <w:color w:val="auto"/>
          <w:sz w:val="24"/>
          <w:szCs w:val="24"/>
          <w:highlight w:val="none"/>
        </w:rPr>
        <w:t>提交详细施工组织设计的期限的约定：</w:t>
      </w:r>
      <w:r>
        <w:rPr>
          <w:rFonts w:hint="eastAsia" w:cs="宋体"/>
          <w:color w:val="auto"/>
          <w:sz w:val="24"/>
          <w:szCs w:val="24"/>
          <w:highlight w:val="none"/>
          <w:u w:val="single"/>
        </w:rPr>
        <w:t xml:space="preserve"> 合同签订后 14 天内，但最迟不得晚于第7.3.2 项〔开工通知〕载明的开工日期前 7 天 </w:t>
      </w:r>
      <w:r>
        <w:rPr>
          <w:rFonts w:hint="eastAsia" w:cs="宋体"/>
          <w:color w:val="auto"/>
          <w:sz w:val="24"/>
          <w:szCs w:val="24"/>
          <w:highlight w:val="none"/>
        </w:rPr>
        <w:t>。</w:t>
      </w:r>
    </w:p>
    <w:p w14:paraId="35B5A534">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在收到详细的施工组织设计后确认或提出修改意见的期限：</w:t>
      </w:r>
      <w:r>
        <w:rPr>
          <w:rFonts w:hint="eastAsia" w:cs="宋体"/>
          <w:color w:val="auto"/>
          <w:sz w:val="24"/>
          <w:szCs w:val="24"/>
          <w:highlight w:val="none"/>
          <w:u w:val="single"/>
        </w:rPr>
        <w:t xml:space="preserve"> 收到施工组织设计后7天内 </w:t>
      </w:r>
      <w:r>
        <w:rPr>
          <w:rFonts w:hint="eastAsia" w:cs="宋体"/>
          <w:color w:val="auto"/>
          <w:sz w:val="24"/>
          <w:szCs w:val="24"/>
          <w:highlight w:val="none"/>
        </w:rPr>
        <w:t>。</w:t>
      </w:r>
    </w:p>
    <w:p w14:paraId="7A5BA877">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7</w:t>
      </w:r>
      <w:bookmarkStart w:id="195" w:name="_Toc300934966"/>
      <w:bookmarkStart w:id="196" w:name="_Toc304295541"/>
      <w:bookmarkStart w:id="197" w:name="_Toc297216173"/>
      <w:bookmarkStart w:id="198" w:name="_Toc297123514"/>
      <w:bookmarkStart w:id="199" w:name="_Toc312677479"/>
      <w:bookmarkStart w:id="200" w:name="_Toc303539123"/>
      <w:bookmarkStart w:id="201" w:name="_Toc312678005"/>
      <w:r>
        <w:rPr>
          <w:rFonts w:hint="eastAsia" w:cs="宋体"/>
          <w:bCs/>
          <w:color w:val="auto"/>
          <w:sz w:val="24"/>
          <w:szCs w:val="24"/>
          <w:highlight w:val="none"/>
        </w:rPr>
        <w:t>.2 施工进度计划</w:t>
      </w:r>
    </w:p>
    <w:p w14:paraId="250E3D55">
      <w:pPr>
        <w:adjustRightInd w:val="0"/>
        <w:snapToGrid w:val="0"/>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cs="宋体"/>
          <w:color w:val="auto"/>
          <w:sz w:val="24"/>
          <w:szCs w:val="24"/>
          <w:highlight w:val="none"/>
        </w:rPr>
        <w:t>7.2.2 施工进度计划的修订</w:t>
      </w:r>
    </w:p>
    <w:p w14:paraId="05B95781">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cs="宋体"/>
          <w:color w:val="auto"/>
          <w:sz w:val="24"/>
          <w:szCs w:val="24"/>
          <w:highlight w:val="none"/>
          <w:lang w:eastAsia="zh-CN"/>
        </w:rPr>
        <w:t>甲方</w:t>
      </w:r>
      <w:r>
        <w:rPr>
          <w:rFonts w:hint="eastAsia" w:cs="宋体"/>
          <w:color w:val="auto"/>
          <w:sz w:val="24"/>
          <w:szCs w:val="24"/>
          <w:highlight w:val="none"/>
        </w:rPr>
        <w:t>在收到修订的施工进度计划后确认或提出修改意见的期限：</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乙方</w:t>
      </w:r>
      <w:r>
        <w:rPr>
          <w:rFonts w:hint="eastAsia" w:ascii="宋体" w:hAnsi="宋体" w:eastAsia="宋体" w:cs="宋体"/>
          <w:color w:val="auto"/>
          <w:sz w:val="24"/>
          <w:szCs w:val="24"/>
          <w:highlight w:val="none"/>
          <w:u w:val="single"/>
          <w:lang w:val="en-US" w:eastAsia="zh-CN"/>
        </w:rPr>
        <w:t>应在 14 天内向</w:t>
      </w:r>
      <w:r>
        <w:rPr>
          <w:rFonts w:hint="eastAsia" w:cs="宋体"/>
          <w:color w:val="auto"/>
          <w:sz w:val="24"/>
          <w:szCs w:val="24"/>
          <w:highlight w:val="none"/>
          <w:u w:val="single"/>
          <w:lang w:eastAsia="zh-CN"/>
        </w:rPr>
        <w:t>甲方</w:t>
      </w:r>
      <w:r>
        <w:rPr>
          <w:rFonts w:hint="eastAsia" w:ascii="宋体" w:hAnsi="宋体" w:eastAsia="宋体" w:cs="宋体"/>
          <w:color w:val="auto"/>
          <w:sz w:val="24"/>
          <w:szCs w:val="24"/>
          <w:highlight w:val="none"/>
          <w:u w:val="single"/>
          <w:lang w:val="en-US" w:eastAsia="zh-CN"/>
        </w:rPr>
        <w:t>提交修订合同进度计划的申请报告，并附有关措施和相关资料，报</w:t>
      </w:r>
      <w:r>
        <w:rPr>
          <w:rFonts w:hint="eastAsia" w:cs="宋体"/>
          <w:color w:val="auto"/>
          <w:sz w:val="24"/>
          <w:szCs w:val="24"/>
          <w:highlight w:val="none"/>
          <w:u w:val="single"/>
          <w:lang w:eastAsia="zh-CN"/>
        </w:rPr>
        <w:t>甲方</w:t>
      </w:r>
      <w:r>
        <w:rPr>
          <w:rFonts w:hint="eastAsia" w:ascii="宋体" w:hAnsi="宋体" w:eastAsia="宋体" w:cs="宋体"/>
          <w:color w:val="auto"/>
          <w:sz w:val="24"/>
          <w:szCs w:val="24"/>
          <w:highlight w:val="none"/>
          <w:u w:val="single"/>
          <w:lang w:val="en-US" w:eastAsia="zh-CN"/>
        </w:rPr>
        <w:t>审批</w:t>
      </w:r>
      <w:r>
        <w:rPr>
          <w:rFonts w:hint="eastAsia" w:cs="宋体"/>
          <w:color w:val="auto"/>
          <w:sz w:val="24"/>
          <w:szCs w:val="24"/>
          <w:highlight w:val="none"/>
          <w:u w:val="single"/>
          <w:lang w:eastAsia="zh-CN"/>
        </w:rPr>
        <w:t>甲方</w:t>
      </w:r>
      <w:r>
        <w:rPr>
          <w:rFonts w:hint="eastAsia" w:ascii="宋体" w:hAnsi="宋体" w:eastAsia="宋体" w:cs="宋体"/>
          <w:color w:val="auto"/>
          <w:sz w:val="24"/>
          <w:szCs w:val="24"/>
          <w:highlight w:val="none"/>
          <w:u w:val="single"/>
          <w:lang w:val="en-US" w:eastAsia="zh-CN"/>
        </w:rPr>
        <w:t>应在收到申请报告后的 14 天内批复。当</w:t>
      </w:r>
      <w:r>
        <w:rPr>
          <w:rFonts w:hint="eastAsia" w:cs="宋体"/>
          <w:color w:val="auto"/>
          <w:sz w:val="24"/>
          <w:szCs w:val="24"/>
          <w:highlight w:val="none"/>
          <w:u w:val="single"/>
          <w:lang w:eastAsia="zh-CN"/>
        </w:rPr>
        <w:t>甲方</w:t>
      </w:r>
      <w:r>
        <w:rPr>
          <w:rFonts w:hint="eastAsia" w:ascii="宋体" w:hAnsi="宋体" w:eastAsia="宋体" w:cs="宋体"/>
          <w:color w:val="auto"/>
          <w:sz w:val="24"/>
          <w:szCs w:val="24"/>
          <w:highlight w:val="none"/>
          <w:u w:val="single"/>
          <w:lang w:val="en-US" w:eastAsia="zh-CN"/>
        </w:rPr>
        <w:t>认为需要修订合同进度计划时，</w:t>
      </w:r>
      <w:r>
        <w:rPr>
          <w:rFonts w:hint="eastAsia" w:cs="宋体"/>
          <w:color w:val="auto"/>
          <w:sz w:val="24"/>
          <w:szCs w:val="24"/>
          <w:highlight w:val="none"/>
          <w:u w:val="single"/>
          <w:lang w:val="en-US" w:eastAsia="zh-CN"/>
        </w:rPr>
        <w:t>乙方</w:t>
      </w:r>
      <w:r>
        <w:rPr>
          <w:rFonts w:hint="eastAsia" w:ascii="宋体" w:hAnsi="宋体" w:eastAsia="宋体" w:cs="宋体"/>
          <w:color w:val="auto"/>
          <w:sz w:val="24"/>
          <w:szCs w:val="24"/>
          <w:highlight w:val="none"/>
          <w:u w:val="single"/>
          <w:lang w:val="en-US" w:eastAsia="zh-CN"/>
        </w:rPr>
        <w:t>应按</w:t>
      </w:r>
      <w:r>
        <w:rPr>
          <w:rFonts w:hint="eastAsia" w:cs="宋体"/>
          <w:color w:val="auto"/>
          <w:sz w:val="24"/>
          <w:szCs w:val="24"/>
          <w:highlight w:val="none"/>
          <w:u w:val="single"/>
          <w:lang w:eastAsia="zh-CN"/>
        </w:rPr>
        <w:t>甲方</w:t>
      </w:r>
      <w:r>
        <w:rPr>
          <w:rFonts w:hint="eastAsia" w:ascii="宋体" w:hAnsi="宋体" w:eastAsia="宋体" w:cs="宋体"/>
          <w:color w:val="auto"/>
          <w:sz w:val="24"/>
          <w:szCs w:val="24"/>
          <w:highlight w:val="none"/>
          <w:u w:val="single"/>
          <w:lang w:val="en-US" w:eastAsia="zh-CN"/>
        </w:rPr>
        <w:t>的指示，在 14 天内向</w:t>
      </w:r>
      <w:r>
        <w:rPr>
          <w:rFonts w:hint="eastAsia" w:cs="宋体"/>
          <w:color w:val="auto"/>
          <w:sz w:val="24"/>
          <w:szCs w:val="24"/>
          <w:highlight w:val="none"/>
          <w:u w:val="single"/>
          <w:lang w:eastAsia="zh-CN"/>
        </w:rPr>
        <w:t>甲方</w:t>
      </w:r>
      <w:r>
        <w:rPr>
          <w:rFonts w:hint="eastAsia" w:ascii="宋体" w:hAnsi="宋体" w:eastAsia="宋体" w:cs="宋体"/>
          <w:color w:val="auto"/>
          <w:sz w:val="24"/>
          <w:szCs w:val="24"/>
          <w:highlight w:val="none"/>
          <w:u w:val="single"/>
          <w:lang w:val="en-US" w:eastAsia="zh-CN"/>
        </w:rPr>
        <w:t>提交修订的合同进度计划，并附调整计划的相关资料，提交</w:t>
      </w:r>
      <w:r>
        <w:rPr>
          <w:rFonts w:hint="eastAsia" w:cs="宋体"/>
          <w:color w:val="auto"/>
          <w:sz w:val="24"/>
          <w:szCs w:val="24"/>
          <w:highlight w:val="none"/>
          <w:u w:val="single"/>
          <w:lang w:eastAsia="zh-CN"/>
        </w:rPr>
        <w:t>甲方</w:t>
      </w:r>
      <w:r>
        <w:rPr>
          <w:rFonts w:hint="eastAsia" w:ascii="宋体" w:hAnsi="宋体" w:eastAsia="宋体" w:cs="宋体"/>
          <w:color w:val="auto"/>
          <w:sz w:val="24"/>
          <w:szCs w:val="24"/>
          <w:highlight w:val="none"/>
          <w:u w:val="single"/>
          <w:lang w:val="en-US" w:eastAsia="zh-CN"/>
        </w:rPr>
        <w:t>审批。</w:t>
      </w:r>
      <w:r>
        <w:rPr>
          <w:rFonts w:hint="eastAsia" w:cs="宋体"/>
          <w:color w:val="auto"/>
          <w:sz w:val="24"/>
          <w:szCs w:val="24"/>
          <w:highlight w:val="none"/>
          <w:u w:val="single"/>
          <w:lang w:eastAsia="zh-CN"/>
        </w:rPr>
        <w:t>甲方</w:t>
      </w:r>
      <w:r>
        <w:rPr>
          <w:rFonts w:hint="eastAsia" w:ascii="宋体" w:hAnsi="宋体" w:eastAsia="宋体" w:cs="宋体"/>
          <w:color w:val="auto"/>
          <w:sz w:val="24"/>
          <w:szCs w:val="24"/>
          <w:highlight w:val="none"/>
          <w:u w:val="single"/>
          <w:lang w:val="en-US" w:eastAsia="zh-CN"/>
        </w:rPr>
        <w:t>应在收到进度计划后的 14 天内批复</w:t>
      </w:r>
      <w:r>
        <w:rPr>
          <w:rFonts w:hint="eastAsia" w:ascii="宋体" w:hAnsi="宋体" w:eastAsia="宋体" w:cs="宋体"/>
          <w:color w:val="auto"/>
          <w:sz w:val="24"/>
          <w:szCs w:val="24"/>
          <w:highlight w:val="none"/>
          <w:u w:val="single"/>
        </w:rPr>
        <w:t xml:space="preserve"> 。</w:t>
      </w:r>
    </w:p>
    <w:p w14:paraId="51FAE5D6">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7.3 开工</w:t>
      </w:r>
    </w:p>
    <w:p w14:paraId="41C7867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7.3.1 开工准备</w:t>
      </w:r>
    </w:p>
    <w:p w14:paraId="29F813CB">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w:t>
      </w:r>
      <w:r>
        <w:rPr>
          <w:rFonts w:hint="eastAsia" w:cs="宋体"/>
          <w:color w:val="auto"/>
          <w:sz w:val="24"/>
          <w:szCs w:val="24"/>
          <w:highlight w:val="none"/>
          <w:lang w:eastAsia="zh-CN"/>
        </w:rPr>
        <w:t>乙方</w:t>
      </w:r>
      <w:r>
        <w:rPr>
          <w:rFonts w:hint="eastAsia" w:cs="宋体"/>
          <w:color w:val="auto"/>
          <w:sz w:val="24"/>
          <w:szCs w:val="24"/>
          <w:highlight w:val="none"/>
        </w:rPr>
        <w:t>提交工程开工报审表的期限：</w:t>
      </w:r>
      <w:r>
        <w:rPr>
          <w:rFonts w:hint="eastAsia" w:cs="宋体"/>
          <w:color w:val="auto"/>
          <w:sz w:val="24"/>
          <w:szCs w:val="24"/>
          <w:highlight w:val="none"/>
          <w:u w:val="single"/>
        </w:rPr>
        <w:t xml:space="preserve">  开工前 7 天内  </w:t>
      </w:r>
      <w:r>
        <w:rPr>
          <w:rFonts w:hint="eastAsia" w:cs="宋体"/>
          <w:color w:val="auto"/>
          <w:sz w:val="24"/>
          <w:szCs w:val="24"/>
          <w:highlight w:val="none"/>
        </w:rPr>
        <w:t>。</w:t>
      </w:r>
    </w:p>
    <w:p w14:paraId="3BEE1493">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w:t>
      </w:r>
      <w:r>
        <w:rPr>
          <w:rFonts w:hint="eastAsia" w:cs="宋体"/>
          <w:color w:val="auto"/>
          <w:sz w:val="24"/>
          <w:szCs w:val="24"/>
          <w:highlight w:val="none"/>
          <w:lang w:eastAsia="zh-CN"/>
        </w:rPr>
        <w:t>甲方</w:t>
      </w:r>
      <w:r>
        <w:rPr>
          <w:rFonts w:hint="eastAsia" w:cs="宋体"/>
          <w:color w:val="auto"/>
          <w:sz w:val="24"/>
          <w:szCs w:val="24"/>
          <w:highlight w:val="none"/>
        </w:rPr>
        <w:t>应完成的其他开工准备工作及期限：</w:t>
      </w:r>
      <w:r>
        <w:rPr>
          <w:rFonts w:hint="eastAsia" w:cs="宋体"/>
          <w:color w:val="auto"/>
          <w:sz w:val="24"/>
          <w:szCs w:val="24"/>
          <w:highlight w:val="none"/>
          <w:u w:val="single"/>
        </w:rPr>
        <w:t xml:space="preserve"> 开工前 7 天内 </w:t>
      </w:r>
      <w:r>
        <w:rPr>
          <w:rFonts w:hint="eastAsia" w:cs="宋体"/>
          <w:color w:val="auto"/>
          <w:sz w:val="24"/>
          <w:szCs w:val="24"/>
          <w:highlight w:val="none"/>
        </w:rPr>
        <w:t>。</w:t>
      </w:r>
    </w:p>
    <w:p w14:paraId="31821D6F">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w:t>
      </w:r>
      <w:r>
        <w:rPr>
          <w:rFonts w:hint="eastAsia" w:cs="宋体"/>
          <w:color w:val="auto"/>
          <w:sz w:val="24"/>
          <w:szCs w:val="24"/>
          <w:highlight w:val="none"/>
          <w:lang w:eastAsia="zh-CN"/>
        </w:rPr>
        <w:t>乙方</w:t>
      </w:r>
      <w:r>
        <w:rPr>
          <w:rFonts w:hint="eastAsia" w:cs="宋体"/>
          <w:color w:val="auto"/>
          <w:sz w:val="24"/>
          <w:szCs w:val="24"/>
          <w:highlight w:val="none"/>
        </w:rPr>
        <w:t>应完成的其他开工准备工作及期限：</w:t>
      </w:r>
      <w:r>
        <w:rPr>
          <w:rFonts w:hint="eastAsia" w:cs="宋体"/>
          <w:color w:val="auto"/>
          <w:sz w:val="24"/>
          <w:szCs w:val="24"/>
          <w:highlight w:val="none"/>
          <w:u w:val="single"/>
        </w:rPr>
        <w:t xml:space="preserve"> 开工前 7 天内 </w:t>
      </w:r>
      <w:r>
        <w:rPr>
          <w:rFonts w:hint="eastAsia" w:cs="宋体"/>
          <w:color w:val="auto"/>
          <w:sz w:val="24"/>
          <w:szCs w:val="24"/>
          <w:highlight w:val="none"/>
        </w:rPr>
        <w:t>。</w:t>
      </w:r>
    </w:p>
    <w:bookmarkEnd w:id="195"/>
    <w:bookmarkEnd w:id="196"/>
    <w:bookmarkEnd w:id="197"/>
    <w:bookmarkEnd w:id="198"/>
    <w:bookmarkEnd w:id="199"/>
    <w:bookmarkEnd w:id="200"/>
    <w:bookmarkEnd w:id="201"/>
    <w:p w14:paraId="6907B308">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7.4 测量放线</w:t>
      </w:r>
    </w:p>
    <w:p w14:paraId="3B8E6825">
      <w:pPr>
        <w:adjustRightInd w:val="0"/>
        <w:snapToGrid w:val="0"/>
        <w:spacing w:line="360" w:lineRule="auto"/>
        <w:ind w:firstLine="480" w:firstLineChars="200"/>
        <w:rPr>
          <w:rFonts w:cs="宋体"/>
          <w:strike w:val="0"/>
          <w:dstrike w:val="0"/>
          <w:color w:val="auto"/>
          <w:sz w:val="24"/>
          <w:szCs w:val="24"/>
          <w:highlight w:val="none"/>
          <w:u w:val="single"/>
        </w:rPr>
      </w:pPr>
      <w:r>
        <w:rPr>
          <w:rFonts w:hint="eastAsia" w:cs="宋体"/>
          <w:strike w:val="0"/>
          <w:dstrike w:val="0"/>
          <w:color w:val="auto"/>
          <w:sz w:val="24"/>
          <w:szCs w:val="24"/>
          <w:highlight w:val="none"/>
        </w:rPr>
        <w:t xml:space="preserve">7.4.1 </w:t>
      </w:r>
      <w:r>
        <w:rPr>
          <w:rFonts w:hint="eastAsia" w:cs="宋体"/>
          <w:strike w:val="0"/>
          <w:dstrike w:val="0"/>
          <w:color w:val="auto"/>
          <w:sz w:val="24"/>
          <w:szCs w:val="24"/>
          <w:highlight w:val="none"/>
          <w:lang w:eastAsia="zh-CN"/>
        </w:rPr>
        <w:t>甲方</w:t>
      </w:r>
      <w:r>
        <w:rPr>
          <w:rFonts w:hint="eastAsia" w:cs="宋体"/>
          <w:strike w:val="0"/>
          <w:dstrike w:val="0"/>
          <w:color w:val="auto"/>
          <w:sz w:val="24"/>
          <w:szCs w:val="24"/>
          <w:highlight w:val="none"/>
        </w:rPr>
        <w:t>向</w:t>
      </w:r>
      <w:r>
        <w:rPr>
          <w:rFonts w:hint="eastAsia" w:cs="宋体"/>
          <w:strike w:val="0"/>
          <w:dstrike w:val="0"/>
          <w:color w:val="auto"/>
          <w:sz w:val="24"/>
          <w:szCs w:val="24"/>
          <w:highlight w:val="none"/>
          <w:lang w:eastAsia="zh-CN"/>
        </w:rPr>
        <w:t>乙方</w:t>
      </w:r>
      <w:r>
        <w:rPr>
          <w:rFonts w:hint="eastAsia" w:cs="宋体"/>
          <w:strike w:val="0"/>
          <w:dstrike w:val="0"/>
          <w:color w:val="auto"/>
          <w:sz w:val="24"/>
          <w:szCs w:val="24"/>
          <w:highlight w:val="none"/>
        </w:rPr>
        <w:t>提供测量基准点、基准线和水准点及其书面资料的期限：</w:t>
      </w:r>
      <w:r>
        <w:rPr>
          <w:rFonts w:hint="eastAsia" w:cs="宋体"/>
          <w:strike w:val="0"/>
          <w:dstrike w:val="0"/>
          <w:color w:val="auto"/>
          <w:sz w:val="24"/>
          <w:szCs w:val="24"/>
          <w:highlight w:val="none"/>
          <w:u w:val="single"/>
        </w:rPr>
        <w:t xml:space="preserve"> 开工前 7 天内 </w:t>
      </w:r>
      <w:r>
        <w:rPr>
          <w:rFonts w:hint="eastAsia" w:cs="宋体"/>
          <w:strike w:val="0"/>
          <w:dstrike w:val="0"/>
          <w:color w:val="auto"/>
          <w:sz w:val="24"/>
          <w:szCs w:val="24"/>
          <w:highlight w:val="none"/>
        </w:rPr>
        <w:t>。</w:t>
      </w:r>
    </w:p>
    <w:p w14:paraId="0918768B">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7</w:t>
      </w:r>
      <w:bookmarkStart w:id="202" w:name="_Toc304295546"/>
      <w:bookmarkStart w:id="203" w:name="_Toc297123516"/>
      <w:bookmarkStart w:id="204" w:name="_Toc312678010"/>
      <w:bookmarkStart w:id="205" w:name="_Toc312677484"/>
      <w:bookmarkStart w:id="206" w:name="_Toc303539125"/>
      <w:bookmarkStart w:id="207" w:name="_Toc297216175"/>
      <w:bookmarkStart w:id="208" w:name="_Toc300934968"/>
      <w:r>
        <w:rPr>
          <w:rFonts w:hint="eastAsia" w:cs="宋体"/>
          <w:bCs/>
          <w:color w:val="auto"/>
          <w:sz w:val="24"/>
          <w:szCs w:val="24"/>
          <w:highlight w:val="none"/>
        </w:rPr>
        <w:t>.5 工期延误</w:t>
      </w:r>
    </w:p>
    <w:bookmarkEnd w:id="202"/>
    <w:bookmarkEnd w:id="203"/>
    <w:bookmarkEnd w:id="204"/>
    <w:bookmarkEnd w:id="205"/>
    <w:bookmarkEnd w:id="206"/>
    <w:bookmarkEnd w:id="207"/>
    <w:bookmarkEnd w:id="208"/>
    <w:p w14:paraId="19FDAF8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7.5.1 因</w:t>
      </w:r>
      <w:r>
        <w:rPr>
          <w:rFonts w:hint="eastAsia" w:cs="宋体"/>
          <w:color w:val="auto"/>
          <w:sz w:val="24"/>
          <w:szCs w:val="24"/>
          <w:highlight w:val="none"/>
          <w:lang w:eastAsia="zh-CN"/>
        </w:rPr>
        <w:t>甲方</w:t>
      </w:r>
      <w:r>
        <w:rPr>
          <w:rFonts w:hint="eastAsia" w:cs="宋体"/>
          <w:color w:val="auto"/>
          <w:sz w:val="24"/>
          <w:szCs w:val="24"/>
          <w:highlight w:val="none"/>
        </w:rPr>
        <w:t>原因导致工期延误</w:t>
      </w:r>
    </w:p>
    <w:p w14:paraId="4EAA6222">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（7）因</w:t>
      </w:r>
      <w:r>
        <w:rPr>
          <w:rFonts w:hint="eastAsia" w:cs="宋体"/>
          <w:color w:val="auto"/>
          <w:sz w:val="24"/>
          <w:szCs w:val="24"/>
          <w:highlight w:val="none"/>
          <w:lang w:eastAsia="zh-CN"/>
        </w:rPr>
        <w:t>甲方</w:t>
      </w:r>
      <w:r>
        <w:rPr>
          <w:rFonts w:hint="eastAsia" w:cs="宋体"/>
          <w:color w:val="auto"/>
          <w:sz w:val="24"/>
          <w:szCs w:val="24"/>
          <w:highlight w:val="none"/>
        </w:rPr>
        <w:t>原因导致工期延误的其他情形：</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5C9E9CD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7</w:t>
      </w:r>
      <w:bookmarkStart w:id="209" w:name="_Toc312678012"/>
      <w:bookmarkStart w:id="210" w:name="_Toc318581169"/>
      <w:bookmarkStart w:id="211" w:name="_Toc312677486"/>
      <w:bookmarkStart w:id="212" w:name="_Toc300934970"/>
      <w:bookmarkStart w:id="213" w:name="_Toc297216177"/>
      <w:bookmarkStart w:id="214" w:name="_Toc297123518"/>
      <w:bookmarkStart w:id="215" w:name="_Toc304295548"/>
      <w:bookmarkStart w:id="216" w:name="_Toc303539127"/>
      <w:r>
        <w:rPr>
          <w:rFonts w:hint="eastAsia" w:cs="宋体"/>
          <w:color w:val="auto"/>
          <w:sz w:val="24"/>
          <w:szCs w:val="24"/>
          <w:highlight w:val="none"/>
        </w:rPr>
        <w:t>.5.2 因</w:t>
      </w:r>
      <w:r>
        <w:rPr>
          <w:rFonts w:hint="eastAsia" w:cs="宋体"/>
          <w:color w:val="auto"/>
          <w:sz w:val="24"/>
          <w:szCs w:val="24"/>
          <w:highlight w:val="none"/>
          <w:lang w:eastAsia="zh-CN"/>
        </w:rPr>
        <w:t>乙方</w:t>
      </w:r>
      <w:r>
        <w:rPr>
          <w:rFonts w:hint="eastAsia" w:cs="宋体"/>
          <w:color w:val="auto"/>
          <w:sz w:val="24"/>
          <w:szCs w:val="24"/>
          <w:highlight w:val="none"/>
        </w:rPr>
        <w:t>原因导致工期延误</w:t>
      </w:r>
    </w:p>
    <w:bookmarkEnd w:id="209"/>
    <w:bookmarkEnd w:id="210"/>
    <w:bookmarkEnd w:id="211"/>
    <w:p w14:paraId="2EBBF9E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因</w:t>
      </w:r>
      <w:bookmarkStart w:id="217" w:name="_Toc312678013"/>
      <w:bookmarkStart w:id="218" w:name="_Toc312677487"/>
      <w:bookmarkStart w:id="219" w:name="_Toc318581170"/>
      <w:r>
        <w:rPr>
          <w:rFonts w:hint="eastAsia" w:cs="宋体"/>
          <w:color w:val="auto"/>
          <w:sz w:val="24"/>
          <w:szCs w:val="24"/>
          <w:highlight w:val="none"/>
          <w:lang w:eastAsia="zh-CN"/>
        </w:rPr>
        <w:t>乙方</w:t>
      </w:r>
      <w:r>
        <w:rPr>
          <w:rFonts w:hint="eastAsia" w:cs="宋体"/>
          <w:color w:val="auto"/>
          <w:sz w:val="24"/>
          <w:szCs w:val="24"/>
          <w:highlight w:val="none"/>
        </w:rPr>
        <w:t>原因造成工期延误，逾期</w:t>
      </w:r>
      <w:r>
        <w:rPr>
          <w:rFonts w:hint="eastAsia" w:cs="宋体"/>
          <w:color w:val="auto"/>
          <w:sz w:val="24"/>
          <w:szCs w:val="24"/>
          <w:highlight w:val="none"/>
          <w:lang w:eastAsia="zh-CN"/>
        </w:rPr>
        <w:t>完工</w:t>
      </w:r>
      <w:r>
        <w:rPr>
          <w:rFonts w:hint="eastAsia" w:cs="宋体"/>
          <w:color w:val="auto"/>
          <w:sz w:val="24"/>
          <w:szCs w:val="24"/>
          <w:highlight w:val="none"/>
        </w:rPr>
        <w:t>违约金的计算方法为：</w:t>
      </w:r>
      <w:r>
        <w:rPr>
          <w:rFonts w:hint="eastAsia" w:cs="宋体"/>
          <w:color w:val="auto"/>
          <w:sz w:val="24"/>
          <w:szCs w:val="24"/>
          <w:highlight w:val="none"/>
          <w:u w:val="single"/>
        </w:rPr>
        <w:t>见《专用合同条款数据表》</w:t>
      </w:r>
      <w:r>
        <w:rPr>
          <w:rFonts w:hint="eastAsia" w:cs="宋体"/>
          <w:color w:val="auto"/>
          <w:sz w:val="24"/>
          <w:szCs w:val="24"/>
          <w:highlight w:val="none"/>
        </w:rPr>
        <w:t>。</w:t>
      </w:r>
      <w:bookmarkEnd w:id="212"/>
      <w:bookmarkEnd w:id="213"/>
      <w:bookmarkEnd w:id="214"/>
      <w:bookmarkEnd w:id="215"/>
      <w:bookmarkEnd w:id="216"/>
      <w:bookmarkEnd w:id="217"/>
      <w:bookmarkEnd w:id="218"/>
    </w:p>
    <w:bookmarkEnd w:id="219"/>
    <w:p w14:paraId="2C25B120">
      <w:pPr>
        <w:adjustRightInd w:val="0"/>
        <w:snapToGrid w:val="0"/>
        <w:spacing w:line="360" w:lineRule="auto"/>
        <w:ind w:firstLine="480" w:firstLineChars="200"/>
        <w:rPr>
          <w:rFonts w:cs="宋体"/>
          <w:b/>
          <w:color w:val="auto"/>
          <w:sz w:val="24"/>
          <w:szCs w:val="24"/>
          <w:highlight w:val="none"/>
          <w:u w:val="single"/>
        </w:rPr>
      </w:pPr>
      <w:r>
        <w:rPr>
          <w:rFonts w:hint="eastAsia" w:cs="宋体"/>
          <w:color w:val="auto"/>
          <w:sz w:val="24"/>
          <w:szCs w:val="24"/>
          <w:highlight w:val="none"/>
        </w:rPr>
        <w:t>因</w:t>
      </w:r>
      <w:r>
        <w:rPr>
          <w:rFonts w:hint="eastAsia" w:cs="宋体"/>
          <w:color w:val="auto"/>
          <w:sz w:val="24"/>
          <w:szCs w:val="24"/>
          <w:highlight w:val="none"/>
          <w:lang w:eastAsia="zh-CN"/>
        </w:rPr>
        <w:t>乙方</w:t>
      </w:r>
      <w:r>
        <w:rPr>
          <w:rFonts w:hint="eastAsia" w:cs="宋体"/>
          <w:color w:val="auto"/>
          <w:sz w:val="24"/>
          <w:szCs w:val="24"/>
          <w:highlight w:val="none"/>
        </w:rPr>
        <w:t>原因造成工期延误，逾</w:t>
      </w:r>
      <w:bookmarkStart w:id="220" w:name="_Toc312678014"/>
      <w:bookmarkStart w:id="221" w:name="_Toc318581171"/>
      <w:r>
        <w:rPr>
          <w:rFonts w:hint="eastAsia" w:cs="宋体"/>
          <w:color w:val="auto"/>
          <w:sz w:val="24"/>
          <w:szCs w:val="24"/>
          <w:highlight w:val="none"/>
        </w:rPr>
        <w:t>期</w:t>
      </w:r>
      <w:r>
        <w:rPr>
          <w:rFonts w:hint="eastAsia" w:cs="宋体"/>
          <w:color w:val="auto"/>
          <w:sz w:val="24"/>
          <w:szCs w:val="24"/>
          <w:highlight w:val="none"/>
          <w:lang w:eastAsia="zh-CN"/>
        </w:rPr>
        <w:t>完工</w:t>
      </w:r>
      <w:r>
        <w:rPr>
          <w:rFonts w:hint="eastAsia" w:cs="宋体"/>
          <w:color w:val="auto"/>
          <w:sz w:val="24"/>
          <w:szCs w:val="24"/>
          <w:highlight w:val="none"/>
        </w:rPr>
        <w:t>违约金的上限：</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bookmarkEnd w:id="220"/>
    <w:bookmarkEnd w:id="221"/>
    <w:p w14:paraId="5BF0281C">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7</w:t>
      </w:r>
      <w:bookmarkStart w:id="222" w:name="_Toc312678015"/>
      <w:bookmarkStart w:id="223" w:name="_Toc304295549"/>
      <w:bookmarkStart w:id="224" w:name="_Toc300934971"/>
      <w:bookmarkStart w:id="225" w:name="_Toc297123519"/>
      <w:bookmarkStart w:id="226" w:name="_Toc303539128"/>
      <w:bookmarkStart w:id="227" w:name="_Toc297216178"/>
      <w:r>
        <w:rPr>
          <w:rFonts w:hint="eastAsia" w:cs="宋体"/>
          <w:bCs/>
          <w:color w:val="auto"/>
          <w:sz w:val="24"/>
          <w:szCs w:val="24"/>
          <w:highlight w:val="none"/>
        </w:rPr>
        <w:t>.6 不</w:t>
      </w:r>
      <w:bookmarkEnd w:id="222"/>
      <w:bookmarkEnd w:id="223"/>
      <w:bookmarkEnd w:id="224"/>
      <w:bookmarkEnd w:id="225"/>
      <w:bookmarkEnd w:id="226"/>
      <w:bookmarkEnd w:id="227"/>
      <w:r>
        <w:rPr>
          <w:rFonts w:hint="eastAsia" w:cs="宋体"/>
          <w:bCs/>
          <w:color w:val="auto"/>
          <w:sz w:val="24"/>
          <w:szCs w:val="24"/>
          <w:highlight w:val="none"/>
        </w:rPr>
        <w:t>利物质条件</w:t>
      </w:r>
    </w:p>
    <w:p w14:paraId="35D8105E">
      <w:pPr>
        <w:adjustRightInd w:val="0"/>
        <w:snapToGrid w:val="0"/>
        <w:spacing w:line="360" w:lineRule="auto"/>
        <w:ind w:firstLine="480" w:firstLineChars="200"/>
        <w:rPr>
          <w:rFonts w:cs="宋体"/>
          <w:b/>
          <w:color w:val="auto"/>
          <w:sz w:val="24"/>
          <w:szCs w:val="24"/>
          <w:highlight w:val="none"/>
          <w:u w:val="single"/>
        </w:rPr>
      </w:pPr>
      <w:bookmarkStart w:id="228" w:name="_Toc318581172"/>
      <w:bookmarkStart w:id="229" w:name="_Toc297123520"/>
      <w:bookmarkStart w:id="230" w:name="_Toc312678016"/>
      <w:bookmarkStart w:id="231" w:name="_Toc303539129"/>
      <w:bookmarkStart w:id="232" w:name="_Toc300934972"/>
      <w:bookmarkStart w:id="233" w:name="_Toc304295550"/>
      <w:bookmarkStart w:id="234" w:name="_Toc297216179"/>
      <w:r>
        <w:rPr>
          <w:rFonts w:hint="eastAsia" w:cs="宋体"/>
          <w:color w:val="auto"/>
          <w:sz w:val="24"/>
          <w:szCs w:val="24"/>
          <w:highlight w:val="none"/>
        </w:rPr>
        <w:t>不利物质条件的其他情形和有关约定：</w:t>
      </w:r>
      <w:r>
        <w:rPr>
          <w:rFonts w:hint="eastAsia" w:ascii="Times New Roman" w:hAnsi="Times New Roman" w:cs="Times New Roman"/>
          <w:b/>
          <w:color w:val="auto"/>
          <w:kern w:val="2"/>
          <w:sz w:val="24"/>
          <w:szCs w:val="24"/>
          <w:highlight w:val="none"/>
          <w:u w:val="single"/>
        </w:rPr>
        <w:t>执行通用条款</w:t>
      </w:r>
      <w:r>
        <w:rPr>
          <w:rFonts w:hint="eastAsia" w:cs="宋体"/>
          <w:color w:val="auto"/>
          <w:sz w:val="24"/>
          <w:szCs w:val="24"/>
          <w:highlight w:val="none"/>
        </w:rPr>
        <w:t>。</w:t>
      </w:r>
    </w:p>
    <w:bookmarkEnd w:id="228"/>
    <w:bookmarkEnd w:id="229"/>
    <w:bookmarkEnd w:id="230"/>
    <w:bookmarkEnd w:id="231"/>
    <w:bookmarkEnd w:id="232"/>
    <w:bookmarkEnd w:id="233"/>
    <w:bookmarkEnd w:id="234"/>
    <w:p w14:paraId="0276D57E">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7</w:t>
      </w:r>
      <w:bookmarkStart w:id="235" w:name="_Toc303539130"/>
      <w:bookmarkStart w:id="236" w:name="_Toc312678017"/>
      <w:bookmarkStart w:id="237" w:name="_Toc300934973"/>
      <w:bookmarkStart w:id="238" w:name="_Toc297123521"/>
      <w:bookmarkStart w:id="239" w:name="_Toc297216180"/>
      <w:bookmarkStart w:id="240" w:name="_Toc304295551"/>
      <w:r>
        <w:rPr>
          <w:rFonts w:hint="eastAsia" w:cs="宋体"/>
          <w:bCs/>
          <w:color w:val="auto"/>
          <w:sz w:val="24"/>
          <w:szCs w:val="24"/>
          <w:highlight w:val="none"/>
        </w:rPr>
        <w:t>.7 异常恶劣的气候条件</w:t>
      </w:r>
    </w:p>
    <w:bookmarkEnd w:id="235"/>
    <w:bookmarkEnd w:id="236"/>
    <w:bookmarkEnd w:id="237"/>
    <w:bookmarkEnd w:id="238"/>
    <w:bookmarkEnd w:id="239"/>
    <w:bookmarkEnd w:id="240"/>
    <w:p w14:paraId="0D591DE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和</w:t>
      </w:r>
      <w:r>
        <w:rPr>
          <w:rFonts w:hint="eastAsia" w:cs="宋体"/>
          <w:color w:val="auto"/>
          <w:sz w:val="24"/>
          <w:szCs w:val="24"/>
          <w:highlight w:val="none"/>
          <w:lang w:eastAsia="zh-CN"/>
        </w:rPr>
        <w:t>乙方</w:t>
      </w:r>
      <w:r>
        <w:rPr>
          <w:rFonts w:hint="eastAsia" w:cs="宋体"/>
          <w:color w:val="auto"/>
          <w:sz w:val="24"/>
          <w:szCs w:val="24"/>
          <w:highlight w:val="none"/>
        </w:rPr>
        <w:t>同意以下情形视为异常恶劣的气候条件：</w:t>
      </w:r>
    </w:p>
    <w:p w14:paraId="07D7DDDA">
      <w:pPr>
        <w:numPr>
          <w:ilvl w:val="0"/>
          <w:numId w:val="20"/>
        </w:numPr>
        <w:adjustRightInd w:val="0"/>
        <w:snapToGrid w:val="0"/>
        <w:spacing w:line="360" w:lineRule="auto"/>
        <w:ind w:firstLine="480" w:firstLineChars="200"/>
        <w:rPr>
          <w:rFonts w:hint="eastAsia" w:cs="宋体"/>
          <w:color w:val="auto"/>
          <w:sz w:val="24"/>
          <w:szCs w:val="24"/>
          <w:highlight w:val="none"/>
          <w:u w:val="single"/>
        </w:rPr>
      </w:pPr>
      <w:r>
        <w:rPr>
          <w:rFonts w:hint="eastAsia" w:cs="宋体"/>
          <w:color w:val="auto"/>
          <w:sz w:val="24"/>
          <w:szCs w:val="24"/>
          <w:highlight w:val="none"/>
          <w:u w:val="single"/>
        </w:rPr>
        <w:t>日降雨量大于 100 ㎜的雨日超过 3 天； `</w:t>
      </w:r>
    </w:p>
    <w:p w14:paraId="11E76E77">
      <w:pPr>
        <w:numPr>
          <w:ilvl w:val="0"/>
          <w:numId w:val="20"/>
        </w:numPr>
        <w:adjustRightInd w:val="0"/>
        <w:snapToGrid w:val="0"/>
        <w:spacing w:line="360" w:lineRule="auto"/>
        <w:ind w:firstLine="480" w:firstLineChars="200"/>
        <w:rPr>
          <w:rFonts w:hint="eastAsia" w:cs="宋体"/>
          <w:color w:val="auto"/>
          <w:sz w:val="24"/>
          <w:szCs w:val="24"/>
          <w:highlight w:val="none"/>
          <w:u w:val="single"/>
        </w:rPr>
      </w:pPr>
      <w:r>
        <w:rPr>
          <w:rFonts w:hint="eastAsia" w:cs="宋体"/>
          <w:color w:val="auto"/>
          <w:sz w:val="24"/>
          <w:szCs w:val="24"/>
          <w:highlight w:val="none"/>
          <w:u w:val="single"/>
        </w:rPr>
        <w:t>风速大于 24.5 m/s 的 10 级以上台风灾害；</w:t>
      </w:r>
    </w:p>
    <w:p w14:paraId="3B523F5F">
      <w:pPr>
        <w:adjustRightInd w:val="0"/>
        <w:snapToGrid w:val="0"/>
        <w:spacing w:line="360" w:lineRule="auto"/>
        <w:ind w:firstLine="480" w:firstLineChars="200"/>
        <w:rPr>
          <w:rFonts w:hint="eastAsia" w:cs="宋体"/>
          <w:color w:val="auto"/>
          <w:sz w:val="24"/>
          <w:szCs w:val="24"/>
          <w:highlight w:val="none"/>
          <w:u w:val="single"/>
        </w:rPr>
      </w:pPr>
      <w:r>
        <w:rPr>
          <w:rFonts w:hint="eastAsia" w:cs="宋体"/>
          <w:color w:val="auto"/>
          <w:sz w:val="24"/>
          <w:szCs w:val="24"/>
          <w:highlight w:val="none"/>
          <w:u w:val="single"/>
        </w:rPr>
        <w:t>（3）日气温超过 40 ℃的高温大于 5 天；</w:t>
      </w:r>
    </w:p>
    <w:p w14:paraId="2EEF85A6">
      <w:pPr>
        <w:adjustRightInd w:val="0"/>
        <w:snapToGrid w:val="0"/>
        <w:spacing w:line="360" w:lineRule="auto"/>
        <w:ind w:firstLine="480" w:firstLineChars="200"/>
        <w:rPr>
          <w:rFonts w:hint="eastAsia" w:cs="宋体"/>
          <w:color w:val="auto"/>
          <w:sz w:val="24"/>
          <w:szCs w:val="24"/>
          <w:highlight w:val="none"/>
          <w:u w:val="single"/>
        </w:rPr>
      </w:pPr>
      <w:r>
        <w:rPr>
          <w:rFonts w:hint="eastAsia" w:cs="宋体"/>
          <w:color w:val="auto"/>
          <w:sz w:val="24"/>
          <w:szCs w:val="24"/>
          <w:highlight w:val="none"/>
          <w:u w:val="single"/>
        </w:rPr>
        <w:t>（4）日气温低于 -20 ℃的严寒大于 3 天；</w:t>
      </w:r>
    </w:p>
    <w:p w14:paraId="2872A46F">
      <w:pPr>
        <w:adjustRightInd w:val="0"/>
        <w:snapToGrid w:val="0"/>
        <w:spacing w:line="360" w:lineRule="auto"/>
        <w:ind w:firstLine="480" w:firstLineChars="200"/>
        <w:rPr>
          <w:rFonts w:hint="eastAsia" w:cs="宋体"/>
          <w:color w:val="auto"/>
          <w:sz w:val="24"/>
          <w:szCs w:val="24"/>
          <w:highlight w:val="none"/>
          <w:u w:val="single"/>
        </w:rPr>
      </w:pPr>
      <w:r>
        <w:rPr>
          <w:rFonts w:hint="eastAsia" w:cs="宋体"/>
          <w:color w:val="auto"/>
          <w:sz w:val="24"/>
          <w:szCs w:val="24"/>
          <w:highlight w:val="none"/>
          <w:u w:val="single"/>
        </w:rPr>
        <w:t>（5）造成工程损坏的冰雹和大雪灾害： 日降雪量 20 ㎜及以上 ；</w:t>
      </w:r>
    </w:p>
    <w:p w14:paraId="401955A1">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u w:val="single"/>
        </w:rPr>
        <w:t>（6）其它异常恶劣气候灾害。</w:t>
      </w:r>
    </w:p>
    <w:p w14:paraId="56EB1A5F">
      <w:pPr>
        <w:keepNext/>
        <w:keepLines/>
        <w:snapToGrid w:val="0"/>
        <w:spacing w:before="120" w:after="120" w:line="360" w:lineRule="auto"/>
        <w:ind w:firstLine="480" w:firstLineChars="200"/>
        <w:outlineLvl w:val="3"/>
        <w:rPr>
          <w:rFonts w:hint="eastAsia" w:eastAsia="宋体" w:cs="宋体"/>
          <w:bCs/>
          <w:color w:val="auto"/>
          <w:sz w:val="24"/>
          <w:szCs w:val="24"/>
          <w:highlight w:val="none"/>
          <w:lang w:eastAsia="zh-CN"/>
        </w:rPr>
      </w:pPr>
      <w:r>
        <w:rPr>
          <w:rFonts w:hint="eastAsia" w:cs="宋体"/>
          <w:bCs/>
          <w:color w:val="auto"/>
          <w:sz w:val="24"/>
          <w:szCs w:val="24"/>
          <w:highlight w:val="none"/>
        </w:rPr>
        <w:t>7.9 提前</w:t>
      </w:r>
      <w:r>
        <w:rPr>
          <w:rFonts w:hint="eastAsia" w:cs="宋体"/>
          <w:bCs/>
          <w:color w:val="auto"/>
          <w:sz w:val="24"/>
          <w:szCs w:val="24"/>
          <w:highlight w:val="none"/>
          <w:lang w:eastAsia="zh-CN"/>
        </w:rPr>
        <w:t>完工</w:t>
      </w:r>
    </w:p>
    <w:p w14:paraId="15450E4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7.9.2 提前</w:t>
      </w:r>
      <w:r>
        <w:rPr>
          <w:rFonts w:hint="eastAsia" w:cs="宋体"/>
          <w:color w:val="auto"/>
          <w:sz w:val="24"/>
          <w:szCs w:val="24"/>
          <w:highlight w:val="none"/>
          <w:lang w:eastAsia="zh-CN"/>
        </w:rPr>
        <w:t>完工</w:t>
      </w:r>
      <w:r>
        <w:rPr>
          <w:rFonts w:hint="eastAsia" w:cs="宋体"/>
          <w:color w:val="auto"/>
          <w:sz w:val="24"/>
          <w:szCs w:val="24"/>
          <w:highlight w:val="none"/>
        </w:rPr>
        <w:t>的奖励：</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52888544">
      <w:pPr>
        <w:snapToGrid w:val="0"/>
        <w:spacing w:before="312" w:beforeLines="100" w:after="312" w:afterLines="100" w:line="360" w:lineRule="auto"/>
        <w:outlineLvl w:val="2"/>
        <w:rPr>
          <w:rFonts w:cs="宋体"/>
          <w:color w:val="auto"/>
          <w:sz w:val="24"/>
          <w:szCs w:val="24"/>
          <w:highlight w:val="none"/>
        </w:rPr>
      </w:pPr>
      <w:bookmarkStart w:id="241" w:name="_Toc351203640"/>
      <w:r>
        <w:rPr>
          <w:rFonts w:hint="eastAsia" w:cs="宋体"/>
          <w:color w:val="auto"/>
          <w:sz w:val="24"/>
          <w:szCs w:val="24"/>
          <w:highlight w:val="none"/>
        </w:rPr>
        <w:t>8. 材料与设备</w:t>
      </w:r>
      <w:bookmarkEnd w:id="241"/>
    </w:p>
    <w:bookmarkEnd w:id="174"/>
    <w:bookmarkEnd w:id="175"/>
    <w:bookmarkEnd w:id="176"/>
    <w:bookmarkEnd w:id="177"/>
    <w:bookmarkEnd w:id="178"/>
    <w:bookmarkEnd w:id="179"/>
    <w:bookmarkEnd w:id="180"/>
    <w:bookmarkEnd w:id="181"/>
    <w:bookmarkEnd w:id="182"/>
    <w:bookmarkEnd w:id="183"/>
    <w:p w14:paraId="6763D15D">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8</w:t>
      </w:r>
      <w:bookmarkStart w:id="242" w:name="_Toc296346668"/>
      <w:bookmarkStart w:id="243" w:name="_Toc292559877"/>
      <w:bookmarkStart w:id="244" w:name="_Toc297120467"/>
      <w:bookmarkStart w:id="245" w:name="_Toc296503167"/>
      <w:bookmarkStart w:id="246" w:name="_Toc297048353"/>
      <w:bookmarkStart w:id="247" w:name="_Toc296944506"/>
      <w:bookmarkStart w:id="248" w:name="_Toc296890995"/>
      <w:bookmarkStart w:id="249" w:name="_Toc297123527"/>
      <w:bookmarkStart w:id="250" w:name="_Toc303539136"/>
      <w:bookmarkStart w:id="251" w:name="_Toc280868654"/>
      <w:bookmarkStart w:id="252" w:name="_Toc300934979"/>
      <w:bookmarkStart w:id="253" w:name="_Toc296347166"/>
      <w:bookmarkStart w:id="254" w:name="_Toc312678019"/>
      <w:bookmarkStart w:id="255" w:name="_Toc296891207"/>
      <w:bookmarkStart w:id="256" w:name="_Toc304295556"/>
      <w:bookmarkStart w:id="257" w:name="_Toc292559372"/>
      <w:bookmarkStart w:id="258" w:name="_Toc297216186"/>
      <w:bookmarkStart w:id="259" w:name="_Toc312677493"/>
      <w:bookmarkStart w:id="260" w:name="_Toc280868655"/>
      <w:bookmarkStart w:id="261" w:name="_Toc280868656"/>
      <w:bookmarkStart w:id="262" w:name="_Toc267251424"/>
      <w:r>
        <w:rPr>
          <w:rFonts w:hint="eastAsia" w:cs="宋体"/>
          <w:color w:val="auto"/>
          <w:sz w:val="24"/>
          <w:szCs w:val="24"/>
          <w:highlight w:val="none"/>
        </w:rPr>
        <w:t>.4 材料与工程设备的保管与使用</w:t>
      </w:r>
    </w:p>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14:paraId="4CFDBC90">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8</w:t>
      </w:r>
      <w:bookmarkStart w:id="263" w:name="_Toc292559373"/>
      <w:bookmarkStart w:id="264" w:name="_Toc292559878"/>
      <w:bookmarkStart w:id="265" w:name="_Toc303539137"/>
      <w:bookmarkStart w:id="266" w:name="_Toc296347167"/>
      <w:bookmarkStart w:id="267" w:name="_Toc296944507"/>
      <w:bookmarkStart w:id="268" w:name="_Toc296890996"/>
      <w:bookmarkStart w:id="269" w:name="_Toc312677494"/>
      <w:bookmarkStart w:id="270" w:name="_Toc297048354"/>
      <w:bookmarkStart w:id="271" w:name="_Toc318581173"/>
      <w:bookmarkStart w:id="272" w:name="_Toc296346669"/>
      <w:bookmarkStart w:id="273" w:name="_Toc296891208"/>
      <w:bookmarkStart w:id="274" w:name="_Toc304295557"/>
      <w:bookmarkStart w:id="275" w:name="_Toc300934980"/>
      <w:bookmarkStart w:id="276" w:name="_Toc312678020"/>
      <w:bookmarkStart w:id="277" w:name="_Toc296503168"/>
      <w:bookmarkStart w:id="278" w:name="_Toc297216187"/>
      <w:bookmarkStart w:id="279" w:name="_Toc297120468"/>
      <w:bookmarkStart w:id="280" w:name="_Toc297123528"/>
      <w:r>
        <w:rPr>
          <w:rFonts w:hint="eastAsia" w:cs="宋体"/>
          <w:color w:val="auto"/>
          <w:sz w:val="24"/>
          <w:szCs w:val="24"/>
          <w:highlight w:val="none"/>
        </w:rPr>
        <w:t xml:space="preserve">.4.1 </w:t>
      </w:r>
      <w:r>
        <w:rPr>
          <w:rFonts w:hint="eastAsia" w:cs="宋体"/>
          <w:color w:val="auto"/>
          <w:sz w:val="24"/>
          <w:szCs w:val="24"/>
          <w:highlight w:val="none"/>
          <w:lang w:eastAsia="zh-CN"/>
        </w:rPr>
        <w:t>甲方</w:t>
      </w:r>
      <w:r>
        <w:rPr>
          <w:rFonts w:hint="eastAsia" w:cs="宋体"/>
          <w:color w:val="auto"/>
          <w:sz w:val="24"/>
          <w:szCs w:val="24"/>
          <w:highlight w:val="none"/>
        </w:rPr>
        <w:t>供应的材料设备的保管费用的承担：</w:t>
      </w:r>
      <w:r>
        <w:rPr>
          <w:rFonts w:hint="eastAsia" w:cs="宋体"/>
          <w:color w:val="auto"/>
          <w:sz w:val="24"/>
          <w:szCs w:val="24"/>
          <w:highlight w:val="none"/>
          <w:u w:val="single"/>
        </w:rPr>
        <w:t xml:space="preserve"> </w:t>
      </w:r>
      <w:r>
        <w:rPr>
          <w:rFonts w:hint="eastAsia" w:ascii="Times New Roman" w:hAnsi="Times New Roman" w:cs="Times New Roman"/>
          <w:b/>
          <w:color w:val="auto"/>
          <w:kern w:val="2"/>
          <w:sz w:val="24"/>
          <w:szCs w:val="24"/>
          <w:highlight w:val="none"/>
          <w:u w:val="single"/>
          <w:lang w:eastAsia="zh-CN"/>
        </w:rPr>
        <w:t>乙方</w:t>
      </w:r>
      <w:r>
        <w:rPr>
          <w:rFonts w:hint="eastAsia" w:ascii="Times New Roman" w:hAnsi="Times New Roman" w:cs="Times New Roman"/>
          <w:b/>
          <w:color w:val="auto"/>
          <w:kern w:val="2"/>
          <w:sz w:val="24"/>
          <w:szCs w:val="24"/>
          <w:highlight w:val="none"/>
          <w:u w:val="single"/>
        </w:rPr>
        <w:t>承担</w:t>
      </w:r>
      <w:r>
        <w:rPr>
          <w:rFonts w:hint="eastAsia" w:cs="宋体"/>
          <w:color w:val="auto"/>
          <w:sz w:val="24"/>
          <w:szCs w:val="24"/>
          <w:highlight w:val="none"/>
          <w:u w:val="single"/>
        </w:rPr>
        <w:t xml:space="preserve">  </w:t>
      </w:r>
      <w:r>
        <w:rPr>
          <w:rFonts w:hint="eastAsia" w:cs="宋体"/>
          <w:color w:val="auto"/>
          <w:sz w:val="24"/>
          <w:szCs w:val="24"/>
          <w:highlight w:val="none"/>
        </w:rPr>
        <w:t>。</w:t>
      </w:r>
      <w:bookmarkEnd w:id="263"/>
      <w:bookmarkEnd w:id="264"/>
    </w:p>
    <w:p w14:paraId="0F4C943A">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8.6 样品</w:t>
      </w:r>
    </w:p>
    <w:p w14:paraId="79D1FBE4">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8.6.1 样品的报送与封存</w:t>
      </w:r>
    </w:p>
    <w:p w14:paraId="75B0E833">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需要</w:t>
      </w:r>
      <w:r>
        <w:rPr>
          <w:rFonts w:hint="eastAsia" w:cs="宋体"/>
          <w:color w:val="auto"/>
          <w:sz w:val="24"/>
          <w:szCs w:val="24"/>
          <w:highlight w:val="none"/>
          <w:lang w:eastAsia="zh-CN"/>
        </w:rPr>
        <w:t>乙方</w:t>
      </w:r>
      <w:r>
        <w:rPr>
          <w:rFonts w:hint="eastAsia" w:cs="宋体"/>
          <w:color w:val="auto"/>
          <w:sz w:val="24"/>
          <w:szCs w:val="24"/>
          <w:highlight w:val="none"/>
        </w:rPr>
        <w:t>报送样品的材料或工程设备，样品的种类、名称、规格、数量要求：</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2792205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8.8 施工设备和临时设施</w:t>
      </w:r>
    </w:p>
    <w:p w14:paraId="4820EE8C">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8.8.1 </w:t>
      </w:r>
      <w:r>
        <w:rPr>
          <w:rFonts w:hint="eastAsia" w:cs="宋体"/>
          <w:color w:val="auto"/>
          <w:sz w:val="24"/>
          <w:szCs w:val="24"/>
          <w:highlight w:val="none"/>
          <w:lang w:eastAsia="zh-CN"/>
        </w:rPr>
        <w:t>乙方</w:t>
      </w:r>
      <w:r>
        <w:rPr>
          <w:rFonts w:hint="eastAsia" w:cs="宋体"/>
          <w:color w:val="auto"/>
          <w:sz w:val="24"/>
          <w:szCs w:val="24"/>
          <w:highlight w:val="none"/>
        </w:rPr>
        <w:t>提供的施工设备和临时设施</w:t>
      </w:r>
    </w:p>
    <w:p w14:paraId="7AB6E467">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关于修建临时设施费用承担的约定：</w:t>
      </w:r>
      <w:r>
        <w:rPr>
          <w:rFonts w:hint="eastAsia" w:cs="宋体"/>
          <w:color w:val="auto"/>
          <w:sz w:val="24"/>
          <w:szCs w:val="24"/>
          <w:highlight w:val="none"/>
          <w:u w:val="single"/>
        </w:rPr>
        <w:t xml:space="preserve"> </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 xml:space="preserve">承担 </w:t>
      </w:r>
      <w:r>
        <w:rPr>
          <w:rFonts w:hint="eastAsia" w:cs="宋体"/>
          <w:color w:val="auto"/>
          <w:sz w:val="24"/>
          <w:szCs w:val="24"/>
          <w:highlight w:val="none"/>
        </w:rPr>
        <w:t>。</w:t>
      </w:r>
    </w:p>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14:paraId="3F48EC13">
      <w:pPr>
        <w:snapToGrid w:val="0"/>
        <w:spacing w:before="312" w:beforeLines="100" w:after="312" w:afterLines="100" w:line="360" w:lineRule="auto"/>
        <w:outlineLvl w:val="2"/>
        <w:rPr>
          <w:rFonts w:cs="宋体"/>
          <w:color w:val="auto"/>
          <w:sz w:val="24"/>
          <w:szCs w:val="24"/>
          <w:highlight w:val="none"/>
        </w:rPr>
      </w:pPr>
      <w:bookmarkStart w:id="281" w:name="_Toc351203641"/>
      <w:r>
        <w:rPr>
          <w:rFonts w:hint="eastAsia" w:cs="宋体"/>
          <w:color w:val="auto"/>
          <w:sz w:val="24"/>
          <w:szCs w:val="24"/>
          <w:highlight w:val="none"/>
        </w:rPr>
        <w:t>9</w:t>
      </w:r>
      <w:bookmarkEnd w:id="260"/>
      <w:bookmarkEnd w:id="261"/>
      <w:bookmarkEnd w:id="262"/>
      <w:bookmarkStart w:id="282" w:name="_Toc297216192"/>
      <w:bookmarkStart w:id="283" w:name="_Toc303539139"/>
      <w:bookmarkStart w:id="284" w:name="_Toc304295559"/>
      <w:bookmarkStart w:id="285" w:name="_Toc312677495"/>
      <w:bookmarkStart w:id="286" w:name="_Toc312678021"/>
      <w:bookmarkStart w:id="287" w:name="_Toc297123533"/>
      <w:bookmarkStart w:id="288" w:name="_Toc300934982"/>
      <w:bookmarkStart w:id="289" w:name="_Toc296891001"/>
      <w:bookmarkStart w:id="290" w:name="_Toc267251428"/>
      <w:bookmarkStart w:id="291" w:name="_Toc296346674"/>
      <w:bookmarkStart w:id="292" w:name="_Toc296503173"/>
      <w:bookmarkStart w:id="293" w:name="_Toc292559883"/>
      <w:bookmarkStart w:id="294" w:name="_Toc296891213"/>
      <w:bookmarkStart w:id="295" w:name="_Toc267251427"/>
      <w:bookmarkStart w:id="296" w:name="_Toc296347172"/>
      <w:bookmarkStart w:id="297" w:name="_Toc292559378"/>
      <w:bookmarkStart w:id="298" w:name="_Toc297120473"/>
      <w:bookmarkStart w:id="299" w:name="_Toc297048359"/>
      <w:bookmarkStart w:id="300" w:name="_Toc296944512"/>
      <w:r>
        <w:rPr>
          <w:rFonts w:hint="eastAsia" w:cs="宋体"/>
          <w:color w:val="auto"/>
          <w:sz w:val="24"/>
          <w:szCs w:val="24"/>
          <w:highlight w:val="none"/>
        </w:rPr>
        <w:t>. 试验与检验</w:t>
      </w:r>
      <w:bookmarkEnd w:id="281"/>
    </w:p>
    <w:bookmarkEnd w:id="282"/>
    <w:bookmarkEnd w:id="283"/>
    <w:bookmarkEnd w:id="284"/>
    <w:bookmarkEnd w:id="285"/>
    <w:bookmarkEnd w:id="286"/>
    <w:bookmarkEnd w:id="287"/>
    <w:bookmarkEnd w:id="288"/>
    <w:p w14:paraId="5B00274A">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9</w:t>
      </w:r>
      <w:bookmarkStart w:id="301" w:name="_Toc300934983"/>
      <w:bookmarkStart w:id="302" w:name="_Toc297123534"/>
      <w:bookmarkStart w:id="303" w:name="_Toc312677496"/>
      <w:bookmarkStart w:id="304" w:name="_Toc312678022"/>
      <w:bookmarkStart w:id="305" w:name="_Toc304295560"/>
      <w:bookmarkStart w:id="306" w:name="_Toc303539140"/>
      <w:bookmarkStart w:id="307" w:name="_Toc297216193"/>
      <w:r>
        <w:rPr>
          <w:rFonts w:hint="eastAsia" w:cs="宋体"/>
          <w:bCs/>
          <w:color w:val="auto"/>
          <w:sz w:val="24"/>
          <w:szCs w:val="24"/>
          <w:highlight w:val="none"/>
        </w:rPr>
        <w:t>.1 试验设备与试验人员</w:t>
      </w:r>
    </w:p>
    <w:bookmarkEnd w:id="301"/>
    <w:bookmarkEnd w:id="302"/>
    <w:bookmarkEnd w:id="303"/>
    <w:bookmarkEnd w:id="304"/>
    <w:bookmarkEnd w:id="305"/>
    <w:bookmarkEnd w:id="306"/>
    <w:bookmarkEnd w:id="307"/>
    <w:p w14:paraId="6949534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9</w:t>
      </w:r>
      <w:bookmarkStart w:id="308" w:name="_Toc297216194"/>
      <w:bookmarkStart w:id="309" w:name="_Toc312677497"/>
      <w:bookmarkStart w:id="310" w:name="_Toc312678023"/>
      <w:bookmarkStart w:id="311" w:name="_Toc300934984"/>
      <w:bookmarkStart w:id="312" w:name="_Toc304295561"/>
      <w:bookmarkStart w:id="313" w:name="_Toc297123535"/>
      <w:bookmarkStart w:id="314" w:name="_Toc303539141"/>
      <w:bookmarkStart w:id="315" w:name="_Toc318581174"/>
      <w:r>
        <w:rPr>
          <w:rFonts w:hint="eastAsia" w:cs="宋体"/>
          <w:color w:val="auto"/>
          <w:sz w:val="24"/>
          <w:szCs w:val="24"/>
          <w:highlight w:val="none"/>
        </w:rPr>
        <w:t>.1.2 试验设备</w:t>
      </w:r>
    </w:p>
    <w:p w14:paraId="095D98E9">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施工现场需要配置的试验场所</w:t>
      </w:r>
      <w:bookmarkEnd w:id="308"/>
      <w:bookmarkEnd w:id="309"/>
      <w:bookmarkEnd w:id="310"/>
      <w:bookmarkEnd w:id="311"/>
      <w:bookmarkEnd w:id="312"/>
      <w:bookmarkEnd w:id="313"/>
      <w:bookmarkEnd w:id="314"/>
      <w:bookmarkStart w:id="316" w:name="_Toc312677498"/>
      <w:bookmarkStart w:id="317" w:name="_Toc312678024"/>
      <w:bookmarkStart w:id="318" w:name="_Toc303539142"/>
      <w:bookmarkStart w:id="319" w:name="_Toc297216195"/>
      <w:bookmarkStart w:id="320" w:name="_Toc304295562"/>
      <w:bookmarkStart w:id="321" w:name="_Toc300934985"/>
      <w:bookmarkStart w:id="322" w:name="_Toc297123536"/>
      <w:r>
        <w:rPr>
          <w:rFonts w:hint="eastAsia" w:cs="宋体"/>
          <w:color w:val="auto"/>
          <w:sz w:val="24"/>
          <w:szCs w:val="24"/>
          <w:highlight w:val="none"/>
        </w:rPr>
        <w:t xml:space="preserve">：  </w:t>
      </w:r>
      <w:r>
        <w:rPr>
          <w:rFonts w:hint="eastAsia" w:cs="宋体"/>
          <w:color w:val="auto"/>
          <w:sz w:val="24"/>
          <w:szCs w:val="24"/>
          <w:highlight w:val="none"/>
          <w:u w:val="single"/>
        </w:rPr>
        <w:t xml:space="preserve">                                 </w:t>
      </w:r>
      <w:r>
        <w:rPr>
          <w:rFonts w:hint="eastAsia" w:cs="宋体"/>
          <w:color w:val="auto"/>
          <w:sz w:val="24"/>
          <w:szCs w:val="24"/>
          <w:highlight w:val="none"/>
        </w:rPr>
        <w:t>。</w:t>
      </w:r>
    </w:p>
    <w:p w14:paraId="02319C71">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施工现场需要配备的试验设备：</w:t>
      </w:r>
      <w:r>
        <w:rPr>
          <w:rFonts w:hint="eastAsia" w:cs="宋体"/>
          <w:color w:val="auto"/>
          <w:sz w:val="24"/>
          <w:szCs w:val="24"/>
          <w:highlight w:val="none"/>
          <w:u w:val="single"/>
        </w:rPr>
        <w:t xml:space="preserve">                                   </w:t>
      </w:r>
      <w:r>
        <w:rPr>
          <w:rFonts w:hint="eastAsia" w:cs="宋体"/>
          <w:color w:val="auto"/>
          <w:sz w:val="24"/>
          <w:szCs w:val="24"/>
          <w:highlight w:val="none"/>
        </w:rPr>
        <w:t>。</w:t>
      </w:r>
    </w:p>
    <w:p w14:paraId="57335B7A">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施工现场需要具备的其他试验条件：</w:t>
      </w:r>
      <w:r>
        <w:rPr>
          <w:rFonts w:hint="eastAsia" w:cs="宋体"/>
          <w:color w:val="auto"/>
          <w:sz w:val="24"/>
          <w:szCs w:val="24"/>
          <w:highlight w:val="none"/>
          <w:u w:val="single"/>
        </w:rPr>
        <w:t xml:space="preserve">                               </w:t>
      </w:r>
      <w:r>
        <w:rPr>
          <w:rFonts w:hint="eastAsia" w:cs="宋体"/>
          <w:color w:val="auto"/>
          <w:sz w:val="24"/>
          <w:szCs w:val="24"/>
          <w:highlight w:val="none"/>
        </w:rPr>
        <w:t>。</w:t>
      </w:r>
    </w:p>
    <w:p w14:paraId="5EF15D31">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 xml:space="preserve">9.4 现场工艺试验 </w:t>
      </w:r>
    </w:p>
    <w:p w14:paraId="106F879B">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现场工艺试验的有关约定：</w:t>
      </w:r>
      <w:r>
        <w:rPr>
          <w:rFonts w:hint="eastAsia" w:cs="宋体"/>
          <w:color w:val="auto"/>
          <w:sz w:val="24"/>
          <w:szCs w:val="24"/>
          <w:highlight w:val="none"/>
          <w:u w:val="single"/>
        </w:rPr>
        <w:t xml:space="preserve">                                       </w:t>
      </w:r>
      <w:r>
        <w:rPr>
          <w:rFonts w:hint="eastAsia" w:cs="宋体"/>
          <w:color w:val="auto"/>
          <w:sz w:val="24"/>
          <w:szCs w:val="24"/>
          <w:highlight w:val="none"/>
        </w:rPr>
        <w:t>。</w:t>
      </w:r>
    </w:p>
    <w:bookmarkEnd w:id="315"/>
    <w:bookmarkEnd w:id="316"/>
    <w:bookmarkEnd w:id="317"/>
    <w:bookmarkEnd w:id="318"/>
    <w:bookmarkEnd w:id="319"/>
    <w:bookmarkEnd w:id="320"/>
    <w:bookmarkEnd w:id="321"/>
    <w:bookmarkEnd w:id="322"/>
    <w:p w14:paraId="7B5D16B6">
      <w:pPr>
        <w:snapToGrid w:val="0"/>
        <w:spacing w:before="312" w:beforeLines="100" w:after="312" w:afterLines="100" w:line="360" w:lineRule="auto"/>
        <w:outlineLvl w:val="2"/>
        <w:rPr>
          <w:rFonts w:cs="宋体"/>
          <w:color w:val="auto"/>
          <w:sz w:val="24"/>
          <w:szCs w:val="24"/>
          <w:highlight w:val="none"/>
        </w:rPr>
      </w:pPr>
      <w:bookmarkStart w:id="323" w:name="_Toc351203642"/>
      <w:r>
        <w:rPr>
          <w:rFonts w:hint="eastAsia" w:cs="宋体"/>
          <w:color w:val="auto"/>
          <w:sz w:val="24"/>
          <w:szCs w:val="24"/>
          <w:highlight w:val="none"/>
        </w:rPr>
        <w:t>1</w:t>
      </w:r>
      <w:bookmarkEnd w:id="289"/>
      <w:bookmarkEnd w:id="290"/>
      <w:bookmarkEnd w:id="291"/>
      <w:bookmarkEnd w:id="292"/>
      <w:bookmarkEnd w:id="293"/>
      <w:bookmarkEnd w:id="294"/>
      <w:bookmarkEnd w:id="295"/>
      <w:bookmarkEnd w:id="296"/>
      <w:bookmarkEnd w:id="297"/>
      <w:bookmarkEnd w:id="298"/>
      <w:bookmarkEnd w:id="299"/>
      <w:bookmarkEnd w:id="300"/>
      <w:bookmarkStart w:id="324" w:name="_Toc297048379"/>
      <w:bookmarkStart w:id="325" w:name="_Toc297216199"/>
      <w:bookmarkStart w:id="326" w:name="_Toc292559398"/>
      <w:bookmarkStart w:id="327" w:name="_Toc297120493"/>
      <w:bookmarkStart w:id="328" w:name="_Toc292559903"/>
      <w:bookmarkStart w:id="329" w:name="_Toc304295566"/>
      <w:bookmarkStart w:id="330" w:name="_Toc296347192"/>
      <w:bookmarkStart w:id="331" w:name="_Toc296346694"/>
      <w:bookmarkStart w:id="332" w:name="_Toc296944532"/>
      <w:bookmarkStart w:id="333" w:name="_Toc297123540"/>
      <w:bookmarkStart w:id="334" w:name="_Toc303539146"/>
      <w:bookmarkStart w:id="335" w:name="_Toc300934989"/>
      <w:bookmarkStart w:id="336" w:name="_Toc296891021"/>
      <w:bookmarkStart w:id="337" w:name="_Toc296891233"/>
      <w:bookmarkStart w:id="338" w:name="_Toc296503193"/>
      <w:bookmarkStart w:id="339" w:name="_Toc312678025"/>
      <w:bookmarkStart w:id="340" w:name="_Toc312677499"/>
      <w:bookmarkStart w:id="341" w:name="_Toc267251441"/>
      <w:bookmarkStart w:id="342" w:name="_Toc267251440"/>
      <w:bookmarkStart w:id="343" w:name="_Toc267251433"/>
      <w:bookmarkStart w:id="344" w:name="_Toc267251439"/>
      <w:bookmarkStart w:id="345" w:name="_Toc267251435"/>
      <w:bookmarkStart w:id="346" w:name="_Toc267251437"/>
      <w:bookmarkStart w:id="347" w:name="_Toc267251442"/>
      <w:r>
        <w:rPr>
          <w:rFonts w:hint="eastAsia" w:cs="宋体"/>
          <w:color w:val="auto"/>
          <w:sz w:val="24"/>
          <w:szCs w:val="24"/>
          <w:highlight w:val="none"/>
        </w:rPr>
        <w:t>0. 变更</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bookmarkEnd w:id="339"/>
    <w:bookmarkEnd w:id="340"/>
    <w:p w14:paraId="1100D437">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w:t>
      </w:r>
      <w:bookmarkStart w:id="348" w:name="_Toc292559904"/>
      <w:bookmarkStart w:id="349" w:name="_Toc304295567"/>
      <w:bookmarkStart w:id="350" w:name="_Toc296347193"/>
      <w:bookmarkStart w:id="351" w:name="_Toc296346695"/>
      <w:bookmarkStart w:id="352" w:name="_Toc296891234"/>
      <w:bookmarkStart w:id="353" w:name="_Toc296503194"/>
      <w:bookmarkStart w:id="354" w:name="_Toc297120494"/>
      <w:bookmarkStart w:id="355" w:name="_Toc312678026"/>
      <w:bookmarkStart w:id="356" w:name="_Toc303539147"/>
      <w:bookmarkStart w:id="357" w:name="_Toc300934990"/>
      <w:bookmarkStart w:id="358" w:name="_Toc296944533"/>
      <w:bookmarkStart w:id="359" w:name="_Toc292559399"/>
      <w:bookmarkStart w:id="360" w:name="_Toc297123541"/>
      <w:bookmarkStart w:id="361" w:name="_Toc297048380"/>
      <w:bookmarkStart w:id="362" w:name="_Toc312677500"/>
      <w:bookmarkStart w:id="363" w:name="_Toc296891022"/>
      <w:bookmarkStart w:id="364" w:name="_Toc297216200"/>
      <w:r>
        <w:rPr>
          <w:rFonts w:hint="eastAsia" w:cs="宋体"/>
          <w:bCs/>
          <w:color w:val="auto"/>
          <w:sz w:val="24"/>
          <w:szCs w:val="24"/>
          <w:highlight w:val="none"/>
        </w:rPr>
        <w:t>0.1 变更的范围</w:t>
      </w:r>
    </w:p>
    <w:p w14:paraId="7275BC67">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关于变更的范围的约定：</w:t>
      </w:r>
      <w:r>
        <w:rPr>
          <w:rFonts w:hint="eastAsia" w:cs="宋体"/>
          <w:color w:val="auto"/>
          <w:sz w:val="24"/>
          <w:szCs w:val="24"/>
          <w:highlight w:val="none"/>
          <w:u w:val="single"/>
        </w:rPr>
        <w:t xml:space="preserve">        </w:t>
      </w:r>
      <w:r>
        <w:rPr>
          <w:rFonts w:hint="eastAsia" w:cs="宋体"/>
          <w:color w:val="auto"/>
          <w:sz w:val="24"/>
          <w:szCs w:val="24"/>
          <w:highlight w:val="none"/>
        </w:rPr>
        <w:t>。</w:t>
      </w:r>
    </w:p>
    <w:p w14:paraId="42FE04B8">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10.4 变更估价</w:t>
      </w:r>
    </w:p>
    <w:p w14:paraId="39A166A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10.4.1 变更估价原则</w:t>
      </w:r>
    </w:p>
    <w:p w14:paraId="6FF729B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关于变更估价的约定：</w:t>
      </w:r>
    </w:p>
    <w:p w14:paraId="148365A6">
      <w:pPr>
        <w:adjustRightInd w:val="0"/>
        <w:snapToGrid w:val="0"/>
        <w:spacing w:line="360" w:lineRule="auto"/>
        <w:ind w:firstLine="482" w:firstLineChars="200"/>
        <w:rPr>
          <w:rFonts w:cs="宋体"/>
          <w:b/>
          <w:color w:val="auto"/>
          <w:sz w:val="24"/>
          <w:szCs w:val="24"/>
          <w:highlight w:val="none"/>
        </w:rPr>
      </w:pPr>
      <w:r>
        <w:rPr>
          <w:rFonts w:hint="eastAsia" w:cs="宋体"/>
          <w:b/>
          <w:color w:val="auto"/>
          <w:sz w:val="24"/>
          <w:szCs w:val="24"/>
          <w:highlight w:val="none"/>
        </w:rPr>
        <w:t>10.4.1.1 因工程变更引起已标价工程量清单项目或其工程数量发生变化时，按下列规定调整：</w:t>
      </w:r>
    </w:p>
    <w:p w14:paraId="439EB6CC">
      <w:pPr>
        <w:adjustRightInd w:val="0"/>
        <w:snapToGrid w:val="0"/>
        <w:spacing w:line="360" w:lineRule="auto"/>
        <w:ind w:firstLine="482" w:firstLineChars="200"/>
        <w:rPr>
          <w:rFonts w:hint="eastAsia" w:cs="宋体"/>
          <w:b/>
          <w:color w:val="auto"/>
          <w:sz w:val="24"/>
          <w:szCs w:val="24"/>
          <w:highlight w:val="none"/>
          <w:u w:val="single"/>
          <w:lang w:eastAsia="zh-CN"/>
        </w:rPr>
      </w:pPr>
      <w:r>
        <w:rPr>
          <w:rFonts w:hint="eastAsia" w:cs="宋体"/>
          <w:b/>
          <w:color w:val="auto"/>
          <w:sz w:val="24"/>
          <w:szCs w:val="24"/>
          <w:highlight w:val="none"/>
          <w:u w:val="single"/>
        </w:rPr>
        <w:t>（</w:t>
      </w:r>
      <w:r>
        <w:rPr>
          <w:rFonts w:hint="eastAsia" w:cs="宋体"/>
          <w:b/>
          <w:color w:val="auto"/>
          <w:sz w:val="24"/>
          <w:szCs w:val="24"/>
          <w:highlight w:val="none"/>
          <w:u w:val="single"/>
          <w:lang w:val="en-US" w:eastAsia="zh-CN"/>
        </w:rPr>
        <w:t>1</w:t>
      </w:r>
      <w:r>
        <w:rPr>
          <w:rFonts w:hint="eastAsia" w:cs="宋体"/>
          <w:b/>
          <w:color w:val="auto"/>
          <w:sz w:val="24"/>
          <w:szCs w:val="24"/>
          <w:highlight w:val="none"/>
          <w:u w:val="single"/>
        </w:rPr>
        <w:t>）已标价工程量清单中有适用于变更工程项目的，采用该项目的单价</w:t>
      </w:r>
      <w:r>
        <w:rPr>
          <w:rFonts w:hint="eastAsia" w:cs="宋体"/>
          <w:b/>
          <w:color w:val="auto"/>
          <w:sz w:val="24"/>
          <w:szCs w:val="24"/>
          <w:highlight w:val="none"/>
          <w:u w:val="single"/>
          <w:lang w:eastAsia="zh-CN"/>
        </w:rPr>
        <w:t>。</w:t>
      </w:r>
    </w:p>
    <w:p w14:paraId="1872907A">
      <w:pPr>
        <w:adjustRightInd w:val="0"/>
        <w:snapToGrid w:val="0"/>
        <w:spacing w:line="360" w:lineRule="auto"/>
        <w:ind w:firstLine="482" w:firstLineChars="200"/>
        <w:rPr>
          <w:rFonts w:hint="eastAsia" w:cs="宋体"/>
          <w:b/>
          <w:color w:val="auto"/>
          <w:sz w:val="24"/>
          <w:szCs w:val="24"/>
          <w:highlight w:val="none"/>
          <w:u w:val="single"/>
        </w:rPr>
      </w:pPr>
      <w:r>
        <w:rPr>
          <w:rFonts w:hint="eastAsia" w:cs="宋体"/>
          <w:b/>
          <w:color w:val="auto"/>
          <w:sz w:val="24"/>
          <w:szCs w:val="24"/>
          <w:highlight w:val="none"/>
          <w:u w:val="single"/>
        </w:rPr>
        <w:t>（2）已标价工程量清单中没有适用但有类似于变更工程项目的，可在合理范围内参照类似项目的单价。</w:t>
      </w:r>
    </w:p>
    <w:p w14:paraId="14E9A01C">
      <w:pPr>
        <w:adjustRightInd w:val="0"/>
        <w:snapToGrid w:val="0"/>
        <w:spacing w:line="360" w:lineRule="auto"/>
        <w:ind w:firstLine="482" w:firstLineChars="200"/>
        <w:rPr>
          <w:rFonts w:cs="宋体"/>
          <w:b/>
          <w:color w:val="auto"/>
          <w:sz w:val="24"/>
          <w:szCs w:val="24"/>
          <w:highlight w:val="none"/>
          <w:u w:val="single"/>
        </w:rPr>
      </w:pPr>
      <w:r>
        <w:rPr>
          <w:rFonts w:hint="eastAsia" w:cs="宋体"/>
          <w:b/>
          <w:color w:val="auto"/>
          <w:sz w:val="24"/>
          <w:szCs w:val="24"/>
          <w:highlight w:val="none"/>
          <w:u w:val="single"/>
        </w:rPr>
        <w:t>（3）已标价工程量清单中没有适用也没有类似于变更工程项目的，由</w:t>
      </w:r>
      <w:r>
        <w:rPr>
          <w:rFonts w:hint="eastAsia" w:cs="宋体"/>
          <w:b/>
          <w:color w:val="auto"/>
          <w:sz w:val="24"/>
          <w:szCs w:val="24"/>
          <w:highlight w:val="none"/>
          <w:u w:val="single"/>
          <w:lang w:eastAsia="zh-CN"/>
        </w:rPr>
        <w:t>乙方</w:t>
      </w:r>
      <w:r>
        <w:rPr>
          <w:rFonts w:hint="eastAsia" w:cs="宋体"/>
          <w:b/>
          <w:color w:val="auto"/>
          <w:sz w:val="24"/>
          <w:szCs w:val="24"/>
          <w:highlight w:val="none"/>
          <w:u w:val="single"/>
        </w:rPr>
        <w:t>根据变更工程资料、招标时的计量规则和计价办法、当期的工程造价管理机构发布的信息价格和</w:t>
      </w:r>
      <w:r>
        <w:rPr>
          <w:rFonts w:hint="eastAsia" w:cs="宋体"/>
          <w:b/>
          <w:color w:val="auto"/>
          <w:sz w:val="24"/>
          <w:szCs w:val="24"/>
          <w:highlight w:val="none"/>
          <w:u w:val="single"/>
          <w:lang w:eastAsia="zh-CN"/>
        </w:rPr>
        <w:t>乙方</w:t>
      </w:r>
      <w:r>
        <w:rPr>
          <w:rFonts w:hint="eastAsia" w:cs="宋体"/>
          <w:b/>
          <w:color w:val="auto"/>
          <w:sz w:val="24"/>
          <w:szCs w:val="24"/>
          <w:highlight w:val="none"/>
          <w:u w:val="single"/>
        </w:rPr>
        <w:t>报价浮动率提出变更工程项目的单价，报</w:t>
      </w:r>
      <w:r>
        <w:rPr>
          <w:rFonts w:hint="eastAsia" w:cs="宋体"/>
          <w:b/>
          <w:color w:val="auto"/>
          <w:sz w:val="24"/>
          <w:szCs w:val="24"/>
          <w:highlight w:val="none"/>
          <w:u w:val="single"/>
          <w:lang w:eastAsia="zh-CN"/>
        </w:rPr>
        <w:t>甲方</w:t>
      </w:r>
      <w:r>
        <w:rPr>
          <w:rFonts w:hint="eastAsia" w:cs="宋体"/>
          <w:b/>
          <w:color w:val="auto"/>
          <w:sz w:val="24"/>
          <w:szCs w:val="24"/>
          <w:highlight w:val="none"/>
          <w:u w:val="single"/>
        </w:rPr>
        <w:t xml:space="preserve">确认后调整； </w:t>
      </w:r>
    </w:p>
    <w:p w14:paraId="4601B36B">
      <w:pPr>
        <w:adjustRightInd w:val="0"/>
        <w:snapToGrid w:val="0"/>
        <w:spacing w:line="360" w:lineRule="auto"/>
        <w:ind w:firstLine="482" w:firstLineChars="200"/>
        <w:rPr>
          <w:rFonts w:cs="宋体"/>
          <w:b/>
          <w:color w:val="auto"/>
          <w:sz w:val="24"/>
          <w:szCs w:val="24"/>
          <w:highlight w:val="none"/>
          <w:u w:val="single"/>
        </w:rPr>
      </w:pPr>
      <w:r>
        <w:rPr>
          <w:rFonts w:hint="eastAsia" w:cs="宋体"/>
          <w:b/>
          <w:color w:val="auto"/>
          <w:sz w:val="24"/>
          <w:szCs w:val="24"/>
          <w:highlight w:val="none"/>
          <w:u w:val="single"/>
        </w:rPr>
        <w:t>（4）已标价工程量清单中没有适用也没有类似于变更工程项目的，且工程造价管理机构发布的信息价缺价的，由</w:t>
      </w:r>
      <w:r>
        <w:rPr>
          <w:rFonts w:hint="eastAsia" w:cs="宋体"/>
          <w:b/>
          <w:color w:val="auto"/>
          <w:sz w:val="24"/>
          <w:szCs w:val="24"/>
          <w:highlight w:val="none"/>
          <w:u w:val="single"/>
          <w:lang w:eastAsia="zh-CN"/>
        </w:rPr>
        <w:t>乙方</w:t>
      </w:r>
      <w:r>
        <w:rPr>
          <w:rFonts w:hint="eastAsia" w:cs="宋体"/>
          <w:b/>
          <w:color w:val="auto"/>
          <w:sz w:val="24"/>
          <w:szCs w:val="24"/>
          <w:highlight w:val="none"/>
          <w:u w:val="single"/>
        </w:rPr>
        <w:t>根据变更工程资料、招标时的计量规则和计价办法和通过市场调查等取得有合法依据的市场价格和</w:t>
      </w:r>
      <w:r>
        <w:rPr>
          <w:rFonts w:hint="eastAsia" w:cs="宋体"/>
          <w:b/>
          <w:color w:val="auto"/>
          <w:sz w:val="24"/>
          <w:szCs w:val="24"/>
          <w:highlight w:val="none"/>
          <w:u w:val="single"/>
          <w:lang w:eastAsia="zh-CN"/>
        </w:rPr>
        <w:t>乙方</w:t>
      </w:r>
      <w:r>
        <w:rPr>
          <w:rFonts w:hint="eastAsia" w:cs="宋体"/>
          <w:b/>
          <w:color w:val="auto"/>
          <w:sz w:val="24"/>
          <w:szCs w:val="24"/>
          <w:highlight w:val="none"/>
          <w:u w:val="single"/>
        </w:rPr>
        <w:t>报价浮动率提出变更工程项目的单价，报</w:t>
      </w:r>
      <w:r>
        <w:rPr>
          <w:rFonts w:hint="eastAsia" w:cs="宋体"/>
          <w:b/>
          <w:color w:val="auto"/>
          <w:sz w:val="24"/>
          <w:szCs w:val="24"/>
          <w:highlight w:val="none"/>
          <w:u w:val="single"/>
          <w:lang w:eastAsia="zh-CN"/>
        </w:rPr>
        <w:t>甲方</w:t>
      </w:r>
      <w:r>
        <w:rPr>
          <w:rFonts w:hint="eastAsia" w:cs="宋体"/>
          <w:b/>
          <w:color w:val="auto"/>
          <w:sz w:val="24"/>
          <w:szCs w:val="24"/>
          <w:highlight w:val="none"/>
          <w:u w:val="single"/>
        </w:rPr>
        <w:t xml:space="preserve">确认后调整。 </w:t>
      </w:r>
    </w:p>
    <w:p w14:paraId="7AF0FCDD">
      <w:pPr>
        <w:adjustRightInd w:val="0"/>
        <w:snapToGrid w:val="0"/>
        <w:spacing w:before="93" w:beforeLines="30" w:line="360" w:lineRule="auto"/>
        <w:ind w:firstLine="482" w:firstLineChars="200"/>
        <w:rPr>
          <w:rFonts w:cs="宋体"/>
          <w:b/>
          <w:color w:val="auto"/>
          <w:sz w:val="24"/>
          <w:szCs w:val="24"/>
          <w:highlight w:val="none"/>
        </w:rPr>
      </w:pPr>
      <w:r>
        <w:rPr>
          <w:rFonts w:hint="eastAsia" w:cs="宋体"/>
          <w:b/>
          <w:color w:val="auto"/>
          <w:sz w:val="24"/>
          <w:szCs w:val="24"/>
          <w:highlight w:val="none"/>
        </w:rPr>
        <w:t>10.4.1.2 工程变更引起施工方案改变并使措施项目发生变化时，</w:t>
      </w:r>
      <w:r>
        <w:rPr>
          <w:rFonts w:hint="eastAsia" w:cs="宋体"/>
          <w:b/>
          <w:color w:val="auto"/>
          <w:sz w:val="24"/>
          <w:szCs w:val="24"/>
          <w:highlight w:val="none"/>
          <w:lang w:eastAsia="zh-CN"/>
        </w:rPr>
        <w:t>乙方</w:t>
      </w:r>
      <w:r>
        <w:rPr>
          <w:rFonts w:hint="eastAsia" w:cs="宋体"/>
          <w:b/>
          <w:color w:val="auto"/>
          <w:sz w:val="24"/>
          <w:szCs w:val="24"/>
          <w:highlight w:val="none"/>
        </w:rPr>
        <w:t>提出调整措施项目费的，应事前将拟实施的方案提交</w:t>
      </w:r>
      <w:r>
        <w:rPr>
          <w:rFonts w:hint="eastAsia" w:cs="宋体"/>
          <w:b/>
          <w:color w:val="auto"/>
          <w:sz w:val="24"/>
          <w:szCs w:val="24"/>
          <w:highlight w:val="none"/>
          <w:lang w:eastAsia="zh-CN"/>
        </w:rPr>
        <w:t>甲方</w:t>
      </w:r>
      <w:r>
        <w:rPr>
          <w:rFonts w:hint="eastAsia" w:cs="宋体"/>
          <w:b/>
          <w:color w:val="auto"/>
          <w:sz w:val="24"/>
          <w:szCs w:val="24"/>
          <w:highlight w:val="none"/>
        </w:rPr>
        <w:t>确认，并应详细说明与原方案措施项目相比的变化情况。拟实施的方案经发承包双方确认后执行，并应按照下列规定调整措施项目费：</w:t>
      </w:r>
    </w:p>
    <w:p w14:paraId="3859A405">
      <w:pPr>
        <w:adjustRightInd w:val="0"/>
        <w:snapToGrid w:val="0"/>
        <w:spacing w:before="93" w:beforeLines="30" w:line="360" w:lineRule="auto"/>
        <w:ind w:firstLine="482" w:firstLineChars="200"/>
        <w:rPr>
          <w:rFonts w:cs="宋体"/>
          <w:b/>
          <w:color w:val="auto"/>
          <w:sz w:val="24"/>
          <w:szCs w:val="24"/>
          <w:highlight w:val="none"/>
          <w:u w:val="single"/>
        </w:rPr>
      </w:pPr>
      <w:r>
        <w:rPr>
          <w:rFonts w:hint="eastAsia" w:cs="宋体"/>
          <w:b/>
          <w:color w:val="auto"/>
          <w:sz w:val="24"/>
          <w:szCs w:val="24"/>
          <w:highlight w:val="none"/>
          <w:u w:val="single"/>
        </w:rPr>
        <w:t>（1）按照费率计算的措施费，应按照实际发生变化的措施项目依据原</w:t>
      </w:r>
      <w:r>
        <w:rPr>
          <w:rFonts w:hint="eastAsia" w:cs="宋体"/>
          <w:b/>
          <w:color w:val="auto"/>
          <w:sz w:val="24"/>
          <w:szCs w:val="24"/>
          <w:highlight w:val="none"/>
          <w:u w:val="single"/>
          <w:lang w:val="en-US" w:eastAsia="zh-CN"/>
        </w:rPr>
        <w:t>采购</w:t>
      </w:r>
      <w:r>
        <w:rPr>
          <w:rFonts w:hint="eastAsia" w:cs="宋体"/>
          <w:b/>
          <w:color w:val="auto"/>
          <w:sz w:val="24"/>
          <w:szCs w:val="24"/>
          <w:highlight w:val="none"/>
          <w:u w:val="single"/>
        </w:rPr>
        <w:t>文件规定的费率计算；</w:t>
      </w:r>
    </w:p>
    <w:p w14:paraId="30B4D60D">
      <w:pPr>
        <w:adjustRightInd w:val="0"/>
        <w:snapToGrid w:val="0"/>
        <w:spacing w:before="93" w:beforeLines="30" w:line="360" w:lineRule="auto"/>
        <w:ind w:firstLine="482" w:firstLineChars="200"/>
        <w:jc w:val="left"/>
        <w:rPr>
          <w:rFonts w:cs="宋体"/>
          <w:b/>
          <w:color w:val="auto"/>
          <w:sz w:val="24"/>
          <w:szCs w:val="24"/>
          <w:highlight w:val="none"/>
          <w:u w:val="single"/>
        </w:rPr>
      </w:pPr>
      <w:r>
        <w:rPr>
          <w:rFonts w:hint="eastAsia" w:cs="宋体"/>
          <w:b/>
          <w:color w:val="auto"/>
          <w:sz w:val="24"/>
          <w:szCs w:val="24"/>
          <w:highlight w:val="none"/>
          <w:u w:val="single"/>
        </w:rPr>
        <w:t>（2）按照单价计算的措施项目费，应按照实际发生变化的措施项目，按本合同专业条款第10.4.1.1目计算；</w:t>
      </w:r>
    </w:p>
    <w:p w14:paraId="18C997FC">
      <w:pPr>
        <w:adjustRightInd w:val="0"/>
        <w:snapToGrid w:val="0"/>
        <w:spacing w:before="93" w:beforeLines="30" w:line="360" w:lineRule="auto"/>
        <w:ind w:firstLine="482" w:firstLineChars="200"/>
        <w:rPr>
          <w:rFonts w:cs="宋体"/>
          <w:b/>
          <w:color w:val="auto"/>
          <w:sz w:val="24"/>
          <w:szCs w:val="24"/>
          <w:highlight w:val="none"/>
          <w:u w:val="single"/>
        </w:rPr>
      </w:pPr>
      <w:r>
        <w:rPr>
          <w:rFonts w:hint="eastAsia" w:cs="宋体"/>
          <w:b/>
          <w:color w:val="auto"/>
          <w:sz w:val="24"/>
          <w:szCs w:val="24"/>
          <w:highlight w:val="none"/>
          <w:u w:val="single"/>
        </w:rPr>
        <w:t>（3）按总价（或系数）计算的措施项目费，应按照实际发生变化的措施项目和</w:t>
      </w:r>
      <w:r>
        <w:rPr>
          <w:rFonts w:hint="eastAsia" w:cs="宋体"/>
          <w:b/>
          <w:color w:val="auto"/>
          <w:sz w:val="24"/>
          <w:szCs w:val="24"/>
          <w:highlight w:val="none"/>
          <w:u w:val="single"/>
          <w:lang w:eastAsia="zh-CN"/>
        </w:rPr>
        <w:t>乙方</w:t>
      </w:r>
      <w:r>
        <w:rPr>
          <w:rFonts w:hint="eastAsia" w:cs="宋体"/>
          <w:b/>
          <w:color w:val="auto"/>
          <w:sz w:val="24"/>
          <w:szCs w:val="24"/>
          <w:highlight w:val="none"/>
          <w:u w:val="single"/>
        </w:rPr>
        <w:t>报价浮动率同比下浮标准，提出新的措施项目费，作为结算的依据；</w:t>
      </w:r>
    </w:p>
    <w:p w14:paraId="03674837">
      <w:pPr>
        <w:adjustRightInd w:val="0"/>
        <w:snapToGrid w:val="0"/>
        <w:spacing w:before="93" w:beforeLines="30" w:line="360" w:lineRule="auto"/>
        <w:ind w:firstLine="482" w:firstLineChars="200"/>
        <w:rPr>
          <w:rFonts w:cs="宋体"/>
          <w:b/>
          <w:strike/>
          <w:color w:val="auto"/>
          <w:sz w:val="24"/>
          <w:szCs w:val="24"/>
          <w:highlight w:val="none"/>
          <w:u w:val="single"/>
        </w:rPr>
      </w:pPr>
      <w:r>
        <w:rPr>
          <w:rFonts w:hint="eastAsia" w:cs="宋体"/>
          <w:b/>
          <w:color w:val="auto"/>
          <w:sz w:val="24"/>
          <w:szCs w:val="24"/>
          <w:highlight w:val="none"/>
          <w:u w:val="single"/>
        </w:rPr>
        <w:t>（4）如果</w:t>
      </w:r>
      <w:r>
        <w:rPr>
          <w:rFonts w:hint="eastAsia" w:cs="宋体"/>
          <w:b/>
          <w:color w:val="auto"/>
          <w:sz w:val="24"/>
          <w:szCs w:val="24"/>
          <w:highlight w:val="none"/>
          <w:u w:val="single"/>
          <w:lang w:eastAsia="zh-CN"/>
        </w:rPr>
        <w:t>乙方</w:t>
      </w:r>
      <w:r>
        <w:rPr>
          <w:rFonts w:hint="eastAsia" w:cs="宋体"/>
          <w:b/>
          <w:color w:val="auto"/>
          <w:sz w:val="24"/>
          <w:szCs w:val="24"/>
          <w:highlight w:val="none"/>
          <w:u w:val="single"/>
        </w:rPr>
        <w:t>未事前将拟实施的方案提交给</w:t>
      </w:r>
      <w:r>
        <w:rPr>
          <w:rFonts w:hint="eastAsia" w:cs="宋体"/>
          <w:b/>
          <w:color w:val="auto"/>
          <w:sz w:val="24"/>
          <w:szCs w:val="24"/>
          <w:highlight w:val="none"/>
          <w:u w:val="single"/>
          <w:lang w:eastAsia="zh-CN"/>
        </w:rPr>
        <w:t>甲方</w:t>
      </w:r>
      <w:r>
        <w:rPr>
          <w:rFonts w:hint="eastAsia" w:cs="宋体"/>
          <w:b/>
          <w:color w:val="auto"/>
          <w:sz w:val="24"/>
          <w:szCs w:val="24"/>
          <w:highlight w:val="none"/>
          <w:u w:val="single"/>
        </w:rPr>
        <w:t>确认，则应视为工程变更不引起措施项目费的调整或</w:t>
      </w:r>
      <w:r>
        <w:rPr>
          <w:rFonts w:hint="eastAsia" w:cs="宋体"/>
          <w:b/>
          <w:color w:val="auto"/>
          <w:sz w:val="24"/>
          <w:szCs w:val="24"/>
          <w:highlight w:val="none"/>
          <w:u w:val="single"/>
          <w:lang w:eastAsia="zh-CN"/>
        </w:rPr>
        <w:t>乙方</w:t>
      </w:r>
      <w:r>
        <w:rPr>
          <w:rFonts w:hint="eastAsia" w:cs="宋体"/>
          <w:b/>
          <w:color w:val="auto"/>
          <w:sz w:val="24"/>
          <w:szCs w:val="24"/>
          <w:highlight w:val="none"/>
          <w:u w:val="single"/>
        </w:rPr>
        <w:t>放弃调整措施项目费的权利。</w:t>
      </w:r>
    </w:p>
    <w:p w14:paraId="44769C7C">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Start w:id="365" w:name="_Toc296944536"/>
      <w:bookmarkStart w:id="366" w:name="_Toc297123544"/>
      <w:bookmarkStart w:id="367" w:name="_Toc296891237"/>
      <w:bookmarkStart w:id="368" w:name="_Toc292559402"/>
      <w:bookmarkStart w:id="369" w:name="_Toc292559907"/>
      <w:bookmarkStart w:id="370" w:name="_Toc303539150"/>
      <w:bookmarkStart w:id="371" w:name="_Toc296503197"/>
      <w:bookmarkStart w:id="372" w:name="_Toc297216203"/>
      <w:bookmarkStart w:id="373" w:name="_Toc296891025"/>
      <w:bookmarkStart w:id="374" w:name="_Toc300934993"/>
      <w:bookmarkStart w:id="375" w:name="_Toc296346698"/>
      <w:bookmarkStart w:id="376" w:name="_Toc297120497"/>
      <w:bookmarkStart w:id="377" w:name="_Toc297048383"/>
      <w:bookmarkStart w:id="378" w:name="_Toc296347196"/>
      <w:bookmarkStart w:id="379" w:name="_Toc312677503"/>
      <w:bookmarkStart w:id="380" w:name="_Toc304295570"/>
      <w:bookmarkStart w:id="381" w:name="_Toc312678029"/>
      <w:r>
        <w:rPr>
          <w:rFonts w:hint="eastAsia" w:cs="宋体"/>
          <w:bCs/>
          <w:color w:val="auto"/>
          <w:sz w:val="24"/>
          <w:szCs w:val="24"/>
          <w:highlight w:val="none"/>
        </w:rPr>
        <w:t xml:space="preserve">0.5 </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Start w:id="382" w:name="_Toc296503203"/>
      <w:bookmarkStart w:id="383" w:name="_Toc296346704"/>
      <w:bookmarkStart w:id="384" w:name="_Toc297123545"/>
      <w:bookmarkStart w:id="385" w:name="_Toc296347202"/>
      <w:bookmarkStart w:id="386" w:name="_Toc292559408"/>
      <w:bookmarkStart w:id="387" w:name="_Toc300934994"/>
      <w:bookmarkStart w:id="388" w:name="_Toc296944542"/>
      <w:bookmarkStart w:id="389" w:name="_Toc303539151"/>
      <w:bookmarkStart w:id="390" w:name="_Toc297216204"/>
      <w:bookmarkStart w:id="391" w:name="_Toc297048389"/>
      <w:bookmarkStart w:id="392" w:name="_Toc296891243"/>
      <w:bookmarkStart w:id="393" w:name="_Toc292559913"/>
      <w:bookmarkStart w:id="394" w:name="_Toc297120503"/>
      <w:bookmarkStart w:id="395" w:name="_Toc296891031"/>
      <w:r>
        <w:rPr>
          <w:rFonts w:hint="eastAsia" w:cs="宋体"/>
          <w:bCs/>
          <w:color w:val="auto"/>
          <w:sz w:val="24"/>
          <w:szCs w:val="24"/>
          <w:highlight w:val="none"/>
          <w:lang w:eastAsia="zh-CN"/>
        </w:rPr>
        <w:t>乙方</w:t>
      </w:r>
      <w:r>
        <w:rPr>
          <w:rFonts w:hint="eastAsia" w:cs="宋体"/>
          <w:bCs/>
          <w:color w:val="auto"/>
          <w:sz w:val="24"/>
          <w:szCs w:val="24"/>
          <w:highlight w:val="none"/>
        </w:rPr>
        <w:t>的合理化建议</w:t>
      </w:r>
    </w:p>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14:paraId="00E86869">
      <w:pPr>
        <w:adjustRightInd w:val="0"/>
        <w:snapToGrid w:val="0"/>
        <w:spacing w:line="360" w:lineRule="auto"/>
        <w:ind w:firstLine="480" w:firstLineChars="200"/>
        <w:rPr>
          <w:rFonts w:cs="宋体"/>
          <w:color w:val="auto"/>
          <w:sz w:val="24"/>
          <w:szCs w:val="24"/>
          <w:highlight w:val="none"/>
          <w:u w:val="single"/>
        </w:rPr>
      </w:pPr>
      <w:bookmarkStart w:id="396" w:name="_Toc296891032"/>
      <w:bookmarkStart w:id="397" w:name="_Toc297123546"/>
      <w:bookmarkStart w:id="398" w:name="_Toc296347203"/>
      <w:bookmarkStart w:id="399" w:name="_Toc312677504"/>
      <w:bookmarkStart w:id="400" w:name="_Toc303539152"/>
      <w:bookmarkStart w:id="401" w:name="_Toc304295571"/>
      <w:bookmarkStart w:id="402" w:name="_Toc292559409"/>
      <w:bookmarkStart w:id="403" w:name="_Toc296891244"/>
      <w:bookmarkStart w:id="404" w:name="_Toc318581175"/>
      <w:bookmarkStart w:id="405" w:name="_Toc297048390"/>
      <w:bookmarkStart w:id="406" w:name="_Toc296346705"/>
      <w:bookmarkStart w:id="407" w:name="_Toc297120504"/>
      <w:bookmarkStart w:id="408" w:name="_Toc296944543"/>
      <w:bookmarkStart w:id="409" w:name="_Toc300934995"/>
      <w:bookmarkStart w:id="410" w:name="_Toc297216205"/>
      <w:bookmarkStart w:id="411" w:name="_Toc312678030"/>
      <w:bookmarkStart w:id="412" w:name="_Toc292559914"/>
      <w:bookmarkStart w:id="413" w:name="_Toc296503204"/>
      <w:r>
        <w:rPr>
          <w:rFonts w:hint="eastAsia" w:cs="宋体"/>
          <w:color w:val="auto"/>
          <w:sz w:val="24"/>
          <w:szCs w:val="24"/>
          <w:highlight w:val="none"/>
          <w:lang w:eastAsia="zh-CN"/>
        </w:rPr>
        <w:t>乙方</w:t>
      </w:r>
      <w:r>
        <w:rPr>
          <w:rFonts w:hint="eastAsia" w:cs="宋体"/>
          <w:color w:val="auto"/>
          <w:sz w:val="24"/>
          <w:szCs w:val="24"/>
          <w:highlight w:val="none"/>
        </w:rPr>
        <w:t>提出的合理化建议降低了合同价格或者提高了工程经济效益的奖励的方法和金额为：</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14:paraId="63C88538">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w:t>
      </w:r>
      <w:bookmarkStart w:id="414" w:name="_Toc297123548"/>
      <w:bookmarkStart w:id="415" w:name="_Toc296346700"/>
      <w:bookmarkStart w:id="416" w:name="_Toc297120499"/>
      <w:bookmarkStart w:id="417" w:name="_Toc296891239"/>
      <w:bookmarkStart w:id="418" w:name="_Toc292559909"/>
      <w:bookmarkStart w:id="419" w:name="_Toc296944538"/>
      <w:bookmarkStart w:id="420" w:name="_Toc312678033"/>
      <w:bookmarkStart w:id="421" w:name="_Toc300934997"/>
      <w:bookmarkStart w:id="422" w:name="_Toc296347198"/>
      <w:bookmarkStart w:id="423" w:name="_Toc303539154"/>
      <w:bookmarkStart w:id="424" w:name="_Toc296503199"/>
      <w:bookmarkStart w:id="425" w:name="_Toc312677507"/>
      <w:bookmarkStart w:id="426" w:name="_Toc297216207"/>
      <w:bookmarkStart w:id="427" w:name="_Toc297048385"/>
      <w:bookmarkStart w:id="428" w:name="_Toc304295574"/>
      <w:bookmarkStart w:id="429" w:name="_Toc292559404"/>
      <w:bookmarkStart w:id="430" w:name="_Toc296891027"/>
      <w:r>
        <w:rPr>
          <w:rFonts w:hint="eastAsia" w:cs="宋体"/>
          <w:bCs/>
          <w:color w:val="auto"/>
          <w:sz w:val="24"/>
          <w:szCs w:val="24"/>
          <w:highlight w:val="none"/>
        </w:rPr>
        <w:t>0.7 暂估价</w:t>
      </w:r>
    </w:p>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14:paraId="2AA8AB20">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暂</w:t>
      </w:r>
      <w:bookmarkStart w:id="431" w:name="_Toc318581176"/>
      <w:bookmarkStart w:id="432" w:name="_Toc312677508"/>
      <w:bookmarkStart w:id="433" w:name="_Toc312678034"/>
      <w:r>
        <w:rPr>
          <w:rFonts w:hint="eastAsia" w:cs="宋体"/>
          <w:color w:val="auto"/>
          <w:sz w:val="24"/>
          <w:szCs w:val="24"/>
          <w:highlight w:val="none"/>
        </w:rPr>
        <w:t>估价材料和工程设备的明细见附件12：《暂估价一览表》。</w:t>
      </w:r>
    </w:p>
    <w:bookmarkEnd w:id="431"/>
    <w:bookmarkEnd w:id="432"/>
    <w:bookmarkEnd w:id="433"/>
    <w:p w14:paraId="6CEB467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w:t>
      </w:r>
      <w:bookmarkStart w:id="434" w:name="_Toc312677509"/>
      <w:bookmarkStart w:id="435" w:name="_Toc318581177"/>
      <w:bookmarkStart w:id="436" w:name="_Toc312678035"/>
      <w:r>
        <w:rPr>
          <w:rFonts w:hint="eastAsia" w:cs="宋体"/>
          <w:color w:val="auto"/>
          <w:sz w:val="24"/>
          <w:szCs w:val="24"/>
          <w:highlight w:val="none"/>
        </w:rPr>
        <w:t>0.7.1 依法必须招标的暂估价项目</w:t>
      </w:r>
    </w:p>
    <w:bookmarkEnd w:id="434"/>
    <w:bookmarkEnd w:id="435"/>
    <w:bookmarkEnd w:id="436"/>
    <w:p w14:paraId="030BBF9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对于依法必须招标的暂估价项目的确认和批准采取第</w:t>
      </w:r>
      <w:r>
        <w:rPr>
          <w:rFonts w:hint="eastAsia" w:cs="宋体"/>
          <w:color w:val="auto"/>
          <w:sz w:val="24"/>
          <w:szCs w:val="24"/>
          <w:highlight w:val="none"/>
          <w:u w:val="single"/>
        </w:rPr>
        <w:t>2</w:t>
      </w:r>
      <w:r>
        <w:rPr>
          <w:rFonts w:hint="eastAsia" w:cs="宋体"/>
          <w:color w:val="auto"/>
          <w:sz w:val="24"/>
          <w:szCs w:val="24"/>
          <w:highlight w:val="none"/>
        </w:rPr>
        <w:t>种方式确定。</w:t>
      </w:r>
      <w:r>
        <w:rPr>
          <w:rFonts w:hint="eastAsia" w:cs="宋体"/>
          <w:b/>
          <w:color w:val="auto"/>
          <w:sz w:val="24"/>
          <w:szCs w:val="24"/>
          <w:highlight w:val="none"/>
          <w:u w:val="single"/>
        </w:rPr>
        <w:t>并应按相关规定进行二次</w:t>
      </w:r>
      <w:r>
        <w:rPr>
          <w:rFonts w:hint="eastAsia" w:cs="宋体"/>
          <w:b/>
          <w:color w:val="auto"/>
          <w:sz w:val="24"/>
          <w:szCs w:val="24"/>
          <w:highlight w:val="none"/>
          <w:u w:val="single"/>
          <w:lang w:val="en-US" w:eastAsia="zh-CN"/>
        </w:rPr>
        <w:t>采购</w:t>
      </w:r>
      <w:r>
        <w:rPr>
          <w:rFonts w:hint="eastAsia" w:cs="宋体"/>
          <w:color w:val="auto"/>
          <w:sz w:val="24"/>
          <w:szCs w:val="24"/>
          <w:highlight w:val="none"/>
        </w:rPr>
        <w:t>。</w:t>
      </w:r>
    </w:p>
    <w:p w14:paraId="14F936D2">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10.7.2 不属于依法必须招标的暂估价项目</w:t>
      </w:r>
    </w:p>
    <w:p w14:paraId="50578BBD">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对于不属于依法必须招标的暂估价项目的确认和批准采取第</w:t>
      </w:r>
      <w:r>
        <w:rPr>
          <w:rFonts w:hint="eastAsia" w:cs="宋体"/>
          <w:color w:val="auto"/>
          <w:sz w:val="24"/>
          <w:szCs w:val="24"/>
          <w:highlight w:val="none"/>
          <w:u w:val="single"/>
        </w:rPr>
        <w:t>1</w:t>
      </w:r>
      <w:r>
        <w:rPr>
          <w:rFonts w:hint="eastAsia" w:cs="宋体"/>
          <w:color w:val="auto"/>
          <w:sz w:val="24"/>
          <w:szCs w:val="24"/>
          <w:highlight w:val="none"/>
        </w:rPr>
        <w:t>种方式确定。</w:t>
      </w:r>
    </w:p>
    <w:p w14:paraId="6585B17B">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第3种方式：</w:t>
      </w:r>
      <w:r>
        <w:rPr>
          <w:rFonts w:hint="eastAsia" w:cs="宋体"/>
          <w:color w:val="auto"/>
          <w:sz w:val="24"/>
          <w:szCs w:val="24"/>
          <w:highlight w:val="none"/>
          <w:lang w:eastAsia="zh-CN"/>
        </w:rPr>
        <w:t>乙方</w:t>
      </w:r>
      <w:r>
        <w:rPr>
          <w:rFonts w:hint="eastAsia" w:cs="宋体"/>
          <w:color w:val="auto"/>
          <w:sz w:val="24"/>
          <w:szCs w:val="24"/>
          <w:highlight w:val="none"/>
        </w:rPr>
        <w:t>直接实施的暂估价项目</w:t>
      </w:r>
    </w:p>
    <w:p w14:paraId="36441F70">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直接实施的暂估价项目的约定：</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乙方</w:t>
      </w:r>
      <w:r>
        <w:rPr>
          <w:rFonts w:hint="eastAsia" w:cs="宋体"/>
          <w:color w:val="auto"/>
          <w:sz w:val="24"/>
          <w:szCs w:val="24"/>
          <w:highlight w:val="none"/>
          <w:u w:val="single"/>
        </w:rPr>
        <w:t>将暂估项目进一步细化、完善，具体方案经</w:t>
      </w:r>
      <w:r>
        <w:rPr>
          <w:rFonts w:hint="eastAsia" w:cs="宋体"/>
          <w:color w:val="auto"/>
          <w:sz w:val="24"/>
          <w:szCs w:val="24"/>
          <w:highlight w:val="none"/>
          <w:u w:val="single"/>
          <w:lang w:val="en-US" w:eastAsia="zh-CN"/>
        </w:rPr>
        <w:t>甲方</w:t>
      </w:r>
      <w:r>
        <w:rPr>
          <w:rFonts w:hint="eastAsia" w:cs="宋体"/>
          <w:color w:val="auto"/>
          <w:sz w:val="24"/>
          <w:szCs w:val="24"/>
          <w:highlight w:val="none"/>
          <w:u w:val="single"/>
        </w:rPr>
        <w:t>认可后，根据实际采购或施工的费用、市场价格变化、实际完成的工程量进行调整</w:t>
      </w:r>
      <w:r>
        <w:rPr>
          <w:rFonts w:hint="eastAsia" w:cs="宋体"/>
          <w:color w:val="auto"/>
          <w:sz w:val="24"/>
          <w:szCs w:val="24"/>
          <w:highlight w:val="none"/>
          <w:u w:val="single"/>
          <w:lang w:eastAsia="zh-CN"/>
        </w:rPr>
        <w:t>，</w:t>
      </w:r>
      <w:r>
        <w:rPr>
          <w:rFonts w:hint="eastAsia" w:cs="宋体"/>
          <w:color w:val="auto"/>
          <w:sz w:val="24"/>
          <w:szCs w:val="24"/>
          <w:highlight w:val="none"/>
          <w:u w:val="single"/>
        </w:rPr>
        <w:t>按照相关定额进行组价，组价后按照中标优惠率下浮进行调整，按调整后的单价金额进行最终结算和支付。暂估</w:t>
      </w:r>
      <w:r>
        <w:rPr>
          <w:rFonts w:hint="eastAsia" w:cs="宋体"/>
          <w:color w:val="auto"/>
          <w:sz w:val="24"/>
          <w:szCs w:val="24"/>
          <w:highlight w:val="none"/>
          <w:u w:val="single"/>
          <w:lang w:val="en-US" w:eastAsia="zh-CN"/>
        </w:rPr>
        <w:t>价最终金额</w:t>
      </w:r>
      <w:r>
        <w:rPr>
          <w:rFonts w:hint="eastAsia" w:cs="宋体"/>
          <w:color w:val="auto"/>
          <w:sz w:val="24"/>
          <w:szCs w:val="24"/>
          <w:highlight w:val="none"/>
          <w:u w:val="single"/>
        </w:rPr>
        <w:t>以</w:t>
      </w:r>
      <w:r>
        <w:rPr>
          <w:rFonts w:hint="eastAsia" w:cs="宋体"/>
          <w:color w:val="auto"/>
          <w:sz w:val="24"/>
          <w:szCs w:val="24"/>
          <w:highlight w:val="none"/>
          <w:u w:val="single"/>
          <w:lang w:val="en-US" w:eastAsia="zh-CN"/>
        </w:rPr>
        <w:t>结算审定价格</w:t>
      </w:r>
      <w:r>
        <w:rPr>
          <w:rFonts w:hint="eastAsia" w:cs="宋体"/>
          <w:color w:val="auto"/>
          <w:sz w:val="24"/>
          <w:szCs w:val="24"/>
          <w:highlight w:val="none"/>
          <w:u w:val="single"/>
        </w:rPr>
        <w:t xml:space="preserve">为准。  </w:t>
      </w:r>
      <w:r>
        <w:rPr>
          <w:rFonts w:hint="eastAsia" w:cs="宋体"/>
          <w:color w:val="auto"/>
          <w:sz w:val="24"/>
          <w:szCs w:val="24"/>
          <w:highlight w:val="none"/>
        </w:rPr>
        <w:t>。</w:t>
      </w:r>
    </w:p>
    <w:p w14:paraId="784D0E11">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10.8 暂列金额</w:t>
      </w:r>
    </w:p>
    <w:p w14:paraId="502E645D">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合同当事人关于暂列金额使用的约定：</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66558434">
      <w:pPr>
        <w:snapToGrid w:val="0"/>
        <w:spacing w:before="312" w:beforeLines="100" w:after="312" w:afterLines="100" w:line="360" w:lineRule="auto"/>
        <w:outlineLvl w:val="2"/>
        <w:rPr>
          <w:rFonts w:cs="宋体"/>
          <w:color w:val="auto"/>
          <w:sz w:val="24"/>
          <w:szCs w:val="24"/>
          <w:highlight w:val="none"/>
        </w:rPr>
      </w:pPr>
      <w:bookmarkStart w:id="437" w:name="_Toc351203643"/>
      <w:r>
        <w:rPr>
          <w:rFonts w:hint="eastAsia" w:cs="宋体"/>
          <w:color w:val="auto"/>
          <w:sz w:val="24"/>
          <w:szCs w:val="24"/>
          <w:highlight w:val="none"/>
        </w:rPr>
        <w:t>11. 价格调整</w:t>
      </w:r>
      <w:bookmarkEnd w:id="437"/>
    </w:p>
    <w:p w14:paraId="2BE192B7">
      <w:pPr>
        <w:keepNext/>
        <w:keepLines/>
        <w:snapToGrid w:val="0"/>
        <w:spacing w:before="120" w:after="120" w:line="360" w:lineRule="auto"/>
        <w:ind w:firstLine="480" w:firstLineChars="200"/>
        <w:outlineLvl w:val="3"/>
        <w:rPr>
          <w:rFonts w:cs="宋体"/>
          <w:bCs/>
          <w:color w:val="auto"/>
          <w:sz w:val="24"/>
          <w:szCs w:val="24"/>
          <w:highlight w:val="none"/>
        </w:rPr>
      </w:pPr>
      <w:bookmarkStart w:id="438" w:name="_Toc297120501"/>
      <w:bookmarkStart w:id="439" w:name="_Toc300935000"/>
      <w:bookmarkStart w:id="440" w:name="_Toc312678039"/>
      <w:bookmarkStart w:id="441" w:name="_Toc296503201"/>
      <w:bookmarkStart w:id="442" w:name="_Toc296891241"/>
      <w:bookmarkStart w:id="443" w:name="_Toc292559406"/>
      <w:bookmarkStart w:id="444" w:name="_Toc303539157"/>
      <w:bookmarkStart w:id="445" w:name="_Toc292559911"/>
      <w:bookmarkStart w:id="446" w:name="_Toc296346702"/>
      <w:bookmarkStart w:id="447" w:name="_Toc296891029"/>
      <w:bookmarkStart w:id="448" w:name="_Toc296944540"/>
      <w:bookmarkStart w:id="449" w:name="_Toc297048387"/>
      <w:bookmarkStart w:id="450" w:name="_Toc296347200"/>
      <w:bookmarkStart w:id="451" w:name="_Toc297216209"/>
      <w:bookmarkStart w:id="452" w:name="_Toc304295577"/>
      <w:bookmarkStart w:id="453" w:name="_Toc297123550"/>
      <w:r>
        <w:rPr>
          <w:rFonts w:hint="eastAsia" w:cs="宋体"/>
          <w:bCs/>
          <w:color w:val="auto"/>
          <w:sz w:val="24"/>
          <w:szCs w:val="24"/>
          <w:highlight w:val="none"/>
        </w:rPr>
        <w:t>11.1 市场价格波动引起的调整</w:t>
      </w:r>
    </w:p>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14:paraId="6EC3073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市场价格波动是否调整合同价格的约定：</w:t>
      </w:r>
      <w:r>
        <w:rPr>
          <w:rFonts w:hint="eastAsia" w:cs="宋体"/>
          <w:color w:val="auto"/>
          <w:sz w:val="24"/>
          <w:szCs w:val="24"/>
          <w:highlight w:val="none"/>
          <w:u w:val="single"/>
          <w:lang w:val="en-US" w:eastAsia="zh-CN"/>
        </w:rPr>
        <w:t>不调整</w:t>
      </w:r>
      <w:r>
        <w:rPr>
          <w:rFonts w:hint="eastAsia" w:cs="宋体"/>
          <w:color w:val="auto"/>
          <w:sz w:val="24"/>
          <w:szCs w:val="24"/>
          <w:highlight w:val="none"/>
        </w:rPr>
        <w:t>。</w:t>
      </w:r>
    </w:p>
    <w:p w14:paraId="1CF2366D">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因市场价格波动调整合同价格，采用以下第</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种方式对合同价格进行调整：</w:t>
      </w:r>
    </w:p>
    <w:p w14:paraId="36EC17A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第1种方式：采用价格指数进行价格调整。</w:t>
      </w:r>
    </w:p>
    <w:p w14:paraId="5751CB51">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关于各可调因子、定值和变值权重，以及基本价格指数及其来源的约定：</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01BBC109">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第2种方式：采用造价信息进行价格调整。</w:t>
      </w:r>
    </w:p>
    <w:p w14:paraId="6C97F382">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（1）可调整价格的主要材料范围的约定：</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19785D84">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（2）主要材料价差调整周期的约定：</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14920F0C">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（3）主要材料价差调整计算方法的约定：</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29B91A13">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（4）主要材料价差调整时间的约定：</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33DE3AF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（2）关于基准价格的约定：</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2F2E727C">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①</w:t>
      </w:r>
      <w:r>
        <w:rPr>
          <w:rFonts w:hint="eastAsia" w:cs="宋体"/>
          <w:color w:val="auto"/>
          <w:sz w:val="24"/>
          <w:szCs w:val="24"/>
          <w:highlight w:val="none"/>
          <w:lang w:eastAsia="zh-CN"/>
        </w:rPr>
        <w:t>乙方</w:t>
      </w:r>
      <w:r>
        <w:rPr>
          <w:rFonts w:hint="eastAsia" w:cs="宋体"/>
          <w:color w:val="auto"/>
          <w:sz w:val="24"/>
          <w:szCs w:val="24"/>
          <w:highlight w:val="none"/>
        </w:rPr>
        <w:t>在已标价工程量清单或预算书中载明的材料单价低于基准价格的：专用合同条款合同履行期间材料单价涨幅以基准价格为基础超过</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%时，或材料单价跌幅以已标价工程量清单或预算书中载明材料单价为基础超过</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%时，其超过部分据实调整。</w:t>
      </w:r>
    </w:p>
    <w:p w14:paraId="492A8C0C">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②</w:t>
      </w:r>
      <w:r>
        <w:rPr>
          <w:rFonts w:hint="eastAsia" w:cs="宋体"/>
          <w:color w:val="auto"/>
          <w:sz w:val="24"/>
          <w:szCs w:val="24"/>
          <w:highlight w:val="none"/>
          <w:lang w:eastAsia="zh-CN"/>
        </w:rPr>
        <w:t>乙方</w:t>
      </w:r>
      <w:r>
        <w:rPr>
          <w:rFonts w:hint="eastAsia" w:cs="宋体"/>
          <w:color w:val="auto"/>
          <w:sz w:val="24"/>
          <w:szCs w:val="24"/>
          <w:highlight w:val="none"/>
        </w:rPr>
        <w:t>在已标价工程量清单或预算书中载明的材料单价高于基准价格的：专用合同条款合同履行期间材料单价跌幅以基准价格为基础超过</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%时，材料单价涨幅以已标价工程量清单或预算书中载明材料单价为基础超过</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%时，其超过部分据实调整。</w:t>
      </w:r>
    </w:p>
    <w:p w14:paraId="21FCB7B8">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③</w:t>
      </w:r>
      <w:r>
        <w:rPr>
          <w:rFonts w:hint="eastAsia" w:cs="宋体"/>
          <w:color w:val="auto"/>
          <w:sz w:val="24"/>
          <w:szCs w:val="24"/>
          <w:highlight w:val="none"/>
          <w:lang w:eastAsia="zh-CN"/>
        </w:rPr>
        <w:t>乙方</w:t>
      </w:r>
      <w:r>
        <w:rPr>
          <w:rFonts w:hint="eastAsia" w:cs="宋体"/>
          <w:color w:val="auto"/>
          <w:sz w:val="24"/>
          <w:szCs w:val="24"/>
          <w:highlight w:val="none"/>
        </w:rPr>
        <w:t>在已标价工程量清单或预算书中载明的材料单价等于基准单价的：专用合同条款合同履行期间材料单价涨跌幅以基准单价为基础超过±</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%时，其超过部分据实调整。</w:t>
      </w:r>
    </w:p>
    <w:p w14:paraId="162279FC">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第3种方式：其他价格调整方式：</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bookmarkEnd w:id="341"/>
    <w:bookmarkEnd w:id="342"/>
    <w:bookmarkEnd w:id="343"/>
    <w:bookmarkEnd w:id="344"/>
    <w:bookmarkEnd w:id="345"/>
    <w:bookmarkEnd w:id="346"/>
    <w:p w14:paraId="1547C9EE">
      <w:pPr>
        <w:snapToGrid w:val="0"/>
        <w:spacing w:before="312" w:beforeLines="100" w:after="312" w:afterLines="100" w:line="360" w:lineRule="auto"/>
        <w:outlineLvl w:val="2"/>
        <w:rPr>
          <w:rFonts w:cs="宋体"/>
          <w:color w:val="auto"/>
          <w:sz w:val="24"/>
          <w:szCs w:val="24"/>
          <w:highlight w:val="none"/>
        </w:rPr>
      </w:pPr>
      <w:bookmarkStart w:id="454" w:name="_Toc296891033"/>
      <w:bookmarkStart w:id="455" w:name="_Toc296346706"/>
      <w:bookmarkStart w:id="456" w:name="_Toc297120505"/>
      <w:bookmarkStart w:id="457" w:name="_Toc292559915"/>
      <w:bookmarkStart w:id="458" w:name="_Toc296347204"/>
      <w:bookmarkStart w:id="459" w:name="_Toc296891245"/>
      <w:bookmarkStart w:id="460" w:name="_Toc296503205"/>
      <w:bookmarkStart w:id="461" w:name="_Toc296944544"/>
      <w:bookmarkStart w:id="462" w:name="_Toc292559410"/>
      <w:bookmarkStart w:id="463" w:name="_Toc297048391"/>
      <w:bookmarkStart w:id="464" w:name="_Toc351203644"/>
      <w:bookmarkStart w:id="465" w:name="_Toc297216211"/>
      <w:bookmarkStart w:id="466" w:name="_Toc297123552"/>
      <w:bookmarkStart w:id="467" w:name="_Toc303539159"/>
      <w:bookmarkStart w:id="468" w:name="_Toc312678040"/>
      <w:bookmarkStart w:id="469" w:name="_Toc304295579"/>
      <w:bookmarkStart w:id="470" w:name="_Toc300935002"/>
      <w:r>
        <w:rPr>
          <w:rFonts w:hint="eastAsia" w:cs="宋体"/>
          <w:color w:val="auto"/>
          <w:sz w:val="24"/>
          <w:szCs w:val="24"/>
          <w:highlight w:val="none"/>
        </w:rPr>
        <w:t xml:space="preserve">12. </w:t>
      </w:r>
      <w:bookmarkEnd w:id="454"/>
      <w:bookmarkEnd w:id="455"/>
      <w:bookmarkEnd w:id="456"/>
      <w:bookmarkEnd w:id="457"/>
      <w:bookmarkEnd w:id="458"/>
      <w:bookmarkEnd w:id="459"/>
      <w:bookmarkEnd w:id="460"/>
      <w:bookmarkEnd w:id="461"/>
      <w:bookmarkEnd w:id="462"/>
      <w:bookmarkEnd w:id="463"/>
      <w:r>
        <w:rPr>
          <w:rFonts w:hint="eastAsia" w:cs="宋体"/>
          <w:color w:val="auto"/>
          <w:sz w:val="24"/>
          <w:szCs w:val="24"/>
          <w:highlight w:val="none"/>
        </w:rPr>
        <w:t>合同价格、计量与支付</w:t>
      </w:r>
      <w:bookmarkEnd w:id="464"/>
    </w:p>
    <w:bookmarkEnd w:id="465"/>
    <w:bookmarkEnd w:id="466"/>
    <w:bookmarkEnd w:id="467"/>
    <w:bookmarkEnd w:id="468"/>
    <w:bookmarkEnd w:id="469"/>
    <w:bookmarkEnd w:id="470"/>
    <w:p w14:paraId="2F0490BE">
      <w:pPr>
        <w:keepNext/>
        <w:keepLines/>
        <w:snapToGrid w:val="0"/>
        <w:spacing w:before="120" w:after="120" w:line="360" w:lineRule="auto"/>
        <w:ind w:firstLine="480" w:firstLineChars="200"/>
        <w:outlineLvl w:val="3"/>
        <w:rPr>
          <w:rFonts w:cs="宋体"/>
          <w:bCs/>
          <w:color w:val="auto"/>
          <w:sz w:val="24"/>
          <w:szCs w:val="24"/>
          <w:highlight w:val="none"/>
        </w:rPr>
      </w:pPr>
      <w:bookmarkStart w:id="471" w:name="_Toc267251461"/>
      <w:bookmarkStart w:id="472" w:name="_Toc292559411"/>
      <w:bookmarkStart w:id="473" w:name="_Toc292559916"/>
      <w:bookmarkStart w:id="474" w:name="_Toc297048392"/>
      <w:bookmarkStart w:id="475" w:name="_Toc296503206"/>
      <w:bookmarkStart w:id="476" w:name="_Toc296347205"/>
      <w:bookmarkStart w:id="477" w:name="_Toc296346707"/>
      <w:bookmarkStart w:id="478" w:name="_Toc296891246"/>
      <w:bookmarkStart w:id="479" w:name="_Toc296944545"/>
      <w:bookmarkStart w:id="480" w:name="_Toc296891034"/>
      <w:bookmarkStart w:id="481" w:name="_Toc297120506"/>
      <w:bookmarkStart w:id="482" w:name="_Toc300935003"/>
      <w:bookmarkStart w:id="483" w:name="_Toc297216212"/>
      <w:bookmarkStart w:id="484" w:name="_Toc297123553"/>
      <w:bookmarkStart w:id="485" w:name="_Toc304295580"/>
      <w:bookmarkStart w:id="486" w:name="_Toc303539160"/>
      <w:bookmarkStart w:id="487" w:name="_Toc312678041"/>
      <w:r>
        <w:rPr>
          <w:rFonts w:hint="eastAsia" w:cs="宋体"/>
          <w:bCs/>
          <w:color w:val="auto"/>
          <w:sz w:val="24"/>
          <w:szCs w:val="24"/>
          <w:highlight w:val="none"/>
        </w:rPr>
        <w:t>12.1 合</w:t>
      </w:r>
      <w:bookmarkEnd w:id="471"/>
      <w:bookmarkEnd w:id="472"/>
      <w:bookmarkEnd w:id="473"/>
      <w:r>
        <w:rPr>
          <w:rFonts w:hint="eastAsia" w:cs="宋体"/>
          <w:bCs/>
          <w:color w:val="auto"/>
          <w:sz w:val="24"/>
          <w:szCs w:val="24"/>
          <w:highlight w:val="none"/>
        </w:rPr>
        <w:t>同价</w:t>
      </w:r>
      <w:bookmarkEnd w:id="474"/>
      <w:bookmarkEnd w:id="475"/>
      <w:bookmarkEnd w:id="476"/>
      <w:bookmarkEnd w:id="477"/>
      <w:bookmarkEnd w:id="478"/>
      <w:bookmarkEnd w:id="479"/>
      <w:bookmarkEnd w:id="480"/>
      <w:bookmarkEnd w:id="481"/>
      <w:r>
        <w:rPr>
          <w:rFonts w:hint="eastAsia" w:cs="宋体"/>
          <w:bCs/>
          <w:color w:val="auto"/>
          <w:sz w:val="24"/>
          <w:szCs w:val="24"/>
          <w:highlight w:val="none"/>
        </w:rPr>
        <w:t>格形式</w:t>
      </w:r>
    </w:p>
    <w:bookmarkEnd w:id="482"/>
    <w:bookmarkEnd w:id="483"/>
    <w:bookmarkEnd w:id="484"/>
    <w:bookmarkEnd w:id="485"/>
    <w:bookmarkEnd w:id="486"/>
    <w:bookmarkEnd w:id="487"/>
    <w:p w14:paraId="11DD197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（1）单价合同。</w:t>
      </w:r>
    </w:p>
    <w:p w14:paraId="182EBCBD">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综合单价包含的风险范围：</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6A211E4A">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风险费用的计算方法：</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31E7B258">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风险范围以外合同价格的调整方法：</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3974563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（2）总价合同。</w:t>
      </w:r>
    </w:p>
    <w:p w14:paraId="537A38DC">
      <w:pPr>
        <w:adjustRightInd w:val="0"/>
        <w:snapToGrid w:val="0"/>
        <w:spacing w:line="360" w:lineRule="auto"/>
        <w:ind w:firstLine="480" w:firstLineChars="200"/>
        <w:rPr>
          <w:rFonts w:cs="宋体"/>
          <w:b/>
          <w:color w:val="auto"/>
          <w:sz w:val="24"/>
          <w:szCs w:val="24"/>
          <w:highlight w:val="none"/>
        </w:rPr>
      </w:pPr>
      <w:r>
        <w:rPr>
          <w:rFonts w:hint="eastAsia" w:cs="宋体"/>
          <w:color w:val="auto"/>
          <w:sz w:val="24"/>
          <w:szCs w:val="24"/>
          <w:highlight w:val="none"/>
        </w:rPr>
        <w:t>总价包含的风险范围：</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6EB6A30B">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风险费用的计算方法：</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17AA3A7D">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风险范围以外合同价格的调整方法：</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47866B31">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（3）其他价格方式：</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7FA19D34">
      <w:pPr>
        <w:keepNext/>
        <w:keepLines/>
        <w:snapToGrid w:val="0"/>
        <w:spacing w:before="120" w:after="120" w:line="360" w:lineRule="auto"/>
        <w:ind w:firstLine="480" w:firstLineChars="200"/>
        <w:outlineLvl w:val="3"/>
        <w:rPr>
          <w:rFonts w:cs="宋体"/>
          <w:bCs/>
          <w:color w:val="auto"/>
          <w:sz w:val="24"/>
          <w:szCs w:val="24"/>
          <w:highlight w:val="none"/>
        </w:rPr>
      </w:pPr>
      <w:bookmarkStart w:id="488" w:name="_Toc303539161"/>
      <w:bookmarkStart w:id="489" w:name="_Toc300935004"/>
      <w:bookmarkStart w:id="490" w:name="_Toc304295581"/>
      <w:bookmarkStart w:id="491" w:name="_Toc297123554"/>
      <w:bookmarkStart w:id="492" w:name="_Toc297216213"/>
      <w:bookmarkStart w:id="493" w:name="_Toc312678042"/>
      <w:bookmarkStart w:id="494" w:name="_Toc297048393"/>
      <w:bookmarkStart w:id="495" w:name="_Toc296891247"/>
      <w:bookmarkStart w:id="496" w:name="_Toc296347206"/>
      <w:bookmarkStart w:id="497" w:name="_Toc296346708"/>
      <w:bookmarkStart w:id="498" w:name="_Toc292559412"/>
      <w:bookmarkStart w:id="499" w:name="_Toc297120507"/>
      <w:bookmarkStart w:id="500" w:name="_Toc296944546"/>
      <w:bookmarkStart w:id="501" w:name="_Toc296891035"/>
      <w:bookmarkStart w:id="502" w:name="_Toc296503207"/>
      <w:bookmarkStart w:id="503" w:name="_Toc292559917"/>
      <w:r>
        <w:rPr>
          <w:rFonts w:hint="eastAsia" w:cs="宋体"/>
          <w:bCs/>
          <w:color w:val="auto"/>
          <w:sz w:val="24"/>
          <w:szCs w:val="24"/>
          <w:highlight w:val="none"/>
        </w:rPr>
        <w:t>12.2 预付款</w:t>
      </w:r>
    </w:p>
    <w:bookmarkEnd w:id="488"/>
    <w:bookmarkEnd w:id="489"/>
    <w:bookmarkEnd w:id="490"/>
    <w:bookmarkEnd w:id="491"/>
    <w:bookmarkEnd w:id="492"/>
    <w:bookmarkEnd w:id="493"/>
    <w:p w14:paraId="54A7475B">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12.2.1 预付款的支付</w:t>
      </w:r>
    </w:p>
    <w:p w14:paraId="2F43B98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预付款支付比例或金额：</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5688EB32">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预付款支付期限：</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64E566C0">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预付款扣回的方式：</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204B3A9C">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12.2.2 预付款担保</w:t>
      </w:r>
    </w:p>
    <w:p w14:paraId="5A2C9C60">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提交预付款担保的期限：</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0EF5E171">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预付款担保的形式为：</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bookmarkEnd w:id="494"/>
    <w:bookmarkEnd w:id="495"/>
    <w:bookmarkEnd w:id="496"/>
    <w:bookmarkEnd w:id="497"/>
    <w:bookmarkEnd w:id="498"/>
    <w:bookmarkEnd w:id="499"/>
    <w:bookmarkEnd w:id="500"/>
    <w:bookmarkEnd w:id="501"/>
    <w:bookmarkEnd w:id="502"/>
    <w:bookmarkEnd w:id="503"/>
    <w:p w14:paraId="3B63775F">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12.3 计量</w:t>
      </w:r>
    </w:p>
    <w:p w14:paraId="17291B22">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12.3.1 计量原则</w:t>
      </w:r>
    </w:p>
    <w:p w14:paraId="1C0233F4">
      <w:pPr>
        <w:adjustRightInd w:val="0"/>
        <w:snapToGrid w:val="0"/>
        <w:spacing w:line="360" w:lineRule="auto"/>
        <w:ind w:firstLine="480" w:firstLineChars="200"/>
        <w:rPr>
          <w:rFonts w:cs="宋体"/>
          <w:b/>
          <w:color w:val="auto"/>
          <w:sz w:val="24"/>
          <w:szCs w:val="24"/>
          <w:highlight w:val="none"/>
        </w:rPr>
      </w:pPr>
      <w:r>
        <w:rPr>
          <w:rFonts w:hint="eastAsia" w:cs="宋体"/>
          <w:color w:val="auto"/>
          <w:sz w:val="24"/>
          <w:szCs w:val="24"/>
          <w:highlight w:val="none"/>
        </w:rPr>
        <w:t>工程量计算规则：</w:t>
      </w:r>
      <w:r>
        <w:rPr>
          <w:rFonts w:hint="eastAsia" w:cs="宋体"/>
          <w:color w:val="auto"/>
          <w:sz w:val="24"/>
          <w:szCs w:val="24"/>
          <w:highlight w:val="none"/>
          <w:u w:val="single"/>
        </w:rPr>
        <w:t>按招标工程量清单及最高投标限价所采用的工程量清单计价规范及配套文件等</w:t>
      </w:r>
      <w:r>
        <w:rPr>
          <w:rFonts w:hint="eastAsia" w:cs="宋体"/>
          <w:b/>
          <w:color w:val="auto"/>
          <w:sz w:val="24"/>
          <w:szCs w:val="24"/>
          <w:highlight w:val="none"/>
        </w:rPr>
        <w:t>。</w:t>
      </w:r>
    </w:p>
    <w:p w14:paraId="42605ED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12.3.2 计量周期</w:t>
      </w:r>
    </w:p>
    <w:p w14:paraId="191735FF">
      <w:pPr>
        <w:adjustRightInd w:val="0"/>
        <w:snapToGrid w:val="0"/>
        <w:spacing w:line="360" w:lineRule="auto"/>
        <w:ind w:firstLine="480" w:firstLineChars="200"/>
        <w:rPr>
          <w:rFonts w:cs="宋体"/>
          <w:b/>
          <w:color w:val="auto"/>
          <w:sz w:val="24"/>
          <w:szCs w:val="24"/>
          <w:highlight w:val="none"/>
        </w:rPr>
      </w:pPr>
      <w:r>
        <w:rPr>
          <w:rFonts w:hint="eastAsia" w:cs="宋体"/>
          <w:color w:val="auto"/>
          <w:sz w:val="24"/>
          <w:szCs w:val="24"/>
          <w:highlight w:val="none"/>
        </w:rPr>
        <w:t>关于计量周期的约定</w:t>
      </w:r>
      <w:r>
        <w:rPr>
          <w:rFonts w:hint="eastAsia" w:cs="宋体"/>
          <w:b/>
          <w:color w:val="auto"/>
          <w:sz w:val="24"/>
          <w:szCs w:val="24"/>
          <w:highlight w:val="none"/>
        </w:rPr>
        <w:t>：</w:t>
      </w:r>
      <w:r>
        <w:rPr>
          <w:rFonts w:hint="eastAsia" w:cs="宋体"/>
          <w:color w:val="auto"/>
          <w:sz w:val="24"/>
          <w:szCs w:val="24"/>
          <w:highlight w:val="none"/>
          <w:u w:val="single"/>
        </w:rPr>
        <w:t xml:space="preserve">      </w:t>
      </w:r>
      <w:r>
        <w:rPr>
          <w:rFonts w:hint="eastAsia" w:cs="宋体"/>
          <w:b/>
          <w:color w:val="auto"/>
          <w:sz w:val="24"/>
          <w:szCs w:val="24"/>
          <w:highlight w:val="none"/>
        </w:rPr>
        <w:t>。</w:t>
      </w:r>
    </w:p>
    <w:p w14:paraId="28BC538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12.3.3 单价合同的计量</w:t>
      </w:r>
    </w:p>
    <w:p w14:paraId="3ADD7DD9">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关于单价合同计量的约定：</w:t>
      </w:r>
      <w:r>
        <w:rPr>
          <w:rFonts w:hint="eastAsia" w:cs="宋体"/>
          <w:color w:val="auto"/>
          <w:sz w:val="24"/>
          <w:szCs w:val="24"/>
          <w:highlight w:val="none"/>
          <w:u w:val="single"/>
        </w:rPr>
        <w:t xml:space="preserve">  /  </w:t>
      </w:r>
      <w:r>
        <w:rPr>
          <w:rFonts w:hint="eastAsia" w:cs="宋体"/>
          <w:color w:val="auto"/>
          <w:sz w:val="24"/>
          <w:szCs w:val="24"/>
          <w:highlight w:val="none"/>
        </w:rPr>
        <w:t>。</w:t>
      </w:r>
    </w:p>
    <w:p w14:paraId="33F3610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12.3.4 总价合同的计量</w:t>
      </w:r>
    </w:p>
    <w:p w14:paraId="04D78F1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关于总价合同计量的约定：</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701770B">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12.3.5 总价合同采用支付分解表计量支付的，是否适用第12.3.4项〔总价合同的计量〕约定进行计量：</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b/>
          <w:color w:val="auto"/>
          <w:sz w:val="24"/>
          <w:szCs w:val="24"/>
          <w:highlight w:val="none"/>
        </w:rPr>
        <w:t>。</w:t>
      </w:r>
    </w:p>
    <w:p w14:paraId="6F5645AD">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12.3.6 其他价格形式合同的计量</w:t>
      </w:r>
    </w:p>
    <w:p w14:paraId="093C2A2E">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其他价格形式的计量方式和程序：</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61918716">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12.4 工程进度款支付</w:t>
      </w:r>
    </w:p>
    <w:p w14:paraId="5E09A32A">
      <w:pPr>
        <w:adjustRightInd w:val="0"/>
        <w:snapToGrid w:val="0"/>
        <w:spacing w:line="360" w:lineRule="auto"/>
        <w:ind w:firstLine="480" w:firstLineChars="200"/>
        <w:rPr>
          <w:rFonts w:cs="宋体"/>
          <w:color w:val="auto"/>
          <w:sz w:val="24"/>
          <w:szCs w:val="24"/>
          <w:highlight w:val="none"/>
        </w:rPr>
      </w:pPr>
      <w:bookmarkStart w:id="504" w:name="_Toc300935006"/>
      <w:bookmarkStart w:id="505" w:name="_Toc297123556"/>
      <w:bookmarkStart w:id="506" w:name="_Toc296347210"/>
      <w:bookmarkStart w:id="507" w:name="_Toc296503211"/>
      <w:bookmarkStart w:id="508" w:name="_Toc296944550"/>
      <w:bookmarkStart w:id="509" w:name="_Toc296891251"/>
      <w:bookmarkStart w:id="510" w:name="_Toc297120511"/>
      <w:bookmarkStart w:id="511" w:name="_Toc292559921"/>
      <w:bookmarkStart w:id="512" w:name="_Toc297048397"/>
      <w:bookmarkStart w:id="513" w:name="_Toc297216215"/>
      <w:bookmarkStart w:id="514" w:name="_Toc296346712"/>
      <w:bookmarkStart w:id="515" w:name="_Toc292559416"/>
      <w:bookmarkStart w:id="516" w:name="_Toc303539163"/>
      <w:bookmarkStart w:id="517" w:name="_Toc296891039"/>
      <w:r>
        <w:rPr>
          <w:rFonts w:hint="eastAsia" w:cs="宋体"/>
          <w:color w:val="auto"/>
          <w:sz w:val="24"/>
          <w:szCs w:val="24"/>
          <w:highlight w:val="none"/>
        </w:rPr>
        <w:t>12.4.1 付款周期</w:t>
      </w:r>
    </w:p>
    <w:p w14:paraId="481BDF38">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关于付款周期的约定：</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3F06F348">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12.4.2 进度付款申请单的编制</w:t>
      </w:r>
    </w:p>
    <w:p w14:paraId="05A2B193">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关于进度付款申请单编制的约定：</w:t>
      </w:r>
      <w:r>
        <w:rPr>
          <w:rFonts w:hint="eastAsia" w:cs="宋体"/>
          <w:color w:val="auto"/>
          <w:sz w:val="24"/>
          <w:szCs w:val="24"/>
          <w:highlight w:val="none"/>
          <w:u w:val="single"/>
        </w:rPr>
        <w:t xml:space="preserve">    </w:t>
      </w:r>
      <w:r>
        <w:rPr>
          <w:rFonts w:hint="eastAsia" w:cs="宋体"/>
          <w:color w:val="auto"/>
          <w:sz w:val="24"/>
          <w:szCs w:val="24"/>
          <w:highlight w:val="none"/>
        </w:rPr>
        <w:t>。</w:t>
      </w:r>
    </w:p>
    <w:p w14:paraId="4E1E9F11">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r>
        <w:rPr>
          <w:rFonts w:hint="eastAsia" w:cs="宋体"/>
          <w:color w:val="auto"/>
          <w:sz w:val="24"/>
          <w:szCs w:val="24"/>
          <w:highlight w:val="none"/>
        </w:rPr>
        <w:t>2.4.3 进度付款申请单的提交</w:t>
      </w:r>
    </w:p>
    <w:p w14:paraId="3327655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（1）单价合同进度付款申请单提交的约定：</w:t>
      </w:r>
      <w:r>
        <w:rPr>
          <w:rFonts w:hint="eastAsia" w:cs="宋体"/>
          <w:color w:val="auto"/>
          <w:sz w:val="24"/>
          <w:szCs w:val="24"/>
          <w:highlight w:val="none"/>
          <w:u w:val="single"/>
        </w:rPr>
        <w:t xml:space="preserve">  /  </w:t>
      </w:r>
      <w:r>
        <w:rPr>
          <w:rFonts w:hint="eastAsia" w:cs="宋体"/>
          <w:color w:val="auto"/>
          <w:sz w:val="24"/>
          <w:szCs w:val="24"/>
          <w:highlight w:val="none"/>
        </w:rPr>
        <w:t>。</w:t>
      </w:r>
    </w:p>
    <w:p w14:paraId="6894C9E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（2）总价合同进度付款申请单提交的约定：</w:t>
      </w:r>
      <w:r>
        <w:rPr>
          <w:rFonts w:hint="eastAsia" w:cs="宋体"/>
          <w:color w:val="auto"/>
          <w:sz w:val="24"/>
          <w:szCs w:val="24"/>
          <w:highlight w:val="none"/>
          <w:u w:val="single"/>
        </w:rPr>
        <w:t xml:space="preserve">   </w:t>
      </w:r>
      <w:r>
        <w:rPr>
          <w:rFonts w:hint="eastAsia" w:cs="宋体"/>
          <w:color w:val="auto"/>
          <w:sz w:val="24"/>
          <w:szCs w:val="24"/>
          <w:highlight w:val="none"/>
        </w:rPr>
        <w:t>。</w:t>
      </w:r>
    </w:p>
    <w:p w14:paraId="1FC8CBB5">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（3）其他价格形式合同进度付款申请单提交的约定：</w:t>
      </w:r>
      <w:r>
        <w:rPr>
          <w:rFonts w:hint="eastAsia" w:cs="宋体"/>
          <w:color w:val="auto"/>
          <w:sz w:val="24"/>
          <w:szCs w:val="24"/>
          <w:highlight w:val="none"/>
          <w:u w:val="single"/>
        </w:rPr>
        <w:t xml:space="preserve">  /  </w:t>
      </w:r>
      <w:r>
        <w:rPr>
          <w:rFonts w:hint="eastAsia" w:cs="宋体"/>
          <w:color w:val="auto"/>
          <w:sz w:val="24"/>
          <w:szCs w:val="24"/>
          <w:highlight w:val="none"/>
        </w:rPr>
        <w:t>。</w:t>
      </w:r>
    </w:p>
    <w:p w14:paraId="3741C64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12.4.4 进度款审核和支付</w:t>
      </w:r>
    </w:p>
    <w:p w14:paraId="59B0DC14">
      <w:pPr>
        <w:adjustRightInd w:val="0"/>
        <w:snapToGrid w:val="0"/>
        <w:spacing w:line="360" w:lineRule="auto"/>
        <w:ind w:firstLine="480" w:firstLineChars="200"/>
        <w:rPr>
          <w:rFonts w:cs="宋体"/>
          <w:b/>
          <w:color w:val="auto"/>
          <w:sz w:val="24"/>
          <w:szCs w:val="24"/>
          <w:highlight w:val="none"/>
          <w:u w:val="single"/>
        </w:rPr>
      </w:pPr>
      <w:r>
        <w:rPr>
          <w:rFonts w:hint="eastAsia" w:cs="宋体"/>
          <w:color w:val="auto"/>
          <w:sz w:val="24"/>
          <w:szCs w:val="24"/>
          <w:highlight w:val="none"/>
        </w:rPr>
        <w:t>（1）</w:t>
      </w:r>
      <w:r>
        <w:rPr>
          <w:rFonts w:hint="eastAsia" w:cs="宋体"/>
          <w:color w:val="auto"/>
          <w:sz w:val="24"/>
          <w:szCs w:val="24"/>
          <w:highlight w:val="none"/>
          <w:lang w:val="en-US" w:eastAsia="zh-CN"/>
        </w:rPr>
        <w:t>乙方</w:t>
      </w:r>
      <w:r>
        <w:rPr>
          <w:rFonts w:hint="eastAsia" w:cs="宋体"/>
          <w:color w:val="auto"/>
          <w:sz w:val="24"/>
          <w:szCs w:val="24"/>
          <w:highlight w:val="none"/>
        </w:rPr>
        <w:t>报送</w:t>
      </w:r>
      <w:r>
        <w:rPr>
          <w:rFonts w:hint="eastAsia" w:cs="宋体"/>
          <w:color w:val="auto"/>
          <w:sz w:val="24"/>
          <w:szCs w:val="24"/>
          <w:highlight w:val="none"/>
          <w:lang w:eastAsia="zh-CN"/>
        </w:rPr>
        <w:t>甲方</w:t>
      </w:r>
      <w:r>
        <w:rPr>
          <w:rFonts w:hint="eastAsia" w:cs="宋体"/>
          <w:color w:val="auto"/>
          <w:sz w:val="24"/>
          <w:szCs w:val="24"/>
          <w:highlight w:val="none"/>
        </w:rPr>
        <w:t>的期限：</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5B8EB1BE">
      <w:pPr>
        <w:adjustRightInd w:val="0"/>
        <w:snapToGrid w:val="0"/>
        <w:spacing w:line="360" w:lineRule="auto"/>
        <w:ind w:firstLine="480" w:firstLineChars="200"/>
        <w:rPr>
          <w:rFonts w:cs="宋体"/>
          <w:b/>
          <w:color w:val="auto"/>
          <w:sz w:val="24"/>
          <w:szCs w:val="24"/>
          <w:highlight w:val="none"/>
          <w:u w:val="single"/>
        </w:rPr>
      </w:pPr>
      <w:r>
        <w:rPr>
          <w:rFonts w:hint="eastAsia" w:cs="宋体"/>
          <w:color w:val="auto"/>
          <w:sz w:val="24"/>
          <w:szCs w:val="24"/>
          <w:highlight w:val="none"/>
          <w:lang w:eastAsia="zh-CN"/>
        </w:rPr>
        <w:t>甲方</w:t>
      </w:r>
      <w:r>
        <w:rPr>
          <w:rFonts w:hint="eastAsia" w:cs="宋体"/>
          <w:color w:val="auto"/>
          <w:sz w:val="24"/>
          <w:szCs w:val="24"/>
          <w:highlight w:val="none"/>
        </w:rPr>
        <w:t>完成审批并签发进度款支付证书的期限：</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473BF34B">
      <w:pPr>
        <w:adjustRightInd w:val="0"/>
        <w:snapToGrid w:val="0"/>
        <w:spacing w:line="360" w:lineRule="auto"/>
        <w:ind w:firstLine="480" w:firstLineChars="200"/>
        <w:rPr>
          <w:rFonts w:cs="宋体"/>
          <w:b/>
          <w:color w:val="auto"/>
          <w:sz w:val="24"/>
          <w:szCs w:val="24"/>
          <w:highlight w:val="none"/>
        </w:rPr>
      </w:pPr>
      <w:r>
        <w:rPr>
          <w:rFonts w:hint="eastAsia" w:cs="宋体"/>
          <w:color w:val="auto"/>
          <w:sz w:val="24"/>
          <w:szCs w:val="24"/>
          <w:highlight w:val="none"/>
        </w:rPr>
        <w:t>（2）</w:t>
      </w:r>
      <w:r>
        <w:rPr>
          <w:rFonts w:hint="eastAsia" w:cs="宋体"/>
          <w:color w:val="auto"/>
          <w:sz w:val="24"/>
          <w:szCs w:val="24"/>
          <w:highlight w:val="none"/>
          <w:lang w:eastAsia="zh-CN"/>
        </w:rPr>
        <w:t>甲方</w:t>
      </w:r>
      <w:r>
        <w:rPr>
          <w:rFonts w:hint="eastAsia" w:cs="宋体"/>
          <w:color w:val="auto"/>
          <w:sz w:val="24"/>
          <w:szCs w:val="24"/>
          <w:highlight w:val="none"/>
        </w:rPr>
        <w:t>支付进度款的期限：</w:t>
      </w:r>
      <w:r>
        <w:rPr>
          <w:rFonts w:hint="eastAsia" w:cs="宋体"/>
          <w:color w:val="auto"/>
          <w:sz w:val="24"/>
          <w:szCs w:val="24"/>
          <w:highlight w:val="none"/>
          <w:u w:val="single"/>
          <w:lang w:val="en-US" w:eastAsia="zh-CN"/>
        </w:rPr>
        <w:t>/</w:t>
      </w:r>
      <w:r>
        <w:rPr>
          <w:rFonts w:hint="eastAsia" w:cs="宋体"/>
          <w:color w:val="auto"/>
          <w:sz w:val="24"/>
          <w:szCs w:val="24"/>
          <w:highlight w:val="none"/>
        </w:rPr>
        <w:t>。</w:t>
      </w:r>
    </w:p>
    <w:p w14:paraId="72CA1A0B">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甲方</w:t>
      </w:r>
      <w:r>
        <w:rPr>
          <w:rFonts w:hint="eastAsia" w:cs="宋体"/>
          <w:color w:val="auto"/>
          <w:sz w:val="24"/>
          <w:szCs w:val="24"/>
          <w:highlight w:val="none"/>
        </w:rPr>
        <w:t>逾期支付进度款的违约金的计算方式</w:t>
      </w:r>
      <w:r>
        <w:rPr>
          <w:rFonts w:hint="eastAsia" w:cs="宋体"/>
          <w:color w:val="auto"/>
          <w:sz w:val="24"/>
          <w:szCs w:val="24"/>
          <w:highlight w:val="none"/>
          <w:u w:val="single"/>
        </w:rPr>
        <w:t xml:space="preserve">    </w:t>
      </w:r>
      <w:r>
        <w:rPr>
          <w:rFonts w:hint="eastAsia" w:cs="宋体"/>
          <w:color w:val="auto"/>
          <w:sz w:val="24"/>
          <w:szCs w:val="24"/>
          <w:highlight w:val="none"/>
        </w:rPr>
        <w:t>。</w:t>
      </w:r>
    </w:p>
    <w:p w14:paraId="11613AC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12.4.6 支付分解表的编制</w:t>
      </w:r>
    </w:p>
    <w:p w14:paraId="1CD29A5E">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（2）总价合同支付分解表的编制与审批：</w:t>
      </w:r>
      <w:r>
        <w:rPr>
          <w:rFonts w:hint="eastAsia" w:cs="宋体"/>
          <w:color w:val="auto"/>
          <w:sz w:val="24"/>
          <w:szCs w:val="24"/>
          <w:highlight w:val="none"/>
          <w:u w:val="single"/>
        </w:rPr>
        <w:t xml:space="preserve">  /  </w:t>
      </w:r>
      <w:r>
        <w:rPr>
          <w:rFonts w:hint="eastAsia" w:cs="宋体"/>
          <w:color w:val="auto"/>
          <w:sz w:val="24"/>
          <w:szCs w:val="24"/>
          <w:highlight w:val="none"/>
        </w:rPr>
        <w:t>。</w:t>
      </w:r>
    </w:p>
    <w:p w14:paraId="06722B6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（3）单价合同的总价项目支付分解表的编制与审批：</w:t>
      </w:r>
      <w:r>
        <w:rPr>
          <w:rFonts w:hint="eastAsia" w:cs="宋体"/>
          <w:color w:val="auto"/>
          <w:sz w:val="24"/>
          <w:szCs w:val="24"/>
          <w:highlight w:val="none"/>
          <w:u w:val="single"/>
        </w:rPr>
        <w:t xml:space="preserve">  /  </w:t>
      </w:r>
      <w:r>
        <w:rPr>
          <w:rFonts w:hint="eastAsia" w:cs="宋体"/>
          <w:color w:val="auto"/>
          <w:sz w:val="24"/>
          <w:szCs w:val="24"/>
          <w:highlight w:val="none"/>
        </w:rPr>
        <w:t>。</w:t>
      </w:r>
    </w:p>
    <w:p w14:paraId="39D54A42">
      <w:pPr>
        <w:adjustRightInd w:val="0"/>
        <w:snapToGrid w:val="0"/>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12.4.7 农民工工资管理</w:t>
      </w:r>
    </w:p>
    <w:p w14:paraId="24A38975">
      <w:pPr>
        <w:adjustRightInd w:val="0"/>
        <w:snapToGrid w:val="0"/>
        <w:spacing w:line="360" w:lineRule="auto"/>
        <w:ind w:firstLine="480" w:firstLineChars="200"/>
        <w:rPr>
          <w:rFonts w:cs="宋体"/>
          <w:bCs/>
          <w:color w:val="auto"/>
          <w:sz w:val="24"/>
          <w:szCs w:val="24"/>
          <w:highlight w:val="none"/>
        </w:rPr>
      </w:pPr>
      <w:r>
        <w:rPr>
          <w:rFonts w:hint="eastAsia" w:cs="宋体"/>
          <w:color w:val="auto"/>
          <w:sz w:val="24"/>
          <w:szCs w:val="24"/>
          <w:highlight w:val="none"/>
        </w:rPr>
        <w:t>（1）</w:t>
      </w:r>
      <w:r>
        <w:rPr>
          <w:rFonts w:hint="eastAsia" w:cs="宋体"/>
          <w:bCs/>
          <w:color w:val="auto"/>
          <w:sz w:val="24"/>
          <w:szCs w:val="24"/>
          <w:highlight w:val="none"/>
        </w:rPr>
        <w:t>本工程农民工工资实行专用账户管理，</w:t>
      </w:r>
      <w:r>
        <w:rPr>
          <w:rFonts w:hint="eastAsia" w:cs="宋体"/>
          <w:bCs/>
          <w:color w:val="auto"/>
          <w:sz w:val="24"/>
          <w:szCs w:val="24"/>
          <w:highlight w:val="none"/>
          <w:lang w:eastAsia="zh-CN"/>
        </w:rPr>
        <w:t>乙方</w:t>
      </w:r>
      <w:r>
        <w:rPr>
          <w:rFonts w:hint="eastAsia" w:cs="宋体"/>
          <w:bCs/>
          <w:color w:val="auto"/>
          <w:sz w:val="24"/>
          <w:szCs w:val="24"/>
          <w:highlight w:val="none"/>
        </w:rPr>
        <w:t>设立的专用账户开户行为</w:t>
      </w:r>
      <w:r>
        <w:rPr>
          <w:rFonts w:hint="eastAsia" w:cs="宋体"/>
          <w:bCs/>
          <w:color w:val="auto"/>
          <w:sz w:val="24"/>
          <w:szCs w:val="24"/>
          <w:highlight w:val="none"/>
          <w:u w:val="single"/>
        </w:rPr>
        <w:t xml:space="preserve">：        </w:t>
      </w:r>
      <w:r>
        <w:rPr>
          <w:rFonts w:hint="eastAsia" w:cs="宋体"/>
          <w:bCs/>
          <w:color w:val="auto"/>
          <w:sz w:val="24"/>
          <w:szCs w:val="24"/>
          <w:highlight w:val="none"/>
        </w:rPr>
        <w:t>，账号：</w:t>
      </w:r>
      <w:r>
        <w:rPr>
          <w:rFonts w:hint="eastAsia" w:cs="宋体"/>
          <w:bCs/>
          <w:color w:val="auto"/>
          <w:sz w:val="24"/>
          <w:szCs w:val="24"/>
          <w:highlight w:val="none"/>
          <w:u w:val="single"/>
        </w:rPr>
        <w:t xml:space="preserve">              </w:t>
      </w:r>
      <w:r>
        <w:rPr>
          <w:rFonts w:hint="eastAsia" w:cs="宋体"/>
          <w:bCs/>
          <w:color w:val="auto"/>
          <w:sz w:val="24"/>
          <w:szCs w:val="24"/>
          <w:highlight w:val="none"/>
        </w:rPr>
        <w:t>;</w:t>
      </w:r>
    </w:p>
    <w:p w14:paraId="3F57C01F">
      <w:pPr>
        <w:adjustRightInd w:val="0"/>
        <w:snapToGrid w:val="0"/>
        <w:spacing w:line="360" w:lineRule="auto"/>
        <w:ind w:firstLine="480" w:firstLineChars="200"/>
        <w:rPr>
          <w:rFonts w:cs="宋体"/>
          <w:bCs/>
          <w:color w:val="auto"/>
          <w:sz w:val="24"/>
          <w:szCs w:val="24"/>
          <w:highlight w:val="none"/>
        </w:rPr>
      </w:pPr>
      <w:r>
        <w:rPr>
          <w:rFonts w:hint="eastAsia" w:cs="宋体"/>
          <w:color w:val="auto"/>
          <w:sz w:val="24"/>
          <w:szCs w:val="24"/>
          <w:highlight w:val="none"/>
        </w:rPr>
        <w:t>（2）</w:t>
      </w:r>
      <w:r>
        <w:rPr>
          <w:rFonts w:hint="eastAsia" w:cs="宋体"/>
          <w:bCs/>
          <w:color w:val="auto"/>
          <w:sz w:val="24"/>
          <w:szCs w:val="24"/>
          <w:highlight w:val="none"/>
        </w:rPr>
        <w:t>本工程工资性工程款</w:t>
      </w:r>
      <w:r>
        <w:rPr>
          <w:rFonts w:hint="eastAsia" w:cs="宋体"/>
          <w:bCs/>
          <w:color w:val="auto"/>
          <w:sz w:val="24"/>
          <w:szCs w:val="24"/>
          <w:highlight w:val="none"/>
          <w:u w:val="single"/>
        </w:rPr>
        <w:t xml:space="preserve">         </w:t>
      </w:r>
      <w:r>
        <w:rPr>
          <w:rFonts w:hint="eastAsia" w:cs="宋体"/>
          <w:bCs/>
          <w:color w:val="auto"/>
          <w:sz w:val="24"/>
          <w:szCs w:val="24"/>
          <w:highlight w:val="none"/>
        </w:rPr>
        <w:t>元。</w:t>
      </w:r>
    </w:p>
    <w:p w14:paraId="61C505FC">
      <w:pPr>
        <w:adjustRightInd w:val="0"/>
        <w:snapToGrid w:val="0"/>
        <w:spacing w:line="360" w:lineRule="auto"/>
        <w:ind w:firstLine="480" w:firstLineChars="200"/>
        <w:rPr>
          <w:rFonts w:cs="宋体"/>
          <w:bCs/>
          <w:color w:val="auto"/>
          <w:sz w:val="24"/>
          <w:szCs w:val="24"/>
          <w:highlight w:val="none"/>
        </w:rPr>
      </w:pPr>
      <w:r>
        <w:rPr>
          <w:rFonts w:hint="eastAsia" w:cs="宋体"/>
          <w:color w:val="auto"/>
          <w:sz w:val="24"/>
          <w:szCs w:val="24"/>
          <w:highlight w:val="none"/>
        </w:rPr>
        <w:t>（3）</w:t>
      </w:r>
      <w:r>
        <w:rPr>
          <w:rFonts w:hint="eastAsia" w:cs="宋体"/>
          <w:bCs/>
          <w:color w:val="auto"/>
          <w:sz w:val="24"/>
          <w:szCs w:val="24"/>
          <w:highlight w:val="none"/>
          <w:lang w:eastAsia="zh-CN"/>
        </w:rPr>
        <w:t>甲方</w:t>
      </w:r>
      <w:r>
        <w:rPr>
          <w:rFonts w:hint="eastAsia" w:cs="宋体"/>
          <w:bCs/>
          <w:color w:val="auto"/>
          <w:sz w:val="24"/>
          <w:szCs w:val="24"/>
          <w:highlight w:val="none"/>
        </w:rPr>
        <w:t>于每月25日前将工资性工程进度款转入农民工工资专用账户。</w:t>
      </w:r>
    </w:p>
    <w:p w14:paraId="0090C1C8">
      <w:pPr>
        <w:adjustRightInd w:val="0"/>
        <w:snapToGrid w:val="0"/>
        <w:spacing w:line="360" w:lineRule="auto"/>
        <w:ind w:firstLine="480" w:firstLineChars="200"/>
        <w:rPr>
          <w:rFonts w:cs="宋体"/>
          <w:bCs/>
          <w:color w:val="auto"/>
          <w:sz w:val="24"/>
          <w:szCs w:val="24"/>
          <w:highlight w:val="none"/>
        </w:rPr>
      </w:pPr>
      <w:r>
        <w:rPr>
          <w:rFonts w:hint="eastAsia" w:cs="宋体"/>
          <w:color w:val="auto"/>
          <w:sz w:val="24"/>
          <w:szCs w:val="24"/>
          <w:highlight w:val="none"/>
        </w:rPr>
        <w:t>（4）</w:t>
      </w:r>
      <w:r>
        <w:rPr>
          <w:rFonts w:hint="eastAsia" w:cs="宋体"/>
          <w:bCs/>
          <w:color w:val="auto"/>
          <w:sz w:val="24"/>
          <w:szCs w:val="24"/>
          <w:highlight w:val="none"/>
          <w:lang w:eastAsia="zh-CN"/>
        </w:rPr>
        <w:t>乙方</w:t>
      </w:r>
      <w:r>
        <w:rPr>
          <w:rFonts w:hint="eastAsia" w:cs="宋体"/>
          <w:bCs/>
          <w:color w:val="auto"/>
          <w:sz w:val="24"/>
          <w:szCs w:val="24"/>
          <w:highlight w:val="none"/>
        </w:rPr>
        <w:t>每月25日前上报本工程农民工工资清单，每月10日前委托开设农民工工资专用账户的银行支付农民工工资。</w:t>
      </w:r>
    </w:p>
    <w:p w14:paraId="788E52A1">
      <w:pPr>
        <w:adjustRightInd w:val="0"/>
        <w:snapToGrid w:val="0"/>
        <w:spacing w:line="360" w:lineRule="auto"/>
        <w:ind w:firstLine="480" w:firstLineChars="200"/>
        <w:rPr>
          <w:rFonts w:cs="宋体"/>
          <w:b/>
          <w:color w:val="auto"/>
          <w:sz w:val="24"/>
          <w:szCs w:val="24"/>
          <w:highlight w:val="none"/>
        </w:rPr>
      </w:pPr>
      <w:r>
        <w:rPr>
          <w:rFonts w:hint="eastAsia" w:cs="宋体"/>
          <w:color w:val="auto"/>
          <w:sz w:val="24"/>
          <w:szCs w:val="24"/>
          <w:highlight w:val="none"/>
        </w:rPr>
        <w:t>（5）</w:t>
      </w:r>
      <w:r>
        <w:rPr>
          <w:rFonts w:hint="eastAsia" w:cs="宋体"/>
          <w:bCs/>
          <w:color w:val="auto"/>
          <w:sz w:val="24"/>
          <w:szCs w:val="24"/>
          <w:highlight w:val="none"/>
        </w:rPr>
        <w:t>工程</w:t>
      </w:r>
      <w:r>
        <w:rPr>
          <w:rFonts w:hint="eastAsia" w:cs="宋体"/>
          <w:bCs/>
          <w:color w:val="auto"/>
          <w:sz w:val="24"/>
          <w:szCs w:val="24"/>
          <w:highlight w:val="none"/>
          <w:lang w:eastAsia="zh-CN"/>
        </w:rPr>
        <w:t>完工</w:t>
      </w:r>
      <w:r>
        <w:rPr>
          <w:rFonts w:hint="eastAsia" w:cs="宋体"/>
          <w:bCs/>
          <w:color w:val="auto"/>
          <w:sz w:val="24"/>
          <w:szCs w:val="24"/>
          <w:highlight w:val="none"/>
        </w:rPr>
        <w:t>后，经项目部农民工维权组确认无农民工工资拖欠后，发、承双方办理农民工工资专用账户撤销手续，农民工工资专用账户余额划至本合同约定的</w:t>
      </w:r>
      <w:r>
        <w:rPr>
          <w:rFonts w:hint="eastAsia" w:cs="宋体"/>
          <w:bCs/>
          <w:color w:val="auto"/>
          <w:sz w:val="24"/>
          <w:szCs w:val="24"/>
          <w:highlight w:val="none"/>
          <w:lang w:eastAsia="zh-CN"/>
        </w:rPr>
        <w:t>乙方</w:t>
      </w:r>
      <w:r>
        <w:rPr>
          <w:rFonts w:hint="eastAsia" w:cs="宋体"/>
          <w:bCs/>
          <w:color w:val="auto"/>
          <w:sz w:val="24"/>
          <w:szCs w:val="24"/>
          <w:highlight w:val="none"/>
        </w:rPr>
        <w:t>账户。</w:t>
      </w:r>
    </w:p>
    <w:bookmarkEnd w:id="347"/>
    <w:p w14:paraId="1DE528A4">
      <w:pPr>
        <w:snapToGrid w:val="0"/>
        <w:spacing w:before="312" w:beforeLines="100" w:after="312" w:afterLines="100" w:line="360" w:lineRule="auto"/>
        <w:outlineLvl w:val="2"/>
        <w:rPr>
          <w:rFonts w:cs="宋体"/>
          <w:color w:val="auto"/>
          <w:sz w:val="24"/>
          <w:szCs w:val="24"/>
          <w:highlight w:val="none"/>
        </w:rPr>
      </w:pPr>
      <w:bookmarkStart w:id="518" w:name="_Toc351203645"/>
      <w:bookmarkStart w:id="519" w:name="_Toc296347218"/>
      <w:bookmarkStart w:id="520" w:name="_Toc292559929"/>
      <w:bookmarkStart w:id="521" w:name="_Toc296891047"/>
      <w:bookmarkStart w:id="522" w:name="_Toc304295593"/>
      <w:bookmarkStart w:id="523" w:name="_Toc297120519"/>
      <w:bookmarkStart w:id="524" w:name="_Toc303539172"/>
      <w:bookmarkStart w:id="525" w:name="_Toc312678053"/>
      <w:bookmarkStart w:id="526" w:name="_Toc300935015"/>
      <w:bookmarkStart w:id="527" w:name="_Toc297216223"/>
      <w:bookmarkStart w:id="528" w:name="_Toc296346720"/>
      <w:bookmarkStart w:id="529" w:name="_Toc297123564"/>
      <w:bookmarkStart w:id="530" w:name="_Toc296944558"/>
      <w:bookmarkStart w:id="531" w:name="_Toc296503219"/>
      <w:bookmarkStart w:id="532" w:name="_Toc296891259"/>
      <w:bookmarkStart w:id="533" w:name="_Toc292559424"/>
      <w:bookmarkStart w:id="534" w:name="_Toc297048405"/>
      <w:r>
        <w:rPr>
          <w:rFonts w:hint="eastAsia" w:cs="宋体"/>
          <w:color w:val="auto"/>
          <w:sz w:val="24"/>
          <w:szCs w:val="24"/>
          <w:highlight w:val="none"/>
        </w:rPr>
        <w:t>13. 验收和工程试车</w:t>
      </w:r>
      <w:bookmarkEnd w:id="518"/>
    </w:p>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14:paraId="110EE67E">
      <w:pPr>
        <w:keepNext/>
        <w:keepLines/>
        <w:snapToGrid w:val="0"/>
        <w:spacing w:before="120" w:after="120" w:line="360" w:lineRule="auto"/>
        <w:jc w:val="left"/>
        <w:outlineLvl w:val="2"/>
        <w:rPr>
          <w:rFonts w:cs="宋体"/>
          <w:bCs/>
          <w:color w:val="auto"/>
          <w:sz w:val="24"/>
          <w:szCs w:val="24"/>
          <w:highlight w:val="none"/>
        </w:rPr>
      </w:pPr>
      <w:r>
        <w:rPr>
          <w:rFonts w:hint="eastAsia" w:cs="宋体"/>
          <w:bCs/>
          <w:color w:val="auto"/>
          <w:sz w:val="24"/>
          <w:szCs w:val="24"/>
          <w:highlight w:val="none"/>
        </w:rPr>
        <w:t>13.1 分部分项工程验收</w:t>
      </w:r>
    </w:p>
    <w:p w14:paraId="55C4EEFB">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13.1.2 </w:t>
      </w:r>
      <w:r>
        <w:rPr>
          <w:rFonts w:hint="eastAsia" w:cs="宋体"/>
          <w:color w:val="auto"/>
          <w:sz w:val="24"/>
          <w:szCs w:val="24"/>
          <w:highlight w:val="none"/>
          <w:lang w:val="en-US" w:eastAsia="zh-CN"/>
        </w:rPr>
        <w:t>甲方</w:t>
      </w:r>
      <w:r>
        <w:rPr>
          <w:rFonts w:hint="eastAsia" w:cs="宋体"/>
          <w:color w:val="auto"/>
          <w:sz w:val="24"/>
          <w:szCs w:val="24"/>
          <w:highlight w:val="none"/>
        </w:rPr>
        <w:t>不能按时进行验收时，应提前</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rPr>
        <w:t>小时提交书面延期要求。</w:t>
      </w:r>
    </w:p>
    <w:p w14:paraId="3A777848">
      <w:pPr>
        <w:adjustRightInd w:val="0"/>
        <w:snapToGrid w:val="0"/>
        <w:spacing w:line="360" w:lineRule="auto"/>
        <w:ind w:firstLine="480" w:firstLineChars="200"/>
        <w:rPr>
          <w:rFonts w:cs="宋体"/>
          <w:b/>
          <w:color w:val="auto"/>
          <w:sz w:val="24"/>
          <w:szCs w:val="24"/>
          <w:highlight w:val="none"/>
        </w:rPr>
      </w:pPr>
      <w:r>
        <w:rPr>
          <w:rFonts w:hint="eastAsia" w:cs="宋体"/>
          <w:color w:val="auto"/>
          <w:sz w:val="24"/>
          <w:szCs w:val="24"/>
          <w:highlight w:val="none"/>
        </w:rPr>
        <w:t>关于延期最长不得超过：</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rPr>
        <w:t>小时。</w:t>
      </w:r>
    </w:p>
    <w:p w14:paraId="3417DBDE">
      <w:pPr>
        <w:keepNext/>
        <w:keepLines/>
        <w:snapToGrid w:val="0"/>
        <w:spacing w:before="120" w:after="120" w:line="360" w:lineRule="auto"/>
        <w:ind w:firstLine="480" w:firstLineChars="200"/>
        <w:outlineLvl w:val="3"/>
        <w:rPr>
          <w:rFonts w:cs="宋体"/>
          <w:bCs/>
          <w:color w:val="auto"/>
          <w:sz w:val="24"/>
          <w:szCs w:val="24"/>
          <w:highlight w:val="none"/>
        </w:rPr>
      </w:pPr>
      <w:bookmarkStart w:id="535" w:name="_Toc297120523"/>
      <w:bookmarkStart w:id="536" w:name="_Toc297216224"/>
      <w:bookmarkStart w:id="537" w:name="_Toc304295596"/>
      <w:bookmarkStart w:id="538" w:name="_Toc312678056"/>
      <w:bookmarkStart w:id="539" w:name="_Toc297123565"/>
      <w:bookmarkStart w:id="540" w:name="_Toc296346724"/>
      <w:bookmarkStart w:id="541" w:name="_Toc292559933"/>
      <w:bookmarkStart w:id="542" w:name="_Toc297048409"/>
      <w:bookmarkStart w:id="543" w:name="_Toc296944562"/>
      <w:bookmarkStart w:id="544" w:name="_Toc303539173"/>
      <w:bookmarkStart w:id="545" w:name="_Toc296891263"/>
      <w:bookmarkStart w:id="546" w:name="_Toc300935016"/>
      <w:bookmarkStart w:id="547" w:name="_Toc296503223"/>
      <w:bookmarkStart w:id="548" w:name="_Toc296891051"/>
      <w:bookmarkStart w:id="549" w:name="_Toc296347222"/>
      <w:bookmarkStart w:id="550" w:name="_Toc292559428"/>
      <w:bookmarkStart w:id="551" w:name="_Toc267251473"/>
      <w:bookmarkStart w:id="552" w:name="_Toc267251472"/>
      <w:bookmarkStart w:id="553" w:name="_Toc267251475"/>
      <w:bookmarkStart w:id="554" w:name="_Toc267251476"/>
      <w:bookmarkStart w:id="555" w:name="_Toc267251474"/>
      <w:bookmarkStart w:id="556" w:name="_Toc267251470"/>
      <w:bookmarkStart w:id="557" w:name="_Toc267251471"/>
      <w:r>
        <w:rPr>
          <w:rFonts w:hint="eastAsia" w:cs="宋体"/>
          <w:bCs/>
          <w:color w:val="auto"/>
          <w:sz w:val="24"/>
          <w:szCs w:val="24"/>
          <w:highlight w:val="none"/>
        </w:rPr>
        <w:t xml:space="preserve">13.2 </w:t>
      </w:r>
      <w:r>
        <w:rPr>
          <w:rFonts w:hint="eastAsia" w:cs="宋体"/>
          <w:bCs/>
          <w:color w:val="auto"/>
          <w:sz w:val="24"/>
          <w:szCs w:val="24"/>
          <w:highlight w:val="none"/>
          <w:lang w:eastAsia="zh-CN"/>
        </w:rPr>
        <w:t>完工</w:t>
      </w:r>
      <w:r>
        <w:rPr>
          <w:rFonts w:hint="eastAsia" w:cs="宋体"/>
          <w:bCs/>
          <w:color w:val="auto"/>
          <w:sz w:val="24"/>
          <w:szCs w:val="24"/>
          <w:highlight w:val="none"/>
        </w:rPr>
        <w:t>验收</w:t>
      </w:r>
    </w:p>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14:paraId="31779145">
      <w:pPr>
        <w:adjustRightInd w:val="0"/>
        <w:snapToGrid w:val="0"/>
        <w:spacing w:line="360" w:lineRule="auto"/>
        <w:ind w:firstLine="480" w:firstLineChars="200"/>
        <w:rPr>
          <w:rFonts w:cs="宋体"/>
          <w:color w:val="auto"/>
          <w:sz w:val="24"/>
          <w:szCs w:val="24"/>
          <w:highlight w:val="none"/>
        </w:rPr>
      </w:pPr>
      <w:bookmarkStart w:id="558" w:name="_Toc280868704"/>
      <w:bookmarkStart w:id="559" w:name="_Toc280868705"/>
      <w:bookmarkStart w:id="560" w:name="_Toc280868706"/>
      <w:bookmarkStart w:id="561" w:name="_Toc280868707"/>
      <w:bookmarkStart w:id="562" w:name="_Toc280868708"/>
      <w:bookmarkStart w:id="563" w:name="_Toc280868709"/>
      <w:r>
        <w:rPr>
          <w:rFonts w:hint="eastAsia" w:cs="宋体"/>
          <w:color w:val="auto"/>
          <w:sz w:val="24"/>
          <w:szCs w:val="24"/>
          <w:highlight w:val="none"/>
        </w:rPr>
        <w:t xml:space="preserve">13.2.2 </w:t>
      </w:r>
      <w:r>
        <w:rPr>
          <w:rFonts w:hint="eastAsia" w:cs="宋体"/>
          <w:color w:val="auto"/>
          <w:sz w:val="24"/>
          <w:szCs w:val="24"/>
          <w:highlight w:val="none"/>
          <w:lang w:eastAsia="zh-CN"/>
        </w:rPr>
        <w:t>完工</w:t>
      </w:r>
      <w:r>
        <w:rPr>
          <w:rFonts w:hint="eastAsia" w:cs="宋体"/>
          <w:color w:val="auto"/>
          <w:sz w:val="24"/>
          <w:szCs w:val="24"/>
          <w:highlight w:val="none"/>
        </w:rPr>
        <w:t>验收程序</w:t>
      </w:r>
    </w:p>
    <w:bookmarkEnd w:id="558"/>
    <w:p w14:paraId="5A6765BE">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w:t>
      </w:r>
      <w:r>
        <w:rPr>
          <w:rFonts w:hint="eastAsia" w:cs="宋体"/>
          <w:color w:val="auto"/>
          <w:sz w:val="24"/>
          <w:szCs w:val="24"/>
          <w:highlight w:val="none"/>
          <w:lang w:eastAsia="zh-CN"/>
        </w:rPr>
        <w:t>完工</w:t>
      </w:r>
      <w:r>
        <w:rPr>
          <w:rFonts w:hint="eastAsia" w:cs="宋体"/>
          <w:color w:val="auto"/>
          <w:sz w:val="24"/>
          <w:szCs w:val="24"/>
          <w:highlight w:val="none"/>
        </w:rPr>
        <w:t>验收程序的约定：</w:t>
      </w:r>
      <w:r>
        <w:rPr>
          <w:rFonts w:hint="eastAsia" w:cs="宋体"/>
          <w:color w:val="auto"/>
          <w:sz w:val="24"/>
          <w:szCs w:val="24"/>
          <w:highlight w:val="none"/>
          <w:u w:val="single"/>
        </w:rPr>
        <w:t>执行通用条款</w:t>
      </w:r>
      <w:r>
        <w:rPr>
          <w:rFonts w:hint="eastAsia" w:cs="宋体"/>
          <w:color w:val="auto"/>
          <w:sz w:val="24"/>
          <w:szCs w:val="24"/>
          <w:highlight w:val="none"/>
        </w:rPr>
        <w:t>。</w:t>
      </w:r>
    </w:p>
    <w:p w14:paraId="46F88D0D">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甲方</w:t>
      </w:r>
      <w:r>
        <w:rPr>
          <w:rFonts w:hint="eastAsia" w:cs="宋体"/>
          <w:color w:val="auto"/>
          <w:sz w:val="24"/>
          <w:szCs w:val="24"/>
          <w:highlight w:val="none"/>
        </w:rPr>
        <w:t>不按照本项约定组织</w:t>
      </w:r>
      <w:r>
        <w:rPr>
          <w:rFonts w:hint="eastAsia" w:cs="宋体"/>
          <w:color w:val="auto"/>
          <w:sz w:val="24"/>
          <w:szCs w:val="24"/>
          <w:highlight w:val="none"/>
          <w:lang w:eastAsia="zh-CN"/>
        </w:rPr>
        <w:t>完工</w:t>
      </w:r>
      <w:r>
        <w:rPr>
          <w:rFonts w:hint="eastAsia" w:cs="宋体"/>
          <w:color w:val="auto"/>
          <w:sz w:val="24"/>
          <w:szCs w:val="24"/>
          <w:highlight w:val="none"/>
        </w:rPr>
        <w:t>验收、颁发工程接收证书的违约金的计算方法：</w:t>
      </w:r>
      <w:r>
        <w:rPr>
          <w:rFonts w:hint="eastAsia" w:cs="宋体"/>
          <w:color w:val="auto"/>
          <w:sz w:val="24"/>
          <w:szCs w:val="24"/>
          <w:highlight w:val="none"/>
          <w:u w:val="single"/>
        </w:rPr>
        <w:t>执行通用条款</w:t>
      </w:r>
      <w:r>
        <w:rPr>
          <w:rFonts w:hint="eastAsia" w:cs="宋体"/>
          <w:color w:val="auto"/>
          <w:sz w:val="24"/>
          <w:szCs w:val="24"/>
          <w:highlight w:val="none"/>
        </w:rPr>
        <w:t>。</w:t>
      </w:r>
    </w:p>
    <w:bookmarkEnd w:id="559"/>
    <w:p w14:paraId="13B68D5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13.2.5 移交、接收全部与部分工程</w:t>
      </w:r>
    </w:p>
    <w:bookmarkEnd w:id="560"/>
    <w:p w14:paraId="7EE33BC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向</w:t>
      </w:r>
      <w:r>
        <w:rPr>
          <w:rFonts w:hint="eastAsia" w:cs="宋体"/>
          <w:color w:val="auto"/>
          <w:sz w:val="24"/>
          <w:szCs w:val="24"/>
          <w:highlight w:val="none"/>
          <w:lang w:eastAsia="zh-CN"/>
        </w:rPr>
        <w:t>甲方</w:t>
      </w:r>
      <w:r>
        <w:rPr>
          <w:rFonts w:hint="eastAsia" w:cs="宋体"/>
          <w:color w:val="auto"/>
          <w:sz w:val="24"/>
          <w:szCs w:val="24"/>
          <w:highlight w:val="none"/>
        </w:rPr>
        <w:t>移交工程的期限：</w:t>
      </w:r>
      <w:r>
        <w:rPr>
          <w:rFonts w:hint="eastAsia" w:cs="宋体"/>
          <w:color w:val="auto"/>
          <w:sz w:val="24"/>
          <w:szCs w:val="24"/>
          <w:highlight w:val="none"/>
          <w:u w:val="single"/>
        </w:rPr>
        <w:t>颁发工程接收证书后7天内完成工程的移交</w:t>
      </w:r>
      <w:r>
        <w:rPr>
          <w:rFonts w:hint="eastAsia" w:cs="宋体"/>
          <w:color w:val="auto"/>
          <w:sz w:val="24"/>
          <w:szCs w:val="24"/>
          <w:highlight w:val="none"/>
        </w:rPr>
        <w:t>。</w:t>
      </w:r>
    </w:p>
    <w:p w14:paraId="536F74C8">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甲方</w:t>
      </w:r>
      <w:r>
        <w:rPr>
          <w:rFonts w:hint="eastAsia" w:cs="宋体"/>
          <w:color w:val="auto"/>
          <w:sz w:val="24"/>
          <w:szCs w:val="24"/>
          <w:highlight w:val="none"/>
        </w:rPr>
        <w:t>未按本合同约定接收全部或部分工程的，违约金的计算方法为：</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自应当接收工程之日起，承担工程照管、成品保护、保管等与工程有关的各项费用</w:t>
      </w:r>
      <w:r>
        <w:rPr>
          <w:rFonts w:hint="eastAsia" w:cs="宋体"/>
          <w:color w:val="auto"/>
          <w:sz w:val="24"/>
          <w:szCs w:val="24"/>
          <w:highlight w:val="none"/>
        </w:rPr>
        <w:t>。</w:t>
      </w:r>
    </w:p>
    <w:bookmarkEnd w:id="561"/>
    <w:p w14:paraId="3E27C940">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乙方</w:t>
      </w:r>
      <w:r>
        <w:rPr>
          <w:rFonts w:hint="eastAsia" w:cs="宋体"/>
          <w:color w:val="auto"/>
          <w:sz w:val="24"/>
          <w:szCs w:val="24"/>
          <w:highlight w:val="none"/>
        </w:rPr>
        <w:t>未按时移交工程的，违约金的计算方法为：</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应承担工程照管、成品保护、保管等与工程有关的各项费用</w:t>
      </w:r>
      <w:r>
        <w:rPr>
          <w:rFonts w:hint="eastAsia" w:cs="宋体"/>
          <w:color w:val="auto"/>
          <w:sz w:val="24"/>
          <w:szCs w:val="24"/>
          <w:highlight w:val="none"/>
        </w:rPr>
        <w:t>。</w:t>
      </w:r>
    </w:p>
    <w:p w14:paraId="76879A43">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13.3 工程试车</w:t>
      </w:r>
    </w:p>
    <w:bookmarkEnd w:id="562"/>
    <w:p w14:paraId="5AEA6F0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13.3.1 试车程序</w:t>
      </w:r>
    </w:p>
    <w:p w14:paraId="733DFE27">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工程试车内容：</w:t>
      </w:r>
      <w:r>
        <w:rPr>
          <w:rFonts w:hint="eastAsia" w:cs="宋体"/>
          <w:color w:val="auto"/>
          <w:sz w:val="24"/>
          <w:szCs w:val="24"/>
          <w:highlight w:val="none"/>
          <w:u w:val="single"/>
        </w:rPr>
        <w:t xml:space="preserve">                                        </w:t>
      </w:r>
      <w:r>
        <w:rPr>
          <w:rFonts w:hint="eastAsia" w:cs="宋体"/>
          <w:color w:val="auto"/>
          <w:sz w:val="24"/>
          <w:szCs w:val="24"/>
          <w:highlight w:val="none"/>
        </w:rPr>
        <w:t>。</w:t>
      </w:r>
    </w:p>
    <w:p w14:paraId="411F4508">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（1）单机无负荷试车费用由</w:t>
      </w:r>
      <w:r>
        <w:rPr>
          <w:rFonts w:hint="eastAsia" w:cs="宋体"/>
          <w:color w:val="auto"/>
          <w:sz w:val="24"/>
          <w:szCs w:val="24"/>
          <w:highlight w:val="none"/>
          <w:u w:val="single"/>
        </w:rPr>
        <w:t>试车消耗的生产性原材料由</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承担；试车其他费用（包括试车所需水电油等费用）由</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在投标报价中综合考虑并</w:t>
      </w:r>
      <w:r>
        <w:rPr>
          <w:rFonts w:hint="eastAsia" w:cs="宋体"/>
          <w:color w:val="auto"/>
          <w:sz w:val="24"/>
          <w:szCs w:val="24"/>
          <w:highlight w:val="none"/>
        </w:rPr>
        <w:t>承担；</w:t>
      </w:r>
    </w:p>
    <w:p w14:paraId="4E9EE562">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（2）无负荷联动试车费用由</w:t>
      </w:r>
      <w:r>
        <w:rPr>
          <w:rFonts w:hint="eastAsia" w:cs="宋体"/>
          <w:color w:val="auto"/>
          <w:sz w:val="24"/>
          <w:szCs w:val="24"/>
          <w:highlight w:val="none"/>
          <w:u w:val="single"/>
        </w:rPr>
        <w:t>试车消耗的生产性原材料由</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承担；试车其他费用（包括试车所需水电油等费用）由</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在投标报价中综合考虑并</w:t>
      </w:r>
      <w:r>
        <w:rPr>
          <w:rFonts w:hint="eastAsia" w:cs="宋体"/>
          <w:color w:val="auto"/>
          <w:sz w:val="24"/>
          <w:szCs w:val="24"/>
          <w:highlight w:val="none"/>
        </w:rPr>
        <w:t>承担。</w:t>
      </w:r>
    </w:p>
    <w:p w14:paraId="43547A78">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13.3.3 投料试车</w:t>
      </w:r>
    </w:p>
    <w:p w14:paraId="7E404593">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关于投料试车相关事项的约定：</w:t>
      </w:r>
      <w:r>
        <w:rPr>
          <w:rFonts w:hint="eastAsia" w:cs="宋体"/>
          <w:color w:val="auto"/>
          <w:sz w:val="24"/>
          <w:szCs w:val="24"/>
          <w:highlight w:val="none"/>
          <w:u w:val="single"/>
        </w:rPr>
        <w:t>执行通用条款</w:t>
      </w:r>
      <w:r>
        <w:rPr>
          <w:rFonts w:hint="eastAsia" w:cs="宋体"/>
          <w:color w:val="auto"/>
          <w:sz w:val="24"/>
          <w:szCs w:val="24"/>
          <w:highlight w:val="none"/>
        </w:rPr>
        <w:t>。</w:t>
      </w:r>
    </w:p>
    <w:p w14:paraId="1247C294">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 xml:space="preserve">13.6 </w:t>
      </w:r>
      <w:r>
        <w:rPr>
          <w:rFonts w:hint="eastAsia" w:cs="宋体"/>
          <w:bCs/>
          <w:color w:val="auto"/>
          <w:sz w:val="24"/>
          <w:szCs w:val="24"/>
          <w:highlight w:val="none"/>
          <w:lang w:eastAsia="zh-CN"/>
        </w:rPr>
        <w:t>完工</w:t>
      </w:r>
      <w:r>
        <w:rPr>
          <w:rFonts w:hint="eastAsia" w:cs="宋体"/>
          <w:bCs/>
          <w:color w:val="auto"/>
          <w:sz w:val="24"/>
          <w:szCs w:val="24"/>
          <w:highlight w:val="none"/>
        </w:rPr>
        <w:t>退场</w:t>
      </w:r>
    </w:p>
    <w:p w14:paraId="0B060A8C">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13.6.1 </w:t>
      </w:r>
      <w:r>
        <w:rPr>
          <w:rFonts w:hint="eastAsia" w:cs="宋体"/>
          <w:color w:val="auto"/>
          <w:sz w:val="24"/>
          <w:szCs w:val="24"/>
          <w:highlight w:val="none"/>
          <w:lang w:eastAsia="zh-CN"/>
        </w:rPr>
        <w:t>完工</w:t>
      </w:r>
      <w:r>
        <w:rPr>
          <w:rFonts w:hint="eastAsia" w:cs="宋体"/>
          <w:color w:val="auto"/>
          <w:sz w:val="24"/>
          <w:szCs w:val="24"/>
          <w:highlight w:val="none"/>
        </w:rPr>
        <w:t>退场</w:t>
      </w:r>
    </w:p>
    <w:p w14:paraId="1EB24D1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完成</w:t>
      </w:r>
      <w:r>
        <w:rPr>
          <w:rFonts w:hint="eastAsia" w:cs="宋体"/>
          <w:color w:val="auto"/>
          <w:sz w:val="24"/>
          <w:szCs w:val="24"/>
          <w:highlight w:val="none"/>
          <w:lang w:eastAsia="zh-CN"/>
        </w:rPr>
        <w:t>完工</w:t>
      </w:r>
      <w:r>
        <w:rPr>
          <w:rFonts w:hint="eastAsia" w:cs="宋体"/>
          <w:color w:val="auto"/>
          <w:sz w:val="24"/>
          <w:szCs w:val="24"/>
          <w:highlight w:val="none"/>
        </w:rPr>
        <w:t>退场的期限：</w:t>
      </w:r>
      <w:r>
        <w:rPr>
          <w:rFonts w:hint="eastAsia" w:cs="宋体"/>
          <w:color w:val="auto"/>
          <w:sz w:val="24"/>
          <w:szCs w:val="24"/>
          <w:highlight w:val="none"/>
          <w:u w:val="single"/>
        </w:rPr>
        <w:t xml:space="preserve">                            </w:t>
      </w:r>
      <w:r>
        <w:rPr>
          <w:rFonts w:hint="eastAsia" w:cs="宋体"/>
          <w:color w:val="auto"/>
          <w:sz w:val="24"/>
          <w:szCs w:val="24"/>
          <w:highlight w:val="none"/>
        </w:rPr>
        <w:t>。</w:t>
      </w:r>
    </w:p>
    <w:p w14:paraId="49F6D981">
      <w:pPr>
        <w:snapToGrid w:val="0"/>
        <w:spacing w:before="312" w:beforeLines="100" w:after="312" w:afterLines="100" w:line="360" w:lineRule="auto"/>
        <w:outlineLvl w:val="2"/>
        <w:rPr>
          <w:rFonts w:cs="宋体"/>
          <w:color w:val="auto"/>
          <w:sz w:val="24"/>
          <w:szCs w:val="24"/>
          <w:highlight w:val="none"/>
        </w:rPr>
      </w:pPr>
      <w:bookmarkStart w:id="564" w:name="_Toc351203646"/>
      <w:r>
        <w:rPr>
          <w:rFonts w:hint="eastAsia" w:cs="宋体"/>
          <w:color w:val="auto"/>
          <w:sz w:val="24"/>
          <w:szCs w:val="24"/>
          <w:highlight w:val="none"/>
        </w:rPr>
        <w:t xml:space="preserve">14. </w:t>
      </w:r>
      <w:r>
        <w:rPr>
          <w:rFonts w:hint="eastAsia" w:cs="宋体"/>
          <w:color w:val="auto"/>
          <w:sz w:val="24"/>
          <w:szCs w:val="24"/>
          <w:highlight w:val="none"/>
          <w:lang w:eastAsia="zh-CN"/>
        </w:rPr>
        <w:t>完工</w:t>
      </w:r>
      <w:r>
        <w:rPr>
          <w:rFonts w:hint="eastAsia" w:cs="宋体"/>
          <w:color w:val="auto"/>
          <w:sz w:val="24"/>
          <w:szCs w:val="24"/>
          <w:highlight w:val="none"/>
        </w:rPr>
        <w:t>结算</w:t>
      </w:r>
      <w:bookmarkEnd w:id="564"/>
    </w:p>
    <w:p w14:paraId="172E2C0B">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 xml:space="preserve">14.1 </w:t>
      </w:r>
      <w:r>
        <w:rPr>
          <w:rFonts w:hint="eastAsia" w:cs="宋体"/>
          <w:bCs/>
          <w:color w:val="auto"/>
          <w:sz w:val="24"/>
          <w:szCs w:val="24"/>
          <w:highlight w:val="none"/>
          <w:lang w:eastAsia="zh-CN"/>
        </w:rPr>
        <w:t>完工</w:t>
      </w:r>
      <w:r>
        <w:rPr>
          <w:rFonts w:hint="eastAsia" w:cs="宋体"/>
          <w:bCs/>
          <w:color w:val="auto"/>
          <w:sz w:val="24"/>
          <w:szCs w:val="24"/>
          <w:highlight w:val="none"/>
        </w:rPr>
        <w:t>结算申请</w:t>
      </w:r>
    </w:p>
    <w:p w14:paraId="6A3988F2">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提交</w:t>
      </w:r>
      <w:r>
        <w:rPr>
          <w:rFonts w:hint="eastAsia" w:cs="宋体"/>
          <w:color w:val="auto"/>
          <w:sz w:val="24"/>
          <w:szCs w:val="24"/>
          <w:highlight w:val="none"/>
          <w:lang w:eastAsia="zh-CN"/>
        </w:rPr>
        <w:t>完工</w:t>
      </w:r>
      <w:r>
        <w:rPr>
          <w:rFonts w:hint="eastAsia" w:cs="宋体"/>
          <w:color w:val="auto"/>
          <w:sz w:val="24"/>
          <w:szCs w:val="24"/>
          <w:highlight w:val="none"/>
        </w:rPr>
        <w:t>结算申请单的期限：</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应在工程</w:t>
      </w:r>
      <w:r>
        <w:rPr>
          <w:rFonts w:hint="eastAsia" w:cs="宋体"/>
          <w:color w:val="auto"/>
          <w:sz w:val="24"/>
          <w:szCs w:val="24"/>
          <w:highlight w:val="none"/>
          <w:u w:val="single"/>
          <w:lang w:eastAsia="zh-CN"/>
        </w:rPr>
        <w:t>完工</w:t>
      </w:r>
      <w:r>
        <w:rPr>
          <w:rFonts w:hint="eastAsia" w:cs="宋体"/>
          <w:color w:val="auto"/>
          <w:sz w:val="24"/>
          <w:szCs w:val="24"/>
          <w:highlight w:val="none"/>
          <w:u w:val="single"/>
        </w:rPr>
        <w:t>验收合格后28天内</w:t>
      </w:r>
      <w:r>
        <w:rPr>
          <w:rFonts w:hint="eastAsia" w:cs="宋体"/>
          <w:color w:val="auto"/>
          <w:sz w:val="24"/>
          <w:szCs w:val="24"/>
          <w:highlight w:val="none"/>
        </w:rPr>
        <w:t>。</w:t>
      </w:r>
    </w:p>
    <w:p w14:paraId="764D9C48">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完工</w:t>
      </w:r>
      <w:r>
        <w:rPr>
          <w:rFonts w:hint="eastAsia" w:cs="宋体"/>
          <w:color w:val="auto"/>
          <w:sz w:val="24"/>
          <w:szCs w:val="24"/>
          <w:highlight w:val="none"/>
        </w:rPr>
        <w:t>结算申请单应包括的内容：</w:t>
      </w:r>
      <w:r>
        <w:rPr>
          <w:rFonts w:hint="eastAsia" w:cs="宋体"/>
          <w:color w:val="auto"/>
          <w:sz w:val="24"/>
          <w:szCs w:val="24"/>
          <w:highlight w:val="none"/>
          <w:u w:val="single"/>
        </w:rPr>
        <w:t>执行通用条款</w:t>
      </w:r>
      <w:r>
        <w:rPr>
          <w:rFonts w:hint="eastAsia" w:cs="宋体"/>
          <w:color w:val="auto"/>
          <w:sz w:val="24"/>
          <w:szCs w:val="24"/>
          <w:highlight w:val="none"/>
        </w:rPr>
        <w:t>。</w:t>
      </w:r>
    </w:p>
    <w:p w14:paraId="7E0F33C5">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 xml:space="preserve">14.2 </w:t>
      </w:r>
      <w:r>
        <w:rPr>
          <w:rFonts w:hint="eastAsia" w:cs="宋体"/>
          <w:bCs/>
          <w:color w:val="auto"/>
          <w:sz w:val="24"/>
          <w:szCs w:val="24"/>
          <w:highlight w:val="none"/>
          <w:lang w:eastAsia="zh-CN"/>
        </w:rPr>
        <w:t>完工</w:t>
      </w:r>
      <w:r>
        <w:rPr>
          <w:rFonts w:hint="eastAsia" w:cs="宋体"/>
          <w:bCs/>
          <w:color w:val="auto"/>
          <w:sz w:val="24"/>
          <w:szCs w:val="24"/>
          <w:highlight w:val="none"/>
        </w:rPr>
        <w:t>结算审核</w:t>
      </w:r>
    </w:p>
    <w:p w14:paraId="138DCEF9">
      <w:pPr>
        <w:adjustRightInd w:val="0"/>
        <w:snapToGrid w:val="0"/>
        <w:spacing w:line="360" w:lineRule="auto"/>
        <w:ind w:firstLine="480" w:firstLineChars="200"/>
        <w:rPr>
          <w:rFonts w:hint="eastAsia" w:cs="宋体"/>
          <w:strike w:val="0"/>
          <w:dstrike w:val="0"/>
          <w:color w:val="auto"/>
          <w:sz w:val="24"/>
          <w:szCs w:val="24"/>
          <w:highlight w:val="none"/>
          <w:u w:val="single"/>
          <w:lang w:val="en-US" w:eastAsia="zh-CN"/>
        </w:rPr>
      </w:pPr>
      <w:r>
        <w:rPr>
          <w:rFonts w:hint="eastAsia" w:cs="宋体"/>
          <w:color w:val="auto"/>
          <w:sz w:val="24"/>
          <w:szCs w:val="24"/>
          <w:highlight w:val="none"/>
          <w:lang w:eastAsia="zh-CN"/>
        </w:rPr>
        <w:t>甲方</w:t>
      </w:r>
      <w:r>
        <w:rPr>
          <w:rFonts w:hint="eastAsia" w:cs="宋体"/>
          <w:color w:val="auto"/>
          <w:sz w:val="24"/>
          <w:szCs w:val="24"/>
          <w:highlight w:val="none"/>
        </w:rPr>
        <w:t>审批</w:t>
      </w:r>
      <w:r>
        <w:rPr>
          <w:rFonts w:hint="eastAsia" w:cs="宋体"/>
          <w:color w:val="auto"/>
          <w:sz w:val="24"/>
          <w:szCs w:val="24"/>
          <w:highlight w:val="none"/>
          <w:lang w:eastAsia="zh-CN"/>
        </w:rPr>
        <w:t>完工</w:t>
      </w:r>
      <w:r>
        <w:rPr>
          <w:rFonts w:hint="eastAsia" w:cs="宋体"/>
          <w:color w:val="auto"/>
          <w:sz w:val="24"/>
          <w:szCs w:val="24"/>
          <w:highlight w:val="none"/>
        </w:rPr>
        <w:t>付款申请单的期限：</w:t>
      </w:r>
      <w:r>
        <w:rPr>
          <w:rFonts w:hint="eastAsia" w:cs="宋体"/>
          <w:strike w:val="0"/>
          <w:dstrike w:val="0"/>
          <w:color w:val="auto"/>
          <w:sz w:val="24"/>
          <w:szCs w:val="24"/>
          <w:highlight w:val="none"/>
          <w:u w:val="single"/>
          <w:lang w:val="en-US" w:eastAsia="zh-CN"/>
        </w:rPr>
        <w:t>/</w:t>
      </w:r>
    </w:p>
    <w:p w14:paraId="6AEB4599">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甲方</w:t>
      </w:r>
      <w:r>
        <w:rPr>
          <w:rFonts w:hint="eastAsia" w:cs="宋体"/>
          <w:color w:val="auto"/>
          <w:sz w:val="24"/>
          <w:szCs w:val="24"/>
          <w:highlight w:val="none"/>
        </w:rPr>
        <w:t>完成</w:t>
      </w:r>
      <w:r>
        <w:rPr>
          <w:rFonts w:hint="eastAsia" w:cs="宋体"/>
          <w:color w:val="auto"/>
          <w:sz w:val="24"/>
          <w:szCs w:val="24"/>
          <w:highlight w:val="none"/>
          <w:lang w:eastAsia="zh-CN"/>
        </w:rPr>
        <w:t>完工</w:t>
      </w:r>
      <w:r>
        <w:rPr>
          <w:rFonts w:hint="eastAsia" w:cs="宋体"/>
          <w:color w:val="auto"/>
          <w:sz w:val="24"/>
          <w:szCs w:val="24"/>
          <w:highlight w:val="none"/>
        </w:rPr>
        <w:t>付款的期限：</w:t>
      </w:r>
      <w:r>
        <w:rPr>
          <w:rFonts w:hint="eastAsia" w:cs="宋体"/>
          <w:strike w:val="0"/>
          <w:dstrike w:val="0"/>
          <w:color w:val="auto"/>
          <w:sz w:val="24"/>
          <w:szCs w:val="24"/>
          <w:highlight w:val="none"/>
          <w:u w:val="single"/>
          <w:lang w:eastAsia="zh-CN"/>
        </w:rPr>
        <w:t>甲方</w:t>
      </w:r>
      <w:r>
        <w:rPr>
          <w:rFonts w:hint="eastAsia" w:cs="宋体"/>
          <w:strike w:val="0"/>
          <w:dstrike w:val="0"/>
          <w:color w:val="auto"/>
          <w:sz w:val="24"/>
          <w:szCs w:val="24"/>
          <w:highlight w:val="none"/>
          <w:u w:val="single"/>
        </w:rPr>
        <w:t>应在收到</w:t>
      </w:r>
      <w:r>
        <w:rPr>
          <w:rFonts w:hint="eastAsia" w:cs="宋体"/>
          <w:strike w:val="0"/>
          <w:dstrike w:val="0"/>
          <w:color w:val="auto"/>
          <w:sz w:val="24"/>
          <w:szCs w:val="24"/>
          <w:highlight w:val="none"/>
          <w:u w:val="single"/>
          <w:lang w:val="en-US" w:eastAsia="zh-CN"/>
        </w:rPr>
        <w:t>乙方</w:t>
      </w:r>
      <w:r>
        <w:rPr>
          <w:rFonts w:hint="eastAsia" w:cs="宋体"/>
          <w:strike w:val="0"/>
          <w:dstrike w:val="0"/>
          <w:color w:val="auto"/>
          <w:sz w:val="24"/>
          <w:szCs w:val="24"/>
          <w:highlight w:val="none"/>
          <w:u w:val="single"/>
        </w:rPr>
        <w:t>提交的经审核的</w:t>
      </w:r>
      <w:r>
        <w:rPr>
          <w:rFonts w:hint="eastAsia" w:cs="宋体"/>
          <w:strike w:val="0"/>
          <w:dstrike w:val="0"/>
          <w:color w:val="auto"/>
          <w:sz w:val="24"/>
          <w:szCs w:val="24"/>
          <w:highlight w:val="none"/>
          <w:u w:val="single"/>
          <w:lang w:eastAsia="zh-CN"/>
        </w:rPr>
        <w:t>完工</w:t>
      </w:r>
      <w:r>
        <w:rPr>
          <w:rFonts w:hint="eastAsia" w:cs="宋体"/>
          <w:strike w:val="0"/>
          <w:dstrike w:val="0"/>
          <w:color w:val="auto"/>
          <w:sz w:val="24"/>
          <w:szCs w:val="24"/>
          <w:highlight w:val="none"/>
          <w:u w:val="single"/>
        </w:rPr>
        <w:t>结算申请单后</w:t>
      </w:r>
      <w:r>
        <w:rPr>
          <w:rFonts w:hint="eastAsia" w:cs="宋体"/>
          <w:strike w:val="0"/>
          <w:dstrike w:val="0"/>
          <w:color w:val="auto"/>
          <w:sz w:val="24"/>
          <w:szCs w:val="24"/>
          <w:highlight w:val="none"/>
          <w:u w:val="single"/>
          <w:lang w:eastAsia="zh-CN"/>
        </w:rPr>
        <w:t>，</w:t>
      </w:r>
      <w:r>
        <w:rPr>
          <w:rFonts w:hint="eastAsia" w:cs="宋体"/>
          <w:strike w:val="0"/>
          <w:dstrike w:val="0"/>
          <w:color w:val="auto"/>
          <w:sz w:val="24"/>
          <w:szCs w:val="24"/>
          <w:highlight w:val="none"/>
          <w:u w:val="single"/>
          <w:lang w:val="en-US" w:eastAsia="zh-CN"/>
        </w:rPr>
        <w:t>按规定及时支付</w:t>
      </w:r>
      <w:r>
        <w:rPr>
          <w:rFonts w:hint="eastAsia" w:cs="宋体"/>
          <w:color w:val="auto"/>
          <w:sz w:val="24"/>
          <w:szCs w:val="24"/>
          <w:highlight w:val="none"/>
          <w:u w:val="single"/>
          <w:lang w:val="en-US" w:eastAsia="zh-CN"/>
        </w:rPr>
        <w:t>结算价款</w:t>
      </w:r>
      <w:r>
        <w:rPr>
          <w:rFonts w:hint="eastAsia" w:cs="宋体"/>
          <w:color w:val="auto"/>
          <w:sz w:val="24"/>
          <w:szCs w:val="24"/>
          <w:highlight w:val="none"/>
        </w:rPr>
        <w:t>。</w:t>
      </w:r>
    </w:p>
    <w:p w14:paraId="31095CF8">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w:t>
      </w:r>
      <w:r>
        <w:rPr>
          <w:rFonts w:hint="eastAsia" w:cs="宋体"/>
          <w:color w:val="auto"/>
          <w:sz w:val="24"/>
          <w:szCs w:val="24"/>
          <w:highlight w:val="none"/>
          <w:lang w:eastAsia="zh-CN"/>
        </w:rPr>
        <w:t>完工</w:t>
      </w:r>
      <w:r>
        <w:rPr>
          <w:rFonts w:hint="eastAsia" w:cs="宋体"/>
          <w:color w:val="auto"/>
          <w:sz w:val="24"/>
          <w:szCs w:val="24"/>
          <w:highlight w:val="none"/>
        </w:rPr>
        <w:t>付款证书异议部分复核的方式和程序：</w:t>
      </w:r>
      <w:r>
        <w:rPr>
          <w:rFonts w:hint="eastAsia" w:cs="宋体"/>
          <w:color w:val="auto"/>
          <w:sz w:val="24"/>
          <w:szCs w:val="24"/>
          <w:highlight w:val="none"/>
          <w:u w:val="single"/>
        </w:rPr>
        <w:t>执行通用条款</w:t>
      </w:r>
      <w:r>
        <w:rPr>
          <w:rFonts w:hint="eastAsia" w:cs="宋体"/>
          <w:color w:val="auto"/>
          <w:sz w:val="24"/>
          <w:szCs w:val="24"/>
          <w:highlight w:val="none"/>
        </w:rPr>
        <w:t>。</w:t>
      </w:r>
    </w:p>
    <w:p w14:paraId="5B888DDB">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14.4 最终结清</w:t>
      </w:r>
    </w:p>
    <w:p w14:paraId="407C20F1">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14.4.1 最终结清申请单</w:t>
      </w:r>
    </w:p>
    <w:p w14:paraId="5B0F6C1C">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提交最终结清申请单的份数：</w:t>
      </w:r>
      <w:r>
        <w:rPr>
          <w:rFonts w:hint="eastAsia" w:cs="宋体"/>
          <w:color w:val="auto"/>
          <w:sz w:val="24"/>
          <w:szCs w:val="24"/>
          <w:highlight w:val="none"/>
          <w:u w:val="single"/>
        </w:rPr>
        <w:t xml:space="preserve">                    </w:t>
      </w:r>
      <w:r>
        <w:rPr>
          <w:rFonts w:hint="eastAsia" w:cs="宋体"/>
          <w:color w:val="auto"/>
          <w:sz w:val="24"/>
          <w:szCs w:val="24"/>
          <w:highlight w:val="none"/>
        </w:rPr>
        <w:t>。</w:t>
      </w:r>
    </w:p>
    <w:p w14:paraId="3FF50158">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提交最终结算申请单的期限：</w:t>
      </w:r>
      <w:r>
        <w:rPr>
          <w:rFonts w:hint="eastAsia" w:cs="宋体"/>
          <w:color w:val="auto"/>
          <w:sz w:val="24"/>
          <w:szCs w:val="24"/>
          <w:highlight w:val="none"/>
          <w:u w:val="single"/>
        </w:rPr>
        <w:t>缺陷责任期终止证书颁发后7天内</w:t>
      </w:r>
      <w:r>
        <w:rPr>
          <w:rFonts w:hint="eastAsia" w:cs="宋体"/>
          <w:color w:val="auto"/>
          <w:sz w:val="24"/>
          <w:szCs w:val="24"/>
          <w:highlight w:val="none"/>
        </w:rPr>
        <w:t xml:space="preserve">。 </w:t>
      </w:r>
    </w:p>
    <w:p w14:paraId="516E4623">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14.4.2 最终结清证书和支付</w:t>
      </w:r>
    </w:p>
    <w:p w14:paraId="62084793">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w:t>
      </w:r>
      <w:r>
        <w:rPr>
          <w:rFonts w:hint="eastAsia" w:cs="宋体"/>
          <w:color w:val="auto"/>
          <w:sz w:val="24"/>
          <w:szCs w:val="24"/>
          <w:highlight w:val="none"/>
          <w:lang w:eastAsia="zh-CN"/>
        </w:rPr>
        <w:t>甲方</w:t>
      </w:r>
      <w:r>
        <w:rPr>
          <w:rFonts w:hint="eastAsia" w:cs="宋体"/>
          <w:color w:val="auto"/>
          <w:sz w:val="24"/>
          <w:szCs w:val="24"/>
          <w:highlight w:val="none"/>
        </w:rPr>
        <w:t>完成最终结清申请单的审批并颁发最终结清证书的期限：</w:t>
      </w:r>
      <w:r>
        <w:rPr>
          <w:rFonts w:hint="eastAsia" w:cs="宋体"/>
          <w:color w:val="auto"/>
          <w:sz w:val="24"/>
          <w:szCs w:val="24"/>
          <w:highlight w:val="none"/>
          <w:u w:val="single"/>
        </w:rPr>
        <w:t>收到</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提交的最终结清申请单后14天内</w:t>
      </w:r>
      <w:r>
        <w:rPr>
          <w:rFonts w:hint="eastAsia" w:cs="宋体"/>
          <w:color w:val="auto"/>
          <w:sz w:val="24"/>
          <w:szCs w:val="24"/>
          <w:highlight w:val="none"/>
        </w:rPr>
        <w:t>。</w:t>
      </w:r>
    </w:p>
    <w:p w14:paraId="1C91A5A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（2）</w:t>
      </w:r>
      <w:r>
        <w:rPr>
          <w:rFonts w:hint="eastAsia" w:cs="宋体"/>
          <w:color w:val="auto"/>
          <w:sz w:val="24"/>
          <w:szCs w:val="24"/>
          <w:highlight w:val="none"/>
          <w:lang w:eastAsia="zh-CN"/>
        </w:rPr>
        <w:t>甲方</w:t>
      </w:r>
      <w:r>
        <w:rPr>
          <w:rFonts w:hint="eastAsia" w:cs="宋体"/>
          <w:color w:val="auto"/>
          <w:sz w:val="24"/>
          <w:szCs w:val="24"/>
          <w:highlight w:val="none"/>
        </w:rPr>
        <w:t>完成支付的期限：</w:t>
      </w:r>
      <w:r>
        <w:rPr>
          <w:rFonts w:hint="eastAsia" w:cs="宋体"/>
          <w:color w:val="auto"/>
          <w:sz w:val="24"/>
          <w:szCs w:val="24"/>
          <w:highlight w:val="none"/>
          <w:u w:val="single"/>
        </w:rPr>
        <w:t>颁发最终结清证书后7天内完成支付</w:t>
      </w:r>
      <w:r>
        <w:rPr>
          <w:rFonts w:hint="eastAsia" w:cs="宋体"/>
          <w:color w:val="auto"/>
          <w:sz w:val="24"/>
          <w:szCs w:val="24"/>
          <w:highlight w:val="none"/>
        </w:rPr>
        <w:t>。</w:t>
      </w:r>
    </w:p>
    <w:bookmarkEnd w:id="551"/>
    <w:bookmarkEnd w:id="552"/>
    <w:bookmarkEnd w:id="553"/>
    <w:bookmarkEnd w:id="554"/>
    <w:bookmarkEnd w:id="555"/>
    <w:bookmarkEnd w:id="556"/>
    <w:bookmarkEnd w:id="557"/>
    <w:bookmarkEnd w:id="563"/>
    <w:p w14:paraId="38F7A52C">
      <w:pPr>
        <w:snapToGrid w:val="0"/>
        <w:spacing w:before="312" w:beforeLines="100" w:after="312" w:afterLines="100" w:line="360" w:lineRule="auto"/>
        <w:outlineLvl w:val="2"/>
        <w:rPr>
          <w:rFonts w:cs="宋体"/>
          <w:color w:val="auto"/>
          <w:sz w:val="24"/>
          <w:szCs w:val="24"/>
          <w:highlight w:val="none"/>
        </w:rPr>
      </w:pPr>
      <w:bookmarkStart w:id="565" w:name="_Toc351203647"/>
      <w:bookmarkStart w:id="566" w:name="_Toc267251483"/>
      <w:bookmarkStart w:id="567" w:name="_Toc267251482"/>
      <w:bookmarkStart w:id="568" w:name="_Toc267251484"/>
      <w:bookmarkStart w:id="569" w:name="_Toc267251485"/>
      <w:bookmarkStart w:id="570" w:name="_Toc267251489"/>
      <w:bookmarkStart w:id="571" w:name="_Toc267251488"/>
      <w:bookmarkStart w:id="572" w:name="_Toc267251486"/>
      <w:bookmarkStart w:id="573" w:name="_Toc267251490"/>
      <w:bookmarkStart w:id="574" w:name="_Toc267251501"/>
      <w:bookmarkStart w:id="575" w:name="_Toc267251492"/>
      <w:bookmarkStart w:id="576" w:name="_Toc267251496"/>
      <w:bookmarkStart w:id="577" w:name="_Toc267251497"/>
      <w:bookmarkStart w:id="578" w:name="_Toc267251498"/>
      <w:bookmarkStart w:id="579" w:name="_Toc267251491"/>
      <w:bookmarkStart w:id="580" w:name="_Toc267251495"/>
      <w:bookmarkStart w:id="581" w:name="_Toc267251494"/>
      <w:bookmarkStart w:id="582" w:name="_Toc267251499"/>
      <w:bookmarkStart w:id="583" w:name="_Toc267251493"/>
      <w:bookmarkStart w:id="584" w:name="_Toc267251503"/>
      <w:bookmarkStart w:id="585" w:name="_Toc267251502"/>
      <w:bookmarkStart w:id="586" w:name="_Toc267251504"/>
      <w:bookmarkStart w:id="587" w:name="_Toc267251506"/>
      <w:bookmarkStart w:id="588" w:name="_Toc267251507"/>
      <w:bookmarkStart w:id="589" w:name="_Toc267251508"/>
      <w:bookmarkStart w:id="590" w:name="_Toc267251509"/>
      <w:bookmarkStart w:id="591" w:name="_Toc267251514"/>
      <w:bookmarkStart w:id="592" w:name="_Toc267251515"/>
      <w:bookmarkStart w:id="593" w:name="_Toc267251513"/>
      <w:bookmarkStart w:id="594" w:name="_Toc267251511"/>
      <w:bookmarkStart w:id="595" w:name="_Toc267251510"/>
      <w:r>
        <w:rPr>
          <w:rFonts w:hint="eastAsia" w:cs="宋体"/>
          <w:color w:val="auto"/>
          <w:sz w:val="24"/>
          <w:szCs w:val="24"/>
          <w:highlight w:val="none"/>
        </w:rPr>
        <w:t>15. 缺陷责任期与保修</w:t>
      </w:r>
      <w:bookmarkEnd w:id="565"/>
    </w:p>
    <w:p w14:paraId="28BF780C">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15.2 缺陷责任期</w:t>
      </w:r>
      <w:bookmarkEnd w:id="566"/>
    </w:p>
    <w:p w14:paraId="4F663228">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缺陷责任期的具体期限：</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6895DDB2">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15.3 质量保证金</w:t>
      </w:r>
    </w:p>
    <w:p w14:paraId="7A0C437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关于是否扣留质量保证金的约定：</w:t>
      </w:r>
      <w:r>
        <w:rPr>
          <w:rFonts w:hint="eastAsia" w:cs="宋体"/>
          <w:color w:val="auto"/>
          <w:sz w:val="24"/>
          <w:szCs w:val="24"/>
          <w:highlight w:val="none"/>
          <w:u w:val="single"/>
          <w:lang w:val="en-US" w:eastAsia="zh-CN"/>
        </w:rPr>
        <w:t>否</w:t>
      </w:r>
      <w:r>
        <w:rPr>
          <w:rFonts w:hint="eastAsia" w:cs="宋体"/>
          <w:color w:val="auto"/>
          <w:sz w:val="24"/>
          <w:szCs w:val="24"/>
          <w:highlight w:val="none"/>
          <w:u w:val="single"/>
        </w:rPr>
        <w:t xml:space="preserve"> </w:t>
      </w:r>
      <w:r>
        <w:rPr>
          <w:rFonts w:hint="eastAsia" w:cs="宋体"/>
          <w:color w:val="auto"/>
          <w:sz w:val="24"/>
          <w:szCs w:val="24"/>
          <w:highlight w:val="none"/>
        </w:rPr>
        <w:t>。在工程项目</w:t>
      </w:r>
      <w:r>
        <w:rPr>
          <w:rFonts w:hint="eastAsia" w:cs="宋体"/>
          <w:color w:val="auto"/>
          <w:sz w:val="24"/>
          <w:szCs w:val="24"/>
          <w:highlight w:val="none"/>
          <w:lang w:eastAsia="zh-CN"/>
        </w:rPr>
        <w:t>完工</w:t>
      </w:r>
      <w:r>
        <w:rPr>
          <w:rFonts w:hint="eastAsia" w:cs="宋体"/>
          <w:color w:val="auto"/>
          <w:sz w:val="24"/>
          <w:szCs w:val="24"/>
          <w:highlight w:val="none"/>
        </w:rPr>
        <w:t>前，</w:t>
      </w:r>
      <w:r>
        <w:rPr>
          <w:rFonts w:hint="eastAsia" w:cs="宋体"/>
          <w:color w:val="auto"/>
          <w:sz w:val="24"/>
          <w:szCs w:val="24"/>
          <w:highlight w:val="none"/>
          <w:lang w:eastAsia="zh-CN"/>
        </w:rPr>
        <w:t>乙方</w:t>
      </w:r>
      <w:r>
        <w:rPr>
          <w:rFonts w:hint="eastAsia" w:cs="宋体"/>
          <w:color w:val="auto"/>
          <w:sz w:val="24"/>
          <w:szCs w:val="24"/>
          <w:highlight w:val="none"/>
        </w:rPr>
        <w:t>按专用合同条款第3.7款提供履约保证金的，</w:t>
      </w:r>
      <w:r>
        <w:rPr>
          <w:rFonts w:hint="eastAsia" w:cs="宋体"/>
          <w:color w:val="auto"/>
          <w:sz w:val="24"/>
          <w:szCs w:val="24"/>
          <w:highlight w:val="none"/>
          <w:lang w:eastAsia="zh-CN"/>
        </w:rPr>
        <w:t>甲方</w:t>
      </w:r>
      <w:r>
        <w:rPr>
          <w:rFonts w:hint="eastAsia" w:cs="宋体"/>
          <w:color w:val="auto"/>
          <w:sz w:val="24"/>
          <w:szCs w:val="24"/>
          <w:highlight w:val="none"/>
        </w:rPr>
        <w:t>不得同时预留工程质量保证金。</w:t>
      </w:r>
    </w:p>
    <w:p w14:paraId="3F8FE17B">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15.3.1 </w:t>
      </w:r>
      <w:r>
        <w:rPr>
          <w:rFonts w:hint="eastAsia" w:cs="宋体"/>
          <w:color w:val="auto"/>
          <w:sz w:val="24"/>
          <w:szCs w:val="24"/>
          <w:highlight w:val="none"/>
          <w:lang w:eastAsia="zh-CN"/>
        </w:rPr>
        <w:t>乙方</w:t>
      </w:r>
      <w:r>
        <w:rPr>
          <w:rFonts w:hint="eastAsia" w:cs="宋体"/>
          <w:color w:val="auto"/>
          <w:sz w:val="24"/>
          <w:szCs w:val="24"/>
          <w:highlight w:val="none"/>
        </w:rPr>
        <w:t>提供质量保证金的方式</w:t>
      </w:r>
    </w:p>
    <w:p w14:paraId="34E0EF23">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质量保证金可采用以下任意一种方式：</w:t>
      </w:r>
    </w:p>
    <w:p w14:paraId="5DE92F03">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（1）由银行业金融机构、工程担保公司、保险机构出具银行保函、工程质量保险等担保方式，担保/保证金额为：</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72ECD744">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（2）</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51CE729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（3）其他方式：</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7B9C0741">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15.3.2 质量保证金的扣留 </w:t>
      </w:r>
    </w:p>
    <w:p w14:paraId="76C1D43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质量保证金的扣留采取以下第</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3</w:t>
      </w:r>
      <w:r>
        <w:rPr>
          <w:rFonts w:hint="eastAsia" w:cs="宋体"/>
          <w:color w:val="auto"/>
          <w:sz w:val="24"/>
          <w:szCs w:val="24"/>
          <w:highlight w:val="none"/>
          <w:u w:val="single"/>
        </w:rPr>
        <w:t xml:space="preserve"> </w:t>
      </w:r>
      <w:r>
        <w:rPr>
          <w:rFonts w:hint="eastAsia" w:cs="宋体"/>
          <w:color w:val="auto"/>
          <w:sz w:val="24"/>
          <w:szCs w:val="24"/>
          <w:highlight w:val="none"/>
        </w:rPr>
        <w:t>种方式：</w:t>
      </w:r>
    </w:p>
    <w:p w14:paraId="0D942FE0">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（1）在支付工程进度款时逐次扣留，在此情形下，质量保证金的计算基数不包括预付款的支付、扣回以及价格调整的金额；</w:t>
      </w:r>
    </w:p>
    <w:p w14:paraId="5891674C">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（2）工程</w:t>
      </w:r>
      <w:r>
        <w:rPr>
          <w:rFonts w:hint="eastAsia" w:cs="宋体"/>
          <w:color w:val="auto"/>
          <w:sz w:val="24"/>
          <w:szCs w:val="24"/>
          <w:highlight w:val="none"/>
          <w:lang w:eastAsia="zh-CN"/>
        </w:rPr>
        <w:t>完工</w:t>
      </w:r>
      <w:r>
        <w:rPr>
          <w:rFonts w:hint="eastAsia" w:cs="宋体"/>
          <w:color w:val="auto"/>
          <w:sz w:val="24"/>
          <w:szCs w:val="24"/>
          <w:highlight w:val="none"/>
        </w:rPr>
        <w:t>结算时一次性扣留质量保证金；</w:t>
      </w:r>
    </w:p>
    <w:p w14:paraId="43D1C2C8">
      <w:pPr>
        <w:adjustRightInd w:val="0"/>
        <w:snapToGrid w:val="0"/>
        <w:spacing w:line="360" w:lineRule="auto"/>
        <w:ind w:firstLine="480" w:firstLineChars="200"/>
        <w:jc w:val="left"/>
        <w:rPr>
          <w:rFonts w:hint="eastAsia"/>
          <w:color w:val="auto"/>
          <w:sz w:val="24"/>
          <w:szCs w:val="24"/>
          <w:highlight w:val="none"/>
          <w:lang w:eastAsia="zh-CN"/>
        </w:rPr>
      </w:pPr>
      <w:r>
        <w:rPr>
          <w:rFonts w:hint="eastAsia" w:cs="宋体"/>
          <w:color w:val="auto"/>
          <w:sz w:val="24"/>
          <w:szCs w:val="24"/>
          <w:highlight w:val="none"/>
        </w:rPr>
        <w:t>（3）其他扣留方式：</w:t>
      </w:r>
    </w:p>
    <w:p w14:paraId="57FDAD8B">
      <w:pPr>
        <w:adjustRightInd w:val="0"/>
        <w:snapToGrid w:val="0"/>
        <w:spacing w:line="360" w:lineRule="auto"/>
        <w:ind w:firstLine="480" w:firstLineChars="200"/>
        <w:rPr>
          <w:rFonts w:hint="eastAsia" w:cs="宋体"/>
          <w:b w:val="0"/>
          <w:bCs w:val="0"/>
          <w:color w:val="auto"/>
          <w:sz w:val="24"/>
          <w:szCs w:val="24"/>
          <w:highlight w:val="none"/>
          <w:u w:val="none"/>
        </w:rPr>
      </w:pPr>
      <w:r>
        <w:rPr>
          <w:rFonts w:hint="eastAsia" w:cs="宋体"/>
          <w:color w:val="auto"/>
          <w:sz w:val="24"/>
          <w:szCs w:val="24"/>
          <w:highlight w:val="none"/>
        </w:rPr>
        <w:t>关于质量保证金的补充约定：</w:t>
      </w:r>
      <w:r>
        <w:rPr>
          <w:rFonts w:hint="eastAsia"/>
          <w:color w:val="auto"/>
          <w:sz w:val="24"/>
          <w:szCs w:val="24"/>
          <w:highlight w:val="none"/>
          <w:lang w:val="en-US" w:eastAsia="zh-CN"/>
        </w:rPr>
        <w:t>由银行业金融机构、工程担保公司、保险机构出具银行保函、工程质量保险等担保方式；</w:t>
      </w:r>
      <w:r>
        <w:rPr>
          <w:rFonts w:hint="eastAsia"/>
          <w:color w:val="auto"/>
          <w:sz w:val="24"/>
          <w:szCs w:val="24"/>
          <w:highlight w:val="none"/>
        </w:rPr>
        <w:t>转账的方式缴纳</w:t>
      </w:r>
      <w:r>
        <w:rPr>
          <w:rFonts w:hint="eastAsia"/>
          <w:color w:val="auto"/>
          <w:sz w:val="24"/>
          <w:szCs w:val="24"/>
          <w:highlight w:val="none"/>
          <w:lang w:eastAsia="zh-CN"/>
        </w:rPr>
        <w:t>；</w:t>
      </w:r>
      <w:r>
        <w:rPr>
          <w:rFonts w:hint="eastAsia" w:ascii="宋体" w:hAnsi="宋体" w:eastAsia="宋体" w:cs="宋体"/>
          <w:b w:val="0"/>
          <w:bCs w:val="0"/>
          <w:color w:val="auto"/>
          <w:sz w:val="24"/>
          <w:szCs w:val="24"/>
          <w:highlight w:val="none"/>
          <w:u w:val="none"/>
          <w:lang w:val="en-US" w:eastAsia="zh-CN"/>
        </w:rPr>
        <w:t>在工程项目完工前，乙方按甲方要求提供履约保证金的，可在工程进入缺陷责任期时按照多退少补原则转为质量保证金</w:t>
      </w:r>
      <w:r>
        <w:rPr>
          <w:rFonts w:hint="eastAsia" w:cs="宋体"/>
          <w:color w:val="auto"/>
          <w:sz w:val="24"/>
          <w:szCs w:val="24"/>
          <w:highlight w:val="none"/>
        </w:rPr>
        <w:t>。</w:t>
      </w:r>
    </w:p>
    <w:bookmarkEnd w:id="567"/>
    <w:bookmarkEnd w:id="568"/>
    <w:p w14:paraId="5D56C751">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15.4 保修</w:t>
      </w:r>
    </w:p>
    <w:bookmarkEnd w:id="569"/>
    <w:p w14:paraId="02A33519">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15.4.1 保修责任</w:t>
      </w:r>
    </w:p>
    <w:p w14:paraId="5BFFC6AD">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工程保修期为：</w:t>
      </w:r>
      <w:r>
        <w:rPr>
          <w:rFonts w:hint="eastAsia" w:cs="宋体"/>
          <w:color w:val="auto"/>
          <w:sz w:val="24"/>
          <w:szCs w:val="24"/>
          <w:highlight w:val="none"/>
          <w:u w:val="single"/>
        </w:rPr>
        <w:t>执行《工程质量保修书》规定</w:t>
      </w:r>
      <w:r>
        <w:rPr>
          <w:rFonts w:hint="eastAsia" w:cs="宋体"/>
          <w:color w:val="auto"/>
          <w:sz w:val="24"/>
          <w:szCs w:val="24"/>
          <w:highlight w:val="none"/>
        </w:rPr>
        <w:t>。</w:t>
      </w:r>
    </w:p>
    <w:p w14:paraId="280B805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15.4.3 修复通知</w:t>
      </w:r>
    </w:p>
    <w:p w14:paraId="3C47E90F">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乙方</w:t>
      </w:r>
      <w:r>
        <w:rPr>
          <w:rFonts w:hint="eastAsia" w:cs="宋体"/>
          <w:color w:val="auto"/>
          <w:sz w:val="24"/>
          <w:szCs w:val="24"/>
          <w:highlight w:val="none"/>
        </w:rPr>
        <w:t>收到保修通知并到达工程现场的合理时间：</w:t>
      </w:r>
      <w:r>
        <w:rPr>
          <w:rFonts w:hint="eastAsia" w:cs="宋体"/>
          <w:color w:val="auto"/>
          <w:sz w:val="24"/>
          <w:szCs w:val="24"/>
          <w:highlight w:val="none"/>
          <w:u w:val="single"/>
        </w:rPr>
        <w:t xml:space="preserve">                 </w:t>
      </w:r>
      <w:r>
        <w:rPr>
          <w:rFonts w:hint="eastAsia" w:cs="宋体"/>
          <w:color w:val="auto"/>
          <w:sz w:val="24"/>
          <w:szCs w:val="24"/>
          <w:highlight w:val="none"/>
        </w:rPr>
        <w:t>。</w:t>
      </w:r>
    </w:p>
    <w:bookmarkEnd w:id="570"/>
    <w:bookmarkEnd w:id="571"/>
    <w:bookmarkEnd w:id="572"/>
    <w:bookmarkEnd w:id="573"/>
    <w:p w14:paraId="748F4364">
      <w:pPr>
        <w:snapToGrid w:val="0"/>
        <w:spacing w:before="312" w:beforeLines="100" w:after="312" w:afterLines="100" w:line="360" w:lineRule="auto"/>
        <w:outlineLvl w:val="2"/>
        <w:rPr>
          <w:rFonts w:cs="宋体"/>
          <w:color w:val="auto"/>
          <w:sz w:val="24"/>
          <w:szCs w:val="24"/>
          <w:highlight w:val="none"/>
        </w:rPr>
      </w:pPr>
      <w:bookmarkStart w:id="596" w:name="_Toc351203648"/>
      <w:bookmarkStart w:id="597" w:name="_Toc280868717"/>
      <w:bookmarkStart w:id="598" w:name="_Toc280868718"/>
      <w:r>
        <w:rPr>
          <w:rFonts w:hint="eastAsia" w:cs="宋体"/>
          <w:color w:val="auto"/>
          <w:sz w:val="24"/>
          <w:szCs w:val="24"/>
          <w:highlight w:val="none"/>
        </w:rPr>
        <w:t>16. 违约</w:t>
      </w:r>
      <w:bookmarkEnd w:id="596"/>
    </w:p>
    <w:p w14:paraId="0ED962F4">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 xml:space="preserve">16.1 </w:t>
      </w:r>
      <w:r>
        <w:rPr>
          <w:rFonts w:hint="eastAsia" w:cs="宋体"/>
          <w:bCs/>
          <w:color w:val="auto"/>
          <w:sz w:val="24"/>
          <w:szCs w:val="24"/>
          <w:highlight w:val="none"/>
          <w:lang w:eastAsia="zh-CN"/>
        </w:rPr>
        <w:t>甲方</w:t>
      </w:r>
      <w:r>
        <w:rPr>
          <w:rFonts w:hint="eastAsia" w:cs="宋体"/>
          <w:bCs/>
          <w:color w:val="auto"/>
          <w:sz w:val="24"/>
          <w:szCs w:val="24"/>
          <w:highlight w:val="none"/>
        </w:rPr>
        <w:t>违约</w:t>
      </w:r>
    </w:p>
    <w:p w14:paraId="535B367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16.1.1 </w:t>
      </w:r>
      <w:r>
        <w:rPr>
          <w:rFonts w:hint="eastAsia" w:cs="宋体"/>
          <w:color w:val="auto"/>
          <w:sz w:val="24"/>
          <w:szCs w:val="24"/>
          <w:highlight w:val="none"/>
          <w:lang w:eastAsia="zh-CN"/>
        </w:rPr>
        <w:t>甲方</w:t>
      </w:r>
      <w:r>
        <w:rPr>
          <w:rFonts w:hint="eastAsia" w:cs="宋体"/>
          <w:color w:val="auto"/>
          <w:sz w:val="24"/>
          <w:szCs w:val="24"/>
          <w:highlight w:val="none"/>
        </w:rPr>
        <w:t>违约的情形</w:t>
      </w:r>
    </w:p>
    <w:p w14:paraId="74ECB131">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甲方</w:t>
      </w:r>
      <w:r>
        <w:rPr>
          <w:rFonts w:hint="eastAsia" w:cs="宋体"/>
          <w:color w:val="auto"/>
          <w:sz w:val="24"/>
          <w:szCs w:val="24"/>
          <w:highlight w:val="none"/>
        </w:rPr>
        <w:t>违约的其他情形：</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1DAF61E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16.1.2 </w:t>
      </w:r>
      <w:r>
        <w:rPr>
          <w:rFonts w:hint="eastAsia" w:cs="宋体"/>
          <w:color w:val="auto"/>
          <w:sz w:val="24"/>
          <w:szCs w:val="24"/>
          <w:highlight w:val="none"/>
          <w:lang w:eastAsia="zh-CN"/>
        </w:rPr>
        <w:t>甲方</w:t>
      </w:r>
      <w:r>
        <w:rPr>
          <w:rFonts w:hint="eastAsia" w:cs="宋体"/>
          <w:color w:val="auto"/>
          <w:sz w:val="24"/>
          <w:szCs w:val="24"/>
          <w:highlight w:val="none"/>
        </w:rPr>
        <w:t>违约的责任</w:t>
      </w:r>
    </w:p>
    <w:p w14:paraId="6160AE42">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违约责任的承担方式和计算方法：</w:t>
      </w:r>
    </w:p>
    <w:p w14:paraId="7B654FB9">
      <w:pPr>
        <w:adjustRightInd w:val="0"/>
        <w:snapToGrid w:val="0"/>
        <w:spacing w:line="360" w:lineRule="auto"/>
        <w:ind w:firstLine="480" w:firstLineChars="200"/>
        <w:rPr>
          <w:rFonts w:hint="eastAsia" w:cs="宋体"/>
          <w:color w:val="auto"/>
          <w:sz w:val="24"/>
          <w:szCs w:val="24"/>
          <w:highlight w:val="none"/>
          <w:u w:val="single"/>
        </w:rPr>
      </w:pPr>
      <w:r>
        <w:rPr>
          <w:rFonts w:hint="eastAsia" w:cs="宋体"/>
          <w:color w:val="auto"/>
          <w:sz w:val="24"/>
          <w:szCs w:val="24"/>
          <w:highlight w:val="none"/>
        </w:rPr>
        <w:t>（1）因</w:t>
      </w:r>
      <w:r>
        <w:rPr>
          <w:rFonts w:hint="eastAsia" w:cs="宋体"/>
          <w:color w:val="auto"/>
          <w:sz w:val="24"/>
          <w:szCs w:val="24"/>
          <w:highlight w:val="none"/>
          <w:lang w:eastAsia="zh-CN"/>
        </w:rPr>
        <w:t>甲方</w:t>
      </w:r>
      <w:r>
        <w:rPr>
          <w:rFonts w:hint="eastAsia" w:cs="宋体"/>
          <w:color w:val="auto"/>
          <w:sz w:val="24"/>
          <w:szCs w:val="24"/>
          <w:highlight w:val="none"/>
        </w:rPr>
        <w:t>原因未能在计划开工日期前7天内下达开工通知的违约责任：</w:t>
      </w:r>
      <w:r>
        <w:rPr>
          <w:rFonts w:hint="eastAsia" w:cs="宋体"/>
          <w:color w:val="auto"/>
          <w:sz w:val="24"/>
          <w:szCs w:val="24"/>
          <w:highlight w:val="none"/>
          <w:u w:val="single"/>
        </w:rPr>
        <w:t xml:space="preserve"> 双方协商</w:t>
      </w:r>
    </w:p>
    <w:p w14:paraId="5BC0475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u w:val="single"/>
        </w:rPr>
        <w:t xml:space="preserve">解决 </w:t>
      </w:r>
      <w:r>
        <w:rPr>
          <w:rFonts w:hint="eastAsia" w:cs="宋体"/>
          <w:color w:val="auto"/>
          <w:sz w:val="24"/>
          <w:szCs w:val="24"/>
          <w:highlight w:val="none"/>
        </w:rPr>
        <w:t>。</w:t>
      </w:r>
    </w:p>
    <w:p w14:paraId="23E768E4">
      <w:pPr>
        <w:adjustRightInd w:val="0"/>
        <w:snapToGrid w:val="0"/>
        <w:spacing w:line="360" w:lineRule="auto"/>
        <w:ind w:firstLine="480" w:firstLineChars="200"/>
        <w:rPr>
          <w:rFonts w:hint="eastAsia" w:cs="宋体"/>
          <w:color w:val="auto"/>
          <w:sz w:val="24"/>
          <w:szCs w:val="24"/>
          <w:highlight w:val="none"/>
          <w:u w:val="single"/>
        </w:rPr>
      </w:pPr>
      <w:r>
        <w:rPr>
          <w:rFonts w:hint="eastAsia" w:cs="宋体"/>
          <w:color w:val="auto"/>
          <w:sz w:val="24"/>
          <w:szCs w:val="24"/>
          <w:highlight w:val="none"/>
        </w:rPr>
        <w:t>（2）因</w:t>
      </w:r>
      <w:r>
        <w:rPr>
          <w:rFonts w:hint="eastAsia" w:cs="宋体"/>
          <w:color w:val="auto"/>
          <w:sz w:val="24"/>
          <w:szCs w:val="24"/>
          <w:highlight w:val="none"/>
          <w:lang w:eastAsia="zh-CN"/>
        </w:rPr>
        <w:t>甲方</w:t>
      </w:r>
      <w:r>
        <w:rPr>
          <w:rFonts w:hint="eastAsia" w:cs="宋体"/>
          <w:color w:val="auto"/>
          <w:sz w:val="24"/>
          <w:szCs w:val="24"/>
          <w:highlight w:val="none"/>
        </w:rPr>
        <w:t>原因未能按合同约定支付合同价款的违约责任：</w:t>
      </w:r>
      <w:r>
        <w:rPr>
          <w:rFonts w:hint="eastAsia" w:cs="宋体"/>
          <w:color w:val="auto"/>
          <w:sz w:val="24"/>
          <w:szCs w:val="24"/>
          <w:highlight w:val="none"/>
          <w:u w:val="single"/>
        </w:rPr>
        <w:t xml:space="preserve"> 双方协商</w:t>
      </w:r>
    </w:p>
    <w:p w14:paraId="0FC58902">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u w:val="single"/>
        </w:rPr>
        <w:t xml:space="preserve">解决 </w:t>
      </w:r>
      <w:r>
        <w:rPr>
          <w:rFonts w:hint="eastAsia" w:cs="宋体"/>
          <w:color w:val="auto"/>
          <w:sz w:val="24"/>
          <w:szCs w:val="24"/>
          <w:highlight w:val="none"/>
        </w:rPr>
        <w:t>。</w:t>
      </w:r>
    </w:p>
    <w:p w14:paraId="6512AAB5">
      <w:pPr>
        <w:adjustRightInd w:val="0"/>
        <w:snapToGrid w:val="0"/>
        <w:spacing w:line="360" w:lineRule="auto"/>
        <w:ind w:firstLine="480" w:firstLineChars="200"/>
        <w:rPr>
          <w:rFonts w:cs="宋体"/>
          <w:b/>
          <w:color w:val="auto"/>
          <w:sz w:val="24"/>
          <w:szCs w:val="24"/>
          <w:highlight w:val="none"/>
          <w:u w:val="single"/>
        </w:rPr>
      </w:pPr>
      <w:r>
        <w:rPr>
          <w:rFonts w:hint="eastAsia" w:cs="宋体"/>
          <w:color w:val="auto"/>
          <w:sz w:val="24"/>
          <w:szCs w:val="24"/>
          <w:highlight w:val="none"/>
        </w:rPr>
        <w:t>（3）</w:t>
      </w:r>
      <w:r>
        <w:rPr>
          <w:rFonts w:hint="eastAsia" w:cs="宋体"/>
          <w:color w:val="auto"/>
          <w:sz w:val="24"/>
          <w:szCs w:val="24"/>
          <w:highlight w:val="none"/>
          <w:lang w:eastAsia="zh-CN"/>
        </w:rPr>
        <w:t>甲方</w:t>
      </w:r>
      <w:r>
        <w:rPr>
          <w:rFonts w:hint="eastAsia" w:cs="宋体"/>
          <w:color w:val="auto"/>
          <w:sz w:val="24"/>
          <w:szCs w:val="24"/>
          <w:highlight w:val="none"/>
        </w:rPr>
        <w:t>违反第10.1款〔变更的范围〕第（2）项约定，自行实施被取消的工作或转由他人实施的违约责任：</w:t>
      </w:r>
      <w:r>
        <w:rPr>
          <w:rFonts w:hint="eastAsia" w:cs="宋体"/>
          <w:color w:val="auto"/>
          <w:sz w:val="24"/>
          <w:szCs w:val="24"/>
          <w:highlight w:val="none"/>
          <w:u w:val="single"/>
        </w:rPr>
        <w:t xml:space="preserve">  双方协商解决  </w:t>
      </w:r>
      <w:r>
        <w:rPr>
          <w:rFonts w:hint="eastAsia" w:cs="宋体"/>
          <w:color w:val="auto"/>
          <w:sz w:val="24"/>
          <w:szCs w:val="24"/>
          <w:highlight w:val="none"/>
        </w:rPr>
        <w:t>。</w:t>
      </w:r>
    </w:p>
    <w:p w14:paraId="72BDA51B">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（4）</w:t>
      </w:r>
      <w:r>
        <w:rPr>
          <w:rFonts w:hint="eastAsia" w:cs="宋体"/>
          <w:color w:val="auto"/>
          <w:sz w:val="24"/>
          <w:szCs w:val="24"/>
          <w:highlight w:val="none"/>
          <w:lang w:eastAsia="zh-CN"/>
        </w:rPr>
        <w:t>甲方</w:t>
      </w:r>
      <w:r>
        <w:rPr>
          <w:rFonts w:hint="eastAsia" w:cs="宋体"/>
          <w:color w:val="auto"/>
          <w:sz w:val="24"/>
          <w:szCs w:val="24"/>
          <w:highlight w:val="none"/>
        </w:rPr>
        <w:t>提供的材料、工程设备的规格、数量或质量不符合合同约定，或因</w:t>
      </w:r>
      <w:r>
        <w:rPr>
          <w:rFonts w:hint="eastAsia" w:cs="宋体"/>
          <w:color w:val="auto"/>
          <w:sz w:val="24"/>
          <w:szCs w:val="24"/>
          <w:highlight w:val="none"/>
          <w:lang w:eastAsia="zh-CN"/>
        </w:rPr>
        <w:t>甲方</w:t>
      </w:r>
      <w:r>
        <w:rPr>
          <w:rFonts w:hint="eastAsia" w:cs="宋体"/>
          <w:color w:val="auto"/>
          <w:sz w:val="24"/>
          <w:szCs w:val="24"/>
          <w:highlight w:val="none"/>
        </w:rPr>
        <w:t>原因导致交货日期延误或交货地点变更等情况的违约责任：</w:t>
      </w:r>
      <w:r>
        <w:rPr>
          <w:rFonts w:hint="eastAsia" w:cs="宋体"/>
          <w:color w:val="auto"/>
          <w:sz w:val="24"/>
          <w:szCs w:val="24"/>
          <w:highlight w:val="none"/>
          <w:u w:val="single"/>
        </w:rPr>
        <w:t xml:space="preserve"> 双方协商解决 </w:t>
      </w:r>
      <w:r>
        <w:rPr>
          <w:rFonts w:hint="eastAsia" w:cs="宋体"/>
          <w:color w:val="auto"/>
          <w:sz w:val="24"/>
          <w:szCs w:val="24"/>
          <w:highlight w:val="none"/>
        </w:rPr>
        <w:t>。</w:t>
      </w:r>
    </w:p>
    <w:p w14:paraId="1E74DFF3">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（5）因</w:t>
      </w:r>
      <w:r>
        <w:rPr>
          <w:rFonts w:hint="eastAsia" w:cs="宋体"/>
          <w:color w:val="auto"/>
          <w:sz w:val="24"/>
          <w:szCs w:val="24"/>
          <w:highlight w:val="none"/>
          <w:lang w:eastAsia="zh-CN"/>
        </w:rPr>
        <w:t>甲方</w:t>
      </w:r>
      <w:r>
        <w:rPr>
          <w:rFonts w:hint="eastAsia" w:cs="宋体"/>
          <w:color w:val="auto"/>
          <w:sz w:val="24"/>
          <w:szCs w:val="24"/>
          <w:highlight w:val="none"/>
        </w:rPr>
        <w:t>违反合同约定造成暂停施工的违约责任：</w:t>
      </w:r>
      <w:r>
        <w:rPr>
          <w:rFonts w:hint="eastAsia" w:cs="宋体"/>
          <w:color w:val="auto"/>
          <w:sz w:val="24"/>
          <w:szCs w:val="24"/>
          <w:highlight w:val="none"/>
          <w:u w:val="single"/>
        </w:rPr>
        <w:t xml:space="preserve"> 双方协商解决 </w:t>
      </w:r>
      <w:r>
        <w:rPr>
          <w:rFonts w:hint="eastAsia" w:cs="宋体"/>
          <w:color w:val="auto"/>
          <w:sz w:val="24"/>
          <w:szCs w:val="24"/>
          <w:highlight w:val="none"/>
        </w:rPr>
        <w:t>。</w:t>
      </w:r>
    </w:p>
    <w:p w14:paraId="18B50CDC">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（6）</w:t>
      </w:r>
      <w:r>
        <w:rPr>
          <w:rFonts w:hint="eastAsia" w:cs="宋体"/>
          <w:color w:val="auto"/>
          <w:sz w:val="24"/>
          <w:szCs w:val="24"/>
          <w:highlight w:val="none"/>
          <w:lang w:eastAsia="zh-CN"/>
        </w:rPr>
        <w:t>甲方</w:t>
      </w:r>
      <w:r>
        <w:rPr>
          <w:rFonts w:hint="eastAsia" w:cs="宋体"/>
          <w:color w:val="auto"/>
          <w:sz w:val="24"/>
          <w:szCs w:val="24"/>
          <w:highlight w:val="none"/>
        </w:rPr>
        <w:t>无正当理由没有在约定期限内发出复工指示，导致</w:t>
      </w:r>
      <w:r>
        <w:rPr>
          <w:rFonts w:hint="eastAsia" w:cs="宋体"/>
          <w:color w:val="auto"/>
          <w:sz w:val="24"/>
          <w:szCs w:val="24"/>
          <w:highlight w:val="none"/>
          <w:lang w:eastAsia="zh-CN"/>
        </w:rPr>
        <w:t>乙方</w:t>
      </w:r>
      <w:r>
        <w:rPr>
          <w:rFonts w:hint="eastAsia" w:cs="宋体"/>
          <w:color w:val="auto"/>
          <w:sz w:val="24"/>
          <w:szCs w:val="24"/>
          <w:highlight w:val="none"/>
        </w:rPr>
        <w:t>无法复工的违约责任：</w:t>
      </w:r>
      <w:r>
        <w:rPr>
          <w:rFonts w:hint="eastAsia" w:cs="宋体"/>
          <w:color w:val="auto"/>
          <w:sz w:val="24"/>
          <w:szCs w:val="24"/>
          <w:highlight w:val="none"/>
          <w:u w:val="single"/>
        </w:rPr>
        <w:t xml:space="preserve"> 双方协商解决  </w:t>
      </w:r>
      <w:r>
        <w:rPr>
          <w:rFonts w:hint="eastAsia" w:cs="宋体"/>
          <w:color w:val="auto"/>
          <w:sz w:val="24"/>
          <w:szCs w:val="24"/>
          <w:highlight w:val="none"/>
        </w:rPr>
        <w:t>。</w:t>
      </w:r>
    </w:p>
    <w:p w14:paraId="4672291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（7）其他：</w:t>
      </w:r>
      <w:r>
        <w:rPr>
          <w:rFonts w:hint="eastAsia" w:cs="宋体"/>
          <w:color w:val="auto"/>
          <w:sz w:val="24"/>
          <w:szCs w:val="24"/>
          <w:highlight w:val="none"/>
          <w:u w:val="single"/>
        </w:rPr>
        <w:t xml:space="preserve"> 双方协商解决  </w:t>
      </w:r>
      <w:r>
        <w:rPr>
          <w:rFonts w:hint="eastAsia" w:cs="宋体"/>
          <w:color w:val="auto"/>
          <w:sz w:val="24"/>
          <w:szCs w:val="24"/>
          <w:highlight w:val="none"/>
        </w:rPr>
        <w:t>。</w:t>
      </w:r>
    </w:p>
    <w:p w14:paraId="423145F8">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16.1.3 因</w:t>
      </w:r>
      <w:r>
        <w:rPr>
          <w:rFonts w:hint="eastAsia" w:cs="宋体"/>
          <w:color w:val="auto"/>
          <w:sz w:val="24"/>
          <w:szCs w:val="24"/>
          <w:highlight w:val="none"/>
          <w:lang w:eastAsia="zh-CN"/>
        </w:rPr>
        <w:t>甲方</w:t>
      </w:r>
      <w:r>
        <w:rPr>
          <w:rFonts w:hint="eastAsia" w:cs="宋体"/>
          <w:color w:val="auto"/>
          <w:sz w:val="24"/>
          <w:szCs w:val="24"/>
          <w:highlight w:val="none"/>
        </w:rPr>
        <w:t>违约解除合同</w:t>
      </w:r>
    </w:p>
    <w:p w14:paraId="6A549BD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按16.1.1项〔</w:t>
      </w:r>
      <w:r>
        <w:rPr>
          <w:rFonts w:hint="eastAsia" w:cs="宋体"/>
          <w:color w:val="auto"/>
          <w:sz w:val="24"/>
          <w:szCs w:val="24"/>
          <w:highlight w:val="none"/>
          <w:lang w:eastAsia="zh-CN"/>
        </w:rPr>
        <w:t>甲方</w:t>
      </w:r>
      <w:r>
        <w:rPr>
          <w:rFonts w:hint="eastAsia" w:cs="宋体"/>
          <w:color w:val="auto"/>
          <w:sz w:val="24"/>
          <w:szCs w:val="24"/>
          <w:highlight w:val="none"/>
        </w:rPr>
        <w:t>违约的情形〕约定暂停施工满</w:t>
      </w:r>
      <w:r>
        <w:rPr>
          <w:rFonts w:hint="eastAsia" w:cs="宋体"/>
          <w:color w:val="auto"/>
          <w:sz w:val="24"/>
          <w:szCs w:val="24"/>
          <w:highlight w:val="none"/>
          <w:u w:val="single"/>
        </w:rPr>
        <w:t>28</w:t>
      </w:r>
      <w:r>
        <w:rPr>
          <w:rFonts w:hint="eastAsia" w:cs="宋体"/>
          <w:color w:val="auto"/>
          <w:sz w:val="24"/>
          <w:szCs w:val="24"/>
          <w:highlight w:val="none"/>
        </w:rPr>
        <w:t>天后</w:t>
      </w:r>
      <w:r>
        <w:rPr>
          <w:rFonts w:hint="eastAsia" w:cs="宋体"/>
          <w:color w:val="auto"/>
          <w:sz w:val="24"/>
          <w:szCs w:val="24"/>
          <w:highlight w:val="none"/>
          <w:lang w:eastAsia="zh-CN"/>
        </w:rPr>
        <w:t>甲方</w:t>
      </w:r>
      <w:r>
        <w:rPr>
          <w:rFonts w:hint="eastAsia" w:cs="宋体"/>
          <w:color w:val="auto"/>
          <w:sz w:val="24"/>
          <w:szCs w:val="24"/>
          <w:highlight w:val="none"/>
        </w:rPr>
        <w:t>仍不纠正其违约行为并致使合同目的不能实现的，</w:t>
      </w:r>
      <w:r>
        <w:rPr>
          <w:rFonts w:hint="eastAsia" w:cs="宋体"/>
          <w:color w:val="auto"/>
          <w:sz w:val="24"/>
          <w:szCs w:val="24"/>
          <w:highlight w:val="none"/>
          <w:lang w:eastAsia="zh-CN"/>
        </w:rPr>
        <w:t>乙方</w:t>
      </w:r>
      <w:r>
        <w:rPr>
          <w:rFonts w:hint="eastAsia" w:cs="宋体"/>
          <w:color w:val="auto"/>
          <w:sz w:val="24"/>
          <w:szCs w:val="24"/>
          <w:highlight w:val="none"/>
        </w:rPr>
        <w:t>有权解除合同。</w:t>
      </w:r>
    </w:p>
    <w:p w14:paraId="7B68C405">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 xml:space="preserve">16.2 </w:t>
      </w:r>
      <w:r>
        <w:rPr>
          <w:rFonts w:hint="eastAsia" w:cs="宋体"/>
          <w:bCs/>
          <w:color w:val="auto"/>
          <w:sz w:val="24"/>
          <w:szCs w:val="24"/>
          <w:highlight w:val="none"/>
          <w:lang w:eastAsia="zh-CN"/>
        </w:rPr>
        <w:t>乙方</w:t>
      </w:r>
      <w:r>
        <w:rPr>
          <w:rFonts w:hint="eastAsia" w:cs="宋体"/>
          <w:bCs/>
          <w:color w:val="auto"/>
          <w:sz w:val="24"/>
          <w:szCs w:val="24"/>
          <w:highlight w:val="none"/>
        </w:rPr>
        <w:t>违约</w:t>
      </w:r>
    </w:p>
    <w:p w14:paraId="024E523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16.2.1 </w:t>
      </w:r>
      <w:r>
        <w:rPr>
          <w:rFonts w:hint="eastAsia" w:cs="宋体"/>
          <w:color w:val="auto"/>
          <w:sz w:val="24"/>
          <w:szCs w:val="24"/>
          <w:highlight w:val="none"/>
          <w:lang w:eastAsia="zh-CN"/>
        </w:rPr>
        <w:t>乙方</w:t>
      </w:r>
      <w:r>
        <w:rPr>
          <w:rFonts w:hint="eastAsia" w:cs="宋体"/>
          <w:color w:val="auto"/>
          <w:sz w:val="24"/>
          <w:szCs w:val="24"/>
          <w:highlight w:val="none"/>
        </w:rPr>
        <w:t>违约的情形</w:t>
      </w:r>
    </w:p>
    <w:p w14:paraId="3C625DB3">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乙方</w:t>
      </w:r>
      <w:r>
        <w:rPr>
          <w:rFonts w:hint="eastAsia" w:cs="宋体"/>
          <w:color w:val="auto"/>
          <w:sz w:val="24"/>
          <w:szCs w:val="24"/>
          <w:highlight w:val="none"/>
        </w:rPr>
        <w:t>违约的其他情形：</w:t>
      </w:r>
      <w:r>
        <w:rPr>
          <w:rFonts w:hint="eastAsia" w:cs="宋体"/>
          <w:color w:val="auto"/>
          <w:sz w:val="24"/>
          <w:szCs w:val="24"/>
          <w:highlight w:val="none"/>
          <w:u w:val="single"/>
        </w:rPr>
        <w:t xml:space="preserve">                            </w:t>
      </w:r>
      <w:r>
        <w:rPr>
          <w:rFonts w:hint="eastAsia" w:cs="宋体"/>
          <w:color w:val="auto"/>
          <w:sz w:val="24"/>
          <w:szCs w:val="24"/>
          <w:highlight w:val="none"/>
        </w:rPr>
        <w:t>。</w:t>
      </w:r>
    </w:p>
    <w:p w14:paraId="08C9B0E2">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16.2.2 </w:t>
      </w:r>
      <w:r>
        <w:rPr>
          <w:rFonts w:hint="eastAsia" w:cs="宋体"/>
          <w:color w:val="auto"/>
          <w:sz w:val="24"/>
          <w:szCs w:val="24"/>
          <w:highlight w:val="none"/>
          <w:lang w:eastAsia="zh-CN"/>
        </w:rPr>
        <w:t>乙方</w:t>
      </w:r>
      <w:r>
        <w:rPr>
          <w:rFonts w:hint="eastAsia" w:cs="宋体"/>
          <w:color w:val="auto"/>
          <w:sz w:val="24"/>
          <w:szCs w:val="24"/>
          <w:highlight w:val="none"/>
        </w:rPr>
        <w:t>违约的责任</w:t>
      </w:r>
    </w:p>
    <w:p w14:paraId="060015B8">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乙方</w:t>
      </w:r>
      <w:r>
        <w:rPr>
          <w:rFonts w:hint="eastAsia" w:cs="宋体"/>
          <w:color w:val="auto"/>
          <w:sz w:val="24"/>
          <w:szCs w:val="24"/>
          <w:highlight w:val="none"/>
        </w:rPr>
        <w:t>违约责任的承担方式和计算方法：</w:t>
      </w:r>
      <w:r>
        <w:rPr>
          <w:rFonts w:hint="eastAsia" w:cs="宋体"/>
          <w:color w:val="auto"/>
          <w:sz w:val="24"/>
          <w:szCs w:val="24"/>
          <w:highlight w:val="none"/>
          <w:u w:val="single"/>
        </w:rPr>
        <w:t xml:space="preserve">                            </w:t>
      </w:r>
      <w:r>
        <w:rPr>
          <w:rFonts w:hint="eastAsia" w:cs="宋体"/>
          <w:color w:val="auto"/>
          <w:sz w:val="24"/>
          <w:szCs w:val="24"/>
          <w:highlight w:val="none"/>
        </w:rPr>
        <w:t>。</w:t>
      </w:r>
    </w:p>
    <w:p w14:paraId="1A9F95F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16.2.3 因</w:t>
      </w:r>
      <w:r>
        <w:rPr>
          <w:rFonts w:hint="eastAsia" w:cs="宋体"/>
          <w:color w:val="auto"/>
          <w:sz w:val="24"/>
          <w:szCs w:val="24"/>
          <w:highlight w:val="none"/>
          <w:lang w:eastAsia="zh-CN"/>
        </w:rPr>
        <w:t>乙方</w:t>
      </w:r>
      <w:r>
        <w:rPr>
          <w:rFonts w:hint="eastAsia" w:cs="宋体"/>
          <w:color w:val="auto"/>
          <w:sz w:val="24"/>
          <w:szCs w:val="24"/>
          <w:highlight w:val="none"/>
        </w:rPr>
        <w:t>违约解除合同</w:t>
      </w:r>
    </w:p>
    <w:p w14:paraId="77EFC5CE">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w:t>
      </w:r>
      <w:r>
        <w:rPr>
          <w:rFonts w:hint="eastAsia" w:cs="宋体"/>
          <w:color w:val="auto"/>
          <w:sz w:val="24"/>
          <w:szCs w:val="24"/>
          <w:highlight w:val="none"/>
          <w:lang w:eastAsia="zh-CN"/>
        </w:rPr>
        <w:t>乙方</w:t>
      </w:r>
      <w:r>
        <w:rPr>
          <w:rFonts w:hint="eastAsia" w:cs="宋体"/>
          <w:color w:val="auto"/>
          <w:sz w:val="24"/>
          <w:szCs w:val="24"/>
          <w:highlight w:val="none"/>
        </w:rPr>
        <w:t>违约解除合同的特别约定：</w:t>
      </w:r>
      <w:r>
        <w:rPr>
          <w:rFonts w:hint="eastAsia" w:cs="宋体"/>
          <w:color w:val="auto"/>
          <w:sz w:val="24"/>
          <w:szCs w:val="24"/>
          <w:highlight w:val="none"/>
          <w:u w:val="single"/>
        </w:rPr>
        <w:t xml:space="preserve">                    </w:t>
      </w:r>
      <w:r>
        <w:rPr>
          <w:rFonts w:hint="eastAsia" w:cs="宋体"/>
          <w:color w:val="auto"/>
          <w:sz w:val="24"/>
          <w:szCs w:val="24"/>
          <w:highlight w:val="none"/>
        </w:rPr>
        <w:t>。</w:t>
      </w:r>
    </w:p>
    <w:p w14:paraId="485EE884">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继续使用</w:t>
      </w:r>
      <w:r>
        <w:rPr>
          <w:rFonts w:hint="eastAsia" w:cs="宋体"/>
          <w:color w:val="auto"/>
          <w:sz w:val="24"/>
          <w:szCs w:val="24"/>
          <w:highlight w:val="none"/>
          <w:lang w:eastAsia="zh-CN"/>
        </w:rPr>
        <w:t>乙方</w:t>
      </w:r>
      <w:r>
        <w:rPr>
          <w:rFonts w:hint="eastAsia" w:cs="宋体"/>
          <w:color w:val="auto"/>
          <w:sz w:val="24"/>
          <w:szCs w:val="24"/>
          <w:highlight w:val="none"/>
        </w:rPr>
        <w:t>在施工现场的材料、设备、临时工程、</w:t>
      </w:r>
      <w:r>
        <w:rPr>
          <w:rFonts w:hint="eastAsia" w:cs="宋体"/>
          <w:color w:val="auto"/>
          <w:sz w:val="24"/>
          <w:szCs w:val="24"/>
          <w:highlight w:val="none"/>
          <w:lang w:eastAsia="zh-CN"/>
        </w:rPr>
        <w:t>乙方</w:t>
      </w:r>
      <w:r>
        <w:rPr>
          <w:rFonts w:hint="eastAsia" w:cs="宋体"/>
          <w:color w:val="auto"/>
          <w:sz w:val="24"/>
          <w:szCs w:val="24"/>
          <w:highlight w:val="none"/>
        </w:rPr>
        <w:t>文件和由</w:t>
      </w:r>
      <w:r>
        <w:rPr>
          <w:rFonts w:hint="eastAsia" w:cs="宋体"/>
          <w:color w:val="auto"/>
          <w:sz w:val="24"/>
          <w:szCs w:val="24"/>
          <w:highlight w:val="none"/>
          <w:lang w:eastAsia="zh-CN"/>
        </w:rPr>
        <w:t>乙方</w:t>
      </w:r>
      <w:r>
        <w:rPr>
          <w:rFonts w:hint="eastAsia" w:cs="宋体"/>
          <w:color w:val="auto"/>
          <w:sz w:val="24"/>
          <w:szCs w:val="24"/>
          <w:highlight w:val="none"/>
        </w:rPr>
        <w:t>或以其名义编制的其他文件的费用承担方式：</w:t>
      </w:r>
      <w:r>
        <w:rPr>
          <w:rFonts w:hint="eastAsia" w:cs="宋体"/>
          <w:color w:val="auto"/>
          <w:sz w:val="24"/>
          <w:szCs w:val="24"/>
          <w:highlight w:val="none"/>
          <w:u w:val="single"/>
        </w:rPr>
        <w:t xml:space="preserve">              </w:t>
      </w:r>
      <w:r>
        <w:rPr>
          <w:rFonts w:hint="eastAsia" w:cs="宋体"/>
          <w:color w:val="auto"/>
          <w:sz w:val="24"/>
          <w:szCs w:val="24"/>
          <w:highlight w:val="none"/>
        </w:rPr>
        <w:t>。</w:t>
      </w:r>
    </w:p>
    <w:p w14:paraId="2BEF0588">
      <w:pPr>
        <w:snapToGrid w:val="0"/>
        <w:spacing w:before="312" w:beforeLines="100" w:after="312" w:afterLines="100" w:line="360" w:lineRule="auto"/>
        <w:outlineLvl w:val="2"/>
        <w:rPr>
          <w:rFonts w:cs="宋体"/>
          <w:color w:val="auto"/>
          <w:sz w:val="24"/>
          <w:szCs w:val="24"/>
          <w:highlight w:val="none"/>
        </w:rPr>
      </w:pPr>
      <w:bookmarkStart w:id="599" w:name="_Toc351203649"/>
      <w:r>
        <w:rPr>
          <w:rFonts w:hint="eastAsia" w:cs="宋体"/>
          <w:color w:val="auto"/>
          <w:sz w:val="24"/>
          <w:szCs w:val="24"/>
          <w:highlight w:val="none"/>
        </w:rPr>
        <w:t>17. 不可抗力</w:t>
      </w:r>
      <w:bookmarkEnd w:id="599"/>
      <w:r>
        <w:rPr>
          <w:rFonts w:hint="eastAsia" w:cs="宋体"/>
          <w:color w:val="auto"/>
          <w:sz w:val="24"/>
          <w:szCs w:val="24"/>
          <w:highlight w:val="none"/>
        </w:rPr>
        <w:t xml:space="preserve"> </w:t>
      </w:r>
      <w:bookmarkEnd w:id="597"/>
    </w:p>
    <w:p w14:paraId="0A816292">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17.1 不可抗力的确认</w:t>
      </w:r>
    </w:p>
    <w:p w14:paraId="051CEAE8">
      <w:pPr>
        <w:adjustRightInd w:val="0"/>
        <w:snapToGrid w:val="0"/>
        <w:spacing w:line="360" w:lineRule="auto"/>
        <w:ind w:firstLine="480" w:firstLineChars="200"/>
        <w:rPr>
          <w:rFonts w:cs="宋体"/>
          <w:b/>
          <w:color w:val="auto"/>
          <w:sz w:val="24"/>
          <w:szCs w:val="24"/>
          <w:highlight w:val="none"/>
          <w:u w:val="single"/>
        </w:rPr>
      </w:pPr>
      <w:r>
        <w:rPr>
          <w:rFonts w:hint="eastAsia" w:cs="宋体"/>
          <w:color w:val="auto"/>
          <w:sz w:val="24"/>
          <w:szCs w:val="24"/>
          <w:highlight w:val="none"/>
        </w:rPr>
        <w:t>除通用合同条款约定的不可抗力事件之外，视为不可抗力的其他情形：</w:t>
      </w:r>
      <w:r>
        <w:rPr>
          <w:rFonts w:hint="eastAsia" w:cs="宋体"/>
          <w:color w:val="auto"/>
          <w:sz w:val="24"/>
          <w:szCs w:val="24"/>
          <w:highlight w:val="none"/>
          <w:u w:val="single"/>
        </w:rPr>
        <w:t>执行通用条款</w:t>
      </w:r>
      <w:r>
        <w:rPr>
          <w:rFonts w:hint="eastAsia" w:cs="宋体"/>
          <w:color w:val="auto"/>
          <w:sz w:val="24"/>
          <w:szCs w:val="24"/>
          <w:highlight w:val="none"/>
        </w:rPr>
        <w:t>。</w:t>
      </w:r>
    </w:p>
    <w:p w14:paraId="26C6301E">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17.4 因不可抗力解除合同</w:t>
      </w:r>
    </w:p>
    <w:p w14:paraId="7430F83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合同解除后，</w:t>
      </w:r>
      <w:r>
        <w:rPr>
          <w:rFonts w:hint="eastAsia" w:cs="宋体"/>
          <w:color w:val="auto"/>
          <w:sz w:val="24"/>
          <w:szCs w:val="24"/>
          <w:highlight w:val="none"/>
          <w:lang w:eastAsia="zh-CN"/>
        </w:rPr>
        <w:t>甲方</w:t>
      </w:r>
      <w:r>
        <w:rPr>
          <w:rFonts w:hint="eastAsia" w:cs="宋体"/>
          <w:color w:val="auto"/>
          <w:sz w:val="24"/>
          <w:szCs w:val="24"/>
          <w:highlight w:val="none"/>
        </w:rPr>
        <w:t>应在商定或确定</w:t>
      </w:r>
      <w:r>
        <w:rPr>
          <w:rFonts w:hint="eastAsia" w:cs="宋体"/>
          <w:color w:val="auto"/>
          <w:sz w:val="24"/>
          <w:szCs w:val="24"/>
          <w:highlight w:val="none"/>
          <w:lang w:eastAsia="zh-CN"/>
        </w:rPr>
        <w:t>甲方</w:t>
      </w:r>
      <w:r>
        <w:rPr>
          <w:rFonts w:hint="eastAsia" w:cs="宋体"/>
          <w:color w:val="auto"/>
          <w:sz w:val="24"/>
          <w:szCs w:val="24"/>
          <w:highlight w:val="none"/>
        </w:rPr>
        <w:t>应支付款项后</w:t>
      </w:r>
      <w:r>
        <w:rPr>
          <w:rFonts w:hint="eastAsia" w:cs="宋体"/>
          <w:color w:val="auto"/>
          <w:sz w:val="24"/>
          <w:szCs w:val="24"/>
          <w:highlight w:val="none"/>
          <w:u w:val="single"/>
        </w:rPr>
        <w:t>28</w:t>
      </w:r>
      <w:r>
        <w:rPr>
          <w:rFonts w:hint="eastAsia" w:cs="宋体"/>
          <w:color w:val="auto"/>
          <w:sz w:val="24"/>
          <w:szCs w:val="24"/>
          <w:highlight w:val="none"/>
        </w:rPr>
        <w:t>天内完成款项的支付。</w:t>
      </w:r>
    </w:p>
    <w:p w14:paraId="2631F5A5">
      <w:pPr>
        <w:snapToGrid w:val="0"/>
        <w:spacing w:before="312" w:beforeLines="100" w:after="312" w:afterLines="100" w:line="360" w:lineRule="auto"/>
        <w:outlineLvl w:val="2"/>
        <w:rPr>
          <w:rFonts w:cs="宋体"/>
          <w:color w:val="auto"/>
          <w:sz w:val="24"/>
          <w:szCs w:val="24"/>
          <w:highlight w:val="none"/>
        </w:rPr>
      </w:pPr>
      <w:bookmarkStart w:id="600" w:name="_Toc351203650"/>
      <w:r>
        <w:rPr>
          <w:rFonts w:hint="eastAsia" w:cs="宋体"/>
          <w:color w:val="auto"/>
          <w:sz w:val="24"/>
          <w:szCs w:val="24"/>
          <w:highlight w:val="none"/>
        </w:rPr>
        <w:t>18. 保险</w:t>
      </w:r>
      <w:bookmarkEnd w:id="600"/>
    </w:p>
    <w:bookmarkEnd w:id="598"/>
    <w:p w14:paraId="61DB4A8F">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18.1 工程保险</w:t>
      </w:r>
    </w:p>
    <w:p w14:paraId="473BA34D">
      <w:pPr>
        <w:adjustRightInd w:val="0"/>
        <w:snapToGrid w:val="0"/>
        <w:spacing w:line="360" w:lineRule="auto"/>
        <w:ind w:firstLine="480" w:firstLineChars="200"/>
        <w:rPr>
          <w:rFonts w:cs="宋体"/>
          <w:b/>
          <w:color w:val="auto"/>
          <w:sz w:val="24"/>
          <w:szCs w:val="24"/>
          <w:highlight w:val="none"/>
        </w:rPr>
      </w:pPr>
      <w:r>
        <w:rPr>
          <w:rFonts w:hint="eastAsia" w:cs="宋体"/>
          <w:color w:val="auto"/>
          <w:sz w:val="24"/>
          <w:szCs w:val="24"/>
          <w:highlight w:val="none"/>
        </w:rPr>
        <w:t>关于工程保险的特别约定：</w:t>
      </w:r>
      <w:r>
        <w:rPr>
          <w:rFonts w:hint="eastAsia" w:cs="宋体"/>
          <w:b/>
          <w:color w:val="auto"/>
          <w:sz w:val="24"/>
          <w:szCs w:val="24"/>
          <w:highlight w:val="none"/>
          <w:u w:val="single"/>
        </w:rPr>
        <w:t xml:space="preserve">  </w:t>
      </w:r>
      <w:r>
        <w:rPr>
          <w:rFonts w:hint="eastAsia" w:cs="宋体"/>
          <w:b/>
          <w:color w:val="auto"/>
          <w:sz w:val="24"/>
          <w:szCs w:val="24"/>
          <w:highlight w:val="none"/>
          <w:u w:val="single"/>
          <w:lang w:eastAsia="zh-CN"/>
        </w:rPr>
        <w:t>乙方</w:t>
      </w:r>
      <w:r>
        <w:rPr>
          <w:rFonts w:hint="eastAsia" w:cs="宋体"/>
          <w:b/>
          <w:color w:val="auto"/>
          <w:sz w:val="24"/>
          <w:szCs w:val="24"/>
          <w:highlight w:val="none"/>
          <w:u w:val="single"/>
        </w:rPr>
        <w:t>应投保</w:t>
      </w:r>
      <w:r>
        <w:rPr>
          <w:rFonts w:hint="eastAsia" w:cs="宋体"/>
          <w:b/>
          <w:color w:val="auto"/>
          <w:sz w:val="24"/>
          <w:szCs w:val="24"/>
          <w:highlight w:val="none"/>
          <w:u w:val="single"/>
          <w:lang w:val="en-US" w:eastAsia="zh-CN"/>
        </w:rPr>
        <w:t>建筑</w:t>
      </w:r>
      <w:r>
        <w:rPr>
          <w:rFonts w:hint="eastAsia" w:cs="宋体"/>
          <w:b/>
          <w:color w:val="auto"/>
          <w:sz w:val="24"/>
          <w:szCs w:val="24"/>
          <w:highlight w:val="none"/>
          <w:u w:val="single"/>
        </w:rPr>
        <w:t xml:space="preserve">工程一切险或安装工程一切险  </w:t>
      </w:r>
      <w:r>
        <w:rPr>
          <w:rFonts w:hint="eastAsia" w:cs="宋体"/>
          <w:b/>
          <w:color w:val="auto"/>
          <w:sz w:val="24"/>
          <w:szCs w:val="24"/>
          <w:highlight w:val="none"/>
        </w:rPr>
        <w:t>。</w:t>
      </w:r>
    </w:p>
    <w:p w14:paraId="71B56F86">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18.3 其他保险</w:t>
      </w:r>
    </w:p>
    <w:p w14:paraId="5D84F014">
      <w:pPr>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cs="宋体"/>
          <w:color w:val="auto"/>
          <w:sz w:val="24"/>
          <w:szCs w:val="24"/>
          <w:highlight w:val="none"/>
        </w:rPr>
        <w:t>关于其他保险的约定：</w:t>
      </w:r>
      <w:r>
        <w:rPr>
          <w:rFonts w:hint="eastAsia" w:ascii="宋体" w:hAnsi="宋体" w:eastAsia="宋体" w:cs="宋体"/>
          <w:b/>
          <w:bCs/>
          <w:color w:val="auto"/>
          <w:sz w:val="24"/>
          <w:szCs w:val="24"/>
          <w:highlight w:val="none"/>
          <w:u w:val="single"/>
          <w:lang w:eastAsia="zh-CN"/>
        </w:rPr>
        <w:t>乙方</w:t>
      </w:r>
      <w:r>
        <w:rPr>
          <w:rFonts w:hint="eastAsia" w:ascii="宋体" w:hAnsi="宋体" w:eastAsia="宋体" w:cs="宋体"/>
          <w:b/>
          <w:bCs/>
          <w:color w:val="auto"/>
          <w:sz w:val="24"/>
          <w:szCs w:val="24"/>
          <w:highlight w:val="none"/>
          <w:u w:val="single"/>
        </w:rPr>
        <w:t>须为</w:t>
      </w:r>
      <w:r>
        <w:rPr>
          <w:rFonts w:hint="eastAsia" w:cs="宋体"/>
          <w:b/>
          <w:bCs/>
          <w:color w:val="auto"/>
          <w:sz w:val="24"/>
          <w:szCs w:val="24"/>
          <w:highlight w:val="none"/>
          <w:u w:val="single"/>
          <w:lang w:val="en-US" w:eastAsia="zh-CN"/>
        </w:rPr>
        <w:t>本项目</w:t>
      </w:r>
      <w:r>
        <w:rPr>
          <w:rFonts w:hint="eastAsia" w:cs="宋体"/>
          <w:b/>
          <w:bCs/>
          <w:color w:val="auto"/>
          <w:sz w:val="24"/>
          <w:szCs w:val="24"/>
          <w:highlight w:val="none"/>
          <w:u w:val="single"/>
        </w:rPr>
        <w:t>所有从业人员购买以下保险（二者任选其一）：雇主责任险或</w:t>
      </w:r>
      <w:r>
        <w:rPr>
          <w:rFonts w:hint="eastAsia" w:cs="宋体"/>
          <w:b/>
          <w:bCs/>
          <w:color w:val="auto"/>
          <w:sz w:val="24"/>
          <w:szCs w:val="24"/>
          <w:highlight w:val="none"/>
          <w:u w:val="single"/>
          <w:lang w:eastAsia="zh-CN"/>
        </w:rPr>
        <w:t>团体意外险</w:t>
      </w:r>
      <w:r>
        <w:rPr>
          <w:rFonts w:hint="eastAsia" w:cs="宋体"/>
          <w:b/>
          <w:bCs/>
          <w:color w:val="auto"/>
          <w:sz w:val="24"/>
          <w:szCs w:val="24"/>
          <w:highlight w:val="none"/>
          <w:u w:val="single"/>
        </w:rPr>
        <w:t>，其保险费已包含在签约合同价中。</w:t>
      </w:r>
    </w:p>
    <w:p w14:paraId="65099EE5">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乙方</w:t>
      </w:r>
      <w:r>
        <w:rPr>
          <w:rFonts w:hint="eastAsia" w:cs="宋体"/>
          <w:color w:val="auto"/>
          <w:sz w:val="24"/>
          <w:szCs w:val="24"/>
          <w:highlight w:val="none"/>
        </w:rPr>
        <w:t>是否应为其施工设备等办理财产保险：</w:t>
      </w:r>
      <w:r>
        <w:rPr>
          <w:rFonts w:hint="eastAsia" w:cs="宋体"/>
          <w:color w:val="auto"/>
          <w:sz w:val="24"/>
          <w:szCs w:val="24"/>
          <w:highlight w:val="none"/>
          <w:u w:val="single"/>
        </w:rPr>
        <w:t>执行通用条款</w:t>
      </w:r>
      <w:r>
        <w:rPr>
          <w:rFonts w:hint="eastAsia" w:cs="宋体"/>
          <w:color w:val="auto"/>
          <w:sz w:val="24"/>
          <w:szCs w:val="24"/>
          <w:highlight w:val="none"/>
        </w:rPr>
        <w:t>。</w:t>
      </w:r>
    </w:p>
    <w:p w14:paraId="01C93E93">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18.7 通知义务</w:t>
      </w:r>
    </w:p>
    <w:p w14:paraId="75C79D76">
      <w:pPr>
        <w:adjustRightInd w:val="0"/>
        <w:snapToGrid w:val="0"/>
        <w:spacing w:line="360" w:lineRule="auto"/>
        <w:ind w:firstLine="480" w:firstLineChars="200"/>
        <w:rPr>
          <w:rFonts w:cs="宋体"/>
          <w:b/>
          <w:color w:val="auto"/>
          <w:sz w:val="24"/>
          <w:szCs w:val="24"/>
          <w:highlight w:val="none"/>
          <w:u w:val="single"/>
        </w:rPr>
      </w:pPr>
      <w:r>
        <w:rPr>
          <w:rFonts w:hint="eastAsia" w:cs="宋体"/>
          <w:color w:val="auto"/>
          <w:sz w:val="24"/>
          <w:szCs w:val="24"/>
          <w:highlight w:val="none"/>
        </w:rPr>
        <w:t>关于变更保险合同时的通知义务的约定：</w:t>
      </w:r>
      <w:r>
        <w:rPr>
          <w:rFonts w:hint="eastAsia" w:cs="宋体"/>
          <w:color w:val="auto"/>
          <w:sz w:val="24"/>
          <w:szCs w:val="24"/>
          <w:highlight w:val="none"/>
          <w:u w:val="single"/>
        </w:rPr>
        <w:t>执行通用条款</w:t>
      </w:r>
      <w:r>
        <w:rPr>
          <w:rFonts w:hint="eastAsia" w:cs="宋体"/>
          <w:color w:val="auto"/>
          <w:sz w:val="24"/>
          <w:szCs w:val="24"/>
          <w:highlight w:val="none"/>
        </w:rPr>
        <w:t>。</w:t>
      </w:r>
    </w:p>
    <w:bookmarkEnd w:id="574"/>
    <w:bookmarkEnd w:id="575"/>
    <w:bookmarkEnd w:id="576"/>
    <w:bookmarkEnd w:id="577"/>
    <w:bookmarkEnd w:id="578"/>
    <w:bookmarkEnd w:id="579"/>
    <w:bookmarkEnd w:id="580"/>
    <w:bookmarkEnd w:id="581"/>
    <w:bookmarkEnd w:id="582"/>
    <w:bookmarkEnd w:id="583"/>
    <w:bookmarkEnd w:id="584"/>
    <w:bookmarkEnd w:id="585"/>
    <w:p w14:paraId="1AC08F63">
      <w:pPr>
        <w:snapToGrid w:val="0"/>
        <w:spacing w:before="312" w:beforeLines="100" w:after="312" w:afterLines="100" w:line="360" w:lineRule="auto"/>
        <w:outlineLvl w:val="2"/>
        <w:rPr>
          <w:rFonts w:cs="宋体"/>
          <w:color w:val="auto"/>
          <w:sz w:val="24"/>
          <w:szCs w:val="24"/>
          <w:highlight w:val="none"/>
        </w:rPr>
      </w:pPr>
      <w:bookmarkStart w:id="601" w:name="_Toc351203651"/>
      <w:r>
        <w:rPr>
          <w:rFonts w:hint="eastAsia" w:cs="宋体"/>
          <w:color w:val="auto"/>
          <w:sz w:val="24"/>
          <w:szCs w:val="24"/>
          <w:highlight w:val="none"/>
        </w:rPr>
        <w:t>20. 争议解决</w:t>
      </w:r>
      <w:bookmarkEnd w:id="601"/>
    </w:p>
    <w:bookmarkEnd w:id="586"/>
    <w:bookmarkEnd w:id="587"/>
    <w:p w14:paraId="28A2FE85">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20.3 争</w:t>
      </w:r>
      <w:bookmarkEnd w:id="588"/>
      <w:r>
        <w:rPr>
          <w:rFonts w:hint="eastAsia" w:cs="宋体"/>
          <w:bCs/>
          <w:color w:val="auto"/>
          <w:sz w:val="24"/>
          <w:szCs w:val="24"/>
          <w:highlight w:val="none"/>
        </w:rPr>
        <w:t>议评审</w:t>
      </w:r>
    </w:p>
    <w:p w14:paraId="4613BA24">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合同当事人是否同意将工程争议提交争议评审小组决定：</w:t>
      </w:r>
      <w:r>
        <w:rPr>
          <w:rFonts w:hint="eastAsia" w:cs="宋体"/>
          <w:color w:val="auto"/>
          <w:sz w:val="24"/>
          <w:szCs w:val="24"/>
          <w:highlight w:val="none"/>
          <w:u w:val="single"/>
        </w:rPr>
        <w:t xml:space="preserve">               </w:t>
      </w:r>
      <w:r>
        <w:rPr>
          <w:rFonts w:hint="eastAsia" w:cs="宋体"/>
          <w:color w:val="auto"/>
          <w:sz w:val="24"/>
          <w:szCs w:val="24"/>
          <w:highlight w:val="none"/>
        </w:rPr>
        <w:t>。</w:t>
      </w:r>
    </w:p>
    <w:p w14:paraId="1CE2F0CC">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20.3.1 争议评审小组的确定</w:t>
      </w:r>
    </w:p>
    <w:p w14:paraId="22F67850">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争议评审小组成员的确定：</w:t>
      </w:r>
      <w:r>
        <w:rPr>
          <w:rFonts w:hint="eastAsia" w:cs="宋体"/>
          <w:color w:val="auto"/>
          <w:sz w:val="24"/>
          <w:szCs w:val="24"/>
          <w:highlight w:val="none"/>
          <w:u w:val="single"/>
        </w:rPr>
        <w:t xml:space="preserve">                             </w:t>
      </w:r>
      <w:r>
        <w:rPr>
          <w:rFonts w:hint="eastAsia" w:cs="宋体"/>
          <w:color w:val="auto"/>
          <w:sz w:val="24"/>
          <w:szCs w:val="24"/>
          <w:highlight w:val="none"/>
        </w:rPr>
        <w:t>。</w:t>
      </w:r>
    </w:p>
    <w:p w14:paraId="29DE809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选定争议评审员的期限：</w:t>
      </w:r>
      <w:r>
        <w:rPr>
          <w:rFonts w:hint="eastAsia" w:cs="宋体"/>
          <w:color w:val="auto"/>
          <w:sz w:val="24"/>
          <w:szCs w:val="24"/>
          <w:highlight w:val="none"/>
          <w:u w:val="single"/>
        </w:rPr>
        <w:t xml:space="preserve">                               </w:t>
      </w:r>
      <w:r>
        <w:rPr>
          <w:rFonts w:hint="eastAsia" w:cs="宋体"/>
          <w:color w:val="auto"/>
          <w:sz w:val="24"/>
          <w:szCs w:val="24"/>
          <w:highlight w:val="none"/>
        </w:rPr>
        <w:t>。</w:t>
      </w:r>
    </w:p>
    <w:p w14:paraId="6AE3813B">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争议评审小组成员的报酬承担方式：</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0C01812">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其他事项的约定：</w:t>
      </w:r>
      <w:r>
        <w:rPr>
          <w:rFonts w:hint="eastAsia" w:cs="宋体"/>
          <w:color w:val="auto"/>
          <w:sz w:val="24"/>
          <w:szCs w:val="24"/>
          <w:highlight w:val="none"/>
          <w:u w:val="single"/>
        </w:rPr>
        <w:t xml:space="preserve">                                     </w:t>
      </w:r>
      <w:r>
        <w:rPr>
          <w:rFonts w:hint="eastAsia" w:cs="宋体"/>
          <w:color w:val="auto"/>
          <w:sz w:val="24"/>
          <w:szCs w:val="24"/>
          <w:highlight w:val="none"/>
        </w:rPr>
        <w:t>。</w:t>
      </w:r>
    </w:p>
    <w:p w14:paraId="10F8D4E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20.3.2 争议评审小组的决定</w:t>
      </w:r>
    </w:p>
    <w:p w14:paraId="11A540FD">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合同当事人关于本项的约定：</w:t>
      </w:r>
      <w:r>
        <w:rPr>
          <w:rFonts w:hint="eastAsia" w:cs="宋体"/>
          <w:color w:val="auto"/>
          <w:sz w:val="24"/>
          <w:szCs w:val="24"/>
          <w:highlight w:val="none"/>
          <w:u w:val="single"/>
        </w:rPr>
        <w:t xml:space="preserve">                           </w:t>
      </w:r>
      <w:r>
        <w:rPr>
          <w:rFonts w:hint="eastAsia" w:cs="宋体"/>
          <w:color w:val="auto"/>
          <w:sz w:val="24"/>
          <w:szCs w:val="24"/>
          <w:highlight w:val="none"/>
        </w:rPr>
        <w:t>。</w:t>
      </w:r>
    </w:p>
    <w:p w14:paraId="4881A1F1">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20.4 仲裁或诉讼</w:t>
      </w:r>
      <w:bookmarkEnd w:id="589"/>
    </w:p>
    <w:bookmarkEnd w:id="590"/>
    <w:bookmarkEnd w:id="591"/>
    <w:bookmarkEnd w:id="592"/>
    <w:bookmarkEnd w:id="593"/>
    <w:bookmarkEnd w:id="594"/>
    <w:bookmarkEnd w:id="595"/>
    <w:p w14:paraId="0B0345E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因合同及合同有关事项发生的争议，按下列</w:t>
      </w:r>
      <w:r>
        <w:rPr>
          <w:rFonts w:hint="eastAsia" w:cs="宋体"/>
          <w:b/>
          <w:bCs/>
          <w:color w:val="auto"/>
          <w:sz w:val="24"/>
          <w:szCs w:val="24"/>
          <w:highlight w:val="none"/>
        </w:rPr>
        <w:t>第</w:t>
      </w:r>
      <w:r>
        <w:rPr>
          <w:rFonts w:hint="eastAsia" w:cs="宋体"/>
          <w:b/>
          <w:bCs/>
          <w:color w:val="auto"/>
          <w:sz w:val="24"/>
          <w:szCs w:val="24"/>
          <w:highlight w:val="none"/>
          <w:u w:val="single"/>
        </w:rPr>
        <w:t xml:space="preserve"> 2 </w:t>
      </w:r>
      <w:r>
        <w:rPr>
          <w:rFonts w:hint="eastAsia" w:cs="宋体"/>
          <w:b/>
          <w:bCs/>
          <w:color w:val="auto"/>
          <w:sz w:val="24"/>
          <w:szCs w:val="24"/>
          <w:highlight w:val="none"/>
        </w:rPr>
        <w:t>种</w:t>
      </w:r>
      <w:r>
        <w:rPr>
          <w:rFonts w:hint="eastAsia" w:cs="宋体"/>
          <w:color w:val="auto"/>
          <w:sz w:val="24"/>
          <w:szCs w:val="24"/>
          <w:highlight w:val="none"/>
        </w:rPr>
        <w:t>方式解决：</w:t>
      </w:r>
    </w:p>
    <w:p w14:paraId="10E476CE">
      <w:pPr>
        <w:numPr>
          <w:ilvl w:val="0"/>
          <w:numId w:val="21"/>
        </w:num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向</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甲方</w:t>
      </w:r>
      <w:r>
        <w:rPr>
          <w:rFonts w:hint="eastAsia" w:cs="宋体"/>
          <w:color w:val="auto"/>
          <w:sz w:val="24"/>
          <w:szCs w:val="24"/>
          <w:highlight w:val="none"/>
          <w:u w:val="single"/>
        </w:rPr>
        <w:t xml:space="preserve">法人证书登记的住所地 </w:t>
      </w:r>
      <w:r>
        <w:rPr>
          <w:rFonts w:hint="eastAsia" w:cs="宋体"/>
          <w:color w:val="auto"/>
          <w:sz w:val="24"/>
          <w:szCs w:val="24"/>
          <w:highlight w:val="none"/>
        </w:rPr>
        <w:t>仲裁委员会申请仲裁；</w:t>
      </w:r>
    </w:p>
    <w:p w14:paraId="4EE552BD">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（2）向</w:t>
      </w:r>
      <w:r>
        <w:rPr>
          <w:rFonts w:hint="eastAsia" w:cs="宋体"/>
          <w:color w:val="auto"/>
          <w:sz w:val="24"/>
          <w:szCs w:val="24"/>
          <w:highlight w:val="none"/>
          <w:u w:val="single"/>
          <w:lang w:val="en-US" w:eastAsia="zh-CN"/>
        </w:rPr>
        <w:t>甲方</w:t>
      </w:r>
      <w:r>
        <w:rPr>
          <w:rFonts w:hint="eastAsia" w:ascii="宋体" w:hAnsi="宋体" w:eastAsia="宋体" w:cs="宋体"/>
          <w:color w:val="auto"/>
          <w:sz w:val="24"/>
          <w:szCs w:val="24"/>
          <w:highlight w:val="none"/>
          <w:u w:val="single"/>
          <w:lang w:val="en-US" w:eastAsia="zh-CN"/>
        </w:rPr>
        <w:t>法人证书登记的住所地</w:t>
      </w:r>
      <w:r>
        <w:rPr>
          <w:rFonts w:hint="eastAsia" w:cs="宋体"/>
          <w:color w:val="auto"/>
          <w:sz w:val="24"/>
          <w:szCs w:val="24"/>
          <w:highlight w:val="none"/>
        </w:rPr>
        <w:t>人民法院起诉。</w:t>
      </w:r>
    </w:p>
    <w:p w14:paraId="19F92608">
      <w:pPr>
        <w:snapToGrid w:val="0"/>
        <w:spacing w:before="312" w:beforeLines="100" w:after="312" w:afterLines="100" w:line="360" w:lineRule="auto"/>
        <w:outlineLvl w:val="2"/>
        <w:rPr>
          <w:rFonts w:hint="eastAsia" w:cs="宋体"/>
          <w:color w:val="auto"/>
          <w:sz w:val="24"/>
          <w:szCs w:val="24"/>
          <w:highlight w:val="none"/>
        </w:rPr>
      </w:pPr>
      <w:r>
        <w:rPr>
          <w:rFonts w:hint="eastAsia" w:cs="宋体"/>
          <w:color w:val="auto"/>
          <w:sz w:val="24"/>
          <w:szCs w:val="24"/>
          <w:highlight w:val="none"/>
        </w:rPr>
        <w:t xml:space="preserve">21. 补充条款 </w:t>
      </w:r>
    </w:p>
    <w:p w14:paraId="43242383">
      <w:pPr>
        <w:pStyle w:val="19"/>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eastAsia="@微软简标宋"/>
          <w:color w:val="auto"/>
          <w:sz w:val="24"/>
          <w:szCs w:val="24"/>
          <w:highlight w:val="none"/>
          <w:lang w:val="en-US" w:eastAsia="zh-CN"/>
        </w:rPr>
      </w:pP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p>
    <w:p w14:paraId="3CCD5499">
      <w:pPr>
        <w:snapToGrid w:val="0"/>
        <w:spacing w:line="360" w:lineRule="auto"/>
        <w:rPr>
          <w:rFonts w:cs="宋体"/>
          <w:b/>
          <w:color w:val="auto"/>
          <w:sz w:val="24"/>
          <w:szCs w:val="24"/>
          <w:highlight w:val="none"/>
        </w:rPr>
      </w:pPr>
    </w:p>
    <w:p w14:paraId="7898B33E">
      <w:pPr>
        <w:snapToGrid w:val="0"/>
        <w:spacing w:line="360" w:lineRule="auto"/>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 xml:space="preserve">：  （公章）                           </w:t>
      </w:r>
      <w:r>
        <w:rPr>
          <w:rFonts w:hint="eastAsia" w:cs="宋体"/>
          <w:color w:val="auto"/>
          <w:sz w:val="24"/>
          <w:szCs w:val="24"/>
          <w:highlight w:val="none"/>
          <w:lang w:eastAsia="zh-CN"/>
        </w:rPr>
        <w:t>乙方</w:t>
      </w:r>
      <w:r>
        <w:rPr>
          <w:rFonts w:hint="eastAsia" w:cs="宋体"/>
          <w:color w:val="auto"/>
          <w:sz w:val="24"/>
          <w:szCs w:val="24"/>
          <w:highlight w:val="none"/>
        </w:rPr>
        <w:t>：  （公章）</w:t>
      </w:r>
    </w:p>
    <w:p w14:paraId="0C5D172E">
      <w:pPr>
        <w:snapToGrid w:val="0"/>
        <w:spacing w:line="360" w:lineRule="auto"/>
        <w:rPr>
          <w:rFonts w:cs="宋体"/>
          <w:color w:val="auto"/>
          <w:sz w:val="24"/>
          <w:szCs w:val="24"/>
          <w:highlight w:val="none"/>
        </w:rPr>
      </w:pPr>
      <w:r>
        <w:rPr>
          <w:rFonts w:hint="eastAsia" w:cs="宋体"/>
          <w:color w:val="auto"/>
          <w:sz w:val="24"/>
          <w:szCs w:val="24"/>
          <w:highlight w:val="none"/>
        </w:rPr>
        <w:t>法定代表人或其委托代理人：                 法定代表人或其委托代理人：</w:t>
      </w:r>
    </w:p>
    <w:p w14:paraId="6ECAF92F">
      <w:pPr>
        <w:snapToGrid w:val="0"/>
        <w:spacing w:line="360" w:lineRule="auto"/>
        <w:rPr>
          <w:rFonts w:cs="宋体"/>
          <w:color w:val="auto"/>
          <w:sz w:val="24"/>
          <w:szCs w:val="24"/>
          <w:highlight w:val="none"/>
        </w:rPr>
      </w:pPr>
      <w:r>
        <w:rPr>
          <w:rFonts w:hint="eastAsia" w:cs="宋体"/>
          <w:color w:val="auto"/>
          <w:sz w:val="24"/>
          <w:szCs w:val="24"/>
          <w:highlight w:val="none"/>
        </w:rPr>
        <w:t>（签字）                                  （签字）</w:t>
      </w:r>
    </w:p>
    <w:p w14:paraId="308E9860">
      <w:pPr>
        <w:snapToGrid w:val="0"/>
        <w:spacing w:line="360" w:lineRule="auto"/>
        <w:rPr>
          <w:rFonts w:cs="宋体"/>
          <w:color w:val="auto"/>
          <w:sz w:val="24"/>
          <w:szCs w:val="24"/>
          <w:highlight w:val="none"/>
        </w:rPr>
      </w:pPr>
      <w:r>
        <w:rPr>
          <w:rFonts w:hint="eastAsia" w:cs="宋体"/>
          <w:color w:val="auto"/>
          <w:sz w:val="24"/>
          <w:szCs w:val="24"/>
          <w:highlight w:val="none"/>
        </w:rPr>
        <w:t>组织机构代码：</w:t>
      </w:r>
      <w:r>
        <w:rPr>
          <w:rFonts w:hint="eastAsia" w:cs="宋体"/>
          <w:color w:val="auto"/>
          <w:sz w:val="24"/>
          <w:szCs w:val="24"/>
          <w:highlight w:val="none"/>
          <w:u w:val="single"/>
        </w:rPr>
        <w:t xml:space="preserve">       </w:t>
      </w:r>
      <w:r>
        <w:rPr>
          <w:rFonts w:hint="eastAsia" w:cs="宋体"/>
          <w:color w:val="auto"/>
          <w:sz w:val="24"/>
          <w:szCs w:val="24"/>
          <w:highlight w:val="none"/>
        </w:rPr>
        <w:t xml:space="preserve">                组织机构代码：</w:t>
      </w:r>
      <w:r>
        <w:rPr>
          <w:rFonts w:hint="eastAsia" w:cs="宋体"/>
          <w:color w:val="auto"/>
          <w:sz w:val="24"/>
          <w:szCs w:val="24"/>
          <w:highlight w:val="none"/>
          <w:u w:val="single"/>
        </w:rPr>
        <w:t xml:space="preserve">          </w:t>
      </w:r>
      <w:r>
        <w:rPr>
          <w:rFonts w:hint="eastAsia" w:cs="宋体"/>
          <w:color w:val="auto"/>
          <w:sz w:val="24"/>
          <w:szCs w:val="24"/>
          <w:highlight w:val="none"/>
        </w:rPr>
        <w:t xml:space="preserve"> </w:t>
      </w:r>
    </w:p>
    <w:p w14:paraId="37E79E1E">
      <w:pPr>
        <w:snapToGrid w:val="0"/>
        <w:spacing w:line="360" w:lineRule="auto"/>
        <w:rPr>
          <w:rFonts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    </w:t>
      </w:r>
      <w:r>
        <w:rPr>
          <w:rFonts w:hint="eastAsia" w:cs="宋体"/>
          <w:color w:val="auto"/>
          <w:sz w:val="24"/>
          <w:szCs w:val="24"/>
          <w:highlight w:val="none"/>
        </w:rPr>
        <w:t xml:space="preserve">                地  址：</w:t>
      </w:r>
      <w:r>
        <w:rPr>
          <w:rFonts w:hint="eastAsia" w:cs="宋体"/>
          <w:color w:val="auto"/>
          <w:sz w:val="24"/>
          <w:szCs w:val="24"/>
          <w:highlight w:val="none"/>
          <w:u w:val="single"/>
        </w:rPr>
        <w:t xml:space="preserve">        </w:t>
      </w:r>
    </w:p>
    <w:p w14:paraId="400F36E7">
      <w:pPr>
        <w:snapToGrid w:val="0"/>
        <w:spacing w:line="360" w:lineRule="auto"/>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     </w:t>
      </w:r>
      <w:r>
        <w:rPr>
          <w:rFonts w:hint="eastAsia" w:cs="宋体"/>
          <w:color w:val="auto"/>
          <w:sz w:val="24"/>
          <w:szCs w:val="24"/>
          <w:highlight w:val="none"/>
        </w:rPr>
        <w:t xml:space="preserve">               邮政编码：</w:t>
      </w:r>
      <w:r>
        <w:rPr>
          <w:rFonts w:hint="eastAsia" w:cs="宋体"/>
          <w:color w:val="auto"/>
          <w:sz w:val="24"/>
          <w:szCs w:val="24"/>
          <w:highlight w:val="none"/>
          <w:u w:val="single"/>
        </w:rPr>
        <w:t xml:space="preserve">   </w:t>
      </w:r>
    </w:p>
    <w:p w14:paraId="563FB484">
      <w:pPr>
        <w:snapToGrid w:val="0"/>
        <w:spacing w:line="360" w:lineRule="auto"/>
        <w:rPr>
          <w:rFonts w:cs="宋体"/>
          <w:color w:val="auto"/>
          <w:sz w:val="24"/>
          <w:szCs w:val="24"/>
          <w:highlight w:val="none"/>
        </w:rPr>
      </w:pPr>
      <w:r>
        <w:rPr>
          <w:rFonts w:hint="eastAsia" w:cs="宋体"/>
          <w:color w:val="auto"/>
          <w:sz w:val="24"/>
          <w:szCs w:val="24"/>
          <w:highlight w:val="none"/>
        </w:rPr>
        <w:t>法定代表人：</w:t>
      </w:r>
      <w:r>
        <w:rPr>
          <w:rFonts w:hint="eastAsia" w:cs="宋体"/>
          <w:color w:val="auto"/>
          <w:sz w:val="24"/>
          <w:szCs w:val="24"/>
          <w:highlight w:val="none"/>
          <w:u w:val="single"/>
        </w:rPr>
        <w:t xml:space="preserve">           </w:t>
      </w:r>
      <w:r>
        <w:rPr>
          <w:rFonts w:hint="eastAsia" w:cs="宋体"/>
          <w:color w:val="auto"/>
          <w:sz w:val="24"/>
          <w:szCs w:val="24"/>
          <w:highlight w:val="none"/>
        </w:rPr>
        <w:t xml:space="preserve">                法定代表人：</w:t>
      </w:r>
      <w:r>
        <w:rPr>
          <w:rFonts w:hint="eastAsia" w:cs="宋体"/>
          <w:color w:val="auto"/>
          <w:sz w:val="24"/>
          <w:szCs w:val="24"/>
          <w:highlight w:val="none"/>
          <w:u w:val="single"/>
        </w:rPr>
        <w:t xml:space="preserve">             </w:t>
      </w:r>
    </w:p>
    <w:p w14:paraId="438E81C7">
      <w:pPr>
        <w:snapToGrid w:val="0"/>
        <w:spacing w:line="360" w:lineRule="auto"/>
        <w:rPr>
          <w:rFonts w:cs="宋体"/>
          <w:color w:val="auto"/>
          <w:sz w:val="24"/>
          <w:szCs w:val="24"/>
          <w:highlight w:val="none"/>
        </w:rPr>
      </w:pPr>
      <w:r>
        <w:rPr>
          <w:rFonts w:hint="eastAsia" w:cs="宋体"/>
          <w:color w:val="auto"/>
          <w:sz w:val="24"/>
          <w:szCs w:val="24"/>
          <w:highlight w:val="none"/>
        </w:rPr>
        <w:t>委托代理人：</w:t>
      </w:r>
      <w:r>
        <w:rPr>
          <w:rFonts w:hint="eastAsia" w:cs="宋体"/>
          <w:color w:val="auto"/>
          <w:sz w:val="24"/>
          <w:szCs w:val="24"/>
          <w:highlight w:val="none"/>
          <w:u w:val="single"/>
        </w:rPr>
        <w:t xml:space="preserve">           </w:t>
      </w:r>
      <w:r>
        <w:rPr>
          <w:rFonts w:hint="eastAsia" w:cs="宋体"/>
          <w:color w:val="auto"/>
          <w:sz w:val="24"/>
          <w:szCs w:val="24"/>
          <w:highlight w:val="none"/>
        </w:rPr>
        <w:t xml:space="preserve">                委托代理人：</w:t>
      </w:r>
      <w:r>
        <w:rPr>
          <w:rFonts w:hint="eastAsia" w:cs="宋体"/>
          <w:color w:val="auto"/>
          <w:sz w:val="24"/>
          <w:szCs w:val="24"/>
          <w:highlight w:val="none"/>
          <w:u w:val="single"/>
        </w:rPr>
        <w:t xml:space="preserve">             </w:t>
      </w:r>
    </w:p>
    <w:p w14:paraId="5E5548EC">
      <w:pPr>
        <w:snapToGrid w:val="0"/>
        <w:spacing w:line="360" w:lineRule="auto"/>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r>
        <w:rPr>
          <w:rFonts w:hint="eastAsia" w:cs="宋体"/>
          <w:color w:val="auto"/>
          <w:sz w:val="24"/>
          <w:szCs w:val="24"/>
          <w:highlight w:val="none"/>
        </w:rPr>
        <w:t xml:space="preserve">                电  话：</w:t>
      </w:r>
      <w:r>
        <w:rPr>
          <w:rFonts w:hint="eastAsia" w:cs="宋体"/>
          <w:color w:val="auto"/>
          <w:sz w:val="24"/>
          <w:szCs w:val="24"/>
          <w:highlight w:val="none"/>
          <w:u w:val="single"/>
        </w:rPr>
        <w:t xml:space="preserve">     </w:t>
      </w:r>
    </w:p>
    <w:p w14:paraId="57504FB8">
      <w:pPr>
        <w:snapToGrid w:val="0"/>
        <w:spacing w:line="360" w:lineRule="auto"/>
        <w:rPr>
          <w:rFonts w:cs="宋体"/>
          <w:color w:val="auto"/>
          <w:sz w:val="24"/>
          <w:szCs w:val="24"/>
          <w:highlight w:val="none"/>
        </w:rPr>
      </w:pPr>
      <w:r>
        <w:rPr>
          <w:rFonts w:hint="eastAsia" w:cs="宋体"/>
          <w:color w:val="auto"/>
          <w:sz w:val="24"/>
          <w:szCs w:val="24"/>
          <w:highlight w:val="none"/>
        </w:rPr>
        <w:t>传  真：</w:t>
      </w:r>
      <w:r>
        <w:rPr>
          <w:rFonts w:hint="eastAsia" w:cs="宋体"/>
          <w:color w:val="auto"/>
          <w:sz w:val="24"/>
          <w:szCs w:val="24"/>
          <w:highlight w:val="none"/>
          <w:u w:val="single"/>
        </w:rPr>
        <w:t xml:space="preserve">   </w:t>
      </w:r>
      <w:r>
        <w:rPr>
          <w:rFonts w:hint="eastAsia" w:cs="宋体"/>
          <w:color w:val="auto"/>
          <w:sz w:val="24"/>
          <w:szCs w:val="24"/>
          <w:highlight w:val="none"/>
        </w:rPr>
        <w:t xml:space="preserve">                传  真：</w:t>
      </w:r>
      <w:r>
        <w:rPr>
          <w:rFonts w:hint="eastAsia" w:cs="宋体"/>
          <w:color w:val="auto"/>
          <w:sz w:val="24"/>
          <w:szCs w:val="24"/>
          <w:highlight w:val="none"/>
          <w:u w:val="single"/>
        </w:rPr>
        <w:t xml:space="preserve">     </w:t>
      </w:r>
    </w:p>
    <w:p w14:paraId="0440FDB2">
      <w:pPr>
        <w:snapToGrid w:val="0"/>
        <w:spacing w:line="360" w:lineRule="auto"/>
        <w:rPr>
          <w:rFonts w:cs="宋体"/>
          <w:color w:val="auto"/>
          <w:sz w:val="24"/>
          <w:szCs w:val="24"/>
          <w:highlight w:val="none"/>
        </w:rPr>
      </w:pPr>
      <w:r>
        <w:rPr>
          <w:rFonts w:hint="eastAsia" w:cs="宋体"/>
          <w:color w:val="auto"/>
          <w:sz w:val="24"/>
          <w:szCs w:val="24"/>
          <w:highlight w:val="none"/>
        </w:rPr>
        <w:t>电子信箱：</w:t>
      </w:r>
      <w:r>
        <w:rPr>
          <w:rFonts w:hint="eastAsia" w:cs="宋体"/>
          <w:color w:val="auto"/>
          <w:sz w:val="24"/>
          <w:szCs w:val="24"/>
          <w:highlight w:val="none"/>
          <w:u w:val="single"/>
        </w:rPr>
        <w:t xml:space="preserve">                 </w:t>
      </w:r>
      <w:r>
        <w:rPr>
          <w:rFonts w:hint="eastAsia" w:cs="宋体"/>
          <w:color w:val="auto"/>
          <w:sz w:val="24"/>
          <w:szCs w:val="24"/>
          <w:highlight w:val="none"/>
        </w:rPr>
        <w:t xml:space="preserve">                电子信箱：</w:t>
      </w:r>
      <w:r>
        <w:rPr>
          <w:rFonts w:hint="eastAsia" w:cs="宋体"/>
          <w:color w:val="auto"/>
          <w:sz w:val="24"/>
          <w:szCs w:val="24"/>
          <w:highlight w:val="none"/>
          <w:u w:val="single"/>
        </w:rPr>
        <w:t xml:space="preserve">   </w:t>
      </w:r>
    </w:p>
    <w:p w14:paraId="090AB23D">
      <w:pPr>
        <w:snapToGrid w:val="0"/>
        <w:spacing w:line="360" w:lineRule="auto"/>
        <w:rPr>
          <w:rFonts w:cs="宋体"/>
          <w:color w:val="auto"/>
          <w:sz w:val="24"/>
          <w:szCs w:val="24"/>
          <w:highlight w:val="none"/>
        </w:rPr>
      </w:pPr>
      <w:r>
        <w:rPr>
          <w:rFonts w:hint="eastAsia" w:cs="宋体"/>
          <w:color w:val="auto"/>
          <w:sz w:val="24"/>
          <w:szCs w:val="24"/>
          <w:highlight w:val="none"/>
        </w:rPr>
        <w:t>开户银行：</w:t>
      </w:r>
      <w:r>
        <w:rPr>
          <w:rFonts w:hint="eastAsia" w:cs="宋体"/>
          <w:color w:val="auto"/>
          <w:sz w:val="24"/>
          <w:szCs w:val="24"/>
          <w:highlight w:val="none"/>
          <w:u w:val="single"/>
        </w:rPr>
        <w:t xml:space="preserve">   </w:t>
      </w:r>
      <w:r>
        <w:rPr>
          <w:rFonts w:hint="eastAsia" w:cs="宋体"/>
          <w:color w:val="auto"/>
          <w:sz w:val="24"/>
          <w:szCs w:val="24"/>
          <w:highlight w:val="none"/>
        </w:rPr>
        <w:t xml:space="preserve">                开户银行：</w:t>
      </w:r>
      <w:r>
        <w:rPr>
          <w:rFonts w:hint="eastAsia" w:cs="宋体"/>
          <w:color w:val="auto"/>
          <w:sz w:val="24"/>
          <w:szCs w:val="24"/>
          <w:highlight w:val="none"/>
          <w:u w:val="single"/>
        </w:rPr>
        <w:t xml:space="preserve">   </w:t>
      </w:r>
    </w:p>
    <w:p w14:paraId="7089B0D4">
      <w:pPr>
        <w:snapToGrid w:val="0"/>
        <w:spacing w:line="360" w:lineRule="auto"/>
        <w:rPr>
          <w:rFonts w:cs="宋体"/>
          <w:color w:val="auto"/>
          <w:sz w:val="24"/>
          <w:szCs w:val="24"/>
          <w:highlight w:val="none"/>
        </w:rPr>
      </w:pPr>
      <w:r>
        <w:rPr>
          <w:rFonts w:hint="eastAsia" w:cs="宋体"/>
          <w:color w:val="auto"/>
          <w:sz w:val="24"/>
          <w:szCs w:val="24"/>
          <w:highlight w:val="none"/>
        </w:rPr>
        <w:t>账  号：</w:t>
      </w:r>
      <w:r>
        <w:rPr>
          <w:rFonts w:hint="eastAsia" w:cs="宋体"/>
          <w:color w:val="auto"/>
          <w:sz w:val="24"/>
          <w:szCs w:val="24"/>
          <w:highlight w:val="none"/>
          <w:u w:val="single"/>
        </w:rPr>
        <w:t xml:space="preserve">       </w:t>
      </w:r>
      <w:r>
        <w:rPr>
          <w:rFonts w:hint="eastAsia" w:cs="宋体"/>
          <w:color w:val="auto"/>
          <w:sz w:val="24"/>
          <w:szCs w:val="24"/>
          <w:highlight w:val="none"/>
        </w:rPr>
        <w:t xml:space="preserve">                账  号：</w:t>
      </w:r>
      <w:r>
        <w:rPr>
          <w:rFonts w:hint="eastAsia" w:cs="宋体"/>
          <w:color w:val="auto"/>
          <w:sz w:val="24"/>
          <w:szCs w:val="24"/>
          <w:highlight w:val="none"/>
          <w:u w:val="single"/>
        </w:rPr>
        <w:t xml:space="preserve">     </w:t>
      </w:r>
    </w:p>
    <w:p w14:paraId="2F13A25D">
      <w:pPr>
        <w:spacing w:before="312" w:beforeLines="100" w:after="312" w:afterLines="100"/>
        <w:outlineLvl w:val="2"/>
        <w:rPr>
          <w:rFonts w:ascii="Times New Roman" w:eastAsia="黑体"/>
          <w:color w:val="auto"/>
          <w:sz w:val="24"/>
          <w:szCs w:val="24"/>
          <w:highlight w:val="none"/>
        </w:rPr>
      </w:pPr>
      <w:r>
        <w:rPr>
          <w:rFonts w:hint="eastAsia" w:cs="宋体"/>
          <w:bCs/>
          <w:color w:val="auto"/>
          <w:sz w:val="24"/>
          <w:szCs w:val="24"/>
          <w:highlight w:val="none"/>
        </w:rPr>
        <w:br w:type="page"/>
      </w:r>
      <w:bookmarkStart w:id="602" w:name="_Toc128950236"/>
      <w:r>
        <w:rPr>
          <w:rFonts w:hint="eastAsia" w:ascii="Times New Roman" w:eastAsia="黑体"/>
          <w:color w:val="auto"/>
          <w:sz w:val="24"/>
          <w:szCs w:val="24"/>
          <w:highlight w:val="none"/>
        </w:rPr>
        <w:t>附</w:t>
      </w:r>
      <w:bookmarkStart w:id="603" w:name="_Toc296891053"/>
      <w:bookmarkStart w:id="604" w:name="_Toc296944564"/>
      <w:bookmarkStart w:id="605" w:name="_Toc267261692"/>
      <w:bookmarkStart w:id="606" w:name="_Toc296503225"/>
      <w:bookmarkStart w:id="607" w:name="_Toc296346726"/>
      <w:bookmarkStart w:id="608" w:name="_Toc296891265"/>
      <w:bookmarkStart w:id="609" w:name="_Toc296347224"/>
      <w:r>
        <w:rPr>
          <w:rFonts w:hint="eastAsia" w:ascii="Times New Roman" w:eastAsia="黑体"/>
          <w:color w:val="auto"/>
          <w:sz w:val="24"/>
          <w:szCs w:val="24"/>
          <w:highlight w:val="none"/>
        </w:rPr>
        <w:t>件</w:t>
      </w:r>
      <w:r>
        <w:rPr>
          <w:rFonts w:hint="eastAsia" w:ascii="Times New Roman" w:eastAsia="黑体"/>
          <w:color w:val="auto"/>
          <w:sz w:val="24"/>
          <w:szCs w:val="24"/>
          <w:highlight w:val="none"/>
          <w:lang w:val="en-US" w:eastAsia="zh-CN"/>
        </w:rPr>
        <w:t>1</w:t>
      </w:r>
      <w:r>
        <w:rPr>
          <w:rFonts w:hint="eastAsia" w:ascii="Times New Roman" w:eastAsia="黑体"/>
          <w:color w:val="auto"/>
          <w:sz w:val="24"/>
          <w:szCs w:val="24"/>
          <w:highlight w:val="none"/>
        </w:rPr>
        <w:t>：</w:t>
      </w:r>
      <w:bookmarkEnd w:id="602"/>
      <w:bookmarkEnd w:id="603"/>
      <w:bookmarkEnd w:id="604"/>
      <w:bookmarkEnd w:id="605"/>
      <w:bookmarkEnd w:id="606"/>
      <w:bookmarkEnd w:id="607"/>
      <w:bookmarkEnd w:id="608"/>
      <w:bookmarkEnd w:id="609"/>
      <w:bookmarkStart w:id="610" w:name="_Toc128950238"/>
      <w:bookmarkStart w:id="611" w:name="_Toc128950243"/>
      <w:r>
        <w:rPr>
          <w:rFonts w:hint="eastAsia" w:ascii="Times New Roman" w:eastAsia="黑体"/>
          <w:color w:val="auto"/>
          <w:sz w:val="24"/>
          <w:szCs w:val="24"/>
          <w:highlight w:val="none"/>
        </w:rPr>
        <w:t>廉政协议</w:t>
      </w:r>
    </w:p>
    <w:p w14:paraId="05D06215">
      <w:pPr>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廉政协议书</w:t>
      </w:r>
    </w:p>
    <w:p w14:paraId="16C30C1A">
      <w:pPr>
        <w:widowControl/>
        <w:adjustRightInd w:val="0"/>
        <w:snapToGrid w:val="0"/>
        <w:spacing w:line="360" w:lineRule="auto"/>
        <w:ind w:firstLine="400" w:firstLineChars="200"/>
        <w:jc w:val="left"/>
        <w:rPr>
          <w:rFonts w:hint="default" w:ascii="Times New Roman" w:hAnsi="Times New Roman" w:cs="Times New Roman"/>
          <w:color w:val="auto"/>
          <w:kern w:val="0"/>
          <w:szCs w:val="21"/>
          <w:highlight w:val="none"/>
        </w:rPr>
      </w:pPr>
      <w:bookmarkStart w:id="612" w:name="OLE_LINK11"/>
      <w:bookmarkStart w:id="613" w:name="OLE_LINK10"/>
    </w:p>
    <w:bookmarkEnd w:id="612"/>
    <w:bookmarkEnd w:id="613"/>
    <w:p w14:paraId="3F192416">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为促进双方诚信经营、廉洁从业，防范商业贿赂，保护国家、集体和当事人的合法权益，根据国家有关法律法规和安徽省廉政建设的规定，</w:t>
      </w:r>
      <w:r>
        <w:rPr>
          <w:rFonts w:hint="eastAsia" w:cs="宋体"/>
          <w:color w:val="auto"/>
          <w:sz w:val="24"/>
          <w:szCs w:val="24"/>
          <w:highlight w:val="none"/>
          <w:u w:val="single"/>
        </w:rPr>
        <w:t xml:space="preserve">     </w:t>
      </w:r>
      <w:r>
        <w:rPr>
          <w:rFonts w:hint="eastAsia" w:cs="宋体"/>
          <w:color w:val="auto"/>
          <w:sz w:val="24"/>
          <w:szCs w:val="24"/>
          <w:highlight w:val="none"/>
        </w:rPr>
        <w:t>（以下称甲方）与</w:t>
      </w:r>
      <w:r>
        <w:rPr>
          <w:rFonts w:hint="eastAsia" w:cs="宋体"/>
          <w:color w:val="auto"/>
          <w:sz w:val="24"/>
          <w:szCs w:val="24"/>
          <w:highlight w:val="none"/>
          <w:u w:val="single"/>
        </w:rPr>
        <w:t xml:space="preserve">             （</w:t>
      </w:r>
      <w:r>
        <w:rPr>
          <w:rFonts w:hint="eastAsia" w:cs="宋体"/>
          <w:color w:val="auto"/>
          <w:sz w:val="24"/>
          <w:szCs w:val="24"/>
          <w:highlight w:val="none"/>
        </w:rPr>
        <w:t>以下称乙方），特此订立本协议共同遵照执行。</w:t>
      </w:r>
    </w:p>
    <w:p w14:paraId="6C735136">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第一条 甲乙双方的权利和义务</w:t>
      </w:r>
    </w:p>
    <w:p w14:paraId="4B62AAD4">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5BF44FCA">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（二）严格执行</w:t>
      </w:r>
      <w:r>
        <w:rPr>
          <w:rFonts w:hint="eastAsia" w:cs="宋体"/>
          <w:color w:val="auto"/>
          <w:sz w:val="24"/>
          <w:szCs w:val="24"/>
          <w:highlight w:val="none"/>
          <w:u w:val="single"/>
        </w:rPr>
        <w:t xml:space="preserve">                                </w:t>
      </w:r>
      <w:r>
        <w:rPr>
          <w:rFonts w:hint="eastAsia" w:cs="宋体"/>
          <w:color w:val="auto"/>
          <w:sz w:val="24"/>
          <w:szCs w:val="24"/>
          <w:highlight w:val="none"/>
        </w:rPr>
        <w:t>的合同要求，自觉履行合同约定的相关义务。</w:t>
      </w:r>
    </w:p>
    <w:p w14:paraId="07963414">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（三）在业务活动中坚持公开、公正、诚信、透明的原则，不得损害国家、集体利益。</w:t>
      </w:r>
    </w:p>
    <w:p w14:paraId="19C89D44">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（四）建立健全廉政制度，开展廉政教育，公布举报电话，监督并认真查处违法违纪行为。</w:t>
      </w:r>
    </w:p>
    <w:p w14:paraId="6F7614D5">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（五）发现对方在业务活动中有违反廉政规定的行为，应及时提醒对方纠正。情节严重的，应向其上级有关部门举报、建议给予处理，并有权要求告知处理结果。</w:t>
      </w:r>
    </w:p>
    <w:p w14:paraId="361065CE">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第二条 甲方的义务</w:t>
      </w:r>
    </w:p>
    <w:p w14:paraId="7F19D9CA">
      <w:pPr>
        <w:widowControl/>
        <w:spacing w:line="360" w:lineRule="auto"/>
        <w:ind w:firstLine="600" w:firstLineChars="250"/>
        <w:jc w:val="left"/>
        <w:rPr>
          <w:rFonts w:cs="宋体"/>
          <w:color w:val="auto"/>
          <w:sz w:val="24"/>
          <w:szCs w:val="24"/>
          <w:highlight w:val="none"/>
        </w:rPr>
      </w:pPr>
      <w:r>
        <w:rPr>
          <w:rFonts w:hint="eastAsia" w:cs="宋体"/>
          <w:color w:val="auto"/>
          <w:sz w:val="24"/>
          <w:szCs w:val="24"/>
          <w:highlight w:val="none"/>
        </w:rPr>
        <w:t>（一）甲方及其工作人员不得索要或接受乙方的礼金、有价证券和贵重物品，不得在乙方报销任何应由甲方单位或个人支付的费用等。</w:t>
      </w:r>
    </w:p>
    <w:p w14:paraId="5331F479">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91CC8E3">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（三） 甲方及其工作人员不得要求或者接受乙方为其住房装修、婚丧嫁娶活动、配偶子女工作安排以及出国出境、旅游等提供方便等。</w:t>
      </w:r>
    </w:p>
    <w:p w14:paraId="1EAA1EB2">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（四） 甲方工作人员不得在乙方有股权关联的企业兼职，不得向乙方介绍家属或者亲友从事与甲方业务有关的经济活动。</w:t>
      </w:r>
    </w:p>
    <w:p w14:paraId="1E9FA98B">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（五）甲方工作人员不得以明显低于市场的价格向乙方购买房屋、汽车等物品；不得以明显高于市场的价格向乙方出售房屋、汽车等物品；不得以其他交易形式非法收受请托人财物。</w:t>
      </w:r>
    </w:p>
    <w:p w14:paraId="4586DF8A">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（六）甲方工作人员不得利用职务之便收受乙方以回扣、手续费、加班费、咨询费、劳务费、协调费、辛苦费等各种名义给予或赠送的钱物。</w:t>
      </w:r>
    </w:p>
    <w:p w14:paraId="4D9A67F4">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（七）甲方工作人员不得接受乙方给予或赠送的干股或红利。</w:t>
      </w:r>
    </w:p>
    <w:p w14:paraId="6D991459">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（八）甲方任何人不得以个人的名义向乙方推荐设备、部件等供货商以及其他合作单位。</w:t>
      </w:r>
    </w:p>
    <w:p w14:paraId="6CBE147B">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第三条 乙方的义务</w:t>
      </w:r>
    </w:p>
    <w:p w14:paraId="05DE6AD8">
      <w:pPr>
        <w:widowControl/>
        <w:spacing w:line="360" w:lineRule="auto"/>
        <w:ind w:firstLine="600" w:firstLineChars="250"/>
        <w:jc w:val="left"/>
        <w:rPr>
          <w:rFonts w:cs="宋体"/>
          <w:color w:val="auto"/>
          <w:sz w:val="24"/>
          <w:szCs w:val="24"/>
          <w:highlight w:val="none"/>
        </w:rPr>
      </w:pPr>
      <w:r>
        <w:rPr>
          <w:rFonts w:hint="eastAsia" w:cs="宋体"/>
          <w:color w:val="auto"/>
          <w:sz w:val="24"/>
          <w:szCs w:val="24"/>
          <w:highlight w:val="none"/>
        </w:rPr>
        <w:t>（一）乙方不得以任何理由向甲方及其工作人员行贿或馈赠礼金、有价证券、贵重礼品。</w:t>
      </w:r>
    </w:p>
    <w:p w14:paraId="2ADA2133">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（二）乙方不得以任何名义为甲方及其工作人员报销应由甲方单位或个人支付的任何费用。</w:t>
      </w:r>
    </w:p>
    <w:p w14:paraId="08B64990">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（三）乙方不得以任何理由安排甲方工作人员参加可能影响相关业务公开、公正、公平性的宴请及娱乐活动。</w:t>
      </w:r>
    </w:p>
    <w:p w14:paraId="3F62F305">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（四）乙方不得为甲方单位和个人购置或提供通讯工具和高档办公用品等物品，也不得为甲方提供与工作无关的房屋、汽车等。</w:t>
      </w:r>
    </w:p>
    <w:p w14:paraId="6E2714C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（五）乙方不得与甲方工作人员就合同中的质量、数量、价格、工程量、验收等条款进行私下商谈或者达成默契。</w:t>
      </w:r>
    </w:p>
    <w:p w14:paraId="79F4116C">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（六）乙方不得以回扣、手续费、加班费、咨询费、劳务费、协调费、辛苦费等各种名义向甲方工作人员给予或赠送钱物。</w:t>
      </w:r>
    </w:p>
    <w:p w14:paraId="4CBB5DAD">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（七）乙方不得向甲方工作人员提供干股或红利。</w:t>
      </w:r>
    </w:p>
    <w:p w14:paraId="187A45A2">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第四条 违约责任</w:t>
      </w:r>
    </w:p>
    <w:p w14:paraId="280BFC75">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47036B68">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（二）乙方及其工作人员违反本协议第一、三条规定。根据具体情节和造成的后果，甲方有权对乙方采取以下一种或多种处理办法：</w:t>
      </w:r>
    </w:p>
    <w:p w14:paraId="54946EB8">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1. 全额收取乙方合同履约保证金不予退还； </w:t>
      </w:r>
    </w:p>
    <w:p w14:paraId="30B3394D">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2. 追究乙方其他违约责任；</w:t>
      </w:r>
    </w:p>
    <w:p w14:paraId="26CD64FE">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3. 终止或解除双方已签订的包括本合同在内的所有合同；</w:t>
      </w:r>
    </w:p>
    <w:p w14:paraId="47F73919">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4. 乙方一定期限内（6个月至3年，具体由甲方根据情况而定）不得参与甲方作为发包人（业主）的工程项目投标。</w:t>
      </w:r>
    </w:p>
    <w:p w14:paraId="3CB65D1B">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甲方作出的处理意见，乙方应无条件接受并承担给甲方造成的损失，全额返还通过不正当手段从甲方获取的非法所得，并承担相应的法律责任。</w:t>
      </w:r>
    </w:p>
    <w:p w14:paraId="1786E4C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第五条 双方约定</w:t>
      </w:r>
    </w:p>
    <w:p w14:paraId="71811353">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71C88B11">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第六条  本协议有效期为甲乙双方签署之日起至合同终止。  </w:t>
      </w:r>
    </w:p>
    <w:p w14:paraId="21E9B84C">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第七条  本协议作为合同的附件，与本合同具有同等法律效力。</w:t>
      </w:r>
    </w:p>
    <w:p w14:paraId="1A6853C2">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 </w:t>
      </w:r>
    </w:p>
    <w:p w14:paraId="421CF1B1">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甲方（盖章）： </w:t>
      </w:r>
      <w:r>
        <w:rPr>
          <w:rFonts w:hint="eastAsia" w:cs="宋体"/>
          <w:color w:val="auto"/>
          <w:sz w:val="24"/>
          <w:szCs w:val="24"/>
          <w:highlight w:val="none"/>
          <w:u w:val="single"/>
        </w:rPr>
        <w:t xml:space="preserve">                  </w:t>
      </w:r>
      <w:r>
        <w:rPr>
          <w:rFonts w:hint="eastAsia" w:cs="宋体"/>
          <w:color w:val="auto"/>
          <w:sz w:val="24"/>
          <w:szCs w:val="24"/>
          <w:highlight w:val="none"/>
        </w:rPr>
        <w:t xml:space="preserve">     乙方（盖章）：</w:t>
      </w:r>
      <w:r>
        <w:rPr>
          <w:rFonts w:hint="eastAsia" w:cs="宋体"/>
          <w:color w:val="auto"/>
          <w:sz w:val="24"/>
          <w:szCs w:val="24"/>
          <w:highlight w:val="none"/>
          <w:u w:val="single"/>
        </w:rPr>
        <w:t xml:space="preserve">             </w:t>
      </w:r>
    </w:p>
    <w:p w14:paraId="41265018">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法定代表人或                          法定代表人或</w:t>
      </w:r>
    </w:p>
    <w:p w14:paraId="20A222B6">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授权代表：</w:t>
      </w:r>
      <w:r>
        <w:rPr>
          <w:rFonts w:hint="eastAsia" w:cs="宋体"/>
          <w:color w:val="auto"/>
          <w:sz w:val="24"/>
          <w:szCs w:val="24"/>
          <w:highlight w:val="none"/>
          <w:u w:val="single"/>
        </w:rPr>
        <w:t xml:space="preserve">              </w:t>
      </w:r>
      <w:r>
        <w:rPr>
          <w:rFonts w:hint="eastAsia" w:cs="宋体"/>
          <w:color w:val="auto"/>
          <w:sz w:val="24"/>
          <w:szCs w:val="24"/>
          <w:highlight w:val="none"/>
        </w:rPr>
        <w:t>(</w:t>
      </w:r>
      <w:r>
        <w:rPr>
          <w:rFonts w:hint="eastAsia" w:cs="宋体"/>
          <w:color w:val="auto"/>
          <w:sz w:val="24"/>
          <w:szCs w:val="24"/>
          <w:highlight w:val="none"/>
          <w:lang w:val="en-US" w:eastAsia="zh-CN"/>
        </w:rPr>
        <w:t>签字</w:t>
      </w:r>
      <w:r>
        <w:rPr>
          <w:rFonts w:hint="eastAsia" w:cs="宋体"/>
          <w:color w:val="auto"/>
          <w:sz w:val="24"/>
          <w:szCs w:val="24"/>
          <w:highlight w:val="none"/>
        </w:rPr>
        <w:t>)         授权代表：</w:t>
      </w:r>
      <w:r>
        <w:rPr>
          <w:rFonts w:hint="eastAsia" w:cs="宋体"/>
          <w:color w:val="auto"/>
          <w:sz w:val="24"/>
          <w:szCs w:val="24"/>
          <w:highlight w:val="none"/>
          <w:u w:val="single"/>
        </w:rPr>
        <w:t xml:space="preserve">             </w:t>
      </w:r>
      <w:r>
        <w:rPr>
          <w:rFonts w:hint="eastAsia" w:cs="宋体"/>
          <w:color w:val="auto"/>
          <w:sz w:val="24"/>
          <w:szCs w:val="24"/>
          <w:highlight w:val="none"/>
        </w:rPr>
        <w:t>(</w:t>
      </w:r>
      <w:r>
        <w:rPr>
          <w:rFonts w:hint="eastAsia" w:cs="宋体"/>
          <w:color w:val="auto"/>
          <w:sz w:val="24"/>
          <w:szCs w:val="24"/>
          <w:highlight w:val="none"/>
          <w:lang w:val="en-US" w:eastAsia="zh-CN"/>
        </w:rPr>
        <w:t>签字</w:t>
      </w:r>
      <w:r>
        <w:rPr>
          <w:rFonts w:hint="eastAsia" w:cs="宋体"/>
          <w:color w:val="auto"/>
          <w:sz w:val="24"/>
          <w:szCs w:val="24"/>
          <w:highlight w:val="none"/>
        </w:rPr>
        <w:t>)</w:t>
      </w:r>
    </w:p>
    <w:p w14:paraId="43F547DD">
      <w:pPr>
        <w:spacing w:before="312" w:beforeLines="100" w:after="312" w:afterLines="100"/>
        <w:outlineLvl w:val="9"/>
        <w:rPr>
          <w:rFonts w:hint="eastAsia" w:ascii="Times New Roman" w:eastAsia="黑体"/>
          <w:color w:val="auto"/>
          <w:sz w:val="24"/>
          <w:szCs w:val="24"/>
          <w:highlight w:val="none"/>
        </w:rPr>
      </w:pPr>
    </w:p>
    <w:p w14:paraId="4F9E0CE5">
      <w:pPr>
        <w:rPr>
          <w:color w:val="auto"/>
          <w:highlight w:val="none"/>
        </w:rPr>
      </w:pPr>
    </w:p>
    <w:p w14:paraId="33B97CF0">
      <w:pPr>
        <w:rPr>
          <w:rFonts w:hint="eastAsia" w:ascii="Times New Roman" w:eastAsia="黑体"/>
          <w:color w:val="auto"/>
          <w:sz w:val="24"/>
          <w:szCs w:val="24"/>
          <w:highlight w:val="none"/>
        </w:rPr>
      </w:pPr>
      <w:r>
        <w:rPr>
          <w:rFonts w:hint="eastAsia" w:ascii="Times New Roman" w:eastAsia="黑体"/>
          <w:color w:val="auto"/>
          <w:sz w:val="24"/>
          <w:szCs w:val="24"/>
          <w:highlight w:val="none"/>
        </w:rPr>
        <w:br w:type="page"/>
      </w:r>
    </w:p>
    <w:p w14:paraId="19ECCB2C">
      <w:pPr>
        <w:spacing w:before="156" w:beforeLines="50" w:after="156" w:afterLines="50" w:line="360" w:lineRule="auto"/>
        <w:jc w:val="left"/>
        <w:outlineLvl w:val="2"/>
        <w:rPr>
          <w:rFonts w:hint="eastAsia" w:ascii="Times New Roman" w:eastAsia="黑体"/>
          <w:color w:val="auto"/>
          <w:sz w:val="24"/>
          <w:szCs w:val="24"/>
          <w:highlight w:val="none"/>
          <w:lang w:val="en-US" w:eastAsia="zh-CN"/>
        </w:rPr>
      </w:pPr>
      <w:r>
        <w:rPr>
          <w:rFonts w:hint="eastAsia" w:ascii="Times New Roman" w:eastAsia="黑体"/>
          <w:color w:val="auto"/>
          <w:sz w:val="24"/>
          <w:szCs w:val="24"/>
          <w:highlight w:val="none"/>
        </w:rPr>
        <w:t>附件</w:t>
      </w:r>
      <w:r>
        <w:rPr>
          <w:rFonts w:hint="eastAsia" w:ascii="Times New Roman" w:eastAsia="黑体"/>
          <w:color w:val="auto"/>
          <w:sz w:val="24"/>
          <w:szCs w:val="24"/>
          <w:highlight w:val="none"/>
          <w:lang w:val="en-US" w:eastAsia="zh-CN"/>
        </w:rPr>
        <w:t>2</w:t>
      </w:r>
      <w:r>
        <w:rPr>
          <w:rFonts w:hint="eastAsia" w:ascii="Times New Roman" w:eastAsia="黑体"/>
          <w:color w:val="auto"/>
          <w:sz w:val="24"/>
          <w:szCs w:val="24"/>
          <w:highlight w:val="none"/>
        </w:rPr>
        <w:t>：</w:t>
      </w:r>
      <w:r>
        <w:rPr>
          <w:rFonts w:hint="eastAsia" w:ascii="Times New Roman" w:eastAsia="黑体"/>
          <w:color w:val="auto"/>
          <w:sz w:val="24"/>
          <w:szCs w:val="24"/>
          <w:highlight w:val="none"/>
          <w:lang w:val="en-US" w:eastAsia="zh-CN"/>
        </w:rPr>
        <w:t>安全生产合同</w:t>
      </w:r>
      <w:bookmarkStart w:id="614" w:name="_Toc11475"/>
      <w:bookmarkStart w:id="615" w:name="_Toc23792"/>
      <w:bookmarkStart w:id="616" w:name="bookmark1864"/>
    </w:p>
    <w:p w14:paraId="2F1C0AB9">
      <w:pPr>
        <w:spacing w:before="156" w:beforeLines="50" w:after="156" w:afterLines="50" w:line="360" w:lineRule="auto"/>
        <w:jc w:val="center"/>
        <w:rPr>
          <w:rFonts w:cs="宋体"/>
          <w:b/>
          <w:color w:val="auto"/>
          <w:sz w:val="28"/>
          <w:szCs w:val="28"/>
          <w:highlight w:val="none"/>
        </w:rPr>
      </w:pPr>
      <w:r>
        <w:rPr>
          <w:rFonts w:hint="eastAsia" w:cs="宋体"/>
          <w:b/>
          <w:color w:val="auto"/>
          <w:sz w:val="28"/>
          <w:szCs w:val="28"/>
          <w:highlight w:val="none"/>
        </w:rPr>
        <w:t>安全生产合同</w:t>
      </w:r>
      <w:bookmarkEnd w:id="614"/>
      <w:bookmarkEnd w:id="615"/>
    </w:p>
    <w:p w14:paraId="7D16C25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（项目名称）合同的实施过程中创造安全、高效的施工环境，切实搞好本项目的安全管理工作，本项目</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名称，以下简称“</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名称，以下简称“</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”）特此签订安全生产合同：</w:t>
      </w:r>
    </w:p>
    <w:bookmarkEnd w:id="616"/>
    <w:p w14:paraId="4AA9254F">
      <w:pPr>
        <w:widowControl/>
        <w:adjustRightInd w:val="0"/>
        <w:snapToGrid w:val="0"/>
        <w:spacing w:line="360" w:lineRule="auto"/>
        <w:ind w:firstLine="480" w:firstLineChars="200"/>
        <w:jc w:val="left"/>
        <w:rPr>
          <w:rFonts w:hint="eastAsia" w:asciiTheme="minorEastAsia" w:hAnsiTheme="minorEastAsia" w:eastAsiaTheme="minorEastAsia" w:cstheme="minorEastAsia"/>
          <w:bCs/>
          <w:color w:val="auto"/>
          <w:sz w:val="24"/>
          <w:szCs w:val="24"/>
          <w:highlight w:val="none"/>
        </w:rPr>
      </w:pPr>
      <w:bookmarkStart w:id="617" w:name="bookmark1868"/>
      <w:r>
        <w:rPr>
          <w:rFonts w:hint="eastAsia" w:asciiTheme="minorEastAsia" w:hAnsiTheme="minorEastAsia" w:eastAsiaTheme="minorEastAsia" w:cstheme="minorEastAsia"/>
          <w:bCs/>
          <w:color w:val="auto"/>
          <w:sz w:val="24"/>
          <w:szCs w:val="24"/>
          <w:highlight w:val="none"/>
          <w:lang w:eastAsia="zh-CN"/>
        </w:rPr>
        <w:t>一</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职责</w:t>
      </w:r>
    </w:p>
    <w:p w14:paraId="7D2F59B5">
      <w:pPr>
        <w:widowControl/>
        <w:adjustRightInd w:val="0"/>
        <w:snapToGrid w:val="0"/>
        <w:spacing w:line="360" w:lineRule="auto"/>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lang w:eastAsia="zh-CN"/>
        </w:rPr>
        <w:t>甲方</w:t>
      </w:r>
      <w:r>
        <w:rPr>
          <w:rFonts w:hint="eastAsia" w:asciiTheme="minorEastAsia" w:hAnsiTheme="minorEastAsia" w:eastAsiaTheme="minorEastAsia" w:cstheme="minorEastAsia"/>
          <w:bCs/>
          <w:color w:val="auto"/>
          <w:sz w:val="24"/>
          <w:szCs w:val="24"/>
          <w:highlight w:val="none"/>
        </w:rPr>
        <w:t>依据《中华人民共和国安全生产法》等法律法规规定责任，全面履行自己应有的权利和义务。</w:t>
      </w:r>
    </w:p>
    <w:p w14:paraId="2B52962C">
      <w:pPr>
        <w:widowControl/>
        <w:adjustRightInd w:val="0"/>
        <w:snapToGrid w:val="0"/>
        <w:spacing w:line="360" w:lineRule="auto"/>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w:t>
      </w:r>
      <w:r>
        <w:rPr>
          <w:rFonts w:hint="eastAsia" w:asciiTheme="minorEastAsia" w:hAnsiTheme="minorEastAsia" w:eastAsiaTheme="minorEastAsia" w:cstheme="minorEastAsia"/>
          <w:bCs/>
          <w:color w:val="auto"/>
          <w:sz w:val="24"/>
          <w:szCs w:val="24"/>
          <w:highlight w:val="none"/>
          <w:lang w:eastAsia="zh-CN"/>
        </w:rPr>
        <w:t>甲方</w:t>
      </w:r>
      <w:r>
        <w:rPr>
          <w:rFonts w:hint="eastAsia" w:asciiTheme="minorEastAsia" w:hAnsiTheme="minorEastAsia" w:eastAsiaTheme="minorEastAsia" w:cstheme="minorEastAsia"/>
          <w:bCs/>
          <w:color w:val="auto"/>
          <w:sz w:val="24"/>
          <w:szCs w:val="24"/>
          <w:highlight w:val="none"/>
        </w:rPr>
        <w:t>对</w:t>
      </w:r>
      <w:r>
        <w:rPr>
          <w:rFonts w:hint="eastAsia" w:asciiTheme="minorEastAsia" w:hAnsiTheme="minorEastAsia" w:eastAsiaTheme="minorEastAsia" w:cstheme="minorEastAsia"/>
          <w:bCs/>
          <w:color w:val="auto"/>
          <w:sz w:val="24"/>
          <w:szCs w:val="24"/>
          <w:highlight w:val="none"/>
          <w:lang w:eastAsia="zh-CN"/>
        </w:rPr>
        <w:t>乙方施工</w:t>
      </w:r>
      <w:r>
        <w:rPr>
          <w:rFonts w:hint="eastAsia" w:asciiTheme="minorEastAsia" w:hAnsiTheme="minorEastAsia" w:eastAsiaTheme="minorEastAsia" w:cstheme="minorEastAsia"/>
          <w:bCs/>
          <w:color w:val="auto"/>
          <w:sz w:val="24"/>
          <w:szCs w:val="24"/>
          <w:highlight w:val="none"/>
        </w:rPr>
        <w:t>安全具有监督、检查和指导的权利。</w:t>
      </w:r>
    </w:p>
    <w:bookmarkEnd w:id="617"/>
    <w:p w14:paraId="420E9D3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二</w:t>
      </w:r>
      <w:r>
        <w:rPr>
          <w:rFonts w:hint="eastAsia" w:asciiTheme="minorEastAsia" w:hAnsiTheme="minorEastAsia" w:eastAsiaTheme="minorEastAsia" w:cstheme="minorEastAsia"/>
          <w:color w:val="auto"/>
          <w:sz w:val="24"/>
          <w:szCs w:val="24"/>
          <w:highlight w:val="none"/>
        </w:rPr>
        <w:t>、</w:t>
      </w:r>
      <w:bookmarkStart w:id="618" w:name="bookmark1869"/>
      <w:bookmarkEnd w:id="618"/>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职责</w:t>
      </w:r>
    </w:p>
    <w:p w14:paraId="3921222B">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要严格执行国家已发布的有关法律法规和地方政府有关安全管理的规定，严格各项安全生产的规章制度和方案。</w:t>
      </w:r>
    </w:p>
    <w:p w14:paraId="6BFC829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b w:val="0"/>
          <w:bCs/>
          <w:color w:val="auto"/>
          <w:kern w:val="2"/>
          <w:sz w:val="24"/>
          <w:szCs w:val="24"/>
          <w:highlight w:val="none"/>
          <w:lang w:val="en-US" w:eastAsia="zh-CN" w:bidi="ar-SA"/>
        </w:rPr>
        <w:t>必须</w:t>
      </w:r>
      <w:r>
        <w:rPr>
          <w:rFonts w:hint="eastAsia" w:asciiTheme="minorEastAsia" w:hAnsiTheme="minorEastAsia" w:eastAsiaTheme="minorEastAsia" w:cstheme="minorEastAsia"/>
          <w:color w:val="auto"/>
          <w:sz w:val="24"/>
          <w:szCs w:val="24"/>
          <w:highlight w:val="none"/>
          <w:lang w:val="en-US" w:eastAsia="zh-CN"/>
        </w:rPr>
        <w:t>严格</w:t>
      </w:r>
      <w:r>
        <w:rPr>
          <w:rFonts w:hint="eastAsia" w:asciiTheme="minorEastAsia" w:hAnsiTheme="minorEastAsia" w:eastAsiaTheme="minorEastAsia" w:cstheme="minorEastAsia"/>
          <w:b w:val="0"/>
          <w:bCs w:val="0"/>
          <w:color w:val="auto"/>
          <w:sz w:val="24"/>
          <w:szCs w:val="24"/>
          <w:highlight w:val="none"/>
          <w:lang w:val="en-US" w:eastAsia="zh-CN"/>
        </w:rPr>
        <w:t>执行安全技术交底</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 w:val="0"/>
          <w:bCs/>
          <w:color w:val="auto"/>
          <w:kern w:val="2"/>
          <w:sz w:val="24"/>
          <w:szCs w:val="24"/>
          <w:highlight w:val="none"/>
          <w:lang w:val="en-US" w:eastAsia="zh-CN" w:bidi="ar-SA"/>
        </w:rPr>
        <w:t>明确各级人员的安全生产责任，</w:t>
      </w:r>
      <w:r>
        <w:rPr>
          <w:rFonts w:hint="eastAsia" w:asciiTheme="minorEastAsia" w:hAnsiTheme="minorEastAsia" w:eastAsiaTheme="minorEastAsia" w:cstheme="minorEastAsia"/>
          <w:color w:val="auto"/>
          <w:sz w:val="24"/>
          <w:szCs w:val="24"/>
          <w:highlight w:val="none"/>
        </w:rPr>
        <w:t>对所有参与现场</w:t>
      </w:r>
      <w:r>
        <w:rPr>
          <w:rFonts w:hint="eastAsia" w:asciiTheme="minorEastAsia" w:hAnsiTheme="minorEastAsia" w:eastAsiaTheme="minorEastAsia" w:cstheme="minorEastAsia"/>
          <w:color w:val="auto"/>
          <w:sz w:val="24"/>
          <w:szCs w:val="24"/>
          <w:highlight w:val="none"/>
          <w:lang w:val="en-US" w:eastAsia="zh-CN"/>
        </w:rPr>
        <w:t>作业</w:t>
      </w:r>
      <w:r>
        <w:rPr>
          <w:rFonts w:hint="eastAsia" w:asciiTheme="minorEastAsia" w:hAnsiTheme="minorEastAsia" w:eastAsiaTheme="minorEastAsia" w:cstheme="minorEastAsia"/>
          <w:color w:val="auto"/>
          <w:sz w:val="24"/>
          <w:szCs w:val="24"/>
          <w:highlight w:val="none"/>
        </w:rPr>
        <w:t>的人员进行安全教育，使其具备安全意识和应对突发情况的能力。临水临空等安全风险较大的作业应有现场安全监督人员现场监督，并通知管理单位技术人员到场。</w:t>
      </w:r>
    </w:p>
    <w:p w14:paraId="0FDFE4F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等特殊工种的人员，并将特种作业人员名单和特种作业证上报</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审查，无证人员禁止从事特种作业；施工现场如出现特种作业无证操作现象时，</w:t>
      </w:r>
      <w:r>
        <w:rPr>
          <w:rFonts w:hint="eastAsia" w:asciiTheme="minorEastAsia" w:hAnsiTheme="minorEastAsia" w:eastAsiaTheme="minorEastAsia" w:cstheme="minorEastAsia"/>
          <w:color w:val="auto"/>
          <w:sz w:val="24"/>
          <w:szCs w:val="24"/>
          <w:highlight w:val="none"/>
          <w:lang w:eastAsia="zh-CN"/>
        </w:rPr>
        <w:t>项目负责人</w:t>
      </w:r>
      <w:r>
        <w:rPr>
          <w:rFonts w:hint="eastAsia" w:asciiTheme="minorEastAsia" w:hAnsiTheme="minorEastAsia" w:eastAsiaTheme="minorEastAsia" w:cstheme="minorEastAsia"/>
          <w:color w:val="auto"/>
          <w:sz w:val="24"/>
          <w:szCs w:val="24"/>
          <w:highlight w:val="none"/>
        </w:rPr>
        <w:t>必须承担管理责任。</w:t>
      </w:r>
    </w:p>
    <w:p w14:paraId="6957A02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水上及临水作业，操作人员必须穿戴好救生衣，不得穿带钉易滑的硬底鞋，每次工作前对所用的救生衣进行检查确保其安全有效，禁止单人独自作业，室外作业时，当风力较大，影响作业安全时，立即停止作业，人员在船上走动或操作时，船只要固定牢靠，船上配备救生圈等救生器具。</w:t>
      </w:r>
    </w:p>
    <w:p w14:paraId="683E128C">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乙方现场临时用电，严格执行国家相关标准规定。清洁电气设备时停电作业，电源箱或开关握柄挂“有人操作，严禁合闸”的警示牌，并设专人看管，现场临时架设的线路，严禁搭在钢筋、脚手架上，必须安设绝缘支承物。</w:t>
      </w:r>
    </w:p>
    <w:p w14:paraId="40A686A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高空作业时，禁止穿硬底和带钉易滑的鞋，患有心脏病、高血压、精神病、癫痫病</w:t>
      </w:r>
      <w:r>
        <w:rPr>
          <w:rFonts w:hint="eastAsia" w:asciiTheme="minorEastAsia" w:hAnsiTheme="minorEastAsia" w:eastAsiaTheme="minorEastAsia" w:cstheme="minorEastAsia"/>
          <w:color w:val="auto"/>
          <w:sz w:val="24"/>
          <w:szCs w:val="24"/>
          <w:highlight w:val="none"/>
          <w:lang w:eastAsia="zh-CN"/>
        </w:rPr>
        <w:t>患者</w:t>
      </w:r>
      <w:r>
        <w:rPr>
          <w:rFonts w:hint="eastAsia" w:asciiTheme="minorEastAsia" w:hAnsiTheme="minorEastAsia" w:eastAsiaTheme="minorEastAsia" w:cstheme="minorEastAsia"/>
          <w:color w:val="auto"/>
          <w:sz w:val="24"/>
          <w:szCs w:val="24"/>
          <w:highlight w:val="none"/>
        </w:rPr>
        <w:t>禁止从事高空操作，高空作业操作人员要系安全带，并且安全带要固定牢靠。</w:t>
      </w:r>
    </w:p>
    <w:p w14:paraId="7AE0F5AB">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7.乙方开展施工过程中的交通运输时，须严格遵守交通法规，严禁无证驾驶、酒后驾驶和疲劳驾驶；运输机械需按划定运输路线行驶，货物与货车箱体牢固可靠绑定，严禁货车货混载或违规载人。</w:t>
      </w:r>
    </w:p>
    <w:p w14:paraId="6B4C2ED2">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遇高温天气，应结合天气、</w:t>
      </w:r>
      <w:r>
        <w:rPr>
          <w:rFonts w:hint="eastAsia" w:asciiTheme="minorEastAsia" w:hAnsiTheme="minorEastAsia" w:eastAsiaTheme="minorEastAsia" w:cstheme="minorEastAsia"/>
          <w:color w:val="auto"/>
          <w:sz w:val="24"/>
          <w:szCs w:val="24"/>
          <w:highlight w:val="none"/>
          <w:lang w:val="en-US" w:eastAsia="zh-CN"/>
        </w:rPr>
        <w:t>施工</w:t>
      </w:r>
      <w:r>
        <w:rPr>
          <w:rFonts w:hint="eastAsia" w:asciiTheme="minorEastAsia" w:hAnsiTheme="minorEastAsia" w:eastAsiaTheme="minorEastAsia" w:cstheme="minorEastAsia"/>
          <w:color w:val="auto"/>
          <w:sz w:val="24"/>
          <w:szCs w:val="24"/>
          <w:highlight w:val="none"/>
        </w:rPr>
        <w:t>进度等实际情况，加强作业人员身心关怀，合理安排作业时间，及时安排休息避暑，并配备防暑降温等</w:t>
      </w:r>
      <w:r>
        <w:rPr>
          <w:rFonts w:hint="eastAsia" w:asciiTheme="minorEastAsia" w:hAnsiTheme="minorEastAsia" w:eastAsiaTheme="minorEastAsia" w:cstheme="minorEastAsia"/>
          <w:color w:val="auto"/>
          <w:sz w:val="24"/>
          <w:szCs w:val="24"/>
          <w:highlight w:val="none"/>
          <w:lang w:eastAsia="zh-CN"/>
        </w:rPr>
        <w:t>必需的</w:t>
      </w:r>
      <w:r>
        <w:rPr>
          <w:rFonts w:hint="eastAsia" w:asciiTheme="minorEastAsia" w:hAnsiTheme="minorEastAsia" w:eastAsiaTheme="minorEastAsia" w:cstheme="minorEastAsia"/>
          <w:color w:val="auto"/>
          <w:sz w:val="24"/>
          <w:szCs w:val="24"/>
          <w:highlight w:val="none"/>
        </w:rPr>
        <w:t>应急药品、物品，避免人员中暑、疲劳作业等情况。</w:t>
      </w:r>
    </w:p>
    <w:p w14:paraId="05F08A3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操作人员上岗，必须按规定穿戴防护用品。施工负责人和安全检查员应随时检查劳动防护用品的穿戴情况，不按规定穿戴防护用品的人员不得上岗。</w:t>
      </w:r>
    </w:p>
    <w:p w14:paraId="2992359C">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应根据工程特点，合理安排身体素质、技术水平高、安全责任心强的人员上岗，施工过程中职业健康、环境保护、劳动卫生、安全生产等有关工作，做到安全文明施工，坚决防范各类安全事故发生</w:t>
      </w:r>
      <w:r>
        <w:rPr>
          <w:rFonts w:hint="eastAsia" w:asciiTheme="minorEastAsia" w:hAnsiTheme="minorEastAsia" w:eastAsiaTheme="minorEastAsia" w:cstheme="minorEastAsia"/>
          <w:color w:val="auto"/>
          <w:sz w:val="24"/>
          <w:szCs w:val="24"/>
          <w:highlight w:val="none"/>
          <w:lang w:eastAsia="zh-CN"/>
        </w:rPr>
        <w:t>。</w:t>
      </w:r>
    </w:p>
    <w:p w14:paraId="0798E55E">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lang w:eastAsia="zh-CN"/>
        </w:rPr>
        <w:t>安全生产费用专款专用、据实支付，由</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eastAsia="zh-CN"/>
        </w:rPr>
        <w:t>严格按照《企业安全生产费用提取和使用管理办法》规定的支出范围使用，</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eastAsia="zh-CN"/>
        </w:rPr>
        <w:t>在申请办理工程开工安全生产措施备案时，保证安全生产的措施方案应包含安全生产费用使用计划。</w:t>
      </w:r>
    </w:p>
    <w:p w14:paraId="250E65FE">
      <w:pPr>
        <w:autoSpaceDE w:val="0"/>
        <w:autoSpaceDN w:val="0"/>
        <w:adjustRightInd w:val="0"/>
        <w:snapToGrid w:val="0"/>
        <w:spacing w:line="360" w:lineRule="auto"/>
        <w:ind w:firstLine="482" w:firstLineChars="20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12.</w:t>
      </w:r>
      <w:r>
        <w:rPr>
          <w:rFonts w:hint="eastAsia" w:asciiTheme="minorEastAsia" w:hAnsiTheme="minorEastAsia" w:eastAsiaTheme="minorEastAsia" w:cstheme="minorEastAsia"/>
          <w:b/>
          <w:bCs/>
          <w:color w:val="auto"/>
          <w:sz w:val="24"/>
          <w:szCs w:val="24"/>
          <w:highlight w:val="none"/>
          <w:lang w:eastAsia="zh-CN"/>
        </w:rPr>
        <w:t>乙方</w:t>
      </w:r>
      <w:r>
        <w:rPr>
          <w:rFonts w:hint="eastAsia" w:asciiTheme="minorEastAsia" w:hAnsiTheme="minorEastAsia" w:eastAsiaTheme="minorEastAsia" w:cstheme="minorEastAsia"/>
          <w:b/>
          <w:bCs/>
          <w:color w:val="auto"/>
          <w:sz w:val="24"/>
          <w:szCs w:val="24"/>
          <w:highlight w:val="none"/>
        </w:rPr>
        <w:t>不得违章指挥或强令作业人员冒险作业，也不能强迫作业人员超体能连续工作。作业过程中，应加强人员管理，确保人员工作安全，防范安全生产事故，</w:t>
      </w:r>
      <w:r>
        <w:rPr>
          <w:rFonts w:hint="eastAsia" w:asciiTheme="minorEastAsia" w:hAnsiTheme="minorEastAsia" w:eastAsiaTheme="minorEastAsia" w:cstheme="minorEastAsia"/>
          <w:b/>
          <w:bCs/>
          <w:color w:val="auto"/>
          <w:sz w:val="24"/>
          <w:szCs w:val="24"/>
          <w:highlight w:val="none"/>
          <w:lang w:val="en-US" w:eastAsia="zh-CN"/>
        </w:rPr>
        <w:t>乙方在履行本合同过程中发生的任何工伤或意外伤亡等，均由乙方负责处理并承担全部费用；若因此给甲方或第三方造成损失，由乙方予以全额赔偿。</w:t>
      </w:r>
    </w:p>
    <w:p w14:paraId="3F707DF4">
      <w:pPr>
        <w:autoSpaceDE w:val="0"/>
        <w:autoSpaceDN w:val="0"/>
        <w:adjustRightInd w:val="0"/>
        <w:snapToGrid w:val="0"/>
        <w:spacing w:line="360" w:lineRule="auto"/>
        <w:ind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13.项目实施前，本项目所有从业人员购买以下保险（二者任选其一）：</w:t>
      </w:r>
      <w:r>
        <w:rPr>
          <w:rFonts w:hint="eastAsia" w:cs="宋体"/>
          <w:b/>
          <w:bCs/>
          <w:color w:val="auto"/>
          <w:sz w:val="24"/>
          <w:szCs w:val="24"/>
          <w:highlight w:val="none"/>
          <w:u w:val="single"/>
        </w:rPr>
        <w:t>雇主责任险或</w:t>
      </w:r>
      <w:r>
        <w:rPr>
          <w:rFonts w:hint="eastAsia" w:cs="宋体"/>
          <w:b/>
          <w:bCs/>
          <w:color w:val="auto"/>
          <w:sz w:val="24"/>
          <w:szCs w:val="24"/>
          <w:highlight w:val="none"/>
          <w:u w:val="single"/>
          <w:lang w:eastAsia="zh-CN"/>
        </w:rPr>
        <w:t>团体意外险</w:t>
      </w:r>
      <w:r>
        <w:rPr>
          <w:rFonts w:hint="eastAsia" w:asciiTheme="minorEastAsia" w:hAnsiTheme="minorEastAsia" w:eastAsiaTheme="minorEastAsia" w:cstheme="minorEastAsia"/>
          <w:b/>
          <w:bCs/>
          <w:color w:val="auto"/>
          <w:sz w:val="24"/>
          <w:szCs w:val="24"/>
          <w:highlight w:val="none"/>
          <w:lang w:val="en-US" w:eastAsia="zh-CN"/>
        </w:rPr>
        <w:t>，其保险费已包含在签约合同价中。</w:t>
      </w:r>
    </w:p>
    <w:p w14:paraId="43CE9829">
      <w:pPr>
        <w:spacing w:line="360" w:lineRule="auto"/>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14.</w:t>
      </w:r>
      <w:r>
        <w:rPr>
          <w:rFonts w:hint="eastAsia" w:cs="宋体"/>
          <w:b/>
          <w:bCs/>
          <w:color w:val="auto"/>
          <w:sz w:val="24"/>
          <w:szCs w:val="24"/>
          <w:highlight w:val="none"/>
        </w:rPr>
        <w:t>乙方承诺，作业过程中如出现作业人员未有效佩戴现场安全防护</w:t>
      </w:r>
      <w:r>
        <w:rPr>
          <w:rFonts w:hint="eastAsia" w:cs="宋体"/>
          <w:b/>
          <w:bCs/>
          <w:color w:val="auto"/>
          <w:sz w:val="24"/>
          <w:szCs w:val="24"/>
          <w:highlight w:val="none"/>
          <w:lang w:eastAsia="zh-CN"/>
        </w:rPr>
        <w:t>必需的</w:t>
      </w:r>
      <w:r>
        <w:rPr>
          <w:rFonts w:hint="eastAsia" w:cs="宋体"/>
          <w:b/>
          <w:bCs/>
          <w:color w:val="auto"/>
          <w:sz w:val="24"/>
          <w:szCs w:val="24"/>
          <w:highlight w:val="none"/>
        </w:rPr>
        <w:t>安全帽、安全绳、救生衣以及其他</w:t>
      </w:r>
      <w:r>
        <w:rPr>
          <w:rFonts w:hint="eastAsia" w:cs="宋体"/>
          <w:b/>
          <w:bCs/>
          <w:color w:val="auto"/>
          <w:sz w:val="24"/>
          <w:szCs w:val="24"/>
          <w:highlight w:val="none"/>
          <w:lang w:eastAsia="zh-CN"/>
        </w:rPr>
        <w:t>必需的</w:t>
      </w:r>
      <w:r>
        <w:rPr>
          <w:rFonts w:hint="eastAsia" w:cs="宋体"/>
          <w:b/>
          <w:bCs/>
          <w:color w:val="auto"/>
          <w:sz w:val="24"/>
          <w:szCs w:val="24"/>
          <w:highlight w:val="none"/>
          <w:lang w:val="en-US" w:eastAsia="zh-CN"/>
        </w:rPr>
        <w:t>作业</w:t>
      </w:r>
      <w:r>
        <w:rPr>
          <w:rFonts w:hint="eastAsia" w:cs="宋体"/>
          <w:b/>
          <w:bCs/>
          <w:color w:val="auto"/>
          <w:sz w:val="24"/>
          <w:szCs w:val="24"/>
          <w:highlight w:val="none"/>
        </w:rPr>
        <w:t>防护等安全防护用品，发生不安全行为的，每出现一次，从完工结算价中自愿核减1000元，减完为止。</w:t>
      </w:r>
    </w:p>
    <w:p w14:paraId="4D71192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本合同由双方法定代表人或其授权的代理人签署并加盖单位章后生效，全部工程</w:t>
      </w:r>
      <w:r>
        <w:rPr>
          <w:rFonts w:hint="eastAsia" w:asciiTheme="minorEastAsia" w:hAnsiTheme="minorEastAsia" w:eastAsiaTheme="minorEastAsia" w:cstheme="minorEastAsia"/>
          <w:color w:val="auto"/>
          <w:sz w:val="24"/>
          <w:szCs w:val="24"/>
          <w:highlight w:val="none"/>
          <w:lang w:eastAsia="zh-CN"/>
        </w:rPr>
        <w:t>完工</w:t>
      </w:r>
      <w:r>
        <w:rPr>
          <w:rFonts w:hint="eastAsia" w:asciiTheme="minorEastAsia" w:hAnsiTheme="minorEastAsia" w:eastAsiaTheme="minorEastAsia" w:cstheme="minorEastAsia"/>
          <w:color w:val="auto"/>
          <w:sz w:val="24"/>
          <w:szCs w:val="24"/>
          <w:highlight w:val="none"/>
        </w:rPr>
        <w:t>验收后失效。</w:t>
      </w:r>
    </w:p>
    <w:p w14:paraId="4E3B12C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本合同正本—式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份，合同双方各执正本—份，副本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份，当正本与副本的内容不一致时，以正本为准。</w:t>
      </w:r>
    </w:p>
    <w:p w14:paraId="1CC02933">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（盖单位章）          </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（盖单位章）</w:t>
      </w:r>
    </w:p>
    <w:p w14:paraId="47EE3AAB">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法定代表人或其委托代理人：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（签字）  法定代表人或其委托代理人：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（签字）</w:t>
      </w:r>
    </w:p>
    <w:p w14:paraId="21BF41D1">
      <w:pPr>
        <w:spacing w:line="360" w:lineRule="auto"/>
        <w:ind w:firstLine="840"/>
        <w:rPr>
          <w:color w:val="auto"/>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日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6FB9DA93">
      <w:pPr>
        <w:spacing w:before="312" w:beforeLines="100" w:after="312" w:afterLines="100"/>
        <w:outlineLvl w:val="9"/>
        <w:rPr>
          <w:rFonts w:hint="default" w:ascii="Times New Roman" w:eastAsia="黑体"/>
          <w:color w:val="auto"/>
          <w:sz w:val="24"/>
          <w:szCs w:val="24"/>
          <w:highlight w:val="none"/>
          <w:lang w:val="en-US" w:eastAsia="zh-CN"/>
        </w:rPr>
      </w:pPr>
    </w:p>
    <w:p w14:paraId="16A4226C">
      <w:pPr>
        <w:rPr>
          <w:rFonts w:hint="eastAsia" w:ascii="Times New Roman" w:eastAsia="黑体"/>
          <w:color w:val="auto"/>
          <w:sz w:val="24"/>
          <w:szCs w:val="24"/>
          <w:highlight w:val="none"/>
        </w:rPr>
      </w:pPr>
      <w:r>
        <w:rPr>
          <w:rFonts w:hint="eastAsia" w:ascii="Times New Roman" w:eastAsia="黑体"/>
          <w:color w:val="auto"/>
          <w:sz w:val="24"/>
          <w:szCs w:val="24"/>
          <w:highlight w:val="none"/>
        </w:rPr>
        <w:br w:type="page"/>
      </w:r>
    </w:p>
    <w:p w14:paraId="46A3986D">
      <w:pPr>
        <w:spacing w:before="312" w:beforeLines="100" w:after="312" w:afterLines="100"/>
        <w:outlineLvl w:val="2"/>
        <w:rPr>
          <w:rFonts w:hint="eastAsia" w:ascii="Times New Roman" w:hAnsi="宋体" w:eastAsia="黑体" w:cs="宋体"/>
          <w:color w:val="auto"/>
          <w:sz w:val="24"/>
          <w:szCs w:val="24"/>
          <w:highlight w:val="none"/>
          <w:lang w:val="en-US" w:eastAsia="zh-CN"/>
        </w:rPr>
      </w:pPr>
      <w:r>
        <w:rPr>
          <w:rFonts w:hint="eastAsia" w:ascii="Times New Roman" w:hAnsi="宋体" w:eastAsia="黑体" w:cs="宋体"/>
          <w:color w:val="auto"/>
          <w:sz w:val="24"/>
          <w:szCs w:val="24"/>
          <w:highlight w:val="none"/>
          <w:lang w:val="en-US" w:eastAsia="zh-CN"/>
        </w:rPr>
        <w:t>附</w:t>
      </w:r>
      <w:bookmarkStart w:id="619" w:name="_Toc296503226"/>
      <w:bookmarkStart w:id="620" w:name="_Toc296347225"/>
      <w:bookmarkStart w:id="621" w:name="_Toc296346727"/>
      <w:bookmarkStart w:id="622" w:name="_Toc267261693"/>
      <w:bookmarkStart w:id="623" w:name="_Toc296944565"/>
      <w:bookmarkStart w:id="624" w:name="_Toc296891266"/>
      <w:bookmarkStart w:id="625" w:name="_Toc296891054"/>
      <w:r>
        <w:rPr>
          <w:rFonts w:hint="eastAsia" w:ascii="Times New Roman" w:hAnsi="宋体" w:eastAsia="黑体" w:cs="宋体"/>
          <w:color w:val="auto"/>
          <w:sz w:val="24"/>
          <w:szCs w:val="24"/>
          <w:highlight w:val="none"/>
          <w:lang w:val="en-US" w:eastAsia="zh-CN"/>
        </w:rPr>
        <w:t>件3：</w:t>
      </w:r>
      <w:bookmarkEnd w:id="619"/>
      <w:bookmarkEnd w:id="620"/>
      <w:bookmarkEnd w:id="621"/>
      <w:bookmarkEnd w:id="622"/>
      <w:bookmarkEnd w:id="623"/>
      <w:bookmarkEnd w:id="624"/>
      <w:bookmarkEnd w:id="625"/>
      <w:r>
        <w:rPr>
          <w:rFonts w:hint="eastAsia" w:ascii="Times New Roman" w:hAnsi="宋体" w:eastAsia="黑体" w:cs="宋体"/>
          <w:color w:val="auto"/>
          <w:sz w:val="24"/>
          <w:szCs w:val="24"/>
          <w:highlight w:val="none"/>
          <w:lang w:val="en-US" w:eastAsia="zh-CN"/>
        </w:rPr>
        <w:t>工程质量保修书</w:t>
      </w:r>
      <w:bookmarkEnd w:id="610"/>
    </w:p>
    <w:p w14:paraId="1A846BB0">
      <w:pPr>
        <w:adjustRightInd w:val="0"/>
        <w:snapToGrid w:val="0"/>
        <w:spacing w:line="360" w:lineRule="auto"/>
        <w:jc w:val="center"/>
        <w:rPr>
          <w:rFonts w:cs="宋体"/>
          <w:color w:val="auto"/>
          <w:sz w:val="24"/>
          <w:szCs w:val="24"/>
          <w:highlight w:val="none"/>
        </w:rPr>
      </w:pPr>
      <w:r>
        <w:rPr>
          <w:rFonts w:hint="eastAsia" w:cs="宋体"/>
          <w:color w:val="auto"/>
          <w:sz w:val="24"/>
          <w:szCs w:val="24"/>
          <w:highlight w:val="none"/>
        </w:rPr>
        <w:t>工程质量保修书</w:t>
      </w:r>
    </w:p>
    <w:p w14:paraId="44C117BD">
      <w:pPr>
        <w:adjustRightInd w:val="0"/>
        <w:snapToGrid w:val="0"/>
        <w:spacing w:line="360" w:lineRule="auto"/>
        <w:ind w:firstLine="480" w:firstLineChars="200"/>
        <w:rPr>
          <w:rFonts w:cs="宋体"/>
          <w:color w:val="auto"/>
          <w:position w:val="14"/>
          <w:sz w:val="24"/>
          <w:szCs w:val="24"/>
          <w:highlight w:val="none"/>
        </w:rPr>
      </w:pPr>
      <w:r>
        <w:rPr>
          <w:rFonts w:hint="eastAsia" w:cs="宋体"/>
          <w:bCs/>
          <w:color w:val="auto"/>
          <w:position w:val="14"/>
          <w:sz w:val="24"/>
          <w:szCs w:val="24"/>
          <w:highlight w:val="none"/>
          <w:lang w:eastAsia="zh-CN"/>
        </w:rPr>
        <w:t>甲方</w:t>
      </w:r>
      <w:r>
        <w:rPr>
          <w:rFonts w:hint="eastAsia" w:cs="宋体"/>
          <w:color w:val="auto"/>
          <w:position w:val="14"/>
          <w:sz w:val="24"/>
          <w:szCs w:val="24"/>
          <w:highlight w:val="none"/>
        </w:rPr>
        <w:t>：_______________________________</w:t>
      </w:r>
    </w:p>
    <w:p w14:paraId="5C8B8F7F">
      <w:pPr>
        <w:widowControl/>
        <w:adjustRightInd w:val="0"/>
        <w:snapToGrid w:val="0"/>
        <w:spacing w:line="360" w:lineRule="auto"/>
        <w:ind w:firstLine="480" w:firstLineChars="200"/>
        <w:jc w:val="left"/>
        <w:rPr>
          <w:rFonts w:cs="宋体"/>
          <w:color w:val="auto"/>
          <w:position w:val="14"/>
          <w:sz w:val="24"/>
          <w:szCs w:val="24"/>
          <w:highlight w:val="none"/>
        </w:rPr>
      </w:pPr>
      <w:r>
        <w:rPr>
          <w:rFonts w:hint="eastAsia" w:cs="宋体"/>
          <w:bCs/>
          <w:color w:val="auto"/>
          <w:position w:val="14"/>
          <w:sz w:val="24"/>
          <w:szCs w:val="24"/>
          <w:highlight w:val="none"/>
          <w:lang w:eastAsia="zh-CN"/>
        </w:rPr>
        <w:t>乙方</w:t>
      </w:r>
      <w:r>
        <w:rPr>
          <w:rFonts w:hint="eastAsia" w:cs="宋体"/>
          <w:color w:val="auto"/>
          <w:position w:val="14"/>
          <w:sz w:val="24"/>
          <w:szCs w:val="24"/>
          <w:highlight w:val="none"/>
        </w:rPr>
        <w:t>：_______________________________</w:t>
      </w:r>
    </w:p>
    <w:p w14:paraId="53BB8AB4">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lang w:eastAsia="zh-CN"/>
        </w:rPr>
        <w:t>甲方</w:t>
      </w:r>
      <w:r>
        <w:rPr>
          <w:rFonts w:hint="eastAsia" w:cs="宋体"/>
          <w:color w:val="auto"/>
          <w:position w:val="6"/>
          <w:sz w:val="24"/>
          <w:szCs w:val="24"/>
          <w:highlight w:val="none"/>
        </w:rPr>
        <w:t>、</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根据《中华人民共和国建筑法》</w:t>
      </w:r>
      <w:r>
        <w:rPr>
          <w:rFonts w:hint="eastAsia" w:cs="宋体"/>
          <w:color w:val="auto"/>
          <w:position w:val="6"/>
          <w:sz w:val="24"/>
          <w:szCs w:val="24"/>
          <w:highlight w:val="none"/>
          <w:lang w:val="en-US" w:eastAsia="zh-CN"/>
        </w:rPr>
        <w:t>等</w:t>
      </w:r>
      <w:r>
        <w:rPr>
          <w:rFonts w:hint="eastAsia" w:cs="宋体"/>
          <w:color w:val="auto"/>
          <w:position w:val="6"/>
          <w:sz w:val="24"/>
          <w:szCs w:val="24"/>
          <w:highlight w:val="none"/>
        </w:rPr>
        <w:t>，经协商一致，对______________________工程签订工程质量保修书。</w:t>
      </w:r>
    </w:p>
    <w:p w14:paraId="098DB0DF">
      <w:pPr>
        <w:widowControl/>
        <w:adjustRightInd w:val="0"/>
        <w:snapToGrid w:val="0"/>
        <w:spacing w:line="360" w:lineRule="auto"/>
        <w:ind w:firstLine="482" w:firstLineChars="200"/>
        <w:jc w:val="left"/>
        <w:rPr>
          <w:rFonts w:cs="宋体"/>
          <w:b/>
          <w:bCs/>
          <w:color w:val="auto"/>
          <w:position w:val="6"/>
          <w:sz w:val="24"/>
          <w:szCs w:val="24"/>
          <w:highlight w:val="none"/>
        </w:rPr>
      </w:pPr>
      <w:r>
        <w:rPr>
          <w:rFonts w:hint="eastAsia" w:cs="宋体"/>
          <w:b/>
          <w:bCs/>
          <w:color w:val="auto"/>
          <w:position w:val="6"/>
          <w:sz w:val="24"/>
          <w:szCs w:val="24"/>
          <w:highlight w:val="none"/>
        </w:rPr>
        <w:t>一、工程质量保修范围和内容</w:t>
      </w:r>
    </w:p>
    <w:p w14:paraId="3BCFF555">
      <w:pPr>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按照有关法律、法规、规章的管理规定，双方约定由施工单位在质量保修期内，承担本工程的质量保修责任。</w:t>
      </w:r>
    </w:p>
    <w:p w14:paraId="434F2539">
      <w:pPr>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质量保修范围和内容：______________________。</w:t>
      </w:r>
      <w:r>
        <w:rPr>
          <w:rFonts w:hint="eastAsia" w:cs="宋体"/>
          <w:bCs/>
          <w:color w:val="auto"/>
          <w:position w:val="6"/>
          <w:sz w:val="24"/>
          <w:szCs w:val="24"/>
          <w:highlight w:val="none"/>
        </w:rPr>
        <w:t>因不可抗力或使用不当造成的质量缺陷，不属保修范围。</w:t>
      </w:r>
    </w:p>
    <w:p w14:paraId="07638C96">
      <w:pPr>
        <w:widowControl/>
        <w:adjustRightInd w:val="0"/>
        <w:snapToGrid w:val="0"/>
        <w:spacing w:line="360" w:lineRule="auto"/>
        <w:ind w:firstLine="482" w:firstLineChars="200"/>
        <w:jc w:val="left"/>
        <w:rPr>
          <w:rFonts w:cs="宋体"/>
          <w:b/>
          <w:bCs/>
          <w:color w:val="auto"/>
          <w:position w:val="6"/>
          <w:sz w:val="24"/>
          <w:szCs w:val="24"/>
          <w:highlight w:val="none"/>
        </w:rPr>
      </w:pPr>
      <w:r>
        <w:rPr>
          <w:rFonts w:hint="eastAsia" w:cs="宋体"/>
          <w:b/>
          <w:bCs/>
          <w:color w:val="auto"/>
          <w:position w:val="6"/>
          <w:sz w:val="24"/>
          <w:szCs w:val="24"/>
          <w:highlight w:val="none"/>
        </w:rPr>
        <w:t>二、质量保修期</w:t>
      </w:r>
    </w:p>
    <w:p w14:paraId="4D8F5A60">
      <w:pPr>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双方按照有关法律、法规、规章的管理规定，约定本工程的质量保修期如下：</w:t>
      </w:r>
    </w:p>
    <w:p w14:paraId="6C9B391E">
      <w:pPr>
        <w:widowControl/>
        <w:adjustRightInd w:val="0"/>
        <w:snapToGrid w:val="0"/>
        <w:spacing w:line="360" w:lineRule="auto"/>
        <w:ind w:left="400" w:leftChars="200" w:firstLine="67" w:firstLineChars="28"/>
        <w:jc w:val="left"/>
        <w:rPr>
          <w:rFonts w:cs="宋体"/>
          <w:color w:val="auto"/>
          <w:position w:val="6"/>
          <w:sz w:val="24"/>
          <w:szCs w:val="24"/>
          <w:highlight w:val="none"/>
        </w:rPr>
      </w:pPr>
      <w:r>
        <w:rPr>
          <w:rFonts w:hint="eastAsia" w:cs="宋体"/>
          <w:color w:val="auto"/>
          <w:position w:val="6"/>
          <w:sz w:val="24"/>
          <w:szCs w:val="24"/>
          <w:highlight w:val="none"/>
        </w:rPr>
        <w:t>1. 主体结构和基础工程，为</w:t>
      </w:r>
      <w:r>
        <w:rPr>
          <w:rFonts w:hint="eastAsia" w:cs="宋体"/>
          <w:color w:val="auto"/>
          <w:position w:val="6"/>
          <w:sz w:val="24"/>
          <w:szCs w:val="24"/>
          <w:highlight w:val="none"/>
          <w:u w:val="single"/>
        </w:rPr>
        <w:t xml:space="preserve">     </w:t>
      </w:r>
      <w:r>
        <w:rPr>
          <w:rFonts w:hint="eastAsia" w:cs="宋体"/>
          <w:color w:val="auto"/>
          <w:position w:val="6"/>
          <w:sz w:val="24"/>
          <w:szCs w:val="24"/>
          <w:highlight w:val="none"/>
        </w:rPr>
        <w:t>年；</w:t>
      </w:r>
    </w:p>
    <w:p w14:paraId="76C8C815">
      <w:pPr>
        <w:widowControl/>
        <w:adjustRightInd w:val="0"/>
        <w:snapToGrid w:val="0"/>
        <w:spacing w:line="360" w:lineRule="auto"/>
        <w:ind w:left="400" w:leftChars="200" w:firstLine="67" w:firstLineChars="28"/>
        <w:jc w:val="left"/>
        <w:rPr>
          <w:rFonts w:cs="宋体"/>
          <w:color w:val="auto"/>
          <w:position w:val="6"/>
          <w:sz w:val="24"/>
          <w:szCs w:val="24"/>
          <w:highlight w:val="none"/>
        </w:rPr>
      </w:pPr>
      <w:r>
        <w:rPr>
          <w:rFonts w:hint="eastAsia" w:cs="宋体"/>
          <w:color w:val="auto"/>
          <w:position w:val="6"/>
          <w:sz w:val="24"/>
          <w:szCs w:val="24"/>
          <w:highlight w:val="none"/>
        </w:rPr>
        <w:t>2. _____________工程，为</w:t>
      </w:r>
      <w:r>
        <w:rPr>
          <w:rFonts w:hint="eastAsia" w:cs="宋体"/>
          <w:color w:val="auto"/>
          <w:position w:val="6"/>
          <w:sz w:val="24"/>
          <w:szCs w:val="24"/>
          <w:highlight w:val="none"/>
          <w:u w:val="single"/>
        </w:rPr>
        <w:t xml:space="preserve">     </w:t>
      </w:r>
      <w:r>
        <w:rPr>
          <w:rFonts w:hint="eastAsia" w:cs="宋体"/>
          <w:color w:val="auto"/>
          <w:position w:val="6"/>
          <w:sz w:val="24"/>
          <w:szCs w:val="24"/>
          <w:highlight w:val="none"/>
        </w:rPr>
        <w:t>年；</w:t>
      </w:r>
    </w:p>
    <w:p w14:paraId="0FA1BAD5">
      <w:pPr>
        <w:widowControl/>
        <w:adjustRightInd w:val="0"/>
        <w:snapToGrid w:val="0"/>
        <w:spacing w:line="360" w:lineRule="auto"/>
        <w:ind w:left="400" w:leftChars="200" w:firstLine="67" w:firstLineChars="28"/>
        <w:jc w:val="left"/>
        <w:rPr>
          <w:rFonts w:cs="宋体"/>
          <w:color w:val="auto"/>
          <w:position w:val="6"/>
          <w:sz w:val="24"/>
          <w:szCs w:val="24"/>
          <w:highlight w:val="none"/>
        </w:rPr>
      </w:pPr>
      <w:r>
        <w:rPr>
          <w:rFonts w:hint="eastAsia" w:cs="宋体"/>
          <w:color w:val="auto"/>
          <w:position w:val="6"/>
          <w:sz w:val="24"/>
          <w:szCs w:val="24"/>
          <w:highlight w:val="none"/>
        </w:rPr>
        <w:t>3. _____________工程，为</w:t>
      </w:r>
      <w:r>
        <w:rPr>
          <w:rFonts w:hint="eastAsia" w:cs="宋体"/>
          <w:color w:val="auto"/>
          <w:position w:val="6"/>
          <w:sz w:val="24"/>
          <w:szCs w:val="24"/>
          <w:highlight w:val="none"/>
          <w:u w:val="single"/>
        </w:rPr>
        <w:t xml:space="preserve">     </w:t>
      </w:r>
      <w:r>
        <w:rPr>
          <w:rFonts w:hint="eastAsia" w:cs="宋体"/>
          <w:color w:val="auto"/>
          <w:position w:val="6"/>
          <w:sz w:val="24"/>
          <w:szCs w:val="24"/>
          <w:highlight w:val="none"/>
        </w:rPr>
        <w:t>年；</w:t>
      </w:r>
    </w:p>
    <w:p w14:paraId="15BEF05F">
      <w:pPr>
        <w:adjustRightInd w:val="0"/>
        <w:snapToGrid w:val="0"/>
        <w:spacing w:line="360" w:lineRule="auto"/>
        <w:ind w:left="342" w:leftChars="171" w:firstLine="120" w:firstLineChars="50"/>
        <w:rPr>
          <w:rFonts w:cs="宋体"/>
          <w:color w:val="auto"/>
          <w:position w:val="6"/>
          <w:sz w:val="24"/>
          <w:szCs w:val="24"/>
          <w:highlight w:val="none"/>
        </w:rPr>
      </w:pPr>
      <w:r>
        <w:rPr>
          <w:rFonts w:hint="eastAsia" w:cs="宋体"/>
          <w:color w:val="auto"/>
          <w:position w:val="6"/>
          <w:sz w:val="24"/>
          <w:szCs w:val="24"/>
          <w:highlight w:val="none"/>
        </w:rPr>
        <w:t xml:space="preserve">4. _____________工程，为 </w:t>
      </w:r>
      <w:r>
        <w:rPr>
          <w:rFonts w:hint="eastAsia" w:cs="宋体"/>
          <w:color w:val="auto"/>
          <w:position w:val="6"/>
          <w:sz w:val="24"/>
          <w:szCs w:val="24"/>
          <w:highlight w:val="none"/>
          <w:u w:val="single"/>
        </w:rPr>
        <w:t xml:space="preserve">     </w:t>
      </w:r>
      <w:r>
        <w:rPr>
          <w:rFonts w:hint="eastAsia" w:cs="宋体"/>
          <w:color w:val="auto"/>
          <w:position w:val="6"/>
          <w:sz w:val="24"/>
          <w:szCs w:val="24"/>
          <w:highlight w:val="none"/>
        </w:rPr>
        <w:t>年；</w:t>
      </w:r>
    </w:p>
    <w:p w14:paraId="7DDF60E9">
      <w:pPr>
        <w:adjustRightInd w:val="0"/>
        <w:snapToGrid w:val="0"/>
        <w:spacing w:line="360" w:lineRule="auto"/>
        <w:ind w:left="342" w:leftChars="171" w:firstLine="120" w:firstLineChars="50"/>
        <w:rPr>
          <w:rFonts w:cs="宋体"/>
          <w:color w:val="auto"/>
          <w:position w:val="6"/>
          <w:sz w:val="24"/>
          <w:szCs w:val="24"/>
          <w:highlight w:val="none"/>
        </w:rPr>
      </w:pPr>
      <w:r>
        <w:rPr>
          <w:rFonts w:hint="eastAsia" w:cs="宋体"/>
          <w:color w:val="auto"/>
          <w:position w:val="6"/>
          <w:sz w:val="24"/>
          <w:szCs w:val="24"/>
          <w:highlight w:val="none"/>
        </w:rPr>
        <w:t>质量保修期自工程</w:t>
      </w:r>
      <w:r>
        <w:rPr>
          <w:rFonts w:hint="eastAsia" w:cs="宋体"/>
          <w:color w:val="auto"/>
          <w:position w:val="6"/>
          <w:sz w:val="24"/>
          <w:szCs w:val="24"/>
          <w:highlight w:val="none"/>
          <w:lang w:eastAsia="zh-CN"/>
        </w:rPr>
        <w:t>完工</w:t>
      </w:r>
      <w:r>
        <w:rPr>
          <w:rFonts w:hint="eastAsia" w:cs="宋体"/>
          <w:color w:val="auto"/>
          <w:position w:val="6"/>
          <w:sz w:val="24"/>
          <w:szCs w:val="24"/>
          <w:highlight w:val="none"/>
        </w:rPr>
        <w:t>验收合格之日起计算。</w:t>
      </w:r>
    </w:p>
    <w:p w14:paraId="47E64AD3">
      <w:pPr>
        <w:adjustRightInd w:val="0"/>
        <w:snapToGrid w:val="0"/>
        <w:spacing w:line="360" w:lineRule="auto"/>
        <w:ind w:firstLine="482" w:firstLineChars="200"/>
        <w:rPr>
          <w:rFonts w:cs="宋体"/>
          <w:b/>
          <w:color w:val="auto"/>
          <w:sz w:val="24"/>
          <w:szCs w:val="24"/>
          <w:highlight w:val="none"/>
        </w:rPr>
      </w:pPr>
      <w:r>
        <w:rPr>
          <w:rFonts w:hint="eastAsia" w:cs="宋体"/>
          <w:b/>
          <w:color w:val="auto"/>
          <w:sz w:val="24"/>
          <w:szCs w:val="24"/>
          <w:highlight w:val="none"/>
        </w:rPr>
        <w:t>三、缺陷责任期</w:t>
      </w:r>
    </w:p>
    <w:p w14:paraId="3CE9E989">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工程缺陷责任期</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12个月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，缺</w:t>
      </w:r>
      <w:r>
        <w:rPr>
          <w:rFonts w:hint="eastAsia" w:cs="宋体"/>
          <w:color w:val="auto"/>
          <w:sz w:val="24"/>
          <w:szCs w:val="24"/>
          <w:highlight w:val="none"/>
        </w:rPr>
        <w:t>陷责任期自工程</w:t>
      </w:r>
      <w:r>
        <w:rPr>
          <w:rFonts w:hint="eastAsia" w:cs="宋体"/>
          <w:color w:val="auto"/>
          <w:sz w:val="24"/>
          <w:szCs w:val="24"/>
          <w:highlight w:val="none"/>
          <w:lang w:eastAsia="zh-CN"/>
        </w:rPr>
        <w:t>完工</w:t>
      </w:r>
      <w:r>
        <w:rPr>
          <w:rFonts w:hint="eastAsia" w:cs="宋体"/>
          <w:color w:val="auto"/>
          <w:sz w:val="24"/>
          <w:szCs w:val="24"/>
          <w:highlight w:val="none"/>
        </w:rPr>
        <w:t>验收合格之日起计算。单位工程先于全部工程进行验收，单位工程缺陷责任期自单位工程验收合格之日起算。</w:t>
      </w:r>
    </w:p>
    <w:p w14:paraId="09AAC7B0">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缺陷责任期终止后，</w:t>
      </w:r>
      <w:r>
        <w:rPr>
          <w:rFonts w:hint="eastAsia" w:cs="宋体"/>
          <w:color w:val="auto"/>
          <w:sz w:val="24"/>
          <w:szCs w:val="24"/>
          <w:highlight w:val="none"/>
          <w:lang w:eastAsia="zh-CN"/>
        </w:rPr>
        <w:t>甲方</w:t>
      </w:r>
      <w:r>
        <w:rPr>
          <w:rFonts w:hint="eastAsia" w:cs="宋体"/>
          <w:color w:val="auto"/>
          <w:sz w:val="24"/>
          <w:szCs w:val="24"/>
          <w:highlight w:val="none"/>
        </w:rPr>
        <w:t>应退还剩余的质量保证金。</w:t>
      </w:r>
    </w:p>
    <w:p w14:paraId="44A7519A">
      <w:pPr>
        <w:widowControl/>
        <w:adjustRightInd w:val="0"/>
        <w:snapToGrid w:val="0"/>
        <w:spacing w:line="360" w:lineRule="auto"/>
        <w:ind w:firstLine="482" w:firstLineChars="200"/>
        <w:jc w:val="left"/>
        <w:rPr>
          <w:rFonts w:cs="宋体"/>
          <w:b/>
          <w:bCs/>
          <w:color w:val="auto"/>
          <w:position w:val="6"/>
          <w:sz w:val="24"/>
          <w:szCs w:val="24"/>
          <w:highlight w:val="none"/>
        </w:rPr>
      </w:pPr>
      <w:r>
        <w:rPr>
          <w:rFonts w:hint="eastAsia" w:cs="宋体"/>
          <w:b/>
          <w:color w:val="auto"/>
          <w:sz w:val="24"/>
          <w:szCs w:val="24"/>
          <w:highlight w:val="none"/>
        </w:rPr>
        <w:t>四、质量保修责任</w:t>
      </w:r>
    </w:p>
    <w:p w14:paraId="265BDAFC">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1. 属于保修范围、内容的项目，</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应当在接到保修通知之日起7天内派人保修。</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不在约定期限内派人保修的，</w:t>
      </w:r>
      <w:r>
        <w:rPr>
          <w:rFonts w:hint="eastAsia" w:cs="宋体"/>
          <w:color w:val="auto"/>
          <w:position w:val="6"/>
          <w:sz w:val="24"/>
          <w:szCs w:val="24"/>
          <w:highlight w:val="none"/>
          <w:lang w:eastAsia="zh-CN"/>
        </w:rPr>
        <w:t>甲方</w:t>
      </w:r>
      <w:r>
        <w:rPr>
          <w:rFonts w:hint="eastAsia" w:cs="宋体"/>
          <w:color w:val="auto"/>
          <w:position w:val="6"/>
          <w:sz w:val="24"/>
          <w:szCs w:val="24"/>
          <w:highlight w:val="none"/>
        </w:rPr>
        <w:t>可以委托他人修理。</w:t>
      </w:r>
    </w:p>
    <w:p w14:paraId="39447DA8">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2. 发生紧急抢修事故的，</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在接到事故通知后，应当立即到达事故现场抢修。</w:t>
      </w:r>
    </w:p>
    <w:p w14:paraId="43059E89">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3. 对于涉及结构安全的质量问题，应当立即向当地建设行政主管部门报告，采取安全防范措施；由原设计单位或者具有相应资质等级的设计单位提出保修方案，</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实施保修。</w:t>
      </w:r>
    </w:p>
    <w:p w14:paraId="00CC25CF">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4. 质量保修完成后，由</w:t>
      </w:r>
      <w:r>
        <w:rPr>
          <w:rFonts w:hint="eastAsia" w:cs="宋体"/>
          <w:color w:val="auto"/>
          <w:position w:val="6"/>
          <w:sz w:val="24"/>
          <w:szCs w:val="24"/>
          <w:highlight w:val="none"/>
          <w:lang w:eastAsia="zh-CN"/>
        </w:rPr>
        <w:t>甲方</w:t>
      </w:r>
      <w:r>
        <w:rPr>
          <w:rFonts w:hint="eastAsia" w:cs="宋体"/>
          <w:color w:val="auto"/>
          <w:position w:val="6"/>
          <w:sz w:val="24"/>
          <w:szCs w:val="24"/>
          <w:highlight w:val="none"/>
        </w:rPr>
        <w:t>组织验收。</w:t>
      </w:r>
    </w:p>
    <w:p w14:paraId="16FA0550">
      <w:pPr>
        <w:widowControl/>
        <w:adjustRightInd w:val="0"/>
        <w:snapToGrid w:val="0"/>
        <w:spacing w:line="360" w:lineRule="auto"/>
        <w:ind w:firstLine="482" w:firstLineChars="200"/>
        <w:jc w:val="left"/>
        <w:rPr>
          <w:rFonts w:cs="宋体"/>
          <w:b/>
          <w:bCs/>
          <w:color w:val="auto"/>
          <w:position w:val="6"/>
          <w:sz w:val="24"/>
          <w:szCs w:val="24"/>
          <w:highlight w:val="none"/>
        </w:rPr>
      </w:pPr>
      <w:r>
        <w:rPr>
          <w:rFonts w:hint="eastAsia" w:cs="宋体"/>
          <w:b/>
          <w:bCs/>
          <w:color w:val="auto"/>
          <w:position w:val="6"/>
          <w:sz w:val="24"/>
          <w:szCs w:val="24"/>
          <w:highlight w:val="none"/>
        </w:rPr>
        <w:t>五、保修费用</w:t>
      </w:r>
    </w:p>
    <w:p w14:paraId="47740B26">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保修费用由造成质量缺陷的责任方承担。</w:t>
      </w:r>
    </w:p>
    <w:p w14:paraId="2A391BE7">
      <w:pPr>
        <w:widowControl/>
        <w:adjustRightInd w:val="0"/>
        <w:snapToGrid w:val="0"/>
        <w:spacing w:line="360" w:lineRule="auto"/>
        <w:ind w:firstLine="480" w:firstLineChars="200"/>
        <w:jc w:val="left"/>
        <w:rPr>
          <w:rFonts w:cs="宋体"/>
          <w:b/>
          <w:color w:val="auto"/>
          <w:sz w:val="24"/>
          <w:szCs w:val="24"/>
          <w:highlight w:val="none"/>
        </w:rPr>
      </w:pPr>
      <w:r>
        <w:rPr>
          <w:rFonts w:hint="eastAsia" w:cs="宋体"/>
          <w:bCs/>
          <w:color w:val="auto"/>
          <w:position w:val="6"/>
          <w:sz w:val="24"/>
          <w:szCs w:val="24"/>
          <w:highlight w:val="none"/>
        </w:rPr>
        <w:t>六、</w:t>
      </w:r>
      <w:r>
        <w:rPr>
          <w:rFonts w:hint="eastAsia" w:cs="宋体"/>
          <w:b/>
          <w:color w:val="auto"/>
          <w:sz w:val="24"/>
          <w:szCs w:val="24"/>
          <w:highlight w:val="none"/>
        </w:rPr>
        <w:t>双方约定的其他工程质量保修事项：</w:t>
      </w:r>
      <w:r>
        <w:rPr>
          <w:rFonts w:hint="eastAsia" w:cs="宋体"/>
          <w:b/>
          <w:color w:val="auto"/>
          <w:sz w:val="24"/>
          <w:szCs w:val="24"/>
          <w:highlight w:val="none"/>
          <w:u w:val="single"/>
        </w:rPr>
        <w:t xml:space="preserve">             </w:t>
      </w:r>
      <w:r>
        <w:rPr>
          <w:rFonts w:hint="eastAsia" w:cs="宋体"/>
          <w:b/>
          <w:color w:val="auto"/>
          <w:sz w:val="24"/>
          <w:szCs w:val="24"/>
          <w:highlight w:val="none"/>
        </w:rPr>
        <w:t>。</w:t>
      </w:r>
    </w:p>
    <w:p w14:paraId="28A39711">
      <w:pPr>
        <w:widowControl/>
        <w:adjustRightInd w:val="0"/>
        <w:snapToGrid w:val="0"/>
        <w:spacing w:line="360" w:lineRule="auto"/>
        <w:ind w:firstLine="480" w:firstLineChars="200"/>
        <w:jc w:val="left"/>
        <w:rPr>
          <w:rFonts w:cs="宋体"/>
          <w:bCs/>
          <w:color w:val="auto"/>
          <w:sz w:val="24"/>
          <w:szCs w:val="24"/>
          <w:highlight w:val="none"/>
        </w:rPr>
      </w:pPr>
      <w:r>
        <w:rPr>
          <w:rFonts w:hint="eastAsia" w:cs="宋体"/>
          <w:bCs/>
          <w:color w:val="auto"/>
          <w:position w:val="6"/>
          <w:sz w:val="24"/>
          <w:szCs w:val="24"/>
          <w:highlight w:val="none"/>
        </w:rPr>
        <w:t>本工程质量保修书，由施工合同</w:t>
      </w:r>
      <w:r>
        <w:rPr>
          <w:rFonts w:hint="eastAsia" w:cs="宋体"/>
          <w:bCs/>
          <w:color w:val="auto"/>
          <w:position w:val="6"/>
          <w:sz w:val="24"/>
          <w:szCs w:val="24"/>
          <w:highlight w:val="none"/>
          <w:lang w:eastAsia="zh-CN"/>
        </w:rPr>
        <w:t>甲方</w:t>
      </w:r>
      <w:r>
        <w:rPr>
          <w:rFonts w:hint="eastAsia" w:cs="宋体"/>
          <w:bCs/>
          <w:color w:val="auto"/>
          <w:position w:val="6"/>
          <w:sz w:val="24"/>
          <w:szCs w:val="24"/>
          <w:highlight w:val="none"/>
        </w:rPr>
        <w:t>、</w:t>
      </w:r>
      <w:r>
        <w:rPr>
          <w:rFonts w:hint="eastAsia" w:cs="宋体"/>
          <w:bCs/>
          <w:color w:val="auto"/>
          <w:position w:val="6"/>
          <w:sz w:val="24"/>
          <w:szCs w:val="24"/>
          <w:highlight w:val="none"/>
          <w:lang w:eastAsia="zh-CN"/>
        </w:rPr>
        <w:t>乙方</w:t>
      </w:r>
      <w:r>
        <w:rPr>
          <w:rFonts w:hint="eastAsia" w:cs="宋体"/>
          <w:bCs/>
          <w:color w:val="auto"/>
          <w:position w:val="6"/>
          <w:sz w:val="24"/>
          <w:szCs w:val="24"/>
          <w:highlight w:val="none"/>
        </w:rPr>
        <w:t>双方在</w:t>
      </w:r>
      <w:r>
        <w:rPr>
          <w:rFonts w:hint="eastAsia" w:cs="宋体"/>
          <w:bCs/>
          <w:color w:val="auto"/>
          <w:position w:val="6"/>
          <w:sz w:val="24"/>
          <w:szCs w:val="24"/>
          <w:highlight w:val="none"/>
          <w:lang w:eastAsia="zh-CN"/>
        </w:rPr>
        <w:t>完工</w:t>
      </w:r>
      <w:r>
        <w:rPr>
          <w:rFonts w:hint="eastAsia" w:cs="宋体"/>
          <w:bCs/>
          <w:color w:val="auto"/>
          <w:position w:val="6"/>
          <w:sz w:val="24"/>
          <w:szCs w:val="24"/>
          <w:highlight w:val="none"/>
        </w:rPr>
        <w:t>验收前共同签署，作为施工合同附件，其有效期限至保修期满。</w:t>
      </w:r>
    </w:p>
    <w:p w14:paraId="7AD72F22">
      <w:pPr>
        <w:adjustRightInd w:val="0"/>
        <w:snapToGrid w:val="0"/>
        <w:spacing w:line="360" w:lineRule="auto"/>
        <w:ind w:firstLine="420"/>
        <w:rPr>
          <w:rFonts w:cs="宋体"/>
          <w:color w:val="auto"/>
          <w:sz w:val="24"/>
          <w:szCs w:val="24"/>
          <w:highlight w:val="none"/>
        </w:rPr>
      </w:pPr>
    </w:p>
    <w:p w14:paraId="587A9886">
      <w:pPr>
        <w:adjustRightInd w:val="0"/>
        <w:snapToGrid w:val="0"/>
        <w:spacing w:line="360" w:lineRule="auto"/>
        <w:rPr>
          <w:rFonts w:cs="宋体"/>
          <w:color w:val="auto"/>
          <w:sz w:val="24"/>
          <w:szCs w:val="24"/>
          <w:highlight w:val="none"/>
          <w:u w:val="single"/>
        </w:rPr>
      </w:pPr>
      <w:r>
        <w:rPr>
          <w:rFonts w:hint="eastAsia" w:cs="宋体"/>
          <w:color w:val="auto"/>
          <w:sz w:val="24"/>
          <w:szCs w:val="24"/>
          <w:highlight w:val="none"/>
          <w:lang w:eastAsia="zh-CN"/>
        </w:rPr>
        <w:t>甲方</w:t>
      </w:r>
      <w:r>
        <w:rPr>
          <w:rFonts w:hint="eastAsia" w:cs="宋体"/>
          <w:color w:val="auto"/>
          <w:sz w:val="24"/>
          <w:szCs w:val="24"/>
          <w:highlight w:val="none"/>
        </w:rPr>
        <w:t>（公章）：</w:t>
      </w:r>
      <w:r>
        <w:rPr>
          <w:rFonts w:hint="eastAsia" w:cs="宋体"/>
          <w:color w:val="auto"/>
          <w:sz w:val="24"/>
          <w:szCs w:val="24"/>
          <w:highlight w:val="none"/>
          <w:u w:val="single"/>
        </w:rPr>
        <w:t xml:space="preserve">        </w:t>
      </w:r>
      <w:r>
        <w:rPr>
          <w:rFonts w:hint="eastAsia" w:cs="宋体"/>
          <w:color w:val="auto"/>
          <w:sz w:val="24"/>
          <w:szCs w:val="24"/>
          <w:highlight w:val="none"/>
        </w:rPr>
        <w:t xml:space="preserve">           </w:t>
      </w:r>
      <w:r>
        <w:rPr>
          <w:rFonts w:hint="eastAsia" w:cs="宋体"/>
          <w:color w:val="auto"/>
          <w:sz w:val="24"/>
          <w:szCs w:val="24"/>
          <w:highlight w:val="none"/>
          <w:lang w:eastAsia="zh-CN"/>
        </w:rPr>
        <w:t>乙方</w:t>
      </w:r>
      <w:r>
        <w:rPr>
          <w:rFonts w:hint="eastAsia" w:cs="宋体"/>
          <w:color w:val="auto"/>
          <w:sz w:val="24"/>
          <w:szCs w:val="24"/>
          <w:highlight w:val="none"/>
        </w:rPr>
        <w:t>（公章）：</w:t>
      </w:r>
      <w:r>
        <w:rPr>
          <w:rFonts w:hint="eastAsia" w:cs="宋体"/>
          <w:color w:val="auto"/>
          <w:sz w:val="24"/>
          <w:szCs w:val="24"/>
          <w:highlight w:val="none"/>
          <w:u w:val="single"/>
        </w:rPr>
        <w:t xml:space="preserve">        </w:t>
      </w:r>
    </w:p>
    <w:p w14:paraId="3CD536B6">
      <w:pPr>
        <w:adjustRightInd w:val="0"/>
        <w:snapToGrid w:val="0"/>
        <w:spacing w:line="360" w:lineRule="auto"/>
        <w:rPr>
          <w:rFonts w:cs="宋体"/>
          <w:color w:val="auto"/>
          <w:sz w:val="24"/>
          <w:szCs w:val="24"/>
          <w:highlight w:val="none"/>
          <w:u w:val="single"/>
        </w:rPr>
      </w:pPr>
      <w:r>
        <w:rPr>
          <w:rFonts w:hint="eastAsia" w:cs="宋体"/>
          <w:color w:val="auto"/>
          <w:sz w:val="24"/>
          <w:szCs w:val="24"/>
          <w:highlight w:val="none"/>
        </w:rPr>
        <w:t>地  址：</w:t>
      </w:r>
      <w:r>
        <w:rPr>
          <w:rFonts w:hint="eastAsia" w:cs="宋体"/>
          <w:color w:val="auto"/>
          <w:sz w:val="24"/>
          <w:szCs w:val="24"/>
          <w:highlight w:val="none"/>
          <w:u w:val="single"/>
        </w:rPr>
        <w:t xml:space="preserve">     </w:t>
      </w:r>
      <w:r>
        <w:rPr>
          <w:rFonts w:hint="eastAsia" w:cs="宋体"/>
          <w:color w:val="auto"/>
          <w:sz w:val="24"/>
          <w:szCs w:val="24"/>
          <w:highlight w:val="none"/>
        </w:rPr>
        <w:t xml:space="preserve">              地  址：</w:t>
      </w:r>
      <w:r>
        <w:rPr>
          <w:rFonts w:hint="eastAsia" w:cs="宋体"/>
          <w:color w:val="auto"/>
          <w:sz w:val="24"/>
          <w:szCs w:val="24"/>
          <w:highlight w:val="none"/>
          <w:u w:val="single"/>
        </w:rPr>
        <w:t xml:space="preserve">       </w:t>
      </w:r>
    </w:p>
    <w:p w14:paraId="3F220410">
      <w:pPr>
        <w:adjustRightInd w:val="0"/>
        <w:snapToGrid w:val="0"/>
        <w:spacing w:line="360" w:lineRule="auto"/>
        <w:rPr>
          <w:rFonts w:cs="宋体"/>
          <w:color w:val="auto"/>
          <w:sz w:val="24"/>
          <w:szCs w:val="24"/>
          <w:highlight w:val="none"/>
          <w:u w:val="single"/>
        </w:rPr>
      </w:pPr>
      <w:r>
        <w:rPr>
          <w:rFonts w:hint="eastAsia" w:cs="宋体"/>
          <w:color w:val="auto"/>
          <w:sz w:val="24"/>
          <w:szCs w:val="24"/>
          <w:highlight w:val="none"/>
        </w:rPr>
        <w:t>法定代表人（签字）：</w:t>
      </w:r>
      <w:r>
        <w:rPr>
          <w:rFonts w:hint="eastAsia" w:cs="宋体"/>
          <w:color w:val="auto"/>
          <w:sz w:val="24"/>
          <w:szCs w:val="24"/>
          <w:highlight w:val="none"/>
          <w:u w:val="single"/>
        </w:rPr>
        <w:t xml:space="preserve">      </w:t>
      </w:r>
      <w:r>
        <w:rPr>
          <w:rFonts w:hint="eastAsia" w:cs="宋体"/>
          <w:color w:val="auto"/>
          <w:sz w:val="24"/>
          <w:szCs w:val="24"/>
          <w:highlight w:val="none"/>
        </w:rPr>
        <w:t xml:space="preserve">           法定代表人（签字）：</w:t>
      </w:r>
      <w:r>
        <w:rPr>
          <w:rFonts w:hint="eastAsia" w:cs="宋体"/>
          <w:color w:val="auto"/>
          <w:sz w:val="24"/>
          <w:szCs w:val="24"/>
          <w:highlight w:val="none"/>
          <w:u w:val="single"/>
        </w:rPr>
        <w:t xml:space="preserve">       </w:t>
      </w:r>
    </w:p>
    <w:p w14:paraId="787F9F6B">
      <w:pPr>
        <w:adjustRightInd w:val="0"/>
        <w:snapToGrid w:val="0"/>
        <w:spacing w:line="360" w:lineRule="auto"/>
        <w:rPr>
          <w:rFonts w:cs="宋体"/>
          <w:color w:val="auto"/>
          <w:sz w:val="24"/>
          <w:szCs w:val="24"/>
          <w:highlight w:val="none"/>
          <w:u w:val="single"/>
        </w:rPr>
      </w:pPr>
      <w:r>
        <w:rPr>
          <w:rFonts w:hint="eastAsia" w:cs="宋体"/>
          <w:color w:val="auto"/>
          <w:sz w:val="24"/>
          <w:szCs w:val="24"/>
          <w:highlight w:val="none"/>
        </w:rPr>
        <w:t>委托代理人（签字）：</w:t>
      </w:r>
      <w:r>
        <w:rPr>
          <w:rFonts w:hint="eastAsia" w:cs="宋体"/>
          <w:color w:val="auto"/>
          <w:sz w:val="24"/>
          <w:szCs w:val="24"/>
          <w:highlight w:val="none"/>
          <w:u w:val="single"/>
        </w:rPr>
        <w:t xml:space="preserve">      </w:t>
      </w:r>
      <w:r>
        <w:rPr>
          <w:rFonts w:hint="eastAsia" w:cs="宋体"/>
          <w:color w:val="auto"/>
          <w:sz w:val="24"/>
          <w:szCs w:val="24"/>
          <w:highlight w:val="none"/>
        </w:rPr>
        <w:t xml:space="preserve">           委托代理人（签字）：</w:t>
      </w:r>
      <w:r>
        <w:rPr>
          <w:rFonts w:hint="eastAsia" w:cs="宋体"/>
          <w:color w:val="auto"/>
          <w:sz w:val="24"/>
          <w:szCs w:val="24"/>
          <w:highlight w:val="none"/>
          <w:u w:val="single"/>
        </w:rPr>
        <w:t xml:space="preserve">       </w:t>
      </w:r>
    </w:p>
    <w:p w14:paraId="21BF4F6D">
      <w:pPr>
        <w:adjustRightInd w:val="0"/>
        <w:snapToGrid w:val="0"/>
        <w:spacing w:line="360" w:lineRule="auto"/>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r>
        <w:rPr>
          <w:rFonts w:hint="eastAsia" w:cs="宋体"/>
          <w:color w:val="auto"/>
          <w:sz w:val="24"/>
          <w:szCs w:val="24"/>
          <w:highlight w:val="none"/>
        </w:rPr>
        <w:t xml:space="preserve">              电  话：</w:t>
      </w:r>
      <w:r>
        <w:rPr>
          <w:rFonts w:hint="eastAsia" w:cs="宋体"/>
          <w:color w:val="auto"/>
          <w:sz w:val="24"/>
          <w:szCs w:val="24"/>
          <w:highlight w:val="none"/>
          <w:u w:val="single"/>
        </w:rPr>
        <w:t xml:space="preserve">     </w:t>
      </w:r>
    </w:p>
    <w:p w14:paraId="456311B3">
      <w:pPr>
        <w:adjustRightInd w:val="0"/>
        <w:snapToGrid w:val="0"/>
        <w:spacing w:line="360" w:lineRule="auto"/>
        <w:rPr>
          <w:rFonts w:cs="宋体"/>
          <w:color w:val="auto"/>
          <w:sz w:val="24"/>
          <w:szCs w:val="24"/>
          <w:highlight w:val="none"/>
        </w:rPr>
      </w:pPr>
      <w:r>
        <w:rPr>
          <w:rFonts w:hint="eastAsia" w:cs="宋体"/>
          <w:color w:val="auto"/>
          <w:sz w:val="24"/>
          <w:szCs w:val="24"/>
          <w:highlight w:val="none"/>
        </w:rPr>
        <w:t>传  真：</w:t>
      </w:r>
      <w:r>
        <w:rPr>
          <w:rFonts w:hint="eastAsia" w:cs="宋体"/>
          <w:color w:val="auto"/>
          <w:sz w:val="24"/>
          <w:szCs w:val="24"/>
          <w:highlight w:val="none"/>
          <w:u w:val="single"/>
        </w:rPr>
        <w:t xml:space="preserve">   </w:t>
      </w:r>
      <w:r>
        <w:rPr>
          <w:rFonts w:hint="eastAsia" w:cs="宋体"/>
          <w:color w:val="auto"/>
          <w:sz w:val="24"/>
          <w:szCs w:val="24"/>
          <w:highlight w:val="none"/>
        </w:rPr>
        <w:t xml:space="preserve">              传  真：</w:t>
      </w:r>
      <w:r>
        <w:rPr>
          <w:rFonts w:hint="eastAsia" w:cs="宋体"/>
          <w:color w:val="auto"/>
          <w:sz w:val="24"/>
          <w:szCs w:val="24"/>
          <w:highlight w:val="none"/>
          <w:u w:val="single"/>
        </w:rPr>
        <w:t xml:space="preserve">     </w:t>
      </w:r>
    </w:p>
    <w:p w14:paraId="50AE1D43">
      <w:pPr>
        <w:adjustRightInd w:val="0"/>
        <w:snapToGrid w:val="0"/>
        <w:spacing w:line="360" w:lineRule="auto"/>
        <w:rPr>
          <w:rFonts w:cs="宋体"/>
          <w:color w:val="auto"/>
          <w:sz w:val="24"/>
          <w:szCs w:val="24"/>
          <w:highlight w:val="none"/>
        </w:rPr>
      </w:pPr>
      <w:r>
        <w:rPr>
          <w:rFonts w:hint="eastAsia" w:cs="宋体"/>
          <w:color w:val="auto"/>
          <w:sz w:val="24"/>
          <w:szCs w:val="24"/>
          <w:highlight w:val="none"/>
        </w:rPr>
        <w:t>开户银行：</w:t>
      </w:r>
      <w:r>
        <w:rPr>
          <w:rFonts w:hint="eastAsia" w:cs="宋体"/>
          <w:color w:val="auto"/>
          <w:sz w:val="24"/>
          <w:szCs w:val="24"/>
          <w:highlight w:val="none"/>
          <w:u w:val="single"/>
        </w:rPr>
        <w:t xml:space="preserve">   </w:t>
      </w:r>
      <w:r>
        <w:rPr>
          <w:rFonts w:hint="eastAsia" w:cs="宋体"/>
          <w:color w:val="auto"/>
          <w:sz w:val="24"/>
          <w:szCs w:val="24"/>
          <w:highlight w:val="none"/>
        </w:rPr>
        <w:t xml:space="preserve">              开户银行：</w:t>
      </w:r>
      <w:r>
        <w:rPr>
          <w:rFonts w:hint="eastAsia" w:cs="宋体"/>
          <w:color w:val="auto"/>
          <w:sz w:val="24"/>
          <w:szCs w:val="24"/>
          <w:highlight w:val="none"/>
          <w:u w:val="single"/>
        </w:rPr>
        <w:t xml:space="preserve">   </w:t>
      </w:r>
    </w:p>
    <w:p w14:paraId="3FA201F9">
      <w:pPr>
        <w:adjustRightInd w:val="0"/>
        <w:snapToGrid w:val="0"/>
        <w:spacing w:line="360" w:lineRule="auto"/>
        <w:rPr>
          <w:rFonts w:cs="宋体"/>
          <w:color w:val="auto"/>
          <w:sz w:val="24"/>
          <w:szCs w:val="24"/>
          <w:highlight w:val="none"/>
        </w:rPr>
      </w:pPr>
      <w:r>
        <w:rPr>
          <w:rFonts w:hint="eastAsia" w:cs="宋体"/>
          <w:color w:val="auto"/>
          <w:sz w:val="24"/>
          <w:szCs w:val="24"/>
          <w:highlight w:val="none"/>
        </w:rPr>
        <w:t>账  号：</w:t>
      </w:r>
      <w:r>
        <w:rPr>
          <w:rFonts w:hint="eastAsia" w:cs="宋体"/>
          <w:color w:val="auto"/>
          <w:sz w:val="24"/>
          <w:szCs w:val="24"/>
          <w:highlight w:val="none"/>
          <w:u w:val="single"/>
        </w:rPr>
        <w:t xml:space="preserve">       </w:t>
      </w:r>
      <w:r>
        <w:rPr>
          <w:rFonts w:hint="eastAsia" w:cs="宋体"/>
          <w:color w:val="auto"/>
          <w:sz w:val="24"/>
          <w:szCs w:val="24"/>
          <w:highlight w:val="none"/>
        </w:rPr>
        <w:t xml:space="preserve">              账  号：</w:t>
      </w:r>
      <w:r>
        <w:rPr>
          <w:rFonts w:hint="eastAsia" w:cs="宋体"/>
          <w:color w:val="auto"/>
          <w:sz w:val="24"/>
          <w:szCs w:val="24"/>
          <w:highlight w:val="none"/>
          <w:u w:val="single"/>
        </w:rPr>
        <w:t xml:space="preserve">     </w:t>
      </w:r>
    </w:p>
    <w:p w14:paraId="3C76C8DD">
      <w:pPr>
        <w:adjustRightInd w:val="0"/>
        <w:snapToGrid w:val="0"/>
        <w:spacing w:line="360" w:lineRule="auto"/>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    </w:t>
      </w:r>
      <w:r>
        <w:rPr>
          <w:rFonts w:hint="eastAsia" w:cs="宋体"/>
          <w:color w:val="auto"/>
          <w:sz w:val="24"/>
          <w:szCs w:val="24"/>
          <w:highlight w:val="none"/>
        </w:rPr>
        <w:t xml:space="preserve">              邮政编码：</w:t>
      </w:r>
      <w:r>
        <w:rPr>
          <w:rFonts w:hint="eastAsia" w:cs="宋体"/>
          <w:color w:val="auto"/>
          <w:sz w:val="24"/>
          <w:szCs w:val="24"/>
          <w:highlight w:val="none"/>
          <w:u w:val="single"/>
        </w:rPr>
        <w:t xml:space="preserve">   </w:t>
      </w:r>
    </w:p>
    <w:p w14:paraId="19BAFE3C">
      <w:pPr>
        <w:spacing w:before="312" w:beforeLines="100" w:after="312" w:afterLines="100"/>
        <w:outlineLvl w:val="2"/>
        <w:rPr>
          <w:rFonts w:ascii="Times New Roman" w:eastAsia="黑体"/>
          <w:color w:val="auto"/>
          <w:sz w:val="24"/>
          <w:szCs w:val="24"/>
          <w:highlight w:val="none"/>
        </w:rPr>
      </w:pPr>
      <w:r>
        <w:rPr>
          <w:rFonts w:ascii="Times New Roman" w:eastAsia="黑体"/>
          <w:b/>
          <w:bCs/>
          <w:color w:val="auto"/>
          <w:sz w:val="24"/>
          <w:szCs w:val="24"/>
          <w:highlight w:val="none"/>
        </w:rPr>
        <w:br w:type="page"/>
      </w:r>
      <w:r>
        <w:rPr>
          <w:rFonts w:hint="eastAsia" w:ascii="Times New Roman" w:hAnsi="宋体" w:eastAsia="黑体" w:cs="宋体"/>
          <w:color w:val="auto"/>
          <w:sz w:val="24"/>
          <w:szCs w:val="24"/>
          <w:highlight w:val="none"/>
          <w:lang w:val="en-US" w:eastAsia="zh-CN" w:bidi="ar-SA"/>
        </w:rPr>
        <w:t>附</w:t>
      </w:r>
      <w:bookmarkStart w:id="626" w:name="_Toc296891059"/>
      <w:bookmarkStart w:id="627" w:name="_Toc296503231"/>
      <w:bookmarkStart w:id="628" w:name="_Toc296346732"/>
      <w:bookmarkStart w:id="629" w:name="_Toc296944570"/>
      <w:bookmarkStart w:id="630" w:name="_Toc296891271"/>
      <w:bookmarkStart w:id="631" w:name="_Toc296347230"/>
      <w:r>
        <w:rPr>
          <w:rFonts w:hint="eastAsia" w:ascii="Times New Roman" w:hAnsi="宋体" w:eastAsia="黑体" w:cs="宋体"/>
          <w:color w:val="auto"/>
          <w:sz w:val="24"/>
          <w:szCs w:val="24"/>
          <w:highlight w:val="none"/>
          <w:lang w:val="en-US" w:eastAsia="zh-CN" w:bidi="ar-SA"/>
        </w:rPr>
        <w:t>件4：</w:t>
      </w:r>
      <w:bookmarkEnd w:id="611"/>
      <w:bookmarkEnd w:id="626"/>
      <w:bookmarkEnd w:id="627"/>
      <w:bookmarkEnd w:id="628"/>
      <w:bookmarkEnd w:id="629"/>
      <w:bookmarkEnd w:id="630"/>
      <w:bookmarkEnd w:id="631"/>
      <w:r>
        <w:rPr>
          <w:rFonts w:hint="eastAsia" w:ascii="Times New Roman" w:eastAsia="黑体"/>
          <w:color w:val="auto"/>
          <w:sz w:val="24"/>
          <w:szCs w:val="24"/>
          <w:highlight w:val="none"/>
        </w:rPr>
        <w:t>项目经理质量终身责任制承诺</w:t>
      </w:r>
    </w:p>
    <w:p w14:paraId="3C01686D">
      <w:pPr>
        <w:spacing w:before="156" w:beforeLines="50" w:after="156" w:afterLines="50" w:line="360" w:lineRule="auto"/>
        <w:jc w:val="center"/>
        <w:rPr>
          <w:rFonts w:cs="宋体"/>
          <w:b/>
          <w:color w:val="auto"/>
          <w:sz w:val="24"/>
          <w:szCs w:val="24"/>
          <w:highlight w:val="none"/>
        </w:rPr>
      </w:pPr>
      <w:bookmarkStart w:id="632" w:name="_Toc14540"/>
      <w:bookmarkStart w:id="633" w:name="_Toc128950250"/>
      <w:bookmarkStart w:id="634" w:name="_Toc19417"/>
      <w:r>
        <w:rPr>
          <w:rFonts w:hint="eastAsia" w:cs="宋体"/>
          <w:b/>
          <w:color w:val="auto"/>
          <w:sz w:val="24"/>
          <w:szCs w:val="24"/>
          <w:highlight w:val="none"/>
        </w:rPr>
        <w:t>项目经理质量终身责任制承诺</w:t>
      </w:r>
      <w:bookmarkEnd w:id="632"/>
      <w:bookmarkEnd w:id="633"/>
      <w:bookmarkEnd w:id="634"/>
    </w:p>
    <w:p w14:paraId="43DC55FB">
      <w:pPr>
        <w:spacing w:line="360" w:lineRule="auto"/>
        <w:rPr>
          <w:rFonts w:cs="宋体"/>
          <w:bCs/>
          <w:color w:val="auto"/>
          <w:sz w:val="24"/>
          <w:szCs w:val="24"/>
          <w:highlight w:val="none"/>
        </w:rPr>
      </w:pPr>
      <w:r>
        <w:rPr>
          <w:rFonts w:hint="eastAsia" w:cs="宋体"/>
          <w:bCs/>
          <w:color w:val="auto"/>
          <w:sz w:val="24"/>
          <w:szCs w:val="24"/>
          <w:highlight w:val="none"/>
        </w:rPr>
        <w:t>致：</w:t>
      </w:r>
      <w:r>
        <w:rPr>
          <w:rFonts w:hint="eastAsia" w:cs="宋体"/>
          <w:bCs/>
          <w:color w:val="auto"/>
          <w:sz w:val="24"/>
          <w:szCs w:val="24"/>
          <w:highlight w:val="none"/>
          <w:u w:val="single"/>
        </w:rPr>
        <w:t>（采购人）</w:t>
      </w:r>
    </w:p>
    <w:p w14:paraId="6E17A19A">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本人作为施工项目经理，承担相关质量终身责任，现郑重承诺如下：</w:t>
      </w:r>
    </w:p>
    <w:p w14:paraId="54C6F1AB">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一、在取得施工许可证后进行施工。</w:t>
      </w:r>
    </w:p>
    <w:p w14:paraId="747AAA8A">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二、严格执行施工规范及标准。</w:t>
      </w:r>
    </w:p>
    <w:p w14:paraId="29FEF9F2">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三、严格按规定配备施工项目部关键岗位人员，并确保所有人员到岗履职。</w:t>
      </w:r>
    </w:p>
    <w:p w14:paraId="128ECF5A">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四、严格按照经施工图审查机构审查合格的工程设计文件及合同约定的质量标准精心组织施工。</w:t>
      </w:r>
    </w:p>
    <w:p w14:paraId="110CA044">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五、施工中采用合格的建筑材料、建筑构配件和设备等，并严格按规定执行见证取样制度。</w:t>
      </w:r>
    </w:p>
    <w:p w14:paraId="5A75107C">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六、建立、健全质量检查、验收制度，严格工序管理，做好隐蔽工程质量的检查和记录。</w:t>
      </w:r>
    </w:p>
    <w:p w14:paraId="4678C74B">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七、对施工中出现的质量问题，及时进行整改。严格依法依规履行义务。</w:t>
      </w:r>
    </w:p>
    <w:p w14:paraId="4E101221">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八、履行相关工程质量检查、验收及事故处理等职责。</w:t>
      </w:r>
    </w:p>
    <w:p w14:paraId="1AA9A980">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九、履行其他法律法规规定的职责。</w:t>
      </w:r>
    </w:p>
    <w:p w14:paraId="6781A2FB">
      <w:pPr>
        <w:spacing w:line="360" w:lineRule="auto"/>
        <w:ind w:left="342" w:leftChars="171" w:firstLine="720" w:firstLineChars="300"/>
        <w:rPr>
          <w:rFonts w:cs="宋体"/>
          <w:bCs/>
          <w:color w:val="auto"/>
          <w:sz w:val="24"/>
          <w:szCs w:val="24"/>
          <w:highlight w:val="none"/>
        </w:rPr>
      </w:pPr>
    </w:p>
    <w:p w14:paraId="67978D2C">
      <w:pPr>
        <w:spacing w:line="360" w:lineRule="auto"/>
        <w:ind w:left="342" w:leftChars="171" w:firstLine="720" w:firstLineChars="300"/>
        <w:rPr>
          <w:rFonts w:cs="宋体"/>
          <w:bCs/>
          <w:color w:val="auto"/>
          <w:sz w:val="24"/>
          <w:szCs w:val="24"/>
          <w:highlight w:val="none"/>
        </w:rPr>
      </w:pPr>
    </w:p>
    <w:p w14:paraId="0C772976">
      <w:pPr>
        <w:spacing w:line="360" w:lineRule="auto"/>
        <w:ind w:left="342" w:leftChars="171" w:firstLine="720" w:firstLineChars="300"/>
        <w:rPr>
          <w:rFonts w:cs="宋体"/>
          <w:bCs/>
          <w:color w:val="auto"/>
          <w:sz w:val="24"/>
          <w:szCs w:val="24"/>
          <w:highlight w:val="none"/>
        </w:rPr>
      </w:pPr>
      <w:r>
        <w:rPr>
          <w:rFonts w:hint="eastAsia" w:cs="宋体"/>
          <w:bCs/>
          <w:color w:val="auto"/>
          <w:sz w:val="24"/>
          <w:szCs w:val="24"/>
          <w:highlight w:val="none"/>
        </w:rPr>
        <w:t>项目经理：</w:t>
      </w:r>
      <w:r>
        <w:rPr>
          <w:rFonts w:hint="eastAsia" w:cs="宋体"/>
          <w:bCs/>
          <w:color w:val="auto"/>
          <w:sz w:val="24"/>
          <w:szCs w:val="24"/>
          <w:highlight w:val="none"/>
          <w:u w:val="single"/>
        </w:rPr>
        <w:t xml:space="preserve">                   </w:t>
      </w:r>
      <w:r>
        <w:rPr>
          <w:rFonts w:hint="eastAsia" w:cs="宋体"/>
          <w:bCs/>
          <w:color w:val="auto"/>
          <w:sz w:val="24"/>
          <w:szCs w:val="24"/>
          <w:highlight w:val="none"/>
        </w:rPr>
        <w:t>（签字）</w:t>
      </w:r>
    </w:p>
    <w:p w14:paraId="445C34AD">
      <w:pPr>
        <w:spacing w:line="360" w:lineRule="auto"/>
        <w:ind w:left="342" w:leftChars="171" w:firstLine="720" w:firstLineChars="300"/>
        <w:rPr>
          <w:rFonts w:cs="宋体"/>
          <w:bCs/>
          <w:color w:val="auto"/>
          <w:sz w:val="24"/>
          <w:szCs w:val="24"/>
          <w:highlight w:val="none"/>
        </w:rPr>
      </w:pPr>
      <w:r>
        <w:rPr>
          <w:rFonts w:hint="eastAsia" w:cs="宋体"/>
          <w:bCs/>
          <w:color w:val="auto"/>
          <w:sz w:val="24"/>
          <w:szCs w:val="24"/>
          <w:highlight w:val="none"/>
        </w:rPr>
        <w:t>日期：_____年____月____日</w:t>
      </w:r>
    </w:p>
    <w:p w14:paraId="082E58B2">
      <w:pPr>
        <w:pStyle w:val="19"/>
        <w:rPr>
          <w:rFonts w:ascii="宋体" w:hAnsi="宋体" w:eastAsia="宋体" w:cs="宋体"/>
          <w:bCs/>
          <w:color w:val="auto"/>
          <w:sz w:val="24"/>
          <w:szCs w:val="24"/>
          <w:highlight w:val="none"/>
        </w:rPr>
      </w:pPr>
    </w:p>
    <w:p w14:paraId="17A3EDD4">
      <w:pPr>
        <w:pStyle w:val="284"/>
        <w:ind w:left="210" w:right="210" w:firstLine="210"/>
        <w:rPr>
          <w:rFonts w:hint="eastAsia" w:ascii="宋体" w:hAnsi="宋体" w:eastAsia="宋体" w:cs="宋体"/>
          <w:color w:val="auto"/>
          <w:sz w:val="24"/>
          <w:szCs w:val="24"/>
          <w:highlight w:val="none"/>
        </w:rPr>
        <w:sectPr>
          <w:footerReference r:id="rId4" w:type="default"/>
          <w:pgSz w:w="11906" w:h="16838"/>
          <w:pgMar w:top="1361" w:right="1361" w:bottom="1361" w:left="1361" w:header="851" w:footer="992" w:gutter="0"/>
          <w:pgNumType w:fmt="decimal" w:start="1"/>
          <w:cols w:space="720" w:num="1"/>
          <w:docGrid w:type="lines" w:linePitch="312" w:charSpace="0"/>
        </w:sectPr>
      </w:pPr>
    </w:p>
    <w:p w14:paraId="2BFE552D">
      <w:pPr>
        <w:spacing w:before="312" w:beforeLines="100" w:after="312" w:afterLines="100"/>
        <w:outlineLvl w:val="2"/>
        <w:rPr>
          <w:rFonts w:hint="eastAsia" w:ascii="Times New Roman" w:hAnsi="宋体" w:eastAsia="黑体" w:cs="宋体"/>
          <w:color w:val="auto"/>
          <w:sz w:val="24"/>
          <w:szCs w:val="24"/>
          <w:highlight w:val="none"/>
        </w:rPr>
      </w:pPr>
      <w:bookmarkStart w:id="635" w:name="_Toc128950244"/>
      <w:r>
        <w:rPr>
          <w:rFonts w:hint="eastAsia" w:ascii="Times New Roman" w:eastAsia="黑体"/>
          <w:color w:val="auto"/>
          <w:sz w:val="24"/>
          <w:szCs w:val="24"/>
          <w:highlight w:val="none"/>
        </w:rPr>
        <w:t>附件</w:t>
      </w:r>
      <w:r>
        <w:rPr>
          <w:rFonts w:hint="eastAsia" w:ascii="Times New Roman" w:hAnsi="宋体" w:eastAsia="黑体" w:cs="宋体"/>
          <w:color w:val="auto"/>
          <w:sz w:val="24"/>
          <w:szCs w:val="24"/>
          <w:highlight w:val="none"/>
          <w:lang w:val="en-US" w:eastAsia="zh-CN"/>
        </w:rPr>
        <w:t>5</w:t>
      </w:r>
      <w:r>
        <w:rPr>
          <w:rFonts w:hint="eastAsia" w:ascii="Times New Roman" w:hAnsi="宋体" w:eastAsia="黑体" w:cs="宋体"/>
          <w:color w:val="auto"/>
          <w:sz w:val="24"/>
          <w:szCs w:val="24"/>
          <w:highlight w:val="none"/>
        </w:rPr>
        <w:t>：</w:t>
      </w:r>
      <w:r>
        <w:rPr>
          <w:rFonts w:hint="eastAsia" w:ascii="Times New Roman" w:hAnsi="宋体" w:eastAsia="黑体" w:cs="宋体"/>
          <w:color w:val="auto"/>
          <w:sz w:val="24"/>
          <w:szCs w:val="24"/>
          <w:highlight w:val="none"/>
          <w:lang w:eastAsia="zh-CN"/>
        </w:rPr>
        <w:t>乙方</w:t>
      </w:r>
      <w:r>
        <w:rPr>
          <w:rFonts w:hint="eastAsia" w:ascii="Times New Roman" w:hAnsi="宋体" w:eastAsia="黑体" w:cs="宋体"/>
          <w:color w:val="auto"/>
          <w:sz w:val="24"/>
          <w:szCs w:val="24"/>
          <w:highlight w:val="none"/>
        </w:rPr>
        <w:t>主要施工管理人员表</w:t>
      </w:r>
    </w:p>
    <w:p w14:paraId="5425797C">
      <w:pPr>
        <w:spacing w:line="360" w:lineRule="auto"/>
        <w:jc w:val="center"/>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主要施工管理人员表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4F7349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3EA4A8C7">
            <w:pPr>
              <w:keepNext/>
              <w:spacing w:line="360" w:lineRule="auto"/>
              <w:jc w:val="center"/>
              <w:rPr>
                <w:rFonts w:cs="宋体"/>
                <w:color w:val="auto"/>
                <w:sz w:val="24"/>
                <w:szCs w:val="24"/>
                <w:highlight w:val="none"/>
              </w:rPr>
            </w:pPr>
            <w:r>
              <w:rPr>
                <w:rFonts w:hint="eastAsia" w:cs="宋体"/>
                <w:color w:val="auto"/>
                <w:sz w:val="24"/>
                <w:szCs w:val="24"/>
                <w:highlight w:val="none"/>
              </w:rPr>
              <w:t>名称</w:t>
            </w:r>
          </w:p>
        </w:tc>
        <w:tc>
          <w:tcPr>
            <w:tcW w:w="627" w:type="pct"/>
            <w:tcBorders>
              <w:top w:val="single" w:color="auto" w:sz="12" w:space="0"/>
              <w:bottom w:val="double" w:color="auto" w:sz="6" w:space="0"/>
            </w:tcBorders>
            <w:vAlign w:val="center"/>
          </w:tcPr>
          <w:p w14:paraId="18E30A8D">
            <w:pPr>
              <w:keepNext/>
              <w:spacing w:line="360" w:lineRule="auto"/>
              <w:jc w:val="center"/>
              <w:rPr>
                <w:rFonts w:cs="宋体"/>
                <w:color w:val="auto"/>
                <w:sz w:val="24"/>
                <w:szCs w:val="24"/>
                <w:highlight w:val="none"/>
              </w:rPr>
            </w:pPr>
            <w:r>
              <w:rPr>
                <w:rFonts w:hint="eastAsia" w:cs="宋体"/>
                <w:color w:val="auto"/>
                <w:sz w:val="24"/>
                <w:szCs w:val="24"/>
                <w:highlight w:val="none"/>
              </w:rPr>
              <w:t>姓名</w:t>
            </w:r>
          </w:p>
        </w:tc>
        <w:tc>
          <w:tcPr>
            <w:tcW w:w="502" w:type="pct"/>
            <w:tcBorders>
              <w:top w:val="single" w:color="auto" w:sz="12" w:space="0"/>
              <w:bottom w:val="double" w:color="auto" w:sz="6" w:space="0"/>
            </w:tcBorders>
            <w:vAlign w:val="center"/>
          </w:tcPr>
          <w:p w14:paraId="7BD243BF">
            <w:pPr>
              <w:keepNext/>
              <w:spacing w:line="360" w:lineRule="auto"/>
              <w:jc w:val="center"/>
              <w:rPr>
                <w:rFonts w:cs="宋体"/>
                <w:color w:val="auto"/>
                <w:sz w:val="24"/>
                <w:szCs w:val="24"/>
                <w:highlight w:val="none"/>
              </w:rPr>
            </w:pPr>
            <w:r>
              <w:rPr>
                <w:rFonts w:hint="eastAsia" w:cs="宋体"/>
                <w:color w:val="auto"/>
                <w:sz w:val="24"/>
                <w:szCs w:val="24"/>
                <w:highlight w:val="none"/>
              </w:rPr>
              <w:t>职务</w:t>
            </w:r>
          </w:p>
        </w:tc>
        <w:tc>
          <w:tcPr>
            <w:tcW w:w="502" w:type="pct"/>
            <w:tcBorders>
              <w:top w:val="single" w:color="auto" w:sz="12" w:space="0"/>
              <w:bottom w:val="double" w:color="auto" w:sz="6" w:space="0"/>
            </w:tcBorders>
            <w:vAlign w:val="center"/>
          </w:tcPr>
          <w:p w14:paraId="597C00AA">
            <w:pPr>
              <w:keepNext/>
              <w:spacing w:line="360" w:lineRule="auto"/>
              <w:jc w:val="center"/>
              <w:rPr>
                <w:rFonts w:cs="宋体"/>
                <w:color w:val="auto"/>
                <w:sz w:val="24"/>
                <w:szCs w:val="24"/>
                <w:highlight w:val="none"/>
              </w:rPr>
            </w:pPr>
            <w:r>
              <w:rPr>
                <w:rFonts w:hint="eastAsia" w:cs="宋体"/>
                <w:color w:val="auto"/>
                <w:sz w:val="24"/>
                <w:szCs w:val="24"/>
                <w:highlight w:val="none"/>
              </w:rPr>
              <w:t>职称</w:t>
            </w:r>
          </w:p>
        </w:tc>
        <w:tc>
          <w:tcPr>
            <w:tcW w:w="1281" w:type="pct"/>
            <w:tcBorders>
              <w:top w:val="single" w:color="auto" w:sz="12" w:space="0"/>
              <w:bottom w:val="double" w:color="auto" w:sz="6" w:space="0"/>
            </w:tcBorders>
            <w:vAlign w:val="center"/>
          </w:tcPr>
          <w:p w14:paraId="3950B399">
            <w:pPr>
              <w:keepNext/>
              <w:spacing w:line="360" w:lineRule="auto"/>
              <w:jc w:val="center"/>
              <w:rPr>
                <w:rFonts w:cs="宋体"/>
                <w:color w:val="auto"/>
                <w:sz w:val="24"/>
                <w:szCs w:val="24"/>
                <w:highlight w:val="none"/>
              </w:rPr>
            </w:pPr>
            <w:r>
              <w:rPr>
                <w:rFonts w:hint="eastAsia" w:cs="宋体"/>
                <w:color w:val="auto"/>
                <w:sz w:val="24"/>
                <w:szCs w:val="24"/>
                <w:highlight w:val="none"/>
              </w:rPr>
              <w:t>主要资历、经验及承担过的项目</w:t>
            </w:r>
          </w:p>
        </w:tc>
        <w:tc>
          <w:tcPr>
            <w:tcW w:w="1151" w:type="pct"/>
            <w:tcBorders>
              <w:top w:val="single" w:color="auto" w:sz="12" w:space="0"/>
              <w:bottom w:val="double" w:color="auto" w:sz="6" w:space="0"/>
            </w:tcBorders>
            <w:vAlign w:val="center"/>
          </w:tcPr>
          <w:p w14:paraId="168B5E7F">
            <w:pPr>
              <w:keepNext/>
              <w:spacing w:line="360" w:lineRule="auto"/>
              <w:jc w:val="center"/>
              <w:rPr>
                <w:rFonts w:cs="宋体"/>
                <w:color w:val="auto"/>
                <w:sz w:val="24"/>
                <w:szCs w:val="24"/>
                <w:highlight w:val="none"/>
              </w:rPr>
            </w:pPr>
            <w:r>
              <w:rPr>
                <w:rFonts w:hint="eastAsia" w:cs="宋体"/>
                <w:color w:val="auto"/>
                <w:sz w:val="24"/>
                <w:szCs w:val="24"/>
                <w:highlight w:val="none"/>
              </w:rPr>
              <w:t>身份证号码</w:t>
            </w:r>
          </w:p>
        </w:tc>
      </w:tr>
      <w:tr w14:paraId="7CEEAC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17E3045B">
            <w:pPr>
              <w:keepNext/>
              <w:spacing w:line="360" w:lineRule="auto"/>
              <w:jc w:val="center"/>
              <w:rPr>
                <w:rFonts w:cs="宋体"/>
                <w:color w:val="auto"/>
                <w:sz w:val="24"/>
                <w:szCs w:val="24"/>
                <w:highlight w:val="none"/>
              </w:rPr>
            </w:pPr>
            <w:r>
              <w:rPr>
                <w:rFonts w:hint="eastAsia" w:cs="宋体"/>
                <w:color w:val="auto"/>
                <w:sz w:val="24"/>
                <w:szCs w:val="24"/>
                <w:highlight w:val="none"/>
              </w:rPr>
              <w:t>一、总部人员</w:t>
            </w:r>
          </w:p>
        </w:tc>
        <w:tc>
          <w:tcPr>
            <w:tcW w:w="1151" w:type="pct"/>
            <w:tcBorders>
              <w:top w:val="double" w:color="auto" w:sz="6" w:space="0"/>
            </w:tcBorders>
            <w:vAlign w:val="center"/>
          </w:tcPr>
          <w:p w14:paraId="72C5D1C8">
            <w:pPr>
              <w:keepNext/>
              <w:spacing w:line="360" w:lineRule="auto"/>
              <w:jc w:val="center"/>
              <w:rPr>
                <w:rFonts w:cs="宋体"/>
                <w:color w:val="auto"/>
                <w:sz w:val="24"/>
                <w:szCs w:val="24"/>
                <w:highlight w:val="none"/>
              </w:rPr>
            </w:pPr>
          </w:p>
        </w:tc>
      </w:tr>
      <w:tr w14:paraId="203457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4F46D802">
            <w:pPr>
              <w:spacing w:line="360" w:lineRule="auto"/>
              <w:jc w:val="center"/>
              <w:rPr>
                <w:rFonts w:cs="宋体"/>
                <w:color w:val="auto"/>
                <w:sz w:val="24"/>
                <w:szCs w:val="24"/>
                <w:highlight w:val="none"/>
              </w:rPr>
            </w:pPr>
            <w:r>
              <w:rPr>
                <w:rFonts w:hint="eastAsia" w:cs="宋体"/>
                <w:color w:val="auto"/>
                <w:sz w:val="24"/>
                <w:szCs w:val="24"/>
                <w:highlight w:val="none"/>
              </w:rPr>
              <w:t>项目主管</w:t>
            </w:r>
          </w:p>
        </w:tc>
        <w:tc>
          <w:tcPr>
            <w:tcW w:w="627" w:type="pct"/>
            <w:tcBorders>
              <w:top w:val="nil"/>
            </w:tcBorders>
            <w:vAlign w:val="center"/>
          </w:tcPr>
          <w:p w14:paraId="48230FC2">
            <w:pPr>
              <w:keepNext/>
              <w:spacing w:line="360" w:lineRule="auto"/>
              <w:jc w:val="center"/>
              <w:rPr>
                <w:rFonts w:cs="宋体"/>
                <w:color w:val="auto"/>
                <w:sz w:val="24"/>
                <w:szCs w:val="24"/>
                <w:highlight w:val="none"/>
              </w:rPr>
            </w:pPr>
          </w:p>
        </w:tc>
        <w:tc>
          <w:tcPr>
            <w:tcW w:w="502" w:type="pct"/>
            <w:tcBorders>
              <w:top w:val="nil"/>
            </w:tcBorders>
            <w:vAlign w:val="center"/>
          </w:tcPr>
          <w:p w14:paraId="03BDCB12">
            <w:pPr>
              <w:keepNext/>
              <w:spacing w:line="360" w:lineRule="auto"/>
              <w:jc w:val="center"/>
              <w:rPr>
                <w:rFonts w:cs="宋体"/>
                <w:color w:val="auto"/>
                <w:sz w:val="24"/>
                <w:szCs w:val="24"/>
                <w:highlight w:val="none"/>
              </w:rPr>
            </w:pPr>
          </w:p>
        </w:tc>
        <w:tc>
          <w:tcPr>
            <w:tcW w:w="502" w:type="pct"/>
            <w:tcBorders>
              <w:top w:val="nil"/>
            </w:tcBorders>
            <w:vAlign w:val="center"/>
          </w:tcPr>
          <w:p w14:paraId="03774353">
            <w:pPr>
              <w:keepNext/>
              <w:spacing w:line="360" w:lineRule="auto"/>
              <w:jc w:val="center"/>
              <w:rPr>
                <w:rFonts w:cs="宋体"/>
                <w:color w:val="auto"/>
                <w:sz w:val="24"/>
                <w:szCs w:val="24"/>
                <w:highlight w:val="none"/>
              </w:rPr>
            </w:pPr>
          </w:p>
        </w:tc>
        <w:tc>
          <w:tcPr>
            <w:tcW w:w="1281" w:type="pct"/>
            <w:tcBorders>
              <w:top w:val="nil"/>
            </w:tcBorders>
            <w:vAlign w:val="center"/>
          </w:tcPr>
          <w:p w14:paraId="7F755437">
            <w:pPr>
              <w:keepNext/>
              <w:spacing w:line="360" w:lineRule="auto"/>
              <w:jc w:val="center"/>
              <w:rPr>
                <w:rFonts w:cs="宋体"/>
                <w:color w:val="auto"/>
                <w:sz w:val="24"/>
                <w:szCs w:val="24"/>
                <w:highlight w:val="none"/>
              </w:rPr>
            </w:pPr>
          </w:p>
        </w:tc>
        <w:tc>
          <w:tcPr>
            <w:tcW w:w="1151" w:type="pct"/>
            <w:tcBorders>
              <w:top w:val="nil"/>
            </w:tcBorders>
            <w:vAlign w:val="center"/>
          </w:tcPr>
          <w:p w14:paraId="2B67CA29">
            <w:pPr>
              <w:keepNext/>
              <w:spacing w:line="360" w:lineRule="auto"/>
              <w:jc w:val="center"/>
              <w:rPr>
                <w:rFonts w:cs="宋体"/>
                <w:color w:val="auto"/>
                <w:sz w:val="24"/>
                <w:szCs w:val="24"/>
                <w:highlight w:val="none"/>
              </w:rPr>
            </w:pPr>
          </w:p>
        </w:tc>
      </w:tr>
      <w:tr w14:paraId="5F88A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7C0569FF">
            <w:pPr>
              <w:spacing w:line="360" w:lineRule="auto"/>
              <w:jc w:val="center"/>
              <w:rPr>
                <w:rFonts w:cs="宋体"/>
                <w:color w:val="auto"/>
                <w:sz w:val="24"/>
                <w:szCs w:val="24"/>
                <w:highlight w:val="none"/>
              </w:rPr>
            </w:pPr>
            <w:r>
              <w:rPr>
                <w:rFonts w:hint="eastAsia" w:cs="宋体"/>
                <w:color w:val="auto"/>
                <w:sz w:val="24"/>
                <w:szCs w:val="24"/>
                <w:highlight w:val="none"/>
              </w:rPr>
              <w:t>其他人员</w:t>
            </w:r>
          </w:p>
        </w:tc>
        <w:tc>
          <w:tcPr>
            <w:tcW w:w="627" w:type="pct"/>
            <w:vAlign w:val="center"/>
          </w:tcPr>
          <w:p w14:paraId="0A7AA52B">
            <w:pPr>
              <w:keepNext/>
              <w:spacing w:line="360" w:lineRule="auto"/>
              <w:jc w:val="center"/>
              <w:rPr>
                <w:rFonts w:cs="宋体"/>
                <w:color w:val="auto"/>
                <w:sz w:val="24"/>
                <w:szCs w:val="24"/>
                <w:highlight w:val="none"/>
              </w:rPr>
            </w:pPr>
          </w:p>
        </w:tc>
        <w:tc>
          <w:tcPr>
            <w:tcW w:w="502" w:type="pct"/>
            <w:vAlign w:val="center"/>
          </w:tcPr>
          <w:p w14:paraId="47227311">
            <w:pPr>
              <w:keepNext/>
              <w:spacing w:line="360" w:lineRule="auto"/>
              <w:jc w:val="center"/>
              <w:rPr>
                <w:rFonts w:cs="宋体"/>
                <w:color w:val="auto"/>
                <w:sz w:val="24"/>
                <w:szCs w:val="24"/>
                <w:highlight w:val="none"/>
              </w:rPr>
            </w:pPr>
          </w:p>
        </w:tc>
        <w:tc>
          <w:tcPr>
            <w:tcW w:w="502" w:type="pct"/>
            <w:vAlign w:val="center"/>
          </w:tcPr>
          <w:p w14:paraId="3BBFF1C5">
            <w:pPr>
              <w:keepNext/>
              <w:spacing w:line="360" w:lineRule="auto"/>
              <w:jc w:val="center"/>
              <w:rPr>
                <w:rFonts w:cs="宋体"/>
                <w:color w:val="auto"/>
                <w:sz w:val="24"/>
                <w:szCs w:val="24"/>
                <w:highlight w:val="none"/>
              </w:rPr>
            </w:pPr>
          </w:p>
        </w:tc>
        <w:tc>
          <w:tcPr>
            <w:tcW w:w="1281" w:type="pct"/>
            <w:vAlign w:val="center"/>
          </w:tcPr>
          <w:p w14:paraId="3D50F1A8">
            <w:pPr>
              <w:keepNext/>
              <w:spacing w:line="360" w:lineRule="auto"/>
              <w:jc w:val="center"/>
              <w:rPr>
                <w:rFonts w:cs="宋体"/>
                <w:color w:val="auto"/>
                <w:sz w:val="24"/>
                <w:szCs w:val="24"/>
                <w:highlight w:val="none"/>
              </w:rPr>
            </w:pPr>
          </w:p>
        </w:tc>
        <w:tc>
          <w:tcPr>
            <w:tcW w:w="1151" w:type="pct"/>
            <w:vAlign w:val="center"/>
          </w:tcPr>
          <w:p w14:paraId="397A3EB2">
            <w:pPr>
              <w:keepNext/>
              <w:spacing w:line="360" w:lineRule="auto"/>
              <w:jc w:val="center"/>
              <w:rPr>
                <w:rFonts w:cs="宋体"/>
                <w:color w:val="auto"/>
                <w:sz w:val="24"/>
                <w:szCs w:val="24"/>
                <w:highlight w:val="none"/>
              </w:rPr>
            </w:pPr>
          </w:p>
        </w:tc>
      </w:tr>
      <w:tr w14:paraId="11B739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001C0AD3">
            <w:pPr>
              <w:spacing w:line="360" w:lineRule="auto"/>
              <w:jc w:val="center"/>
              <w:rPr>
                <w:rFonts w:cs="宋体"/>
                <w:color w:val="auto"/>
                <w:sz w:val="24"/>
                <w:szCs w:val="24"/>
                <w:highlight w:val="none"/>
              </w:rPr>
            </w:pPr>
          </w:p>
        </w:tc>
        <w:tc>
          <w:tcPr>
            <w:tcW w:w="627" w:type="pct"/>
            <w:vAlign w:val="center"/>
          </w:tcPr>
          <w:p w14:paraId="3A93BC97">
            <w:pPr>
              <w:keepNext/>
              <w:spacing w:line="360" w:lineRule="auto"/>
              <w:jc w:val="center"/>
              <w:rPr>
                <w:rFonts w:cs="宋体"/>
                <w:color w:val="auto"/>
                <w:sz w:val="24"/>
                <w:szCs w:val="24"/>
                <w:highlight w:val="none"/>
              </w:rPr>
            </w:pPr>
          </w:p>
        </w:tc>
        <w:tc>
          <w:tcPr>
            <w:tcW w:w="502" w:type="pct"/>
            <w:vAlign w:val="center"/>
          </w:tcPr>
          <w:p w14:paraId="7E202EBF">
            <w:pPr>
              <w:keepNext/>
              <w:spacing w:line="360" w:lineRule="auto"/>
              <w:jc w:val="center"/>
              <w:rPr>
                <w:rFonts w:cs="宋体"/>
                <w:color w:val="auto"/>
                <w:sz w:val="24"/>
                <w:szCs w:val="24"/>
                <w:highlight w:val="none"/>
              </w:rPr>
            </w:pPr>
          </w:p>
        </w:tc>
        <w:tc>
          <w:tcPr>
            <w:tcW w:w="502" w:type="pct"/>
            <w:vAlign w:val="center"/>
          </w:tcPr>
          <w:p w14:paraId="6C663F78">
            <w:pPr>
              <w:keepNext/>
              <w:spacing w:line="360" w:lineRule="auto"/>
              <w:jc w:val="center"/>
              <w:rPr>
                <w:rFonts w:cs="宋体"/>
                <w:color w:val="auto"/>
                <w:sz w:val="24"/>
                <w:szCs w:val="24"/>
                <w:highlight w:val="none"/>
              </w:rPr>
            </w:pPr>
          </w:p>
        </w:tc>
        <w:tc>
          <w:tcPr>
            <w:tcW w:w="1281" w:type="pct"/>
            <w:vAlign w:val="center"/>
          </w:tcPr>
          <w:p w14:paraId="4CB06D66">
            <w:pPr>
              <w:keepNext/>
              <w:spacing w:line="360" w:lineRule="auto"/>
              <w:jc w:val="center"/>
              <w:rPr>
                <w:rFonts w:cs="宋体"/>
                <w:color w:val="auto"/>
                <w:sz w:val="24"/>
                <w:szCs w:val="24"/>
                <w:highlight w:val="none"/>
              </w:rPr>
            </w:pPr>
          </w:p>
        </w:tc>
        <w:tc>
          <w:tcPr>
            <w:tcW w:w="1151" w:type="pct"/>
            <w:vAlign w:val="center"/>
          </w:tcPr>
          <w:p w14:paraId="50034B54">
            <w:pPr>
              <w:keepNext/>
              <w:spacing w:line="360" w:lineRule="auto"/>
              <w:jc w:val="center"/>
              <w:rPr>
                <w:rFonts w:cs="宋体"/>
                <w:color w:val="auto"/>
                <w:sz w:val="24"/>
                <w:szCs w:val="24"/>
                <w:highlight w:val="none"/>
              </w:rPr>
            </w:pPr>
          </w:p>
        </w:tc>
      </w:tr>
      <w:tr w14:paraId="7B62E0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4442A5A5">
            <w:pPr>
              <w:spacing w:line="360" w:lineRule="auto"/>
              <w:jc w:val="center"/>
              <w:rPr>
                <w:rFonts w:cs="宋体"/>
                <w:color w:val="auto"/>
                <w:sz w:val="24"/>
                <w:szCs w:val="24"/>
                <w:highlight w:val="none"/>
              </w:rPr>
            </w:pPr>
          </w:p>
        </w:tc>
        <w:tc>
          <w:tcPr>
            <w:tcW w:w="627" w:type="pct"/>
            <w:vAlign w:val="center"/>
          </w:tcPr>
          <w:p w14:paraId="1573F35E">
            <w:pPr>
              <w:keepNext/>
              <w:spacing w:line="360" w:lineRule="auto"/>
              <w:jc w:val="center"/>
              <w:rPr>
                <w:rFonts w:cs="宋体"/>
                <w:color w:val="auto"/>
                <w:sz w:val="24"/>
                <w:szCs w:val="24"/>
                <w:highlight w:val="none"/>
              </w:rPr>
            </w:pPr>
          </w:p>
        </w:tc>
        <w:tc>
          <w:tcPr>
            <w:tcW w:w="502" w:type="pct"/>
            <w:vAlign w:val="center"/>
          </w:tcPr>
          <w:p w14:paraId="638FCB36">
            <w:pPr>
              <w:keepNext/>
              <w:spacing w:line="360" w:lineRule="auto"/>
              <w:jc w:val="center"/>
              <w:rPr>
                <w:rFonts w:cs="宋体"/>
                <w:color w:val="auto"/>
                <w:sz w:val="24"/>
                <w:szCs w:val="24"/>
                <w:highlight w:val="none"/>
              </w:rPr>
            </w:pPr>
          </w:p>
        </w:tc>
        <w:tc>
          <w:tcPr>
            <w:tcW w:w="502" w:type="pct"/>
            <w:vAlign w:val="center"/>
          </w:tcPr>
          <w:p w14:paraId="1F4DA2C4">
            <w:pPr>
              <w:keepNext/>
              <w:spacing w:line="360" w:lineRule="auto"/>
              <w:jc w:val="center"/>
              <w:rPr>
                <w:rFonts w:cs="宋体"/>
                <w:color w:val="auto"/>
                <w:sz w:val="24"/>
                <w:szCs w:val="24"/>
                <w:highlight w:val="none"/>
              </w:rPr>
            </w:pPr>
          </w:p>
        </w:tc>
        <w:tc>
          <w:tcPr>
            <w:tcW w:w="1281" w:type="pct"/>
            <w:vAlign w:val="center"/>
          </w:tcPr>
          <w:p w14:paraId="398ED4AD">
            <w:pPr>
              <w:keepNext/>
              <w:spacing w:line="360" w:lineRule="auto"/>
              <w:jc w:val="center"/>
              <w:rPr>
                <w:rFonts w:cs="宋体"/>
                <w:color w:val="auto"/>
                <w:sz w:val="24"/>
                <w:szCs w:val="24"/>
                <w:highlight w:val="none"/>
              </w:rPr>
            </w:pPr>
          </w:p>
        </w:tc>
        <w:tc>
          <w:tcPr>
            <w:tcW w:w="1151" w:type="pct"/>
            <w:vAlign w:val="center"/>
          </w:tcPr>
          <w:p w14:paraId="270F7FC4">
            <w:pPr>
              <w:keepNext/>
              <w:spacing w:line="360" w:lineRule="auto"/>
              <w:jc w:val="center"/>
              <w:rPr>
                <w:rFonts w:cs="宋体"/>
                <w:color w:val="auto"/>
                <w:sz w:val="24"/>
                <w:szCs w:val="24"/>
                <w:highlight w:val="none"/>
              </w:rPr>
            </w:pPr>
          </w:p>
        </w:tc>
      </w:tr>
      <w:tr w14:paraId="376ED3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41F77A9A">
            <w:pPr>
              <w:keepNext/>
              <w:spacing w:line="360" w:lineRule="auto"/>
              <w:jc w:val="center"/>
              <w:rPr>
                <w:rFonts w:cs="宋体"/>
                <w:color w:val="auto"/>
                <w:sz w:val="24"/>
                <w:szCs w:val="24"/>
                <w:highlight w:val="none"/>
              </w:rPr>
            </w:pPr>
            <w:r>
              <w:rPr>
                <w:rFonts w:hint="eastAsia" w:cs="宋体"/>
                <w:color w:val="auto"/>
                <w:sz w:val="24"/>
                <w:szCs w:val="24"/>
                <w:highlight w:val="none"/>
              </w:rPr>
              <w:t>二、现场人员</w:t>
            </w:r>
          </w:p>
        </w:tc>
        <w:tc>
          <w:tcPr>
            <w:tcW w:w="1151" w:type="pct"/>
            <w:vAlign w:val="center"/>
          </w:tcPr>
          <w:p w14:paraId="31BC6314">
            <w:pPr>
              <w:keepNext/>
              <w:spacing w:line="360" w:lineRule="auto"/>
              <w:jc w:val="center"/>
              <w:rPr>
                <w:rFonts w:cs="宋体"/>
                <w:color w:val="auto"/>
                <w:sz w:val="24"/>
                <w:szCs w:val="24"/>
                <w:highlight w:val="none"/>
              </w:rPr>
            </w:pPr>
          </w:p>
        </w:tc>
      </w:tr>
      <w:tr w14:paraId="0D7D83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157CA34">
            <w:pPr>
              <w:spacing w:line="360" w:lineRule="auto"/>
              <w:jc w:val="center"/>
              <w:rPr>
                <w:rFonts w:cs="宋体"/>
                <w:color w:val="auto"/>
                <w:sz w:val="24"/>
                <w:szCs w:val="24"/>
                <w:highlight w:val="none"/>
              </w:rPr>
            </w:pPr>
            <w:r>
              <w:rPr>
                <w:rFonts w:hint="eastAsia" w:cs="宋体"/>
                <w:color w:val="auto"/>
                <w:sz w:val="24"/>
                <w:szCs w:val="24"/>
                <w:highlight w:val="none"/>
              </w:rPr>
              <w:t>项目经理</w:t>
            </w:r>
          </w:p>
        </w:tc>
        <w:tc>
          <w:tcPr>
            <w:tcW w:w="627" w:type="pct"/>
            <w:vAlign w:val="center"/>
          </w:tcPr>
          <w:p w14:paraId="0BAD9B03">
            <w:pPr>
              <w:keepNext/>
              <w:spacing w:line="360" w:lineRule="auto"/>
              <w:jc w:val="center"/>
              <w:rPr>
                <w:rFonts w:cs="宋体"/>
                <w:color w:val="auto"/>
                <w:sz w:val="24"/>
                <w:szCs w:val="24"/>
                <w:highlight w:val="none"/>
              </w:rPr>
            </w:pPr>
          </w:p>
        </w:tc>
        <w:tc>
          <w:tcPr>
            <w:tcW w:w="502" w:type="pct"/>
            <w:vAlign w:val="center"/>
          </w:tcPr>
          <w:p w14:paraId="2A5DCC42">
            <w:pPr>
              <w:keepNext/>
              <w:spacing w:line="360" w:lineRule="auto"/>
              <w:jc w:val="center"/>
              <w:rPr>
                <w:rFonts w:cs="宋体"/>
                <w:color w:val="auto"/>
                <w:sz w:val="24"/>
                <w:szCs w:val="24"/>
                <w:highlight w:val="none"/>
              </w:rPr>
            </w:pPr>
          </w:p>
        </w:tc>
        <w:tc>
          <w:tcPr>
            <w:tcW w:w="502" w:type="pct"/>
            <w:vAlign w:val="center"/>
          </w:tcPr>
          <w:p w14:paraId="7626AA8A">
            <w:pPr>
              <w:keepNext/>
              <w:spacing w:line="360" w:lineRule="auto"/>
              <w:jc w:val="center"/>
              <w:rPr>
                <w:rFonts w:cs="宋体"/>
                <w:color w:val="auto"/>
                <w:sz w:val="24"/>
                <w:szCs w:val="24"/>
                <w:highlight w:val="none"/>
              </w:rPr>
            </w:pPr>
          </w:p>
        </w:tc>
        <w:tc>
          <w:tcPr>
            <w:tcW w:w="1281" w:type="pct"/>
            <w:vAlign w:val="center"/>
          </w:tcPr>
          <w:p w14:paraId="37B98BB4">
            <w:pPr>
              <w:keepNext/>
              <w:spacing w:line="360" w:lineRule="auto"/>
              <w:jc w:val="center"/>
              <w:rPr>
                <w:rFonts w:cs="宋体"/>
                <w:color w:val="auto"/>
                <w:sz w:val="24"/>
                <w:szCs w:val="24"/>
                <w:highlight w:val="none"/>
              </w:rPr>
            </w:pPr>
          </w:p>
        </w:tc>
        <w:tc>
          <w:tcPr>
            <w:tcW w:w="1151" w:type="pct"/>
            <w:vAlign w:val="center"/>
          </w:tcPr>
          <w:p w14:paraId="4664082F">
            <w:pPr>
              <w:keepNext/>
              <w:spacing w:line="360" w:lineRule="auto"/>
              <w:jc w:val="center"/>
              <w:rPr>
                <w:rFonts w:cs="宋体"/>
                <w:color w:val="auto"/>
                <w:sz w:val="24"/>
                <w:szCs w:val="24"/>
                <w:highlight w:val="none"/>
              </w:rPr>
            </w:pPr>
          </w:p>
        </w:tc>
      </w:tr>
      <w:tr w14:paraId="0CB28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49C7EE22">
            <w:pPr>
              <w:spacing w:line="360" w:lineRule="auto"/>
              <w:jc w:val="center"/>
              <w:rPr>
                <w:rFonts w:cs="宋体"/>
                <w:color w:val="auto"/>
                <w:sz w:val="24"/>
                <w:szCs w:val="24"/>
                <w:highlight w:val="none"/>
              </w:rPr>
            </w:pPr>
            <w:r>
              <w:rPr>
                <w:rFonts w:hint="eastAsia" w:cs="宋体"/>
                <w:color w:val="auto"/>
                <w:sz w:val="24"/>
                <w:szCs w:val="24"/>
                <w:highlight w:val="none"/>
              </w:rPr>
              <w:t>项目副经理</w:t>
            </w:r>
          </w:p>
        </w:tc>
        <w:tc>
          <w:tcPr>
            <w:tcW w:w="627" w:type="pct"/>
            <w:vAlign w:val="center"/>
          </w:tcPr>
          <w:p w14:paraId="280BB42E">
            <w:pPr>
              <w:keepNext/>
              <w:spacing w:line="360" w:lineRule="auto"/>
              <w:jc w:val="center"/>
              <w:rPr>
                <w:rFonts w:cs="宋体"/>
                <w:color w:val="auto"/>
                <w:sz w:val="24"/>
                <w:szCs w:val="24"/>
                <w:highlight w:val="none"/>
              </w:rPr>
            </w:pPr>
          </w:p>
        </w:tc>
        <w:tc>
          <w:tcPr>
            <w:tcW w:w="502" w:type="pct"/>
            <w:vAlign w:val="center"/>
          </w:tcPr>
          <w:p w14:paraId="103B079B">
            <w:pPr>
              <w:keepNext/>
              <w:spacing w:line="360" w:lineRule="auto"/>
              <w:jc w:val="center"/>
              <w:rPr>
                <w:rFonts w:cs="宋体"/>
                <w:color w:val="auto"/>
                <w:sz w:val="24"/>
                <w:szCs w:val="24"/>
                <w:highlight w:val="none"/>
              </w:rPr>
            </w:pPr>
          </w:p>
        </w:tc>
        <w:tc>
          <w:tcPr>
            <w:tcW w:w="502" w:type="pct"/>
            <w:vAlign w:val="center"/>
          </w:tcPr>
          <w:p w14:paraId="6541BC0C">
            <w:pPr>
              <w:keepNext/>
              <w:spacing w:line="360" w:lineRule="auto"/>
              <w:jc w:val="center"/>
              <w:rPr>
                <w:rFonts w:cs="宋体"/>
                <w:color w:val="auto"/>
                <w:sz w:val="24"/>
                <w:szCs w:val="24"/>
                <w:highlight w:val="none"/>
              </w:rPr>
            </w:pPr>
          </w:p>
        </w:tc>
        <w:tc>
          <w:tcPr>
            <w:tcW w:w="1281" w:type="pct"/>
            <w:vAlign w:val="center"/>
          </w:tcPr>
          <w:p w14:paraId="46F419B8">
            <w:pPr>
              <w:keepNext/>
              <w:spacing w:line="360" w:lineRule="auto"/>
              <w:jc w:val="center"/>
              <w:rPr>
                <w:rFonts w:cs="宋体"/>
                <w:color w:val="auto"/>
                <w:sz w:val="24"/>
                <w:szCs w:val="24"/>
                <w:highlight w:val="none"/>
              </w:rPr>
            </w:pPr>
          </w:p>
        </w:tc>
        <w:tc>
          <w:tcPr>
            <w:tcW w:w="1151" w:type="pct"/>
            <w:vAlign w:val="center"/>
          </w:tcPr>
          <w:p w14:paraId="1714F673">
            <w:pPr>
              <w:keepNext/>
              <w:spacing w:line="360" w:lineRule="auto"/>
              <w:jc w:val="center"/>
              <w:rPr>
                <w:rFonts w:cs="宋体"/>
                <w:color w:val="auto"/>
                <w:sz w:val="24"/>
                <w:szCs w:val="24"/>
                <w:highlight w:val="none"/>
              </w:rPr>
            </w:pPr>
          </w:p>
        </w:tc>
      </w:tr>
      <w:tr w14:paraId="1D5885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31DC7E72">
            <w:pPr>
              <w:spacing w:line="360" w:lineRule="auto"/>
              <w:jc w:val="center"/>
              <w:rPr>
                <w:rFonts w:cs="宋体"/>
                <w:color w:val="auto"/>
                <w:sz w:val="24"/>
                <w:szCs w:val="24"/>
                <w:highlight w:val="none"/>
              </w:rPr>
            </w:pPr>
            <w:r>
              <w:rPr>
                <w:rFonts w:hint="eastAsia" w:cs="宋体"/>
                <w:color w:val="auto"/>
                <w:sz w:val="24"/>
                <w:szCs w:val="24"/>
                <w:highlight w:val="none"/>
              </w:rPr>
              <w:t>项目技术负责人</w:t>
            </w:r>
          </w:p>
        </w:tc>
        <w:tc>
          <w:tcPr>
            <w:tcW w:w="627" w:type="pct"/>
            <w:vAlign w:val="center"/>
          </w:tcPr>
          <w:p w14:paraId="7A6B4573">
            <w:pPr>
              <w:keepNext/>
              <w:spacing w:line="360" w:lineRule="auto"/>
              <w:jc w:val="center"/>
              <w:rPr>
                <w:rFonts w:cs="宋体"/>
                <w:color w:val="auto"/>
                <w:sz w:val="24"/>
                <w:szCs w:val="24"/>
                <w:highlight w:val="none"/>
              </w:rPr>
            </w:pPr>
          </w:p>
        </w:tc>
        <w:tc>
          <w:tcPr>
            <w:tcW w:w="502" w:type="pct"/>
            <w:vAlign w:val="center"/>
          </w:tcPr>
          <w:p w14:paraId="2193F3DB">
            <w:pPr>
              <w:keepNext/>
              <w:spacing w:line="360" w:lineRule="auto"/>
              <w:jc w:val="center"/>
              <w:rPr>
                <w:rFonts w:cs="宋体"/>
                <w:color w:val="auto"/>
                <w:sz w:val="24"/>
                <w:szCs w:val="24"/>
                <w:highlight w:val="none"/>
              </w:rPr>
            </w:pPr>
          </w:p>
        </w:tc>
        <w:tc>
          <w:tcPr>
            <w:tcW w:w="502" w:type="pct"/>
            <w:vAlign w:val="center"/>
          </w:tcPr>
          <w:p w14:paraId="52A369A9">
            <w:pPr>
              <w:keepNext/>
              <w:spacing w:line="360" w:lineRule="auto"/>
              <w:jc w:val="center"/>
              <w:rPr>
                <w:rFonts w:cs="宋体"/>
                <w:color w:val="auto"/>
                <w:sz w:val="24"/>
                <w:szCs w:val="24"/>
                <w:highlight w:val="none"/>
              </w:rPr>
            </w:pPr>
          </w:p>
        </w:tc>
        <w:tc>
          <w:tcPr>
            <w:tcW w:w="1281" w:type="pct"/>
            <w:vAlign w:val="center"/>
          </w:tcPr>
          <w:p w14:paraId="1BB712CB">
            <w:pPr>
              <w:keepNext/>
              <w:spacing w:line="360" w:lineRule="auto"/>
              <w:jc w:val="center"/>
              <w:rPr>
                <w:rFonts w:cs="宋体"/>
                <w:color w:val="auto"/>
                <w:sz w:val="24"/>
                <w:szCs w:val="24"/>
                <w:highlight w:val="none"/>
              </w:rPr>
            </w:pPr>
          </w:p>
        </w:tc>
        <w:tc>
          <w:tcPr>
            <w:tcW w:w="1151" w:type="pct"/>
            <w:vAlign w:val="center"/>
          </w:tcPr>
          <w:p w14:paraId="740BCD0D">
            <w:pPr>
              <w:keepNext/>
              <w:spacing w:line="360" w:lineRule="auto"/>
              <w:jc w:val="center"/>
              <w:rPr>
                <w:rFonts w:cs="宋体"/>
                <w:color w:val="auto"/>
                <w:sz w:val="24"/>
                <w:szCs w:val="24"/>
                <w:highlight w:val="none"/>
              </w:rPr>
            </w:pPr>
          </w:p>
        </w:tc>
      </w:tr>
      <w:tr w14:paraId="4A8591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13886768">
            <w:pPr>
              <w:spacing w:line="360" w:lineRule="auto"/>
              <w:jc w:val="center"/>
              <w:rPr>
                <w:rFonts w:cs="宋体"/>
                <w:color w:val="auto"/>
                <w:sz w:val="24"/>
                <w:szCs w:val="24"/>
                <w:highlight w:val="none"/>
              </w:rPr>
            </w:pPr>
            <w:r>
              <w:rPr>
                <w:rFonts w:hint="eastAsia" w:cs="宋体"/>
                <w:color w:val="auto"/>
                <w:sz w:val="24"/>
                <w:szCs w:val="24"/>
                <w:highlight w:val="none"/>
              </w:rPr>
              <w:t>施工员</w:t>
            </w:r>
          </w:p>
        </w:tc>
        <w:tc>
          <w:tcPr>
            <w:tcW w:w="627" w:type="pct"/>
            <w:vAlign w:val="center"/>
          </w:tcPr>
          <w:p w14:paraId="56A04B5B">
            <w:pPr>
              <w:keepNext/>
              <w:spacing w:line="360" w:lineRule="auto"/>
              <w:jc w:val="center"/>
              <w:rPr>
                <w:rFonts w:cs="宋体"/>
                <w:color w:val="auto"/>
                <w:sz w:val="24"/>
                <w:szCs w:val="24"/>
                <w:highlight w:val="none"/>
              </w:rPr>
            </w:pPr>
          </w:p>
        </w:tc>
        <w:tc>
          <w:tcPr>
            <w:tcW w:w="502" w:type="pct"/>
            <w:vAlign w:val="center"/>
          </w:tcPr>
          <w:p w14:paraId="32089B8A">
            <w:pPr>
              <w:keepNext/>
              <w:spacing w:line="360" w:lineRule="auto"/>
              <w:jc w:val="center"/>
              <w:rPr>
                <w:rFonts w:cs="宋体"/>
                <w:color w:val="auto"/>
                <w:sz w:val="24"/>
                <w:szCs w:val="24"/>
                <w:highlight w:val="none"/>
              </w:rPr>
            </w:pPr>
          </w:p>
        </w:tc>
        <w:tc>
          <w:tcPr>
            <w:tcW w:w="502" w:type="pct"/>
            <w:vAlign w:val="center"/>
          </w:tcPr>
          <w:p w14:paraId="4696742F">
            <w:pPr>
              <w:keepNext/>
              <w:spacing w:line="360" w:lineRule="auto"/>
              <w:jc w:val="center"/>
              <w:rPr>
                <w:rFonts w:cs="宋体"/>
                <w:color w:val="auto"/>
                <w:sz w:val="24"/>
                <w:szCs w:val="24"/>
                <w:highlight w:val="none"/>
              </w:rPr>
            </w:pPr>
          </w:p>
        </w:tc>
        <w:tc>
          <w:tcPr>
            <w:tcW w:w="1281" w:type="pct"/>
            <w:vAlign w:val="center"/>
          </w:tcPr>
          <w:p w14:paraId="7AC50A14">
            <w:pPr>
              <w:keepNext/>
              <w:spacing w:line="360" w:lineRule="auto"/>
              <w:jc w:val="center"/>
              <w:rPr>
                <w:rFonts w:cs="宋体"/>
                <w:color w:val="auto"/>
                <w:sz w:val="24"/>
                <w:szCs w:val="24"/>
                <w:highlight w:val="none"/>
              </w:rPr>
            </w:pPr>
          </w:p>
        </w:tc>
        <w:tc>
          <w:tcPr>
            <w:tcW w:w="1151" w:type="pct"/>
            <w:vAlign w:val="center"/>
          </w:tcPr>
          <w:p w14:paraId="6A368D35">
            <w:pPr>
              <w:keepNext/>
              <w:spacing w:line="360" w:lineRule="auto"/>
              <w:jc w:val="center"/>
              <w:rPr>
                <w:rFonts w:cs="宋体"/>
                <w:color w:val="auto"/>
                <w:sz w:val="24"/>
                <w:szCs w:val="24"/>
                <w:highlight w:val="none"/>
              </w:rPr>
            </w:pPr>
          </w:p>
        </w:tc>
      </w:tr>
      <w:tr w14:paraId="3CC717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42D636E9">
            <w:pPr>
              <w:spacing w:line="360" w:lineRule="auto"/>
              <w:jc w:val="center"/>
              <w:rPr>
                <w:rFonts w:cs="宋体"/>
                <w:color w:val="auto"/>
                <w:sz w:val="24"/>
                <w:szCs w:val="24"/>
                <w:highlight w:val="none"/>
              </w:rPr>
            </w:pPr>
            <w:r>
              <w:rPr>
                <w:rFonts w:hint="eastAsia" w:cs="宋体"/>
                <w:color w:val="auto"/>
                <w:sz w:val="24"/>
                <w:szCs w:val="24"/>
                <w:highlight w:val="none"/>
              </w:rPr>
              <w:t>质检员（质量员）</w:t>
            </w:r>
          </w:p>
        </w:tc>
        <w:tc>
          <w:tcPr>
            <w:tcW w:w="627" w:type="pct"/>
            <w:vAlign w:val="center"/>
          </w:tcPr>
          <w:p w14:paraId="1A28007D">
            <w:pPr>
              <w:keepNext/>
              <w:spacing w:line="360" w:lineRule="auto"/>
              <w:jc w:val="center"/>
              <w:rPr>
                <w:rFonts w:cs="宋体"/>
                <w:color w:val="auto"/>
                <w:sz w:val="24"/>
                <w:szCs w:val="24"/>
                <w:highlight w:val="none"/>
              </w:rPr>
            </w:pPr>
          </w:p>
        </w:tc>
        <w:tc>
          <w:tcPr>
            <w:tcW w:w="502" w:type="pct"/>
            <w:vAlign w:val="center"/>
          </w:tcPr>
          <w:p w14:paraId="1B7777D7">
            <w:pPr>
              <w:keepNext/>
              <w:spacing w:line="360" w:lineRule="auto"/>
              <w:jc w:val="center"/>
              <w:rPr>
                <w:rFonts w:cs="宋体"/>
                <w:color w:val="auto"/>
                <w:sz w:val="24"/>
                <w:szCs w:val="24"/>
                <w:highlight w:val="none"/>
              </w:rPr>
            </w:pPr>
          </w:p>
        </w:tc>
        <w:tc>
          <w:tcPr>
            <w:tcW w:w="502" w:type="pct"/>
            <w:vAlign w:val="center"/>
          </w:tcPr>
          <w:p w14:paraId="557D8F94">
            <w:pPr>
              <w:keepNext/>
              <w:spacing w:line="360" w:lineRule="auto"/>
              <w:jc w:val="center"/>
              <w:rPr>
                <w:rFonts w:cs="宋体"/>
                <w:color w:val="auto"/>
                <w:sz w:val="24"/>
                <w:szCs w:val="24"/>
                <w:highlight w:val="none"/>
              </w:rPr>
            </w:pPr>
          </w:p>
        </w:tc>
        <w:tc>
          <w:tcPr>
            <w:tcW w:w="1281" w:type="pct"/>
            <w:vAlign w:val="center"/>
          </w:tcPr>
          <w:p w14:paraId="4296D5CA">
            <w:pPr>
              <w:keepNext/>
              <w:spacing w:line="360" w:lineRule="auto"/>
              <w:jc w:val="center"/>
              <w:rPr>
                <w:rFonts w:cs="宋体"/>
                <w:color w:val="auto"/>
                <w:sz w:val="24"/>
                <w:szCs w:val="24"/>
                <w:highlight w:val="none"/>
              </w:rPr>
            </w:pPr>
          </w:p>
        </w:tc>
        <w:tc>
          <w:tcPr>
            <w:tcW w:w="1151" w:type="pct"/>
            <w:vAlign w:val="center"/>
          </w:tcPr>
          <w:p w14:paraId="3AB9F9E8">
            <w:pPr>
              <w:keepNext/>
              <w:spacing w:line="360" w:lineRule="auto"/>
              <w:jc w:val="center"/>
              <w:rPr>
                <w:rFonts w:cs="宋体"/>
                <w:color w:val="auto"/>
                <w:sz w:val="24"/>
                <w:szCs w:val="24"/>
                <w:highlight w:val="none"/>
              </w:rPr>
            </w:pPr>
          </w:p>
        </w:tc>
      </w:tr>
      <w:tr w14:paraId="26265B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1F814BC">
            <w:pPr>
              <w:spacing w:line="360" w:lineRule="auto"/>
              <w:jc w:val="center"/>
              <w:rPr>
                <w:rFonts w:cs="宋体"/>
                <w:color w:val="auto"/>
                <w:sz w:val="24"/>
                <w:szCs w:val="24"/>
                <w:highlight w:val="none"/>
              </w:rPr>
            </w:pPr>
            <w:r>
              <w:rPr>
                <w:rFonts w:hint="eastAsia" w:cs="宋体"/>
                <w:color w:val="auto"/>
                <w:sz w:val="24"/>
                <w:szCs w:val="24"/>
                <w:highlight w:val="none"/>
              </w:rPr>
              <w:t>安全员</w:t>
            </w:r>
          </w:p>
        </w:tc>
        <w:tc>
          <w:tcPr>
            <w:tcW w:w="627" w:type="pct"/>
            <w:vAlign w:val="center"/>
          </w:tcPr>
          <w:p w14:paraId="7FE56CFC">
            <w:pPr>
              <w:keepNext/>
              <w:spacing w:line="360" w:lineRule="auto"/>
              <w:jc w:val="center"/>
              <w:rPr>
                <w:rFonts w:cs="宋体"/>
                <w:color w:val="auto"/>
                <w:sz w:val="24"/>
                <w:szCs w:val="24"/>
                <w:highlight w:val="none"/>
              </w:rPr>
            </w:pPr>
          </w:p>
        </w:tc>
        <w:tc>
          <w:tcPr>
            <w:tcW w:w="502" w:type="pct"/>
            <w:vAlign w:val="center"/>
          </w:tcPr>
          <w:p w14:paraId="44A797C8">
            <w:pPr>
              <w:keepNext/>
              <w:spacing w:line="360" w:lineRule="auto"/>
              <w:jc w:val="center"/>
              <w:rPr>
                <w:rFonts w:cs="宋体"/>
                <w:color w:val="auto"/>
                <w:sz w:val="24"/>
                <w:szCs w:val="24"/>
                <w:highlight w:val="none"/>
              </w:rPr>
            </w:pPr>
          </w:p>
        </w:tc>
        <w:tc>
          <w:tcPr>
            <w:tcW w:w="502" w:type="pct"/>
            <w:vAlign w:val="center"/>
          </w:tcPr>
          <w:p w14:paraId="42994032">
            <w:pPr>
              <w:keepNext/>
              <w:spacing w:line="360" w:lineRule="auto"/>
              <w:jc w:val="center"/>
              <w:rPr>
                <w:rFonts w:cs="宋体"/>
                <w:color w:val="auto"/>
                <w:sz w:val="24"/>
                <w:szCs w:val="24"/>
                <w:highlight w:val="none"/>
              </w:rPr>
            </w:pPr>
          </w:p>
        </w:tc>
        <w:tc>
          <w:tcPr>
            <w:tcW w:w="1281" w:type="pct"/>
            <w:vAlign w:val="center"/>
          </w:tcPr>
          <w:p w14:paraId="4C2C3A5D">
            <w:pPr>
              <w:keepNext/>
              <w:spacing w:line="360" w:lineRule="auto"/>
              <w:jc w:val="center"/>
              <w:rPr>
                <w:rFonts w:cs="宋体"/>
                <w:color w:val="auto"/>
                <w:sz w:val="24"/>
                <w:szCs w:val="24"/>
                <w:highlight w:val="none"/>
              </w:rPr>
            </w:pPr>
          </w:p>
        </w:tc>
        <w:tc>
          <w:tcPr>
            <w:tcW w:w="1151" w:type="pct"/>
            <w:vAlign w:val="center"/>
          </w:tcPr>
          <w:p w14:paraId="33160362">
            <w:pPr>
              <w:keepNext/>
              <w:spacing w:line="360" w:lineRule="auto"/>
              <w:jc w:val="center"/>
              <w:rPr>
                <w:rFonts w:cs="宋体"/>
                <w:color w:val="auto"/>
                <w:sz w:val="24"/>
                <w:szCs w:val="24"/>
                <w:highlight w:val="none"/>
              </w:rPr>
            </w:pPr>
          </w:p>
        </w:tc>
      </w:tr>
      <w:tr w14:paraId="6743DE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DE92A26">
            <w:pPr>
              <w:spacing w:line="360" w:lineRule="auto"/>
              <w:jc w:val="center"/>
              <w:rPr>
                <w:rFonts w:cs="宋体"/>
                <w:color w:val="auto"/>
                <w:sz w:val="24"/>
                <w:szCs w:val="24"/>
                <w:highlight w:val="none"/>
              </w:rPr>
            </w:pPr>
            <w:r>
              <w:rPr>
                <w:rFonts w:hint="eastAsia" w:cs="宋体"/>
                <w:color w:val="auto"/>
                <w:sz w:val="24"/>
                <w:szCs w:val="24"/>
                <w:highlight w:val="none"/>
              </w:rPr>
              <w:t>资料员</w:t>
            </w:r>
          </w:p>
        </w:tc>
        <w:tc>
          <w:tcPr>
            <w:tcW w:w="627" w:type="pct"/>
            <w:vAlign w:val="center"/>
          </w:tcPr>
          <w:p w14:paraId="40E49188">
            <w:pPr>
              <w:keepNext/>
              <w:spacing w:line="360" w:lineRule="auto"/>
              <w:jc w:val="center"/>
              <w:rPr>
                <w:rFonts w:cs="宋体"/>
                <w:color w:val="auto"/>
                <w:sz w:val="24"/>
                <w:szCs w:val="24"/>
                <w:highlight w:val="none"/>
              </w:rPr>
            </w:pPr>
          </w:p>
        </w:tc>
        <w:tc>
          <w:tcPr>
            <w:tcW w:w="502" w:type="pct"/>
            <w:vAlign w:val="center"/>
          </w:tcPr>
          <w:p w14:paraId="786A322A">
            <w:pPr>
              <w:keepNext/>
              <w:spacing w:line="360" w:lineRule="auto"/>
              <w:jc w:val="center"/>
              <w:rPr>
                <w:rFonts w:cs="宋体"/>
                <w:color w:val="auto"/>
                <w:sz w:val="24"/>
                <w:szCs w:val="24"/>
                <w:highlight w:val="none"/>
              </w:rPr>
            </w:pPr>
          </w:p>
        </w:tc>
        <w:tc>
          <w:tcPr>
            <w:tcW w:w="502" w:type="pct"/>
            <w:vAlign w:val="center"/>
          </w:tcPr>
          <w:p w14:paraId="0E8E74D0">
            <w:pPr>
              <w:keepNext/>
              <w:spacing w:line="360" w:lineRule="auto"/>
              <w:jc w:val="center"/>
              <w:rPr>
                <w:rFonts w:cs="宋体"/>
                <w:color w:val="auto"/>
                <w:sz w:val="24"/>
                <w:szCs w:val="24"/>
                <w:highlight w:val="none"/>
              </w:rPr>
            </w:pPr>
          </w:p>
        </w:tc>
        <w:tc>
          <w:tcPr>
            <w:tcW w:w="1281" w:type="pct"/>
            <w:vAlign w:val="center"/>
          </w:tcPr>
          <w:p w14:paraId="316C833C">
            <w:pPr>
              <w:keepNext/>
              <w:spacing w:line="360" w:lineRule="auto"/>
              <w:jc w:val="center"/>
              <w:rPr>
                <w:rFonts w:cs="宋体"/>
                <w:color w:val="auto"/>
                <w:sz w:val="24"/>
                <w:szCs w:val="24"/>
                <w:highlight w:val="none"/>
              </w:rPr>
            </w:pPr>
          </w:p>
        </w:tc>
        <w:tc>
          <w:tcPr>
            <w:tcW w:w="1151" w:type="pct"/>
            <w:vAlign w:val="center"/>
          </w:tcPr>
          <w:p w14:paraId="5FCA3A93">
            <w:pPr>
              <w:keepNext/>
              <w:spacing w:line="360" w:lineRule="auto"/>
              <w:jc w:val="center"/>
              <w:rPr>
                <w:rFonts w:cs="宋体"/>
                <w:color w:val="auto"/>
                <w:sz w:val="24"/>
                <w:szCs w:val="24"/>
                <w:highlight w:val="none"/>
              </w:rPr>
            </w:pPr>
          </w:p>
        </w:tc>
      </w:tr>
      <w:tr w14:paraId="3DF32C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057DB93A">
            <w:pPr>
              <w:spacing w:line="360" w:lineRule="auto"/>
              <w:jc w:val="center"/>
              <w:rPr>
                <w:rFonts w:cs="宋体"/>
                <w:color w:val="auto"/>
                <w:sz w:val="24"/>
                <w:szCs w:val="24"/>
                <w:highlight w:val="none"/>
              </w:rPr>
            </w:pPr>
            <w:r>
              <w:rPr>
                <w:rFonts w:hint="eastAsia" w:cs="宋体"/>
                <w:color w:val="auto"/>
                <w:sz w:val="24"/>
                <w:szCs w:val="24"/>
                <w:highlight w:val="none"/>
              </w:rPr>
              <w:t>其他人员</w:t>
            </w:r>
          </w:p>
        </w:tc>
        <w:tc>
          <w:tcPr>
            <w:tcW w:w="627" w:type="pct"/>
            <w:vAlign w:val="center"/>
          </w:tcPr>
          <w:p w14:paraId="75AE39F7">
            <w:pPr>
              <w:keepNext/>
              <w:spacing w:line="360" w:lineRule="auto"/>
              <w:jc w:val="center"/>
              <w:rPr>
                <w:rFonts w:cs="宋体"/>
                <w:color w:val="auto"/>
                <w:sz w:val="24"/>
                <w:szCs w:val="24"/>
                <w:highlight w:val="none"/>
              </w:rPr>
            </w:pPr>
          </w:p>
        </w:tc>
        <w:tc>
          <w:tcPr>
            <w:tcW w:w="502" w:type="pct"/>
            <w:vAlign w:val="center"/>
          </w:tcPr>
          <w:p w14:paraId="0EAC7074">
            <w:pPr>
              <w:keepNext/>
              <w:spacing w:line="360" w:lineRule="auto"/>
              <w:jc w:val="center"/>
              <w:rPr>
                <w:rFonts w:cs="宋体"/>
                <w:color w:val="auto"/>
                <w:sz w:val="24"/>
                <w:szCs w:val="24"/>
                <w:highlight w:val="none"/>
              </w:rPr>
            </w:pPr>
          </w:p>
        </w:tc>
        <w:tc>
          <w:tcPr>
            <w:tcW w:w="502" w:type="pct"/>
            <w:vAlign w:val="center"/>
          </w:tcPr>
          <w:p w14:paraId="26B85833">
            <w:pPr>
              <w:keepNext/>
              <w:spacing w:line="360" w:lineRule="auto"/>
              <w:jc w:val="center"/>
              <w:rPr>
                <w:rFonts w:cs="宋体"/>
                <w:color w:val="auto"/>
                <w:sz w:val="24"/>
                <w:szCs w:val="24"/>
                <w:highlight w:val="none"/>
              </w:rPr>
            </w:pPr>
          </w:p>
        </w:tc>
        <w:tc>
          <w:tcPr>
            <w:tcW w:w="1281" w:type="pct"/>
            <w:vAlign w:val="center"/>
          </w:tcPr>
          <w:p w14:paraId="28B0D7B4">
            <w:pPr>
              <w:keepNext/>
              <w:spacing w:line="360" w:lineRule="auto"/>
              <w:jc w:val="center"/>
              <w:rPr>
                <w:rFonts w:cs="宋体"/>
                <w:color w:val="auto"/>
                <w:sz w:val="24"/>
                <w:szCs w:val="24"/>
                <w:highlight w:val="none"/>
              </w:rPr>
            </w:pPr>
          </w:p>
        </w:tc>
        <w:tc>
          <w:tcPr>
            <w:tcW w:w="1151" w:type="pct"/>
            <w:vAlign w:val="center"/>
          </w:tcPr>
          <w:p w14:paraId="7AF2824F">
            <w:pPr>
              <w:keepNext/>
              <w:spacing w:line="360" w:lineRule="auto"/>
              <w:jc w:val="center"/>
              <w:rPr>
                <w:rFonts w:cs="宋体"/>
                <w:color w:val="auto"/>
                <w:sz w:val="24"/>
                <w:szCs w:val="24"/>
                <w:highlight w:val="none"/>
              </w:rPr>
            </w:pPr>
          </w:p>
        </w:tc>
      </w:tr>
      <w:tr w14:paraId="15C16A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0189AFA7">
            <w:pPr>
              <w:keepNext/>
              <w:spacing w:line="360" w:lineRule="auto"/>
              <w:jc w:val="center"/>
              <w:rPr>
                <w:rFonts w:cs="宋体"/>
                <w:color w:val="auto"/>
                <w:sz w:val="24"/>
                <w:szCs w:val="24"/>
                <w:highlight w:val="none"/>
              </w:rPr>
            </w:pPr>
          </w:p>
        </w:tc>
        <w:tc>
          <w:tcPr>
            <w:tcW w:w="627" w:type="pct"/>
            <w:tcBorders>
              <w:bottom w:val="nil"/>
            </w:tcBorders>
            <w:vAlign w:val="center"/>
          </w:tcPr>
          <w:p w14:paraId="73A83653">
            <w:pPr>
              <w:keepNext/>
              <w:spacing w:line="360" w:lineRule="auto"/>
              <w:jc w:val="center"/>
              <w:rPr>
                <w:rFonts w:cs="宋体"/>
                <w:color w:val="auto"/>
                <w:sz w:val="24"/>
                <w:szCs w:val="24"/>
                <w:highlight w:val="none"/>
              </w:rPr>
            </w:pPr>
          </w:p>
        </w:tc>
        <w:tc>
          <w:tcPr>
            <w:tcW w:w="502" w:type="pct"/>
            <w:tcBorders>
              <w:bottom w:val="nil"/>
            </w:tcBorders>
            <w:vAlign w:val="center"/>
          </w:tcPr>
          <w:p w14:paraId="2DB62B8F">
            <w:pPr>
              <w:keepNext/>
              <w:spacing w:line="360" w:lineRule="auto"/>
              <w:jc w:val="center"/>
              <w:rPr>
                <w:rFonts w:cs="宋体"/>
                <w:color w:val="auto"/>
                <w:sz w:val="24"/>
                <w:szCs w:val="24"/>
                <w:highlight w:val="none"/>
              </w:rPr>
            </w:pPr>
          </w:p>
        </w:tc>
        <w:tc>
          <w:tcPr>
            <w:tcW w:w="502" w:type="pct"/>
            <w:tcBorders>
              <w:bottom w:val="nil"/>
            </w:tcBorders>
            <w:vAlign w:val="center"/>
          </w:tcPr>
          <w:p w14:paraId="3C8D91A4">
            <w:pPr>
              <w:keepNext/>
              <w:spacing w:line="360" w:lineRule="auto"/>
              <w:jc w:val="center"/>
              <w:rPr>
                <w:rFonts w:cs="宋体"/>
                <w:color w:val="auto"/>
                <w:sz w:val="24"/>
                <w:szCs w:val="24"/>
                <w:highlight w:val="none"/>
              </w:rPr>
            </w:pPr>
          </w:p>
        </w:tc>
        <w:tc>
          <w:tcPr>
            <w:tcW w:w="1281" w:type="pct"/>
            <w:tcBorders>
              <w:bottom w:val="nil"/>
            </w:tcBorders>
            <w:vAlign w:val="center"/>
          </w:tcPr>
          <w:p w14:paraId="5016052F">
            <w:pPr>
              <w:keepNext/>
              <w:spacing w:line="360" w:lineRule="auto"/>
              <w:jc w:val="center"/>
              <w:rPr>
                <w:rFonts w:cs="宋体"/>
                <w:color w:val="auto"/>
                <w:sz w:val="24"/>
                <w:szCs w:val="24"/>
                <w:highlight w:val="none"/>
              </w:rPr>
            </w:pPr>
          </w:p>
        </w:tc>
        <w:tc>
          <w:tcPr>
            <w:tcW w:w="1151" w:type="pct"/>
            <w:tcBorders>
              <w:bottom w:val="nil"/>
            </w:tcBorders>
            <w:vAlign w:val="center"/>
          </w:tcPr>
          <w:p w14:paraId="4FB988BF">
            <w:pPr>
              <w:keepNext/>
              <w:spacing w:line="360" w:lineRule="auto"/>
              <w:jc w:val="center"/>
              <w:rPr>
                <w:rFonts w:cs="宋体"/>
                <w:color w:val="auto"/>
                <w:sz w:val="24"/>
                <w:szCs w:val="24"/>
                <w:highlight w:val="none"/>
              </w:rPr>
            </w:pPr>
          </w:p>
        </w:tc>
      </w:tr>
      <w:tr w14:paraId="7F14C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86FA0AD">
            <w:pPr>
              <w:keepNext/>
              <w:spacing w:line="360" w:lineRule="auto"/>
              <w:jc w:val="center"/>
              <w:rPr>
                <w:rFonts w:cs="宋体"/>
                <w:color w:val="auto"/>
                <w:sz w:val="24"/>
                <w:szCs w:val="24"/>
                <w:highlight w:val="none"/>
              </w:rPr>
            </w:pPr>
          </w:p>
        </w:tc>
        <w:tc>
          <w:tcPr>
            <w:tcW w:w="627" w:type="pct"/>
            <w:vAlign w:val="center"/>
          </w:tcPr>
          <w:p w14:paraId="2DC707F9">
            <w:pPr>
              <w:keepNext/>
              <w:spacing w:line="360" w:lineRule="auto"/>
              <w:jc w:val="center"/>
              <w:rPr>
                <w:rFonts w:cs="宋体"/>
                <w:color w:val="auto"/>
                <w:sz w:val="24"/>
                <w:szCs w:val="24"/>
                <w:highlight w:val="none"/>
              </w:rPr>
            </w:pPr>
          </w:p>
        </w:tc>
        <w:tc>
          <w:tcPr>
            <w:tcW w:w="502" w:type="pct"/>
            <w:vAlign w:val="center"/>
          </w:tcPr>
          <w:p w14:paraId="1FBAE2E6">
            <w:pPr>
              <w:keepNext/>
              <w:spacing w:line="360" w:lineRule="auto"/>
              <w:jc w:val="center"/>
              <w:rPr>
                <w:rFonts w:cs="宋体"/>
                <w:color w:val="auto"/>
                <w:sz w:val="24"/>
                <w:szCs w:val="24"/>
                <w:highlight w:val="none"/>
              </w:rPr>
            </w:pPr>
          </w:p>
        </w:tc>
        <w:tc>
          <w:tcPr>
            <w:tcW w:w="502" w:type="pct"/>
            <w:vAlign w:val="center"/>
          </w:tcPr>
          <w:p w14:paraId="27237E64">
            <w:pPr>
              <w:keepNext/>
              <w:spacing w:line="360" w:lineRule="auto"/>
              <w:jc w:val="center"/>
              <w:rPr>
                <w:rFonts w:cs="宋体"/>
                <w:color w:val="auto"/>
                <w:sz w:val="24"/>
                <w:szCs w:val="24"/>
                <w:highlight w:val="none"/>
              </w:rPr>
            </w:pPr>
          </w:p>
        </w:tc>
        <w:tc>
          <w:tcPr>
            <w:tcW w:w="1281" w:type="pct"/>
            <w:vAlign w:val="center"/>
          </w:tcPr>
          <w:p w14:paraId="2B9F71AE">
            <w:pPr>
              <w:keepNext/>
              <w:spacing w:line="360" w:lineRule="auto"/>
              <w:jc w:val="center"/>
              <w:rPr>
                <w:rFonts w:cs="宋体"/>
                <w:color w:val="auto"/>
                <w:sz w:val="24"/>
                <w:szCs w:val="24"/>
                <w:highlight w:val="none"/>
              </w:rPr>
            </w:pPr>
          </w:p>
        </w:tc>
        <w:tc>
          <w:tcPr>
            <w:tcW w:w="1151" w:type="pct"/>
            <w:vAlign w:val="center"/>
          </w:tcPr>
          <w:p w14:paraId="772C6203">
            <w:pPr>
              <w:keepNext/>
              <w:spacing w:line="360" w:lineRule="auto"/>
              <w:jc w:val="center"/>
              <w:rPr>
                <w:rFonts w:cs="宋体"/>
                <w:color w:val="auto"/>
                <w:sz w:val="24"/>
                <w:szCs w:val="24"/>
                <w:highlight w:val="none"/>
              </w:rPr>
            </w:pPr>
          </w:p>
        </w:tc>
      </w:tr>
      <w:tr w14:paraId="65A794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025829C9">
            <w:pPr>
              <w:keepNext/>
              <w:spacing w:line="360" w:lineRule="auto"/>
              <w:jc w:val="center"/>
              <w:rPr>
                <w:rFonts w:cs="宋体"/>
                <w:color w:val="auto"/>
                <w:sz w:val="24"/>
                <w:szCs w:val="24"/>
                <w:highlight w:val="none"/>
              </w:rPr>
            </w:pPr>
          </w:p>
        </w:tc>
        <w:tc>
          <w:tcPr>
            <w:tcW w:w="627" w:type="pct"/>
            <w:vAlign w:val="center"/>
          </w:tcPr>
          <w:p w14:paraId="6077569F">
            <w:pPr>
              <w:keepNext/>
              <w:spacing w:line="360" w:lineRule="auto"/>
              <w:jc w:val="center"/>
              <w:rPr>
                <w:rFonts w:cs="宋体"/>
                <w:color w:val="auto"/>
                <w:sz w:val="24"/>
                <w:szCs w:val="24"/>
                <w:highlight w:val="none"/>
              </w:rPr>
            </w:pPr>
          </w:p>
        </w:tc>
        <w:tc>
          <w:tcPr>
            <w:tcW w:w="502" w:type="pct"/>
            <w:vAlign w:val="center"/>
          </w:tcPr>
          <w:p w14:paraId="0F1AA0A1">
            <w:pPr>
              <w:keepNext/>
              <w:spacing w:line="360" w:lineRule="auto"/>
              <w:jc w:val="center"/>
              <w:rPr>
                <w:rFonts w:cs="宋体"/>
                <w:color w:val="auto"/>
                <w:sz w:val="24"/>
                <w:szCs w:val="24"/>
                <w:highlight w:val="none"/>
              </w:rPr>
            </w:pPr>
          </w:p>
        </w:tc>
        <w:tc>
          <w:tcPr>
            <w:tcW w:w="502" w:type="pct"/>
            <w:vAlign w:val="center"/>
          </w:tcPr>
          <w:p w14:paraId="32FA0B8D">
            <w:pPr>
              <w:keepNext/>
              <w:spacing w:line="360" w:lineRule="auto"/>
              <w:jc w:val="center"/>
              <w:rPr>
                <w:rFonts w:cs="宋体"/>
                <w:color w:val="auto"/>
                <w:sz w:val="24"/>
                <w:szCs w:val="24"/>
                <w:highlight w:val="none"/>
              </w:rPr>
            </w:pPr>
          </w:p>
        </w:tc>
        <w:tc>
          <w:tcPr>
            <w:tcW w:w="1281" w:type="pct"/>
            <w:vAlign w:val="center"/>
          </w:tcPr>
          <w:p w14:paraId="66C3845B">
            <w:pPr>
              <w:keepNext/>
              <w:spacing w:line="360" w:lineRule="auto"/>
              <w:jc w:val="center"/>
              <w:rPr>
                <w:rFonts w:cs="宋体"/>
                <w:color w:val="auto"/>
                <w:sz w:val="24"/>
                <w:szCs w:val="24"/>
                <w:highlight w:val="none"/>
              </w:rPr>
            </w:pPr>
          </w:p>
        </w:tc>
        <w:tc>
          <w:tcPr>
            <w:tcW w:w="1151" w:type="pct"/>
            <w:vAlign w:val="center"/>
          </w:tcPr>
          <w:p w14:paraId="6A34480A">
            <w:pPr>
              <w:keepNext/>
              <w:spacing w:line="360" w:lineRule="auto"/>
              <w:jc w:val="center"/>
              <w:rPr>
                <w:rFonts w:cs="宋体"/>
                <w:color w:val="auto"/>
                <w:sz w:val="24"/>
                <w:szCs w:val="24"/>
                <w:highlight w:val="none"/>
              </w:rPr>
            </w:pPr>
          </w:p>
        </w:tc>
      </w:tr>
      <w:tr w14:paraId="1372D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28B30CD1">
            <w:pPr>
              <w:keepNext/>
              <w:spacing w:line="360" w:lineRule="auto"/>
              <w:jc w:val="center"/>
              <w:rPr>
                <w:rFonts w:cs="宋体"/>
                <w:color w:val="auto"/>
                <w:sz w:val="24"/>
                <w:szCs w:val="24"/>
                <w:highlight w:val="none"/>
              </w:rPr>
            </w:pPr>
          </w:p>
        </w:tc>
        <w:tc>
          <w:tcPr>
            <w:tcW w:w="627" w:type="pct"/>
            <w:vAlign w:val="center"/>
          </w:tcPr>
          <w:p w14:paraId="628BF392">
            <w:pPr>
              <w:keepNext/>
              <w:spacing w:line="360" w:lineRule="auto"/>
              <w:jc w:val="center"/>
              <w:rPr>
                <w:rFonts w:cs="宋体"/>
                <w:color w:val="auto"/>
                <w:sz w:val="24"/>
                <w:szCs w:val="24"/>
                <w:highlight w:val="none"/>
              </w:rPr>
            </w:pPr>
          </w:p>
        </w:tc>
        <w:tc>
          <w:tcPr>
            <w:tcW w:w="502" w:type="pct"/>
            <w:vAlign w:val="center"/>
          </w:tcPr>
          <w:p w14:paraId="5F317844">
            <w:pPr>
              <w:keepNext/>
              <w:spacing w:line="360" w:lineRule="auto"/>
              <w:jc w:val="center"/>
              <w:rPr>
                <w:rFonts w:cs="宋体"/>
                <w:color w:val="auto"/>
                <w:sz w:val="24"/>
                <w:szCs w:val="24"/>
                <w:highlight w:val="none"/>
              </w:rPr>
            </w:pPr>
          </w:p>
        </w:tc>
        <w:tc>
          <w:tcPr>
            <w:tcW w:w="502" w:type="pct"/>
            <w:vAlign w:val="center"/>
          </w:tcPr>
          <w:p w14:paraId="126EE7FD">
            <w:pPr>
              <w:keepNext/>
              <w:spacing w:line="360" w:lineRule="auto"/>
              <w:jc w:val="center"/>
              <w:rPr>
                <w:rFonts w:cs="宋体"/>
                <w:color w:val="auto"/>
                <w:sz w:val="24"/>
                <w:szCs w:val="24"/>
                <w:highlight w:val="none"/>
              </w:rPr>
            </w:pPr>
          </w:p>
        </w:tc>
        <w:tc>
          <w:tcPr>
            <w:tcW w:w="1281" w:type="pct"/>
            <w:vAlign w:val="center"/>
          </w:tcPr>
          <w:p w14:paraId="459D10A9">
            <w:pPr>
              <w:keepNext/>
              <w:spacing w:line="360" w:lineRule="auto"/>
              <w:jc w:val="center"/>
              <w:rPr>
                <w:rFonts w:cs="宋体"/>
                <w:color w:val="auto"/>
                <w:sz w:val="24"/>
                <w:szCs w:val="24"/>
                <w:highlight w:val="none"/>
              </w:rPr>
            </w:pPr>
          </w:p>
        </w:tc>
        <w:tc>
          <w:tcPr>
            <w:tcW w:w="1151" w:type="pct"/>
            <w:vAlign w:val="center"/>
          </w:tcPr>
          <w:p w14:paraId="4DB087B0">
            <w:pPr>
              <w:keepNext/>
              <w:spacing w:line="360" w:lineRule="auto"/>
              <w:jc w:val="center"/>
              <w:rPr>
                <w:rFonts w:cs="宋体"/>
                <w:color w:val="auto"/>
                <w:sz w:val="24"/>
                <w:szCs w:val="24"/>
                <w:highlight w:val="none"/>
              </w:rPr>
            </w:pPr>
          </w:p>
        </w:tc>
      </w:tr>
      <w:tr w14:paraId="3AECFB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196F7122">
            <w:pPr>
              <w:keepNext/>
              <w:spacing w:line="360" w:lineRule="auto"/>
              <w:jc w:val="center"/>
              <w:rPr>
                <w:rFonts w:cs="宋体"/>
                <w:color w:val="auto"/>
                <w:sz w:val="24"/>
                <w:szCs w:val="24"/>
                <w:highlight w:val="none"/>
              </w:rPr>
            </w:pPr>
          </w:p>
        </w:tc>
        <w:tc>
          <w:tcPr>
            <w:tcW w:w="627" w:type="pct"/>
            <w:tcBorders>
              <w:bottom w:val="single" w:color="auto" w:sz="12" w:space="0"/>
            </w:tcBorders>
            <w:vAlign w:val="center"/>
          </w:tcPr>
          <w:p w14:paraId="017EFA16">
            <w:pPr>
              <w:keepNext/>
              <w:spacing w:line="360" w:lineRule="auto"/>
              <w:jc w:val="center"/>
              <w:rPr>
                <w:rFonts w:cs="宋体"/>
                <w:color w:val="auto"/>
                <w:sz w:val="24"/>
                <w:szCs w:val="24"/>
                <w:highlight w:val="none"/>
              </w:rPr>
            </w:pPr>
          </w:p>
        </w:tc>
        <w:tc>
          <w:tcPr>
            <w:tcW w:w="502" w:type="pct"/>
            <w:tcBorders>
              <w:bottom w:val="single" w:color="auto" w:sz="12" w:space="0"/>
            </w:tcBorders>
            <w:vAlign w:val="center"/>
          </w:tcPr>
          <w:p w14:paraId="78097A29">
            <w:pPr>
              <w:keepNext/>
              <w:spacing w:line="360" w:lineRule="auto"/>
              <w:jc w:val="center"/>
              <w:rPr>
                <w:rFonts w:cs="宋体"/>
                <w:color w:val="auto"/>
                <w:sz w:val="24"/>
                <w:szCs w:val="24"/>
                <w:highlight w:val="none"/>
              </w:rPr>
            </w:pPr>
          </w:p>
        </w:tc>
        <w:tc>
          <w:tcPr>
            <w:tcW w:w="502" w:type="pct"/>
            <w:tcBorders>
              <w:bottom w:val="single" w:color="auto" w:sz="12" w:space="0"/>
            </w:tcBorders>
            <w:vAlign w:val="center"/>
          </w:tcPr>
          <w:p w14:paraId="1F2E81ED">
            <w:pPr>
              <w:keepNext/>
              <w:spacing w:line="360" w:lineRule="auto"/>
              <w:jc w:val="center"/>
              <w:rPr>
                <w:rFonts w:cs="宋体"/>
                <w:color w:val="auto"/>
                <w:sz w:val="24"/>
                <w:szCs w:val="24"/>
                <w:highlight w:val="none"/>
              </w:rPr>
            </w:pPr>
          </w:p>
        </w:tc>
        <w:tc>
          <w:tcPr>
            <w:tcW w:w="1281" w:type="pct"/>
            <w:tcBorders>
              <w:bottom w:val="single" w:color="auto" w:sz="12" w:space="0"/>
            </w:tcBorders>
            <w:vAlign w:val="center"/>
          </w:tcPr>
          <w:p w14:paraId="67CE1A61">
            <w:pPr>
              <w:keepNext/>
              <w:spacing w:line="360" w:lineRule="auto"/>
              <w:jc w:val="center"/>
              <w:rPr>
                <w:rFonts w:cs="宋体"/>
                <w:color w:val="auto"/>
                <w:sz w:val="24"/>
                <w:szCs w:val="24"/>
                <w:highlight w:val="none"/>
              </w:rPr>
            </w:pPr>
          </w:p>
        </w:tc>
        <w:tc>
          <w:tcPr>
            <w:tcW w:w="1151" w:type="pct"/>
            <w:tcBorders>
              <w:bottom w:val="single" w:color="auto" w:sz="12" w:space="0"/>
            </w:tcBorders>
            <w:vAlign w:val="center"/>
          </w:tcPr>
          <w:p w14:paraId="40FB65DE">
            <w:pPr>
              <w:keepNext/>
              <w:spacing w:line="360" w:lineRule="auto"/>
              <w:jc w:val="center"/>
              <w:rPr>
                <w:rFonts w:cs="宋体"/>
                <w:color w:val="auto"/>
                <w:sz w:val="24"/>
                <w:szCs w:val="24"/>
                <w:highlight w:val="none"/>
              </w:rPr>
            </w:pPr>
          </w:p>
        </w:tc>
      </w:tr>
    </w:tbl>
    <w:p w14:paraId="77B7522F">
      <w:pPr>
        <w:spacing w:before="312" w:beforeLines="100" w:after="312" w:afterLines="100"/>
        <w:outlineLvl w:val="9"/>
        <w:rPr>
          <w:rFonts w:hint="eastAsia" w:ascii="Times New Roman" w:eastAsia="黑体"/>
          <w:color w:val="auto"/>
          <w:sz w:val="24"/>
          <w:szCs w:val="24"/>
          <w:highlight w:val="none"/>
        </w:rPr>
      </w:pPr>
    </w:p>
    <w:p w14:paraId="2D6F9F11">
      <w:pPr>
        <w:rPr>
          <w:rFonts w:hint="eastAsia" w:ascii="Times New Roman" w:eastAsia="黑体"/>
          <w:color w:val="auto"/>
          <w:sz w:val="24"/>
          <w:szCs w:val="24"/>
          <w:highlight w:val="none"/>
        </w:rPr>
      </w:pPr>
      <w:r>
        <w:rPr>
          <w:rFonts w:hint="eastAsia" w:ascii="Times New Roman" w:eastAsia="黑体"/>
          <w:color w:val="auto"/>
          <w:sz w:val="24"/>
          <w:szCs w:val="24"/>
          <w:highlight w:val="none"/>
        </w:rPr>
        <w:br w:type="page"/>
      </w:r>
    </w:p>
    <w:p w14:paraId="0D7722FB">
      <w:pPr>
        <w:spacing w:before="312" w:beforeLines="100" w:after="312" w:afterLines="100"/>
        <w:outlineLvl w:val="2"/>
        <w:rPr>
          <w:rFonts w:hint="eastAsia" w:ascii="Times New Roman" w:eastAsia="黑体"/>
          <w:color w:val="auto"/>
          <w:sz w:val="24"/>
          <w:szCs w:val="24"/>
          <w:highlight w:val="none"/>
          <w:lang w:val="en-US" w:eastAsia="zh-CN"/>
        </w:rPr>
      </w:pPr>
      <w:r>
        <w:rPr>
          <w:rFonts w:hint="eastAsia" w:ascii="Times New Roman" w:eastAsia="黑体"/>
          <w:color w:val="auto"/>
          <w:sz w:val="24"/>
          <w:szCs w:val="24"/>
          <w:highlight w:val="none"/>
        </w:rPr>
        <w:t>附件</w:t>
      </w:r>
      <w:r>
        <w:rPr>
          <w:rFonts w:hint="eastAsia" w:ascii="Times New Roman" w:eastAsia="黑体"/>
          <w:color w:val="auto"/>
          <w:sz w:val="24"/>
          <w:szCs w:val="24"/>
          <w:highlight w:val="none"/>
          <w:lang w:val="en-US" w:eastAsia="zh-CN"/>
        </w:rPr>
        <w:t>6</w:t>
      </w:r>
      <w:r>
        <w:rPr>
          <w:rFonts w:hint="eastAsia" w:ascii="Times New Roman" w:eastAsia="黑体"/>
          <w:color w:val="auto"/>
          <w:sz w:val="24"/>
          <w:szCs w:val="24"/>
          <w:highlight w:val="none"/>
        </w:rPr>
        <w:t>：履约保证金</w:t>
      </w:r>
      <w:bookmarkEnd w:id="635"/>
      <w:r>
        <w:rPr>
          <w:rFonts w:hint="eastAsia" w:ascii="Times New Roman" w:eastAsia="黑体"/>
          <w:color w:val="auto"/>
          <w:sz w:val="24"/>
          <w:szCs w:val="24"/>
          <w:highlight w:val="none"/>
          <w:lang w:val="en-US" w:eastAsia="zh-CN"/>
        </w:rPr>
        <w:t>格式</w:t>
      </w:r>
    </w:p>
    <w:p w14:paraId="4BB4CA4C">
      <w:pPr>
        <w:spacing w:line="360" w:lineRule="auto"/>
        <w:jc w:val="center"/>
        <w:rPr>
          <w:rFonts w:cs="宋体"/>
          <w:b/>
          <w:bCs/>
          <w:color w:val="auto"/>
          <w:sz w:val="24"/>
          <w:szCs w:val="24"/>
          <w:highlight w:val="none"/>
        </w:rPr>
      </w:pPr>
      <w:r>
        <w:rPr>
          <w:rFonts w:hint="eastAsia" w:cs="宋体"/>
          <w:b/>
          <w:bCs/>
          <w:color w:val="auto"/>
          <w:sz w:val="24"/>
          <w:szCs w:val="24"/>
          <w:highlight w:val="none"/>
        </w:rPr>
        <w:t>履约保函示范文本</w:t>
      </w:r>
    </w:p>
    <w:p w14:paraId="0B3FA921">
      <w:pPr>
        <w:wordWrap w:val="0"/>
        <w:spacing w:line="360" w:lineRule="auto"/>
        <w:jc w:val="right"/>
        <w:rPr>
          <w:rFonts w:ascii="Times New Roman"/>
          <w:color w:val="auto"/>
          <w:sz w:val="24"/>
          <w:szCs w:val="24"/>
          <w:highlight w:val="none"/>
        </w:rPr>
      </w:pPr>
      <w:r>
        <w:rPr>
          <w:rFonts w:hint="eastAsia" w:ascii="Times New Roman"/>
          <w:color w:val="auto"/>
          <w:sz w:val="24"/>
          <w:szCs w:val="24"/>
          <w:highlight w:val="none"/>
        </w:rPr>
        <w:t>编号：</w:t>
      </w:r>
      <w:r>
        <w:rPr>
          <w:rFonts w:hint="eastAsia" w:ascii="Times New Roman"/>
          <w:color w:val="auto"/>
          <w:sz w:val="24"/>
          <w:szCs w:val="24"/>
          <w:highlight w:val="none"/>
          <w:u w:val="single"/>
        </w:rPr>
        <w:t xml:space="preserve"> </w:t>
      </w:r>
      <w:r>
        <w:rPr>
          <w:rFonts w:ascii="Times New Roman"/>
          <w:color w:val="auto"/>
          <w:sz w:val="24"/>
          <w:szCs w:val="24"/>
          <w:highlight w:val="none"/>
          <w:u w:val="single"/>
        </w:rPr>
        <w:t xml:space="preserve">          </w:t>
      </w:r>
    </w:p>
    <w:p w14:paraId="42C08FD3">
      <w:pPr>
        <w:spacing w:line="360" w:lineRule="auto"/>
        <w:rPr>
          <w:rFonts w:ascii="Times New Roman"/>
          <w:color w:val="auto"/>
          <w:sz w:val="24"/>
          <w:szCs w:val="24"/>
          <w:highlight w:val="none"/>
        </w:rPr>
      </w:pPr>
    </w:p>
    <w:p w14:paraId="50CAEA84">
      <w:pPr>
        <w:spacing w:line="360" w:lineRule="auto"/>
        <w:rPr>
          <w:rFonts w:cs="宋体"/>
          <w:color w:val="auto"/>
          <w:sz w:val="24"/>
          <w:szCs w:val="24"/>
          <w:highlight w:val="none"/>
        </w:rPr>
      </w:pPr>
      <w:r>
        <w:rPr>
          <w:rFonts w:hint="eastAsia" w:cs="宋体"/>
          <w:color w:val="auto"/>
          <w:sz w:val="24"/>
          <w:szCs w:val="24"/>
          <w:highlight w:val="none"/>
          <w:u w:val="single"/>
        </w:rPr>
        <w:t xml:space="preserve">              </w:t>
      </w:r>
      <w:r>
        <w:rPr>
          <w:rFonts w:hint="eastAsia" w:cs="宋体"/>
          <w:color w:val="auto"/>
          <w:sz w:val="24"/>
          <w:szCs w:val="24"/>
          <w:highlight w:val="none"/>
        </w:rPr>
        <w:t xml:space="preserve">（受益人名称）： </w:t>
      </w:r>
    </w:p>
    <w:p w14:paraId="1C0F48C6">
      <w:pPr>
        <w:spacing w:line="360" w:lineRule="auto"/>
        <w:ind w:firstLine="480" w:firstLineChars="200"/>
        <w:rPr>
          <w:rFonts w:cs="宋体"/>
          <w:color w:val="auto"/>
          <w:sz w:val="24"/>
          <w:szCs w:val="24"/>
          <w:highlight w:val="none"/>
        </w:rPr>
      </w:pPr>
      <w:r>
        <w:rPr>
          <w:rFonts w:hint="eastAsia" w:cs="宋体"/>
          <w:color w:val="auto"/>
          <w:sz w:val="24"/>
          <w:szCs w:val="24"/>
          <w:highlight w:val="none"/>
        </w:rPr>
        <w:t>鉴于</w:t>
      </w:r>
      <w:r>
        <w:rPr>
          <w:rFonts w:hint="eastAsia" w:cs="宋体"/>
          <w:color w:val="auto"/>
          <w:sz w:val="24"/>
          <w:szCs w:val="24"/>
          <w:highlight w:val="none"/>
          <w:u w:val="single"/>
        </w:rPr>
        <w:t xml:space="preserve">        </w:t>
      </w:r>
      <w:r>
        <w:rPr>
          <w:rFonts w:hint="eastAsia" w:cs="宋体"/>
          <w:color w:val="auto"/>
          <w:sz w:val="24"/>
          <w:szCs w:val="24"/>
          <w:highlight w:val="none"/>
        </w:rPr>
        <w:t>（以下简称“受益人”）与</w:t>
      </w:r>
      <w:r>
        <w:rPr>
          <w:rFonts w:hint="eastAsia" w:cs="宋体"/>
          <w:color w:val="auto"/>
          <w:sz w:val="24"/>
          <w:szCs w:val="24"/>
          <w:highlight w:val="none"/>
          <w:u w:val="single"/>
        </w:rPr>
        <w:t xml:space="preserve">         </w:t>
      </w:r>
      <w:r>
        <w:rPr>
          <w:rFonts w:hint="eastAsia" w:cs="宋体"/>
          <w:color w:val="auto"/>
          <w:sz w:val="24"/>
          <w:szCs w:val="24"/>
          <w:highlight w:val="none"/>
        </w:rPr>
        <w:t>（以下简称“申请人”）于</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日就</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（项目编号）的</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（项目名称）</w:t>
      </w:r>
      <w:r>
        <w:rPr>
          <w:rFonts w:hint="eastAsia" w:cs="宋体"/>
          <w:color w:val="auto"/>
          <w:sz w:val="24"/>
          <w:szCs w:val="24"/>
          <w:highlight w:val="none"/>
        </w:rPr>
        <w:t>有关事项协商一致共同签订</w:t>
      </w:r>
      <w:r>
        <w:rPr>
          <w:rFonts w:hint="eastAsia" w:cs="宋体"/>
          <w:color w:val="auto"/>
          <w:sz w:val="24"/>
          <w:szCs w:val="24"/>
          <w:highlight w:val="none"/>
          <w:u w:val="single"/>
        </w:rPr>
        <w:t>《        》</w:t>
      </w:r>
      <w:r>
        <w:rPr>
          <w:rFonts w:hint="eastAsia" w:cs="宋体"/>
          <w:color w:val="auto"/>
          <w:sz w:val="24"/>
          <w:szCs w:val="24"/>
          <w:highlight w:val="none"/>
        </w:rPr>
        <w:t>（以下简称“基础合同”），开立人根据基础合同了解到申请人为基础合同项下之</w:t>
      </w:r>
      <w:r>
        <w:rPr>
          <w:rFonts w:hint="eastAsia" w:cs="宋体"/>
          <w:color w:val="auto"/>
          <w:sz w:val="24"/>
          <w:szCs w:val="24"/>
          <w:highlight w:val="none"/>
          <w:lang w:eastAsia="zh-CN"/>
        </w:rPr>
        <w:t>乙方</w:t>
      </w:r>
      <w:r>
        <w:rPr>
          <w:rFonts w:hint="eastAsia" w:cs="宋体"/>
          <w:color w:val="auto"/>
          <w:sz w:val="24"/>
          <w:szCs w:val="24"/>
          <w:highlight w:val="none"/>
        </w:rPr>
        <w:t>，受益人为基础合同项下之</w:t>
      </w:r>
      <w:r>
        <w:rPr>
          <w:rFonts w:hint="eastAsia" w:cs="宋体"/>
          <w:color w:val="auto"/>
          <w:sz w:val="24"/>
          <w:szCs w:val="24"/>
          <w:highlight w:val="none"/>
          <w:lang w:eastAsia="zh-CN"/>
        </w:rPr>
        <w:t>甲方</w:t>
      </w:r>
      <w:r>
        <w:rPr>
          <w:rFonts w:hint="eastAsia" w:cs="宋体"/>
          <w:color w:val="auto"/>
          <w:sz w:val="24"/>
          <w:szCs w:val="24"/>
          <w:highlight w:val="none"/>
        </w:rPr>
        <w:t xml:space="preserve">，基于申请人的请求，开立人同意就申请人履行与受益人签订的基础合同项下的义务，向受益人提供不可撤销、不可转让的见索即付独立保函（以下简称“本保函”）。 </w:t>
      </w:r>
    </w:p>
    <w:p w14:paraId="47D5F2B9">
      <w:pPr>
        <w:spacing w:line="360" w:lineRule="auto"/>
        <w:ind w:firstLine="480" w:firstLineChars="200"/>
        <w:rPr>
          <w:rFonts w:cs="宋体"/>
          <w:color w:val="auto"/>
          <w:sz w:val="24"/>
          <w:szCs w:val="24"/>
          <w:highlight w:val="none"/>
        </w:rPr>
      </w:pPr>
      <w:r>
        <w:rPr>
          <w:rFonts w:hint="eastAsia" w:cs="宋体"/>
          <w:color w:val="auto"/>
          <w:sz w:val="24"/>
          <w:szCs w:val="24"/>
          <w:highlight w:val="none"/>
        </w:rPr>
        <w:t>一、本保函担保范围：</w:t>
      </w:r>
      <w:r>
        <w:rPr>
          <w:rFonts w:hint="eastAsia" w:cs="宋体"/>
          <w:color w:val="auto"/>
          <w:sz w:val="24"/>
          <w:szCs w:val="24"/>
          <w:highlight w:val="none"/>
          <w:lang w:eastAsia="zh-CN"/>
        </w:rPr>
        <w:t>乙方</w:t>
      </w:r>
      <w:r>
        <w:rPr>
          <w:rFonts w:hint="eastAsia" w:cs="宋体"/>
          <w:color w:val="auto"/>
          <w:sz w:val="24"/>
          <w:szCs w:val="24"/>
          <w:highlight w:val="none"/>
        </w:rPr>
        <w:t>未按照基础合同的约定履行义务，应当向受益人承担的违约责任和赔偿因此造成的损失、利息、律师费、诉讼费用等实现债权的费用。</w:t>
      </w:r>
    </w:p>
    <w:p w14:paraId="3F444451">
      <w:pPr>
        <w:spacing w:line="360" w:lineRule="auto"/>
        <w:ind w:firstLine="480" w:firstLineChars="200"/>
        <w:rPr>
          <w:rFonts w:cs="宋体"/>
          <w:color w:val="auto"/>
          <w:sz w:val="24"/>
          <w:szCs w:val="24"/>
          <w:highlight w:val="none"/>
        </w:rPr>
      </w:pPr>
      <w:r>
        <w:rPr>
          <w:rFonts w:hint="eastAsia" w:cs="宋体"/>
          <w:color w:val="auto"/>
          <w:sz w:val="24"/>
          <w:szCs w:val="24"/>
          <w:highlight w:val="none"/>
        </w:rPr>
        <w:t>二、本保函担保金额最高不超过人民币（大写）</w:t>
      </w:r>
      <w:r>
        <w:rPr>
          <w:rFonts w:hint="eastAsia" w:cs="宋体"/>
          <w:color w:val="auto"/>
          <w:sz w:val="24"/>
          <w:szCs w:val="24"/>
          <w:highlight w:val="none"/>
          <w:u w:val="single"/>
        </w:rPr>
        <w:t xml:space="preserve">          </w:t>
      </w:r>
      <w:r>
        <w:rPr>
          <w:rFonts w:hint="eastAsia" w:cs="宋体"/>
          <w:color w:val="auto"/>
          <w:sz w:val="24"/>
          <w:szCs w:val="24"/>
          <w:highlight w:val="none"/>
        </w:rPr>
        <w:t>元（¥</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7A36F02D">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三、本保函有效期自开立之日起至基础合同约定的缺陷责任期满之日止。 </w:t>
      </w:r>
    </w:p>
    <w:p w14:paraId="79CC2E36">
      <w:pPr>
        <w:spacing w:line="360" w:lineRule="auto"/>
        <w:ind w:firstLine="480"/>
        <w:rPr>
          <w:rFonts w:cs="宋体"/>
          <w:color w:val="auto"/>
          <w:sz w:val="24"/>
          <w:szCs w:val="24"/>
          <w:highlight w:val="none"/>
        </w:rPr>
      </w:pPr>
      <w:bookmarkStart w:id="636" w:name="_Hlk40302764"/>
      <w:r>
        <w:rPr>
          <w:rFonts w:hint="eastAsia" w:cs="宋体"/>
          <w:color w:val="auto"/>
          <w:sz w:val="24"/>
          <w:szCs w:val="24"/>
          <w:highlight w:val="none"/>
        </w:rPr>
        <w:t>四、开立人承诺，在收到受益人发来的书面付款通知后的七日内无条件支付，前述书面付款通知即为付款要求之单据，且应满足以下要求：</w:t>
      </w:r>
    </w:p>
    <w:bookmarkEnd w:id="636"/>
    <w:p w14:paraId="344D87F3">
      <w:pPr>
        <w:spacing w:line="360" w:lineRule="auto"/>
        <w:ind w:firstLine="480" w:firstLineChars="200"/>
        <w:rPr>
          <w:rFonts w:cs="宋体"/>
          <w:color w:val="auto"/>
          <w:sz w:val="24"/>
          <w:szCs w:val="24"/>
          <w:highlight w:val="none"/>
        </w:rPr>
      </w:pPr>
      <w:r>
        <w:rPr>
          <w:rFonts w:hint="eastAsia" w:cs="宋体"/>
          <w:color w:val="auto"/>
          <w:sz w:val="24"/>
          <w:szCs w:val="24"/>
          <w:highlight w:val="none"/>
        </w:rPr>
        <w:t>（1）付款通知到达的日期在本保函的有效期内；</w:t>
      </w:r>
    </w:p>
    <w:p w14:paraId="6068A4A4">
      <w:pPr>
        <w:spacing w:line="360" w:lineRule="auto"/>
        <w:ind w:firstLine="480" w:firstLineChars="200"/>
        <w:rPr>
          <w:rFonts w:cs="宋体"/>
          <w:color w:val="auto"/>
          <w:sz w:val="24"/>
          <w:szCs w:val="24"/>
          <w:highlight w:val="none"/>
        </w:rPr>
      </w:pPr>
      <w:r>
        <w:rPr>
          <w:rFonts w:hint="eastAsia" w:cs="宋体"/>
          <w:color w:val="auto"/>
          <w:sz w:val="24"/>
          <w:szCs w:val="24"/>
          <w:highlight w:val="none"/>
        </w:rPr>
        <w:t>（2）载明要求支付的金额；</w:t>
      </w:r>
    </w:p>
    <w:p w14:paraId="796917A7">
      <w:pPr>
        <w:spacing w:line="360" w:lineRule="auto"/>
        <w:ind w:firstLine="480" w:firstLineChars="200"/>
        <w:rPr>
          <w:rFonts w:cs="宋体"/>
          <w:color w:val="auto"/>
          <w:sz w:val="24"/>
          <w:szCs w:val="24"/>
          <w:highlight w:val="none"/>
        </w:rPr>
      </w:pPr>
      <w:r>
        <w:rPr>
          <w:rFonts w:hint="eastAsia" w:cs="宋体"/>
          <w:color w:val="auto"/>
          <w:sz w:val="24"/>
          <w:szCs w:val="24"/>
          <w:highlight w:val="none"/>
        </w:rPr>
        <w:t>（3）载明申请人违反合同义务的条款和内容；</w:t>
      </w:r>
    </w:p>
    <w:p w14:paraId="5BAA5A79">
      <w:pPr>
        <w:spacing w:line="360" w:lineRule="auto"/>
        <w:ind w:firstLine="480" w:firstLineChars="200"/>
        <w:rPr>
          <w:rFonts w:cs="宋体"/>
          <w:color w:val="auto"/>
          <w:sz w:val="24"/>
          <w:szCs w:val="24"/>
          <w:highlight w:val="none"/>
        </w:rPr>
      </w:pPr>
      <w:r>
        <w:rPr>
          <w:rFonts w:hint="eastAsia" w:cs="宋体"/>
          <w:color w:val="auto"/>
          <w:sz w:val="24"/>
          <w:szCs w:val="24"/>
          <w:highlight w:val="none"/>
        </w:rPr>
        <w:t>（4）声明不存在合同文件约定或我国法律规定免除申请人或开立人支付责任的情形；</w:t>
      </w:r>
    </w:p>
    <w:p w14:paraId="7F08CB6E">
      <w:pPr>
        <w:spacing w:line="360" w:lineRule="auto"/>
        <w:ind w:firstLine="480" w:firstLineChars="200"/>
        <w:rPr>
          <w:rFonts w:cs="宋体"/>
          <w:color w:val="auto"/>
          <w:sz w:val="24"/>
          <w:szCs w:val="24"/>
          <w:highlight w:val="none"/>
        </w:rPr>
      </w:pPr>
      <w:r>
        <w:rPr>
          <w:rFonts w:hint="eastAsia" w:cs="宋体"/>
          <w:color w:val="auto"/>
          <w:sz w:val="24"/>
          <w:szCs w:val="24"/>
          <w:highlight w:val="none"/>
        </w:rPr>
        <w:t>（5）付款通知应在本保函有效期内到达的地址是：</w:t>
      </w:r>
      <w:r>
        <w:rPr>
          <w:rFonts w:hint="eastAsia" w:cs="宋体"/>
          <w:color w:val="auto"/>
          <w:sz w:val="24"/>
          <w:szCs w:val="24"/>
          <w:highlight w:val="none"/>
          <w:u w:val="single"/>
        </w:rPr>
        <w:t xml:space="preserve">             </w:t>
      </w:r>
      <w:r>
        <w:rPr>
          <w:rFonts w:hint="eastAsia" w:cs="宋体"/>
          <w:color w:val="auto"/>
          <w:sz w:val="24"/>
          <w:szCs w:val="24"/>
          <w:highlight w:val="none"/>
        </w:rPr>
        <w:t>。</w:t>
      </w:r>
    </w:p>
    <w:p w14:paraId="3F7C90BA">
      <w:pPr>
        <w:spacing w:line="360" w:lineRule="auto"/>
        <w:ind w:firstLine="480" w:firstLineChars="200"/>
        <w:rPr>
          <w:rFonts w:cs="宋体"/>
          <w:color w:val="auto"/>
          <w:sz w:val="24"/>
          <w:szCs w:val="24"/>
          <w:highlight w:val="none"/>
        </w:rPr>
      </w:pPr>
      <w:bookmarkStart w:id="637" w:name="_Hlk40303486"/>
      <w:r>
        <w:rPr>
          <w:rFonts w:hint="eastAsia" w:cs="宋体"/>
          <w:color w:val="auto"/>
          <w:sz w:val="24"/>
          <w:szCs w:val="24"/>
          <w:highlight w:val="none"/>
        </w:rPr>
        <w:t>受益人发出的书面付款通知应由其法定代表人（负责人）或授权代理人签字并加盖公章。</w:t>
      </w:r>
      <w:bookmarkEnd w:id="637"/>
    </w:p>
    <w:p w14:paraId="36C4F574">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五、本保函项下的权利不得转让，不得设定担保。受益人未经我方书面同意转 让本保函或其项下任何权利，对我方不发生法律效力。 </w:t>
      </w:r>
    </w:p>
    <w:p w14:paraId="572ACC5C">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六、与本保函有关的基础合同不成立、不生效、无效、被撤销、被解除，不影响本保函的独立有效。 </w:t>
      </w:r>
    </w:p>
    <w:p w14:paraId="6756666B">
      <w:pPr>
        <w:spacing w:line="360" w:lineRule="auto"/>
        <w:ind w:firstLine="480" w:firstLineChars="200"/>
        <w:rPr>
          <w:rFonts w:cs="宋体"/>
          <w:color w:val="auto"/>
          <w:sz w:val="24"/>
          <w:szCs w:val="24"/>
          <w:highlight w:val="none"/>
        </w:rPr>
      </w:pPr>
      <w:bookmarkStart w:id="638" w:name="_Hlk40303383"/>
      <w:bookmarkStart w:id="639" w:name="_Hlk40354981"/>
      <w:r>
        <w:rPr>
          <w:rFonts w:hint="eastAsia" w:cs="宋体"/>
          <w:color w:val="auto"/>
          <w:sz w:val="24"/>
          <w:szCs w:val="24"/>
          <w:highlight w:val="none"/>
        </w:rPr>
        <w:t xml:space="preserve">七、本保函项下的义务和责任均在保函有效期到期后自动消灭。 </w:t>
      </w:r>
    </w:p>
    <w:p w14:paraId="15D02914">
      <w:pPr>
        <w:spacing w:line="360" w:lineRule="auto"/>
        <w:ind w:firstLine="480" w:firstLineChars="200"/>
        <w:rPr>
          <w:rFonts w:cs="宋体"/>
          <w:color w:val="auto"/>
          <w:sz w:val="24"/>
          <w:szCs w:val="24"/>
          <w:highlight w:val="none"/>
        </w:rPr>
      </w:pPr>
      <w:r>
        <w:rPr>
          <w:rFonts w:hint="eastAsia" w:cs="宋体"/>
          <w:color w:val="auto"/>
          <w:sz w:val="24"/>
          <w:szCs w:val="24"/>
          <w:highlight w:val="none"/>
        </w:rPr>
        <w:t>八、本保函适用的法律为中华人民共和国法律，因本保函产生的纠纷案件，</w:t>
      </w:r>
      <w:bookmarkEnd w:id="638"/>
      <w:r>
        <w:rPr>
          <w:rFonts w:hint="eastAsia" w:cs="宋体"/>
          <w:color w:val="auto"/>
          <w:sz w:val="24"/>
          <w:szCs w:val="24"/>
          <w:highlight w:val="none"/>
        </w:rPr>
        <w:t xml:space="preserve">由受益人所在地人民法院管辖。 </w:t>
      </w:r>
    </w:p>
    <w:bookmarkEnd w:id="639"/>
    <w:p w14:paraId="24DD4B31">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九、本保函自我方法定代表人或授权代表签字并加盖公章之日起生效。 </w:t>
      </w:r>
    </w:p>
    <w:p w14:paraId="06AF22FD">
      <w:pPr>
        <w:spacing w:line="360" w:lineRule="auto"/>
        <w:ind w:firstLine="480" w:firstLineChars="200"/>
        <w:rPr>
          <w:rFonts w:cs="宋体"/>
          <w:color w:val="auto"/>
          <w:sz w:val="24"/>
          <w:szCs w:val="24"/>
          <w:highlight w:val="none"/>
        </w:rPr>
      </w:pPr>
    </w:p>
    <w:p w14:paraId="588915B9">
      <w:pPr>
        <w:spacing w:line="360" w:lineRule="auto"/>
        <w:ind w:firstLine="480" w:firstLineChars="200"/>
        <w:rPr>
          <w:rFonts w:cs="宋体"/>
          <w:color w:val="auto"/>
          <w:sz w:val="24"/>
          <w:szCs w:val="24"/>
          <w:highlight w:val="none"/>
        </w:rPr>
      </w:pPr>
    </w:p>
    <w:p w14:paraId="7FDDA128">
      <w:pPr>
        <w:spacing w:line="360" w:lineRule="auto"/>
        <w:ind w:firstLine="480" w:firstLineChars="200"/>
        <w:rPr>
          <w:rFonts w:cs="宋体"/>
          <w:color w:val="auto"/>
          <w:sz w:val="24"/>
          <w:szCs w:val="24"/>
          <w:highlight w:val="none"/>
        </w:rPr>
      </w:pPr>
    </w:p>
    <w:p w14:paraId="11BFFD4E">
      <w:pPr>
        <w:spacing w:line="360" w:lineRule="auto"/>
        <w:ind w:firstLine="480" w:firstLineChars="200"/>
        <w:rPr>
          <w:rFonts w:cs="宋体"/>
          <w:color w:val="auto"/>
          <w:sz w:val="24"/>
          <w:szCs w:val="24"/>
          <w:highlight w:val="none"/>
        </w:rPr>
      </w:pPr>
      <w:r>
        <w:rPr>
          <w:rFonts w:hint="eastAsia" w:cs="宋体"/>
          <w:color w:val="auto"/>
          <w:sz w:val="24"/>
          <w:szCs w:val="24"/>
          <w:highlight w:val="none"/>
        </w:rPr>
        <w:t>开 立 人：</w:t>
      </w:r>
      <w:r>
        <w:rPr>
          <w:rFonts w:hint="eastAsia" w:cs="宋体"/>
          <w:color w:val="auto"/>
          <w:sz w:val="24"/>
          <w:szCs w:val="24"/>
          <w:highlight w:val="none"/>
          <w:u w:val="single"/>
        </w:rPr>
        <w:t xml:space="preserve">                              </w:t>
      </w:r>
      <w:r>
        <w:rPr>
          <w:rFonts w:hint="eastAsia" w:cs="宋体"/>
          <w:color w:val="auto"/>
          <w:sz w:val="24"/>
          <w:szCs w:val="24"/>
          <w:highlight w:val="none"/>
        </w:rPr>
        <w:t xml:space="preserve">（公章） </w:t>
      </w:r>
    </w:p>
    <w:p w14:paraId="268EF6BE">
      <w:pPr>
        <w:spacing w:line="360" w:lineRule="auto"/>
        <w:ind w:firstLine="480" w:firstLineChars="200"/>
        <w:rPr>
          <w:rFonts w:cs="宋体"/>
          <w:color w:val="auto"/>
          <w:sz w:val="24"/>
          <w:szCs w:val="24"/>
          <w:highlight w:val="none"/>
        </w:rPr>
      </w:pPr>
      <w:r>
        <w:rPr>
          <w:rFonts w:hint="eastAsia" w:cs="宋体"/>
          <w:color w:val="auto"/>
          <w:sz w:val="24"/>
          <w:szCs w:val="24"/>
          <w:highlight w:val="none"/>
        </w:rPr>
        <w:t>法定代表人（或授权代表）：</w:t>
      </w:r>
      <w:r>
        <w:rPr>
          <w:rFonts w:hint="eastAsia" w:cs="宋体"/>
          <w:color w:val="auto"/>
          <w:sz w:val="24"/>
          <w:szCs w:val="24"/>
          <w:highlight w:val="none"/>
          <w:u w:val="single"/>
        </w:rPr>
        <w:t xml:space="preserve">               </w:t>
      </w:r>
      <w:r>
        <w:rPr>
          <w:rFonts w:hint="eastAsia" w:cs="宋体"/>
          <w:color w:val="auto"/>
          <w:sz w:val="24"/>
          <w:szCs w:val="24"/>
          <w:highlight w:val="none"/>
        </w:rPr>
        <w:t xml:space="preserve">（签字） </w:t>
      </w:r>
    </w:p>
    <w:p w14:paraId="3B4BA496">
      <w:pPr>
        <w:spacing w:line="360" w:lineRule="auto"/>
        <w:ind w:firstLine="480" w:firstLineChars="200"/>
        <w:rPr>
          <w:rFonts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w:t>
      </w:r>
    </w:p>
    <w:p w14:paraId="23548114">
      <w:pPr>
        <w:spacing w:line="360" w:lineRule="auto"/>
        <w:ind w:firstLine="480" w:firstLineChars="200"/>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w:t>
      </w:r>
    </w:p>
    <w:p w14:paraId="64D59EFB">
      <w:pPr>
        <w:spacing w:line="360" w:lineRule="auto"/>
        <w:ind w:firstLine="480" w:firstLineChars="200"/>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p>
    <w:p w14:paraId="623CAC33">
      <w:pPr>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传    真：</w:t>
      </w:r>
      <w:r>
        <w:rPr>
          <w:rFonts w:hint="eastAsia" w:cs="宋体"/>
          <w:color w:val="auto"/>
          <w:sz w:val="24"/>
          <w:szCs w:val="24"/>
          <w:highlight w:val="none"/>
          <w:u w:val="single"/>
        </w:rPr>
        <w:t xml:space="preserve">                 </w:t>
      </w:r>
    </w:p>
    <w:p w14:paraId="01A9BD56">
      <w:pPr>
        <w:spacing w:line="360" w:lineRule="auto"/>
        <w:ind w:left="1432" w:leftChars="200" w:hanging="1032" w:hangingChars="430"/>
        <w:rPr>
          <w:rFonts w:cs="宋体"/>
          <w:color w:val="auto"/>
          <w:sz w:val="24"/>
          <w:szCs w:val="24"/>
          <w:highlight w:val="none"/>
        </w:rPr>
      </w:pPr>
      <w:r>
        <w:rPr>
          <w:rFonts w:hint="eastAsia" w:cs="宋体"/>
          <w:color w:val="auto"/>
          <w:sz w:val="24"/>
          <w:szCs w:val="24"/>
          <w:highlight w:val="none"/>
        </w:rPr>
        <w:t>开立时间：</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w:t>
      </w:r>
    </w:p>
    <w:p w14:paraId="31C0A6CF">
      <w:pPr>
        <w:spacing w:before="312" w:beforeLines="100" w:after="312" w:afterLines="100"/>
        <w:outlineLvl w:val="2"/>
        <w:rPr>
          <w:rFonts w:hint="eastAsia" w:ascii="Times New Roman" w:eastAsia="黑体"/>
          <w:color w:val="auto"/>
          <w:sz w:val="24"/>
          <w:szCs w:val="24"/>
          <w:highlight w:val="none"/>
          <w:lang w:val="en-US" w:eastAsia="zh-CN"/>
        </w:rPr>
      </w:pPr>
      <w:r>
        <w:rPr>
          <w:rFonts w:ascii="Times New Roman" w:eastAsia="黑体"/>
          <w:bCs/>
          <w:color w:val="auto"/>
          <w:sz w:val="24"/>
          <w:szCs w:val="24"/>
          <w:highlight w:val="none"/>
        </w:rPr>
        <w:br w:type="page"/>
      </w:r>
      <w:bookmarkStart w:id="640" w:name="_Toc128950245"/>
      <w:bookmarkStart w:id="641" w:name="_Toc296891060"/>
      <w:bookmarkStart w:id="642" w:name="_Toc296347231"/>
      <w:bookmarkStart w:id="643" w:name="_Toc296503232"/>
      <w:bookmarkStart w:id="644" w:name="_Toc296944571"/>
      <w:bookmarkStart w:id="645" w:name="_Toc296346733"/>
      <w:bookmarkStart w:id="646" w:name="_Toc296891272"/>
      <w:bookmarkStart w:id="647" w:name="_Toc267261702"/>
      <w:r>
        <w:rPr>
          <w:rFonts w:hint="eastAsia" w:ascii="Times New Roman" w:eastAsia="黑体"/>
          <w:color w:val="auto"/>
          <w:sz w:val="24"/>
          <w:szCs w:val="24"/>
          <w:highlight w:val="none"/>
        </w:rPr>
        <w:t>附件</w:t>
      </w:r>
      <w:r>
        <w:rPr>
          <w:rFonts w:hint="eastAsia" w:ascii="Times New Roman" w:eastAsia="黑体"/>
          <w:color w:val="auto"/>
          <w:sz w:val="24"/>
          <w:szCs w:val="24"/>
          <w:highlight w:val="none"/>
          <w:lang w:val="en-US" w:eastAsia="zh-CN"/>
        </w:rPr>
        <w:t>7</w:t>
      </w:r>
      <w:r>
        <w:rPr>
          <w:rFonts w:hint="eastAsia" w:ascii="Times New Roman" w:eastAsia="黑体"/>
          <w:color w:val="auto"/>
          <w:sz w:val="24"/>
          <w:szCs w:val="24"/>
          <w:highlight w:val="none"/>
        </w:rPr>
        <w:t>：预付款担保</w:t>
      </w:r>
      <w:bookmarkEnd w:id="640"/>
      <w:r>
        <w:rPr>
          <w:rFonts w:hint="eastAsia" w:ascii="Times New Roman" w:eastAsia="黑体"/>
          <w:color w:val="auto"/>
          <w:sz w:val="24"/>
          <w:szCs w:val="24"/>
          <w:highlight w:val="none"/>
          <w:lang w:val="en-US" w:eastAsia="zh-CN"/>
        </w:rPr>
        <w:t>格式</w:t>
      </w:r>
    </w:p>
    <w:bookmarkEnd w:id="641"/>
    <w:bookmarkEnd w:id="642"/>
    <w:bookmarkEnd w:id="643"/>
    <w:bookmarkEnd w:id="644"/>
    <w:bookmarkEnd w:id="645"/>
    <w:bookmarkEnd w:id="646"/>
    <w:bookmarkEnd w:id="647"/>
    <w:p w14:paraId="03556994">
      <w:pPr>
        <w:spacing w:line="360" w:lineRule="auto"/>
        <w:jc w:val="center"/>
        <w:rPr>
          <w:rFonts w:cs="宋体"/>
          <w:b/>
          <w:bCs/>
          <w:color w:val="auto"/>
          <w:sz w:val="24"/>
          <w:szCs w:val="24"/>
          <w:highlight w:val="none"/>
        </w:rPr>
      </w:pPr>
      <w:r>
        <w:rPr>
          <w:rFonts w:hint="eastAsia" w:cs="宋体"/>
          <w:b/>
          <w:bCs/>
          <w:color w:val="auto"/>
          <w:sz w:val="24"/>
          <w:szCs w:val="24"/>
          <w:highlight w:val="none"/>
        </w:rPr>
        <w:t>预付款保函示范文本</w:t>
      </w:r>
    </w:p>
    <w:p w14:paraId="49541EC6">
      <w:pPr>
        <w:wordWrap w:val="0"/>
        <w:spacing w:line="360" w:lineRule="auto"/>
        <w:jc w:val="right"/>
        <w:rPr>
          <w:rFonts w:ascii="Times New Roman"/>
          <w:color w:val="auto"/>
          <w:sz w:val="24"/>
          <w:szCs w:val="24"/>
          <w:highlight w:val="none"/>
        </w:rPr>
      </w:pPr>
      <w:r>
        <w:rPr>
          <w:rFonts w:hint="eastAsia" w:ascii="Times New Roman"/>
          <w:color w:val="auto"/>
          <w:sz w:val="24"/>
          <w:szCs w:val="24"/>
          <w:highlight w:val="none"/>
        </w:rPr>
        <w:t>编号：</w:t>
      </w:r>
      <w:r>
        <w:rPr>
          <w:rFonts w:hint="eastAsia" w:ascii="Times New Roman"/>
          <w:color w:val="auto"/>
          <w:sz w:val="24"/>
          <w:szCs w:val="24"/>
          <w:highlight w:val="none"/>
          <w:u w:val="single"/>
        </w:rPr>
        <w:t xml:space="preserve"> </w:t>
      </w:r>
      <w:r>
        <w:rPr>
          <w:rFonts w:ascii="Times New Roman"/>
          <w:color w:val="auto"/>
          <w:sz w:val="24"/>
          <w:szCs w:val="24"/>
          <w:highlight w:val="none"/>
          <w:u w:val="single"/>
        </w:rPr>
        <w:t xml:space="preserve">          </w:t>
      </w:r>
    </w:p>
    <w:p w14:paraId="7BD8B152">
      <w:pPr>
        <w:spacing w:line="360" w:lineRule="auto"/>
        <w:rPr>
          <w:rFonts w:ascii="Times New Roman"/>
          <w:color w:val="auto"/>
          <w:sz w:val="24"/>
          <w:szCs w:val="24"/>
          <w:highlight w:val="none"/>
        </w:rPr>
      </w:pPr>
    </w:p>
    <w:p w14:paraId="052825B8">
      <w:pPr>
        <w:spacing w:line="360" w:lineRule="auto"/>
        <w:rPr>
          <w:rFonts w:cs="宋体"/>
          <w:color w:val="auto"/>
          <w:sz w:val="24"/>
          <w:szCs w:val="24"/>
          <w:highlight w:val="none"/>
        </w:rPr>
      </w:pPr>
      <w:r>
        <w:rPr>
          <w:rFonts w:hint="eastAsia" w:cs="宋体"/>
          <w:color w:val="auto"/>
          <w:sz w:val="24"/>
          <w:szCs w:val="24"/>
          <w:highlight w:val="none"/>
          <w:u w:val="single"/>
        </w:rPr>
        <w:t xml:space="preserve">              </w:t>
      </w:r>
      <w:r>
        <w:rPr>
          <w:rFonts w:hint="eastAsia" w:cs="宋体"/>
          <w:color w:val="auto"/>
          <w:sz w:val="24"/>
          <w:szCs w:val="24"/>
          <w:highlight w:val="none"/>
        </w:rPr>
        <w:t xml:space="preserve">（受益人名称）： </w:t>
      </w:r>
    </w:p>
    <w:p w14:paraId="47A56A62">
      <w:pPr>
        <w:spacing w:line="360" w:lineRule="auto"/>
        <w:ind w:firstLine="480" w:firstLineChars="200"/>
        <w:rPr>
          <w:rFonts w:cs="宋体"/>
          <w:color w:val="auto"/>
          <w:sz w:val="24"/>
          <w:szCs w:val="24"/>
          <w:highlight w:val="none"/>
        </w:rPr>
      </w:pPr>
      <w:r>
        <w:rPr>
          <w:rFonts w:hint="eastAsia" w:cs="宋体"/>
          <w:color w:val="auto"/>
          <w:sz w:val="24"/>
          <w:szCs w:val="24"/>
          <w:highlight w:val="none"/>
        </w:rPr>
        <w:t>鉴于</w:t>
      </w:r>
      <w:r>
        <w:rPr>
          <w:rFonts w:hint="eastAsia" w:cs="宋体"/>
          <w:color w:val="auto"/>
          <w:sz w:val="24"/>
          <w:szCs w:val="24"/>
          <w:highlight w:val="none"/>
          <w:u w:val="single"/>
        </w:rPr>
        <w:t xml:space="preserve">     </w:t>
      </w:r>
      <w:r>
        <w:rPr>
          <w:rFonts w:hint="eastAsia" w:cs="宋体"/>
          <w:color w:val="auto"/>
          <w:sz w:val="24"/>
          <w:szCs w:val="24"/>
          <w:highlight w:val="none"/>
        </w:rPr>
        <w:t>（以下简称“受益人”）与</w:t>
      </w:r>
      <w:r>
        <w:rPr>
          <w:rFonts w:hint="eastAsia" w:cs="宋体"/>
          <w:color w:val="auto"/>
          <w:sz w:val="24"/>
          <w:szCs w:val="24"/>
          <w:highlight w:val="none"/>
          <w:u w:val="single"/>
        </w:rPr>
        <w:t xml:space="preserve">     </w:t>
      </w:r>
      <w:r>
        <w:rPr>
          <w:rFonts w:hint="eastAsia" w:cs="宋体"/>
          <w:color w:val="auto"/>
          <w:sz w:val="24"/>
          <w:szCs w:val="24"/>
          <w:highlight w:val="none"/>
        </w:rPr>
        <w:t>（以下简称“申请人”）于</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日就</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（项目编号）的</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（项目名称）</w:t>
      </w:r>
      <w:r>
        <w:rPr>
          <w:rFonts w:hint="eastAsia" w:cs="宋体"/>
          <w:color w:val="auto"/>
          <w:sz w:val="24"/>
          <w:szCs w:val="24"/>
          <w:highlight w:val="none"/>
        </w:rPr>
        <w:t>有关事项协商一致共同签订</w:t>
      </w:r>
      <w:r>
        <w:rPr>
          <w:rFonts w:hint="eastAsia" w:cs="宋体"/>
          <w:color w:val="auto"/>
          <w:sz w:val="24"/>
          <w:szCs w:val="24"/>
          <w:highlight w:val="none"/>
          <w:u w:val="single"/>
        </w:rPr>
        <w:t>《        》</w:t>
      </w:r>
      <w:r>
        <w:rPr>
          <w:rFonts w:hint="eastAsia" w:cs="宋体"/>
          <w:color w:val="auto"/>
          <w:sz w:val="24"/>
          <w:szCs w:val="24"/>
          <w:highlight w:val="none"/>
        </w:rPr>
        <w:t>（以下简称“基础合同”），开立人根据主合同了解到申请人为主合同项下之</w:t>
      </w:r>
      <w:r>
        <w:rPr>
          <w:rFonts w:hint="eastAsia" w:cs="宋体"/>
          <w:color w:val="auto"/>
          <w:sz w:val="24"/>
          <w:szCs w:val="24"/>
          <w:highlight w:val="none"/>
          <w:lang w:eastAsia="zh-CN"/>
        </w:rPr>
        <w:t>乙方</w:t>
      </w:r>
      <w:r>
        <w:rPr>
          <w:rFonts w:hint="eastAsia" w:cs="宋体"/>
          <w:color w:val="auto"/>
          <w:sz w:val="24"/>
          <w:szCs w:val="24"/>
          <w:highlight w:val="none"/>
        </w:rPr>
        <w:t>，受益人为主合同项下之</w:t>
      </w:r>
      <w:r>
        <w:rPr>
          <w:rFonts w:hint="eastAsia" w:cs="宋体"/>
          <w:color w:val="auto"/>
          <w:sz w:val="24"/>
          <w:szCs w:val="24"/>
          <w:highlight w:val="none"/>
          <w:lang w:eastAsia="zh-CN"/>
        </w:rPr>
        <w:t>甲方</w:t>
      </w:r>
      <w:r>
        <w:rPr>
          <w:rFonts w:hint="eastAsia" w:cs="宋体"/>
          <w:color w:val="auto"/>
          <w:sz w:val="24"/>
          <w:szCs w:val="24"/>
          <w:highlight w:val="none"/>
        </w:rPr>
        <w:t xml:space="preserve">，基于申请人的请求，开立人同意就申请人按照合同约定正确和合理地为合同目的使用预付款，向受益人提供不可撤销、不可转让的见索即付独立保函（以下简称“本保函”）。 </w:t>
      </w:r>
    </w:p>
    <w:p w14:paraId="7CF2CE5A">
      <w:pPr>
        <w:spacing w:line="360" w:lineRule="auto"/>
        <w:ind w:firstLine="480" w:firstLineChars="200"/>
        <w:rPr>
          <w:rFonts w:cs="宋体"/>
          <w:color w:val="auto"/>
          <w:sz w:val="24"/>
          <w:szCs w:val="24"/>
          <w:highlight w:val="none"/>
        </w:rPr>
      </w:pPr>
      <w:r>
        <w:rPr>
          <w:rFonts w:hint="eastAsia" w:cs="宋体"/>
          <w:color w:val="auto"/>
          <w:sz w:val="24"/>
          <w:szCs w:val="24"/>
          <w:highlight w:val="none"/>
        </w:rPr>
        <w:t>一、本保函担保范围：申请人未按照合同约定正确和合理地为合同目的使用预付款，应当向受益人承担的违约责任和赔偿因此造成的损失、利息、律师费、诉讼费用等实现债权的费用。</w:t>
      </w:r>
    </w:p>
    <w:p w14:paraId="087D058B">
      <w:pPr>
        <w:spacing w:line="360" w:lineRule="auto"/>
        <w:ind w:firstLine="480" w:firstLineChars="200"/>
        <w:rPr>
          <w:rFonts w:cs="宋体"/>
          <w:color w:val="auto"/>
          <w:sz w:val="24"/>
          <w:szCs w:val="24"/>
          <w:highlight w:val="none"/>
        </w:rPr>
      </w:pPr>
      <w:r>
        <w:rPr>
          <w:rFonts w:hint="eastAsia" w:cs="宋体"/>
          <w:color w:val="auto"/>
          <w:sz w:val="24"/>
          <w:szCs w:val="24"/>
          <w:highlight w:val="none"/>
        </w:rPr>
        <w:t>二、本保函担保金额最高不超过人民币（大写）</w:t>
      </w:r>
      <w:r>
        <w:rPr>
          <w:rFonts w:hint="eastAsia" w:cs="宋体"/>
          <w:color w:val="auto"/>
          <w:sz w:val="24"/>
          <w:szCs w:val="24"/>
          <w:highlight w:val="none"/>
          <w:u w:val="single"/>
        </w:rPr>
        <w:t xml:space="preserve">          </w:t>
      </w:r>
      <w:r>
        <w:rPr>
          <w:rFonts w:hint="eastAsia" w:cs="宋体"/>
          <w:color w:val="auto"/>
          <w:sz w:val="24"/>
          <w:szCs w:val="24"/>
          <w:highlight w:val="none"/>
        </w:rPr>
        <w:t>元（¥</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43F9F922">
      <w:pPr>
        <w:spacing w:line="360" w:lineRule="auto"/>
        <w:ind w:firstLine="480" w:firstLineChars="200"/>
        <w:rPr>
          <w:rFonts w:cs="宋体"/>
          <w:color w:val="auto"/>
          <w:sz w:val="24"/>
          <w:szCs w:val="24"/>
          <w:highlight w:val="none"/>
        </w:rPr>
      </w:pPr>
      <w:r>
        <w:rPr>
          <w:rFonts w:hint="eastAsia" w:cs="宋体"/>
          <w:color w:val="auto"/>
          <w:sz w:val="24"/>
          <w:szCs w:val="24"/>
          <w:highlight w:val="none"/>
        </w:rPr>
        <w:t>三、本保函有效期自开立之日起至</w:t>
      </w:r>
      <w:r>
        <w:rPr>
          <w:rFonts w:hint="eastAsia" w:cs="宋体"/>
          <w:color w:val="auto"/>
          <w:sz w:val="24"/>
          <w:szCs w:val="24"/>
          <w:highlight w:val="none"/>
          <w:lang w:eastAsia="zh-CN"/>
        </w:rPr>
        <w:t>甲方</w:t>
      </w:r>
      <w:r>
        <w:rPr>
          <w:rFonts w:hint="eastAsia" w:cs="宋体"/>
          <w:color w:val="auto"/>
          <w:sz w:val="24"/>
          <w:szCs w:val="24"/>
          <w:highlight w:val="none"/>
        </w:rPr>
        <w:t>全额扣回预付款之日止。</w:t>
      </w:r>
    </w:p>
    <w:p w14:paraId="4047368B">
      <w:pPr>
        <w:spacing w:line="400" w:lineRule="exact"/>
        <w:ind w:firstLine="480"/>
        <w:rPr>
          <w:rFonts w:cs="宋体"/>
          <w:color w:val="auto"/>
          <w:sz w:val="24"/>
          <w:szCs w:val="24"/>
          <w:highlight w:val="none"/>
        </w:rPr>
      </w:pPr>
      <w:r>
        <w:rPr>
          <w:rFonts w:hint="eastAsia" w:cs="宋体"/>
          <w:color w:val="auto"/>
          <w:sz w:val="24"/>
          <w:szCs w:val="24"/>
          <w:highlight w:val="none"/>
        </w:rPr>
        <w:t>四、开立人承诺，在收到受益人发来的书面付款通知后的七日内无条件支付，前述书面付款通知即为付款要求之单据，且应满足以下要求：</w:t>
      </w:r>
    </w:p>
    <w:p w14:paraId="123CA482">
      <w:pPr>
        <w:spacing w:line="360" w:lineRule="auto"/>
        <w:ind w:firstLine="480" w:firstLineChars="200"/>
        <w:rPr>
          <w:rFonts w:cs="宋体"/>
          <w:color w:val="auto"/>
          <w:sz w:val="24"/>
          <w:szCs w:val="24"/>
          <w:highlight w:val="none"/>
        </w:rPr>
      </w:pPr>
      <w:r>
        <w:rPr>
          <w:rFonts w:hint="eastAsia" w:cs="宋体"/>
          <w:color w:val="auto"/>
          <w:sz w:val="24"/>
          <w:szCs w:val="24"/>
          <w:highlight w:val="none"/>
        </w:rPr>
        <w:t>（1）付款通知到达的日期在本保函的有效期内；</w:t>
      </w:r>
    </w:p>
    <w:p w14:paraId="1A65D86E">
      <w:pPr>
        <w:spacing w:line="360" w:lineRule="auto"/>
        <w:ind w:firstLine="480" w:firstLineChars="200"/>
        <w:rPr>
          <w:rFonts w:cs="宋体"/>
          <w:color w:val="auto"/>
          <w:sz w:val="24"/>
          <w:szCs w:val="24"/>
          <w:highlight w:val="none"/>
        </w:rPr>
      </w:pPr>
      <w:r>
        <w:rPr>
          <w:rFonts w:hint="eastAsia" w:cs="宋体"/>
          <w:color w:val="auto"/>
          <w:sz w:val="24"/>
          <w:szCs w:val="24"/>
          <w:highlight w:val="none"/>
        </w:rPr>
        <w:t>（2）载明要求支付的金额；</w:t>
      </w:r>
    </w:p>
    <w:p w14:paraId="6753A8CE">
      <w:pPr>
        <w:spacing w:line="360" w:lineRule="auto"/>
        <w:ind w:firstLine="480" w:firstLineChars="200"/>
        <w:rPr>
          <w:rFonts w:cs="宋体"/>
          <w:color w:val="auto"/>
          <w:sz w:val="24"/>
          <w:szCs w:val="24"/>
          <w:highlight w:val="none"/>
        </w:rPr>
      </w:pPr>
      <w:r>
        <w:rPr>
          <w:rFonts w:hint="eastAsia" w:cs="宋体"/>
          <w:color w:val="auto"/>
          <w:sz w:val="24"/>
          <w:szCs w:val="24"/>
          <w:highlight w:val="none"/>
        </w:rPr>
        <w:t>（3）载明申请人违反合同义务的条款和内容；</w:t>
      </w:r>
    </w:p>
    <w:p w14:paraId="5B4B1D90">
      <w:pPr>
        <w:spacing w:line="360" w:lineRule="auto"/>
        <w:ind w:firstLine="480" w:firstLineChars="200"/>
        <w:rPr>
          <w:rFonts w:cs="宋体"/>
          <w:color w:val="auto"/>
          <w:sz w:val="24"/>
          <w:szCs w:val="24"/>
          <w:highlight w:val="none"/>
        </w:rPr>
      </w:pPr>
      <w:r>
        <w:rPr>
          <w:rFonts w:hint="eastAsia" w:cs="宋体"/>
          <w:color w:val="auto"/>
          <w:sz w:val="24"/>
          <w:szCs w:val="24"/>
          <w:highlight w:val="none"/>
        </w:rPr>
        <w:t>（4）声明不存在合同文件约定或我国法律规定免除申请人或开立人支付责任的情形；</w:t>
      </w:r>
    </w:p>
    <w:p w14:paraId="754F44F0">
      <w:pPr>
        <w:spacing w:line="360" w:lineRule="auto"/>
        <w:ind w:firstLine="480" w:firstLineChars="200"/>
        <w:rPr>
          <w:rFonts w:cs="宋体"/>
          <w:color w:val="auto"/>
          <w:sz w:val="24"/>
          <w:szCs w:val="24"/>
          <w:highlight w:val="none"/>
        </w:rPr>
      </w:pPr>
      <w:r>
        <w:rPr>
          <w:rFonts w:hint="eastAsia" w:cs="宋体"/>
          <w:color w:val="auto"/>
          <w:sz w:val="24"/>
          <w:szCs w:val="24"/>
          <w:highlight w:val="none"/>
        </w:rPr>
        <w:t>（5）付款通知应在本保函有效期内到达的地址是：</w:t>
      </w:r>
      <w:r>
        <w:rPr>
          <w:rFonts w:hint="eastAsia" w:cs="宋体"/>
          <w:color w:val="auto"/>
          <w:sz w:val="24"/>
          <w:szCs w:val="24"/>
          <w:highlight w:val="none"/>
          <w:u w:val="single"/>
        </w:rPr>
        <w:t xml:space="preserve">             </w:t>
      </w:r>
      <w:r>
        <w:rPr>
          <w:rFonts w:hint="eastAsia" w:cs="宋体"/>
          <w:color w:val="auto"/>
          <w:sz w:val="24"/>
          <w:szCs w:val="24"/>
          <w:highlight w:val="none"/>
        </w:rPr>
        <w:t>。</w:t>
      </w:r>
    </w:p>
    <w:p w14:paraId="04FF3375">
      <w:pPr>
        <w:spacing w:line="400" w:lineRule="exact"/>
        <w:rPr>
          <w:rFonts w:cs="宋体"/>
          <w:color w:val="auto"/>
          <w:sz w:val="24"/>
          <w:szCs w:val="24"/>
          <w:highlight w:val="none"/>
        </w:rPr>
      </w:pPr>
      <w:r>
        <w:rPr>
          <w:rFonts w:hint="eastAsia" w:cs="宋体"/>
          <w:color w:val="auto"/>
          <w:sz w:val="24"/>
          <w:szCs w:val="24"/>
          <w:highlight w:val="none"/>
        </w:rPr>
        <w:t xml:space="preserve">    受益人发出的书面付款通知应由其法定代表人（负责人）或授权代理人签字并加盖公章。</w:t>
      </w:r>
    </w:p>
    <w:p w14:paraId="7CF8B1F0">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五、本保函项下的权利不得转让，不得设定担保。受益人未经开立人书面同意转让本保函或其项下任何权利，对开立人不发生法律效力。 </w:t>
      </w:r>
    </w:p>
    <w:p w14:paraId="30BEC6B2">
      <w:pPr>
        <w:spacing w:line="400" w:lineRule="exact"/>
        <w:ind w:firstLine="480" w:firstLineChars="200"/>
        <w:rPr>
          <w:rStyle w:val="63"/>
          <w:rFonts w:cs="宋体"/>
          <w:color w:val="auto"/>
          <w:sz w:val="24"/>
          <w:szCs w:val="24"/>
          <w:highlight w:val="none"/>
        </w:rPr>
      </w:pPr>
      <w:r>
        <w:rPr>
          <w:rFonts w:hint="eastAsia" w:cs="宋体"/>
          <w:color w:val="auto"/>
          <w:sz w:val="24"/>
          <w:szCs w:val="24"/>
          <w:highlight w:val="none"/>
        </w:rPr>
        <w:t>六、本保函项下的基础交易不成立、不生效、无效、被撤销、被解除，不影响本保函的独立有效。</w:t>
      </w:r>
    </w:p>
    <w:p w14:paraId="309DBC9F">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七、本保函项下的义务和责任均在保函有效期到期后自动消灭。 </w:t>
      </w:r>
    </w:p>
    <w:p w14:paraId="3451EBF4">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八、本保函适用的法律为中华人民共和国法律，因本保函产生的纠纷案件，由受益人所在地人民法院管辖。 </w:t>
      </w:r>
    </w:p>
    <w:p w14:paraId="6844BC23">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九、本保函自我方法定代表人或授权代表签字并加盖公章之日起生效。 </w:t>
      </w:r>
    </w:p>
    <w:p w14:paraId="2938B7EA">
      <w:pPr>
        <w:spacing w:line="360" w:lineRule="auto"/>
        <w:ind w:firstLine="480" w:firstLineChars="200"/>
        <w:rPr>
          <w:rFonts w:cs="宋体"/>
          <w:color w:val="auto"/>
          <w:sz w:val="24"/>
          <w:szCs w:val="24"/>
          <w:highlight w:val="none"/>
        </w:rPr>
      </w:pPr>
    </w:p>
    <w:p w14:paraId="75E37209">
      <w:pPr>
        <w:spacing w:line="360" w:lineRule="auto"/>
        <w:ind w:firstLine="480" w:firstLineChars="200"/>
        <w:rPr>
          <w:rFonts w:cs="宋体"/>
          <w:color w:val="auto"/>
          <w:sz w:val="24"/>
          <w:szCs w:val="24"/>
          <w:highlight w:val="none"/>
        </w:rPr>
      </w:pPr>
    </w:p>
    <w:p w14:paraId="68E6C919">
      <w:pPr>
        <w:spacing w:line="360" w:lineRule="auto"/>
        <w:ind w:firstLine="480" w:firstLineChars="200"/>
        <w:rPr>
          <w:rFonts w:cs="宋体"/>
          <w:color w:val="auto"/>
          <w:sz w:val="24"/>
          <w:szCs w:val="24"/>
          <w:highlight w:val="none"/>
        </w:rPr>
      </w:pPr>
    </w:p>
    <w:p w14:paraId="3ADA8ADB">
      <w:pPr>
        <w:spacing w:line="360" w:lineRule="auto"/>
        <w:ind w:firstLine="480" w:firstLineChars="200"/>
        <w:rPr>
          <w:rFonts w:cs="宋体"/>
          <w:color w:val="auto"/>
          <w:sz w:val="24"/>
          <w:szCs w:val="24"/>
          <w:highlight w:val="none"/>
        </w:rPr>
      </w:pPr>
      <w:r>
        <w:rPr>
          <w:rFonts w:hint="eastAsia" w:cs="宋体"/>
          <w:color w:val="auto"/>
          <w:sz w:val="24"/>
          <w:szCs w:val="24"/>
          <w:highlight w:val="none"/>
        </w:rPr>
        <w:t>开 立 人：</w:t>
      </w:r>
      <w:r>
        <w:rPr>
          <w:rFonts w:hint="eastAsia" w:cs="宋体"/>
          <w:color w:val="auto"/>
          <w:sz w:val="24"/>
          <w:szCs w:val="24"/>
          <w:highlight w:val="none"/>
          <w:u w:val="single"/>
        </w:rPr>
        <w:t xml:space="preserve">                              </w:t>
      </w:r>
      <w:r>
        <w:rPr>
          <w:rFonts w:hint="eastAsia" w:cs="宋体"/>
          <w:color w:val="auto"/>
          <w:sz w:val="24"/>
          <w:szCs w:val="24"/>
          <w:highlight w:val="none"/>
        </w:rPr>
        <w:t xml:space="preserve">（公章） </w:t>
      </w:r>
    </w:p>
    <w:p w14:paraId="54494F97">
      <w:pPr>
        <w:spacing w:line="360" w:lineRule="auto"/>
        <w:ind w:firstLine="480" w:firstLineChars="200"/>
        <w:rPr>
          <w:rFonts w:cs="宋体"/>
          <w:color w:val="auto"/>
          <w:sz w:val="24"/>
          <w:szCs w:val="24"/>
          <w:highlight w:val="none"/>
        </w:rPr>
      </w:pPr>
      <w:r>
        <w:rPr>
          <w:rFonts w:hint="eastAsia" w:cs="宋体"/>
          <w:color w:val="auto"/>
          <w:sz w:val="24"/>
          <w:szCs w:val="24"/>
          <w:highlight w:val="none"/>
        </w:rPr>
        <w:t>法定代表人（或授权代表）：</w:t>
      </w:r>
      <w:r>
        <w:rPr>
          <w:rFonts w:hint="eastAsia" w:cs="宋体"/>
          <w:color w:val="auto"/>
          <w:sz w:val="24"/>
          <w:szCs w:val="24"/>
          <w:highlight w:val="none"/>
          <w:u w:val="single"/>
        </w:rPr>
        <w:t xml:space="preserve">               </w:t>
      </w:r>
      <w:r>
        <w:rPr>
          <w:rFonts w:hint="eastAsia" w:cs="宋体"/>
          <w:color w:val="auto"/>
          <w:sz w:val="24"/>
          <w:szCs w:val="24"/>
          <w:highlight w:val="none"/>
        </w:rPr>
        <w:t xml:space="preserve">（签字） </w:t>
      </w:r>
    </w:p>
    <w:p w14:paraId="0862465C">
      <w:pPr>
        <w:spacing w:line="360" w:lineRule="auto"/>
        <w:ind w:firstLine="480" w:firstLineChars="200"/>
        <w:rPr>
          <w:rFonts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w:t>
      </w:r>
    </w:p>
    <w:p w14:paraId="6DDC9F70">
      <w:pPr>
        <w:spacing w:line="360" w:lineRule="auto"/>
        <w:ind w:firstLine="480" w:firstLineChars="200"/>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w:t>
      </w:r>
    </w:p>
    <w:p w14:paraId="2A105C0A">
      <w:pPr>
        <w:spacing w:line="360" w:lineRule="auto"/>
        <w:ind w:firstLine="480" w:firstLineChars="200"/>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p>
    <w:p w14:paraId="1460C52C">
      <w:pPr>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传    真：</w:t>
      </w:r>
      <w:r>
        <w:rPr>
          <w:rFonts w:hint="eastAsia" w:cs="宋体"/>
          <w:color w:val="auto"/>
          <w:sz w:val="24"/>
          <w:szCs w:val="24"/>
          <w:highlight w:val="none"/>
          <w:u w:val="single"/>
        </w:rPr>
        <w:t xml:space="preserve">                 </w:t>
      </w:r>
    </w:p>
    <w:p w14:paraId="612E0A51">
      <w:pPr>
        <w:spacing w:line="360" w:lineRule="auto"/>
        <w:ind w:left="1432" w:leftChars="200" w:hanging="1032" w:hangingChars="430"/>
        <w:rPr>
          <w:rFonts w:cs="宋体"/>
          <w:color w:val="auto"/>
          <w:sz w:val="24"/>
          <w:szCs w:val="24"/>
          <w:highlight w:val="none"/>
        </w:rPr>
      </w:pPr>
      <w:r>
        <w:rPr>
          <w:rFonts w:hint="eastAsia" w:cs="宋体"/>
          <w:color w:val="auto"/>
          <w:sz w:val="24"/>
          <w:szCs w:val="24"/>
          <w:highlight w:val="none"/>
        </w:rPr>
        <w:t>开立时间：</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w:t>
      </w:r>
    </w:p>
    <w:p w14:paraId="218CF47A">
      <w:pPr>
        <w:spacing w:before="312" w:beforeLines="100" w:after="312" w:afterLines="100"/>
        <w:outlineLvl w:val="2"/>
        <w:rPr>
          <w:rFonts w:hint="eastAsia" w:ascii="Times New Roman" w:eastAsia="黑体"/>
          <w:color w:val="auto"/>
          <w:sz w:val="24"/>
          <w:szCs w:val="24"/>
          <w:highlight w:val="none"/>
          <w:lang w:val="en-US" w:eastAsia="zh-CN"/>
        </w:rPr>
      </w:pPr>
      <w:r>
        <w:rPr>
          <w:rFonts w:ascii="Times New Roman" w:eastAsia="黑体"/>
          <w:b/>
          <w:bCs/>
          <w:color w:val="auto"/>
          <w:sz w:val="24"/>
          <w:szCs w:val="24"/>
          <w:highlight w:val="none"/>
        </w:rPr>
        <w:br w:type="page"/>
      </w:r>
      <w:bookmarkStart w:id="648" w:name="_Toc128950246"/>
      <w:r>
        <w:rPr>
          <w:rFonts w:hint="eastAsia" w:ascii="Times New Roman" w:eastAsia="黑体"/>
          <w:color w:val="auto"/>
          <w:sz w:val="24"/>
          <w:szCs w:val="24"/>
          <w:highlight w:val="none"/>
        </w:rPr>
        <w:t>附</w:t>
      </w:r>
      <w:bookmarkStart w:id="649" w:name="_Toc296891273"/>
      <w:bookmarkStart w:id="650" w:name="_Toc296503233"/>
      <w:bookmarkStart w:id="651" w:name="_Toc296347232"/>
      <w:bookmarkStart w:id="652" w:name="_Toc296346734"/>
      <w:bookmarkStart w:id="653" w:name="_Toc296891061"/>
      <w:bookmarkStart w:id="654" w:name="_Toc296944572"/>
      <w:r>
        <w:rPr>
          <w:rFonts w:hint="eastAsia" w:ascii="Times New Roman" w:eastAsia="黑体"/>
          <w:color w:val="auto"/>
          <w:sz w:val="24"/>
          <w:szCs w:val="24"/>
          <w:highlight w:val="none"/>
        </w:rPr>
        <w:t>件</w:t>
      </w:r>
      <w:r>
        <w:rPr>
          <w:rFonts w:hint="eastAsia" w:ascii="Times New Roman" w:eastAsia="黑体"/>
          <w:color w:val="auto"/>
          <w:sz w:val="24"/>
          <w:szCs w:val="24"/>
          <w:highlight w:val="none"/>
          <w:lang w:val="en-US" w:eastAsia="zh-CN"/>
        </w:rPr>
        <w:t>8</w:t>
      </w:r>
      <w:r>
        <w:rPr>
          <w:rFonts w:hint="eastAsia" w:ascii="Times New Roman" w:eastAsia="黑体"/>
          <w:color w:val="auto"/>
          <w:sz w:val="24"/>
          <w:szCs w:val="24"/>
          <w:highlight w:val="none"/>
        </w:rPr>
        <w:t>：支付担保</w:t>
      </w:r>
      <w:bookmarkEnd w:id="648"/>
      <w:bookmarkEnd w:id="649"/>
      <w:bookmarkEnd w:id="650"/>
      <w:bookmarkEnd w:id="651"/>
      <w:bookmarkEnd w:id="652"/>
      <w:bookmarkEnd w:id="653"/>
      <w:bookmarkEnd w:id="654"/>
      <w:r>
        <w:rPr>
          <w:rFonts w:hint="eastAsia" w:ascii="Times New Roman" w:eastAsia="黑体"/>
          <w:color w:val="auto"/>
          <w:sz w:val="24"/>
          <w:szCs w:val="24"/>
          <w:highlight w:val="none"/>
          <w:lang w:val="en-US" w:eastAsia="zh-CN"/>
        </w:rPr>
        <w:t>格式</w:t>
      </w:r>
    </w:p>
    <w:p w14:paraId="563E1843">
      <w:pPr>
        <w:spacing w:line="360" w:lineRule="auto"/>
        <w:jc w:val="center"/>
        <w:rPr>
          <w:rFonts w:cs="宋体"/>
          <w:b/>
          <w:bCs/>
          <w:color w:val="auto"/>
          <w:sz w:val="24"/>
          <w:szCs w:val="24"/>
          <w:highlight w:val="none"/>
        </w:rPr>
      </w:pPr>
      <w:r>
        <w:rPr>
          <w:rFonts w:hint="eastAsia" w:cs="宋体"/>
          <w:b/>
          <w:bCs/>
          <w:color w:val="auto"/>
          <w:sz w:val="24"/>
          <w:szCs w:val="24"/>
          <w:highlight w:val="none"/>
        </w:rPr>
        <w:t>支付保函示范文本</w:t>
      </w:r>
    </w:p>
    <w:p w14:paraId="1B943644">
      <w:pPr>
        <w:wordWrap w:val="0"/>
        <w:spacing w:line="360" w:lineRule="auto"/>
        <w:jc w:val="right"/>
        <w:rPr>
          <w:rFonts w:ascii="Times New Roman"/>
          <w:color w:val="auto"/>
          <w:sz w:val="24"/>
          <w:szCs w:val="24"/>
          <w:highlight w:val="none"/>
        </w:rPr>
      </w:pPr>
      <w:r>
        <w:rPr>
          <w:rFonts w:hint="eastAsia" w:ascii="Times New Roman"/>
          <w:color w:val="auto"/>
          <w:sz w:val="24"/>
          <w:szCs w:val="24"/>
          <w:highlight w:val="none"/>
        </w:rPr>
        <w:t>编号：</w:t>
      </w:r>
      <w:r>
        <w:rPr>
          <w:rFonts w:hint="eastAsia" w:ascii="Times New Roman"/>
          <w:color w:val="auto"/>
          <w:sz w:val="24"/>
          <w:szCs w:val="24"/>
          <w:highlight w:val="none"/>
          <w:u w:val="single"/>
        </w:rPr>
        <w:t xml:space="preserve"> </w:t>
      </w:r>
      <w:r>
        <w:rPr>
          <w:rFonts w:ascii="Times New Roman"/>
          <w:color w:val="auto"/>
          <w:sz w:val="24"/>
          <w:szCs w:val="24"/>
          <w:highlight w:val="none"/>
          <w:u w:val="single"/>
        </w:rPr>
        <w:t xml:space="preserve">          </w:t>
      </w:r>
    </w:p>
    <w:p w14:paraId="188C2C3C">
      <w:pPr>
        <w:spacing w:line="360" w:lineRule="auto"/>
        <w:rPr>
          <w:rFonts w:ascii="Times New Roman"/>
          <w:color w:val="auto"/>
          <w:sz w:val="24"/>
          <w:szCs w:val="24"/>
          <w:highlight w:val="none"/>
        </w:rPr>
      </w:pPr>
    </w:p>
    <w:p w14:paraId="2BD39F5D">
      <w:pPr>
        <w:spacing w:line="360" w:lineRule="auto"/>
        <w:rPr>
          <w:rFonts w:cs="宋体"/>
          <w:color w:val="auto"/>
          <w:sz w:val="24"/>
          <w:szCs w:val="24"/>
          <w:highlight w:val="none"/>
        </w:rPr>
      </w:pPr>
      <w:bookmarkStart w:id="655" w:name="_Hlk40355074"/>
      <w:r>
        <w:rPr>
          <w:rFonts w:hint="eastAsia" w:cs="宋体"/>
          <w:color w:val="auto"/>
          <w:sz w:val="24"/>
          <w:szCs w:val="24"/>
          <w:highlight w:val="none"/>
          <w:u w:val="single"/>
        </w:rPr>
        <w:t xml:space="preserve">              </w:t>
      </w:r>
      <w:r>
        <w:rPr>
          <w:rFonts w:hint="eastAsia" w:cs="宋体"/>
          <w:color w:val="auto"/>
          <w:sz w:val="24"/>
          <w:szCs w:val="24"/>
          <w:highlight w:val="none"/>
        </w:rPr>
        <w:t xml:space="preserve">（受益人名称）： </w:t>
      </w:r>
    </w:p>
    <w:bookmarkEnd w:id="655"/>
    <w:p w14:paraId="3738055E">
      <w:pPr>
        <w:spacing w:line="360" w:lineRule="auto"/>
        <w:ind w:firstLine="480" w:firstLineChars="200"/>
        <w:rPr>
          <w:rFonts w:cs="宋体"/>
          <w:color w:val="auto"/>
          <w:sz w:val="24"/>
          <w:szCs w:val="24"/>
          <w:highlight w:val="none"/>
        </w:rPr>
      </w:pPr>
      <w:r>
        <w:rPr>
          <w:rFonts w:hint="eastAsia" w:cs="宋体"/>
          <w:color w:val="auto"/>
          <w:sz w:val="24"/>
          <w:szCs w:val="24"/>
          <w:highlight w:val="none"/>
        </w:rPr>
        <w:t>鉴于</w:t>
      </w:r>
      <w:r>
        <w:rPr>
          <w:rFonts w:hint="eastAsia" w:cs="宋体"/>
          <w:color w:val="auto"/>
          <w:sz w:val="24"/>
          <w:szCs w:val="24"/>
          <w:highlight w:val="none"/>
          <w:u w:val="single"/>
        </w:rPr>
        <w:t xml:space="preserve">        </w:t>
      </w:r>
      <w:r>
        <w:rPr>
          <w:rFonts w:hint="eastAsia" w:cs="宋体"/>
          <w:color w:val="auto"/>
          <w:sz w:val="24"/>
          <w:szCs w:val="24"/>
          <w:highlight w:val="none"/>
        </w:rPr>
        <w:t>（以下简称“受益人”）与</w:t>
      </w:r>
      <w:r>
        <w:rPr>
          <w:rFonts w:hint="eastAsia" w:cs="宋体"/>
          <w:color w:val="auto"/>
          <w:sz w:val="24"/>
          <w:szCs w:val="24"/>
          <w:highlight w:val="none"/>
          <w:u w:val="single"/>
        </w:rPr>
        <w:t xml:space="preserve">         </w:t>
      </w:r>
      <w:r>
        <w:rPr>
          <w:rFonts w:hint="eastAsia" w:cs="宋体"/>
          <w:color w:val="auto"/>
          <w:sz w:val="24"/>
          <w:szCs w:val="24"/>
          <w:highlight w:val="none"/>
        </w:rPr>
        <w:t>（以下简称“申请人”）于</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日就</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（项目编号）的</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（项目名称）</w:t>
      </w:r>
      <w:r>
        <w:rPr>
          <w:rFonts w:hint="eastAsia" w:cs="宋体"/>
          <w:color w:val="auto"/>
          <w:sz w:val="24"/>
          <w:szCs w:val="24"/>
          <w:highlight w:val="none"/>
        </w:rPr>
        <w:t>有关事项协商一致共同签订</w:t>
      </w:r>
      <w:r>
        <w:rPr>
          <w:rFonts w:hint="eastAsia" w:cs="宋体"/>
          <w:color w:val="auto"/>
          <w:sz w:val="24"/>
          <w:szCs w:val="24"/>
          <w:highlight w:val="none"/>
          <w:u w:val="single"/>
        </w:rPr>
        <w:t>《        》</w:t>
      </w:r>
      <w:r>
        <w:rPr>
          <w:rFonts w:hint="eastAsia" w:cs="宋体"/>
          <w:color w:val="auto"/>
          <w:sz w:val="24"/>
          <w:szCs w:val="24"/>
          <w:highlight w:val="none"/>
        </w:rPr>
        <w:t>（以下简称基础合同”），开立人根据基础合同了解到申请人为基础合同项下之</w:t>
      </w:r>
      <w:r>
        <w:rPr>
          <w:rFonts w:hint="eastAsia" w:cs="宋体"/>
          <w:color w:val="auto"/>
          <w:sz w:val="24"/>
          <w:szCs w:val="24"/>
          <w:highlight w:val="none"/>
          <w:lang w:eastAsia="zh-CN"/>
        </w:rPr>
        <w:t>甲方</w:t>
      </w:r>
      <w:r>
        <w:rPr>
          <w:rFonts w:hint="eastAsia" w:cs="宋体"/>
          <w:color w:val="auto"/>
          <w:sz w:val="24"/>
          <w:szCs w:val="24"/>
          <w:highlight w:val="none"/>
        </w:rPr>
        <w:t>，受益人为基础合同项下之</w:t>
      </w:r>
      <w:r>
        <w:rPr>
          <w:rFonts w:hint="eastAsia" w:cs="宋体"/>
          <w:color w:val="auto"/>
          <w:sz w:val="24"/>
          <w:szCs w:val="24"/>
          <w:highlight w:val="none"/>
          <w:lang w:eastAsia="zh-CN"/>
        </w:rPr>
        <w:t>乙方</w:t>
      </w:r>
      <w:r>
        <w:rPr>
          <w:rFonts w:hint="eastAsia" w:cs="宋体"/>
          <w:color w:val="auto"/>
          <w:sz w:val="24"/>
          <w:szCs w:val="24"/>
          <w:highlight w:val="none"/>
        </w:rPr>
        <w:t xml:space="preserve">，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14:paraId="4EFBB443">
      <w:pPr>
        <w:spacing w:line="360" w:lineRule="auto"/>
        <w:ind w:firstLine="480" w:firstLineChars="200"/>
        <w:rPr>
          <w:rFonts w:cs="宋体"/>
          <w:color w:val="auto"/>
          <w:sz w:val="24"/>
          <w:szCs w:val="24"/>
          <w:highlight w:val="none"/>
        </w:rPr>
      </w:pPr>
      <w:r>
        <w:rPr>
          <w:rFonts w:hint="eastAsia" w:cs="宋体"/>
          <w:color w:val="auto"/>
          <w:sz w:val="24"/>
          <w:szCs w:val="24"/>
          <w:highlight w:val="none"/>
        </w:rPr>
        <w:t>一、本保函担保范围：申请人未履行基础合同约定的工程款支付义务，应当向受益人承担的违约责任和赔偿因此造成的损失、利息、律师费、诉讼费用等实现债权的费用。</w:t>
      </w:r>
    </w:p>
    <w:p w14:paraId="6CA74861">
      <w:pPr>
        <w:spacing w:line="360" w:lineRule="auto"/>
        <w:ind w:firstLine="480" w:firstLineChars="200"/>
        <w:rPr>
          <w:rFonts w:cs="宋体"/>
          <w:color w:val="auto"/>
          <w:sz w:val="24"/>
          <w:szCs w:val="24"/>
          <w:highlight w:val="none"/>
        </w:rPr>
      </w:pPr>
      <w:r>
        <w:rPr>
          <w:rFonts w:hint="eastAsia" w:cs="宋体"/>
          <w:color w:val="auto"/>
          <w:sz w:val="24"/>
          <w:szCs w:val="24"/>
          <w:highlight w:val="none"/>
        </w:rPr>
        <w:t>二、本保函担保金额最高不超过人民币（大写）</w:t>
      </w:r>
      <w:r>
        <w:rPr>
          <w:rFonts w:hint="eastAsia" w:cs="宋体"/>
          <w:color w:val="auto"/>
          <w:sz w:val="24"/>
          <w:szCs w:val="24"/>
          <w:highlight w:val="none"/>
          <w:u w:val="single"/>
        </w:rPr>
        <w:t xml:space="preserve">          </w:t>
      </w:r>
      <w:r>
        <w:rPr>
          <w:rFonts w:hint="eastAsia" w:cs="宋体"/>
          <w:color w:val="auto"/>
          <w:sz w:val="24"/>
          <w:szCs w:val="24"/>
          <w:highlight w:val="none"/>
        </w:rPr>
        <w:t>元（¥</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6CB38782">
      <w:pPr>
        <w:spacing w:line="360" w:lineRule="auto"/>
        <w:ind w:firstLine="480" w:firstLineChars="200"/>
        <w:rPr>
          <w:rFonts w:cs="宋体"/>
          <w:color w:val="auto"/>
          <w:sz w:val="24"/>
          <w:szCs w:val="24"/>
          <w:highlight w:val="none"/>
        </w:rPr>
      </w:pPr>
      <w:r>
        <w:rPr>
          <w:rFonts w:hint="eastAsia" w:cs="宋体"/>
          <w:color w:val="auto"/>
          <w:sz w:val="24"/>
          <w:szCs w:val="24"/>
          <w:highlight w:val="none"/>
        </w:rPr>
        <w:t>三、本保函有效期自开立之日起至基础合同约定的除工程质量保修金以外的全部工程结算款项支付之日后</w:t>
      </w:r>
      <w:r>
        <w:rPr>
          <w:rFonts w:hint="eastAsia" w:cs="宋体"/>
          <w:color w:val="auto"/>
          <w:sz w:val="24"/>
          <w:szCs w:val="24"/>
          <w:highlight w:val="none"/>
          <w:u w:val="single"/>
        </w:rPr>
        <w:t xml:space="preserve">    </w:t>
      </w:r>
      <w:r>
        <w:rPr>
          <w:rFonts w:hint="eastAsia" w:cs="宋体"/>
          <w:color w:val="auto"/>
          <w:sz w:val="24"/>
          <w:szCs w:val="24"/>
          <w:highlight w:val="none"/>
        </w:rPr>
        <w:t xml:space="preserve">日止。 </w:t>
      </w:r>
    </w:p>
    <w:p w14:paraId="253E7592">
      <w:pPr>
        <w:spacing w:line="400" w:lineRule="exact"/>
        <w:ind w:firstLine="480"/>
        <w:rPr>
          <w:rFonts w:cs="宋体"/>
          <w:color w:val="auto"/>
          <w:sz w:val="24"/>
          <w:szCs w:val="24"/>
          <w:highlight w:val="none"/>
        </w:rPr>
      </w:pPr>
      <w:r>
        <w:rPr>
          <w:rFonts w:hint="eastAsia" w:cs="宋体"/>
          <w:color w:val="auto"/>
          <w:sz w:val="24"/>
          <w:szCs w:val="24"/>
          <w:highlight w:val="none"/>
        </w:rPr>
        <w:t>四、开立人承诺，在收到受益人发来的书面付款通知后的七日内无条件支付，前述书面付款通知即为付款要求之单据，且应满足以下要求：</w:t>
      </w:r>
    </w:p>
    <w:p w14:paraId="4B7314A8">
      <w:pPr>
        <w:spacing w:line="360" w:lineRule="auto"/>
        <w:ind w:firstLine="480" w:firstLineChars="200"/>
        <w:rPr>
          <w:rFonts w:cs="宋体"/>
          <w:color w:val="auto"/>
          <w:sz w:val="24"/>
          <w:szCs w:val="24"/>
          <w:highlight w:val="none"/>
        </w:rPr>
      </w:pPr>
      <w:r>
        <w:rPr>
          <w:rFonts w:hint="eastAsia" w:cs="宋体"/>
          <w:color w:val="auto"/>
          <w:sz w:val="24"/>
          <w:szCs w:val="24"/>
          <w:highlight w:val="none"/>
        </w:rPr>
        <w:t>（1）付款通知到达的日期在本保函的有效期内；</w:t>
      </w:r>
    </w:p>
    <w:p w14:paraId="251646A6">
      <w:pPr>
        <w:spacing w:line="360" w:lineRule="auto"/>
        <w:ind w:firstLine="480" w:firstLineChars="200"/>
        <w:rPr>
          <w:rFonts w:cs="宋体"/>
          <w:color w:val="auto"/>
          <w:sz w:val="24"/>
          <w:szCs w:val="24"/>
          <w:highlight w:val="none"/>
        </w:rPr>
      </w:pPr>
      <w:r>
        <w:rPr>
          <w:rFonts w:hint="eastAsia" w:cs="宋体"/>
          <w:color w:val="auto"/>
          <w:sz w:val="24"/>
          <w:szCs w:val="24"/>
          <w:highlight w:val="none"/>
        </w:rPr>
        <w:t>（2）载明要求支付的金额；</w:t>
      </w:r>
    </w:p>
    <w:p w14:paraId="56CD5C26">
      <w:pPr>
        <w:spacing w:line="360" w:lineRule="auto"/>
        <w:ind w:firstLine="480" w:firstLineChars="200"/>
        <w:rPr>
          <w:rFonts w:cs="宋体"/>
          <w:color w:val="auto"/>
          <w:sz w:val="24"/>
          <w:szCs w:val="24"/>
          <w:highlight w:val="none"/>
        </w:rPr>
      </w:pPr>
      <w:r>
        <w:rPr>
          <w:rFonts w:hint="eastAsia" w:cs="宋体"/>
          <w:color w:val="auto"/>
          <w:sz w:val="24"/>
          <w:szCs w:val="24"/>
          <w:highlight w:val="none"/>
        </w:rPr>
        <w:t>（3）载明申请人违反合同义务的条款和内容；</w:t>
      </w:r>
    </w:p>
    <w:p w14:paraId="32C2E520">
      <w:pPr>
        <w:spacing w:line="360" w:lineRule="auto"/>
        <w:ind w:firstLine="480" w:firstLineChars="200"/>
        <w:rPr>
          <w:rFonts w:cs="宋体"/>
          <w:color w:val="auto"/>
          <w:sz w:val="24"/>
          <w:szCs w:val="24"/>
          <w:highlight w:val="none"/>
        </w:rPr>
      </w:pPr>
      <w:r>
        <w:rPr>
          <w:rFonts w:hint="eastAsia" w:cs="宋体"/>
          <w:color w:val="auto"/>
          <w:sz w:val="24"/>
          <w:szCs w:val="24"/>
          <w:highlight w:val="none"/>
        </w:rPr>
        <w:t>（4）声明不存在合同文件约定或我国法律规定免除申请人或开立人支付责任的情形；</w:t>
      </w:r>
    </w:p>
    <w:p w14:paraId="4A31F783">
      <w:pPr>
        <w:spacing w:line="360" w:lineRule="auto"/>
        <w:ind w:firstLine="480" w:firstLineChars="200"/>
        <w:rPr>
          <w:rFonts w:cs="宋体"/>
          <w:color w:val="auto"/>
          <w:sz w:val="24"/>
          <w:szCs w:val="24"/>
          <w:highlight w:val="none"/>
        </w:rPr>
      </w:pPr>
      <w:r>
        <w:rPr>
          <w:rFonts w:hint="eastAsia" w:cs="宋体"/>
          <w:color w:val="auto"/>
          <w:sz w:val="24"/>
          <w:szCs w:val="24"/>
          <w:highlight w:val="none"/>
        </w:rPr>
        <w:t>（5）付款通知应在本保函有效期内到达的地址是：</w:t>
      </w:r>
      <w:r>
        <w:rPr>
          <w:rFonts w:hint="eastAsia" w:cs="宋体"/>
          <w:color w:val="auto"/>
          <w:sz w:val="24"/>
          <w:szCs w:val="24"/>
          <w:highlight w:val="none"/>
          <w:u w:val="single"/>
        </w:rPr>
        <w:t xml:space="preserve">             </w:t>
      </w:r>
      <w:r>
        <w:rPr>
          <w:rFonts w:hint="eastAsia" w:cs="宋体"/>
          <w:color w:val="auto"/>
          <w:sz w:val="24"/>
          <w:szCs w:val="24"/>
          <w:highlight w:val="none"/>
        </w:rPr>
        <w:t>。</w:t>
      </w:r>
    </w:p>
    <w:p w14:paraId="17B02875">
      <w:pPr>
        <w:spacing w:line="400" w:lineRule="exact"/>
        <w:rPr>
          <w:rFonts w:cs="宋体"/>
          <w:color w:val="auto"/>
          <w:sz w:val="24"/>
          <w:szCs w:val="24"/>
          <w:highlight w:val="none"/>
        </w:rPr>
      </w:pPr>
      <w:r>
        <w:rPr>
          <w:rFonts w:hint="eastAsia" w:cs="宋体"/>
          <w:color w:val="auto"/>
          <w:sz w:val="24"/>
          <w:szCs w:val="24"/>
          <w:highlight w:val="none"/>
        </w:rPr>
        <w:t xml:space="preserve">    受益人发出的书面付款通知应由其法定代表人（负责人）或授权代理人签字并加盖公章。</w:t>
      </w:r>
    </w:p>
    <w:p w14:paraId="7846B416">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五、本保函项下的权利不得转让，不得设定担保。受益人未经开立人书面同意转让本保函或其项下任何权利，对开立人不发生法律效力。 </w:t>
      </w:r>
    </w:p>
    <w:p w14:paraId="6C816B37">
      <w:pPr>
        <w:spacing w:line="400" w:lineRule="exact"/>
        <w:ind w:firstLine="480" w:firstLineChars="200"/>
        <w:rPr>
          <w:rStyle w:val="63"/>
          <w:rFonts w:cs="宋体"/>
          <w:color w:val="auto"/>
          <w:sz w:val="24"/>
          <w:szCs w:val="24"/>
          <w:highlight w:val="none"/>
        </w:rPr>
      </w:pPr>
      <w:r>
        <w:rPr>
          <w:rFonts w:hint="eastAsia" w:cs="宋体"/>
          <w:color w:val="auto"/>
          <w:sz w:val="24"/>
          <w:szCs w:val="24"/>
          <w:highlight w:val="none"/>
        </w:rPr>
        <w:t>六、本保函项下的基础交易不成立、不生效、无效、被撤销、被解除，不影响本保函的独立有效。</w:t>
      </w:r>
    </w:p>
    <w:p w14:paraId="2383716B">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七、本保函项下的义务和责任均在保函有效期到期后自动消灭。 </w:t>
      </w:r>
    </w:p>
    <w:p w14:paraId="2ED46EFE">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八、本保函适用的法律为中华人民共和国法律，因本保函产生的纠纷案件，由申请人所在地人民法院管辖。 </w:t>
      </w:r>
    </w:p>
    <w:p w14:paraId="700CC009">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九、本保函自我方法定代表人或授权代表签字并加盖公章之日起生效。 </w:t>
      </w:r>
    </w:p>
    <w:p w14:paraId="79D99CAC">
      <w:pPr>
        <w:spacing w:line="360" w:lineRule="auto"/>
        <w:ind w:firstLine="480" w:firstLineChars="200"/>
        <w:rPr>
          <w:rFonts w:cs="宋体"/>
          <w:color w:val="auto"/>
          <w:sz w:val="24"/>
          <w:szCs w:val="24"/>
          <w:highlight w:val="none"/>
        </w:rPr>
      </w:pPr>
    </w:p>
    <w:p w14:paraId="197BC0D3">
      <w:pPr>
        <w:spacing w:line="360" w:lineRule="auto"/>
        <w:ind w:firstLine="480" w:firstLineChars="200"/>
        <w:rPr>
          <w:rFonts w:cs="宋体"/>
          <w:color w:val="auto"/>
          <w:sz w:val="24"/>
          <w:szCs w:val="24"/>
          <w:highlight w:val="none"/>
        </w:rPr>
      </w:pPr>
    </w:p>
    <w:p w14:paraId="1DFEB6B9">
      <w:pPr>
        <w:spacing w:line="360" w:lineRule="auto"/>
        <w:ind w:firstLine="480" w:firstLineChars="200"/>
        <w:rPr>
          <w:rFonts w:cs="宋体"/>
          <w:color w:val="auto"/>
          <w:sz w:val="24"/>
          <w:szCs w:val="24"/>
          <w:highlight w:val="none"/>
        </w:rPr>
      </w:pPr>
      <w:r>
        <w:rPr>
          <w:rFonts w:hint="eastAsia" w:cs="宋体"/>
          <w:color w:val="auto"/>
          <w:sz w:val="24"/>
          <w:szCs w:val="24"/>
          <w:highlight w:val="none"/>
        </w:rPr>
        <w:t>开 立 人：</w:t>
      </w:r>
      <w:r>
        <w:rPr>
          <w:rFonts w:hint="eastAsia" w:cs="宋体"/>
          <w:color w:val="auto"/>
          <w:sz w:val="24"/>
          <w:szCs w:val="24"/>
          <w:highlight w:val="none"/>
          <w:u w:val="single"/>
        </w:rPr>
        <w:t xml:space="preserve">                              </w:t>
      </w:r>
      <w:r>
        <w:rPr>
          <w:rFonts w:hint="eastAsia" w:cs="宋体"/>
          <w:color w:val="auto"/>
          <w:sz w:val="24"/>
          <w:szCs w:val="24"/>
          <w:highlight w:val="none"/>
        </w:rPr>
        <w:t xml:space="preserve">（公章） </w:t>
      </w:r>
    </w:p>
    <w:p w14:paraId="1BE694A2">
      <w:pPr>
        <w:spacing w:line="360" w:lineRule="auto"/>
        <w:ind w:firstLine="480" w:firstLineChars="200"/>
        <w:rPr>
          <w:rFonts w:cs="宋体"/>
          <w:color w:val="auto"/>
          <w:sz w:val="24"/>
          <w:szCs w:val="24"/>
          <w:highlight w:val="none"/>
        </w:rPr>
      </w:pPr>
      <w:r>
        <w:rPr>
          <w:rFonts w:hint="eastAsia" w:cs="宋体"/>
          <w:color w:val="auto"/>
          <w:sz w:val="24"/>
          <w:szCs w:val="24"/>
          <w:highlight w:val="none"/>
        </w:rPr>
        <w:t>法定代表人（或授权代表）：</w:t>
      </w:r>
      <w:r>
        <w:rPr>
          <w:rFonts w:hint="eastAsia" w:cs="宋体"/>
          <w:color w:val="auto"/>
          <w:sz w:val="24"/>
          <w:szCs w:val="24"/>
          <w:highlight w:val="none"/>
          <w:u w:val="single"/>
        </w:rPr>
        <w:t xml:space="preserve">               </w:t>
      </w:r>
      <w:r>
        <w:rPr>
          <w:rFonts w:hint="eastAsia" w:cs="宋体"/>
          <w:color w:val="auto"/>
          <w:sz w:val="24"/>
          <w:szCs w:val="24"/>
          <w:highlight w:val="none"/>
        </w:rPr>
        <w:t xml:space="preserve">（签字） </w:t>
      </w:r>
    </w:p>
    <w:p w14:paraId="41B7DB7E">
      <w:pPr>
        <w:spacing w:line="360" w:lineRule="auto"/>
        <w:ind w:firstLine="480" w:firstLineChars="200"/>
        <w:rPr>
          <w:rFonts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w:t>
      </w:r>
    </w:p>
    <w:p w14:paraId="020C8F97">
      <w:pPr>
        <w:spacing w:line="360" w:lineRule="auto"/>
        <w:ind w:firstLine="480" w:firstLineChars="200"/>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w:t>
      </w:r>
    </w:p>
    <w:p w14:paraId="19FC3598">
      <w:pPr>
        <w:spacing w:line="360" w:lineRule="auto"/>
        <w:ind w:firstLine="480" w:firstLineChars="200"/>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p>
    <w:p w14:paraId="7BB105CC">
      <w:pPr>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传    真：</w:t>
      </w:r>
      <w:r>
        <w:rPr>
          <w:rFonts w:hint="eastAsia" w:cs="宋体"/>
          <w:color w:val="auto"/>
          <w:sz w:val="24"/>
          <w:szCs w:val="24"/>
          <w:highlight w:val="none"/>
          <w:u w:val="single"/>
        </w:rPr>
        <w:t xml:space="preserve">                 </w:t>
      </w:r>
    </w:p>
    <w:p w14:paraId="1AC83D93">
      <w:pPr>
        <w:spacing w:line="360" w:lineRule="auto"/>
        <w:ind w:left="1432" w:leftChars="200" w:hanging="1032" w:hangingChars="430"/>
        <w:rPr>
          <w:rFonts w:cs="宋体"/>
          <w:color w:val="auto"/>
          <w:sz w:val="24"/>
          <w:szCs w:val="24"/>
          <w:highlight w:val="none"/>
        </w:rPr>
      </w:pPr>
      <w:r>
        <w:rPr>
          <w:rFonts w:hint="eastAsia" w:cs="宋体"/>
          <w:color w:val="auto"/>
          <w:sz w:val="24"/>
          <w:szCs w:val="24"/>
          <w:highlight w:val="none"/>
        </w:rPr>
        <w:t>开立时间：</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w:t>
      </w:r>
    </w:p>
    <w:p w14:paraId="0E711F1D">
      <w:pPr>
        <w:rPr>
          <w:b/>
          <w:color w:val="auto"/>
          <w:sz w:val="24"/>
          <w:szCs w:val="24"/>
          <w:highlight w:val="none"/>
        </w:rPr>
      </w:pPr>
      <w:r>
        <w:rPr>
          <w:rFonts w:ascii="Times New Roman" w:eastAsia="黑体"/>
          <w:bCs/>
          <w:color w:val="auto"/>
          <w:sz w:val="24"/>
          <w:szCs w:val="24"/>
          <w:highlight w:val="none"/>
        </w:rPr>
        <w:br w:type="page"/>
      </w:r>
    </w:p>
    <w:p w14:paraId="408E08AC">
      <w:pPr>
        <w:widowControl/>
        <w:jc w:val="left"/>
        <w:rPr>
          <w:b/>
          <w:color w:val="auto"/>
          <w:sz w:val="24"/>
          <w:highlight w:val="none"/>
        </w:rPr>
      </w:pPr>
    </w:p>
    <w:p w14:paraId="089C4C80">
      <w:pPr>
        <w:spacing w:line="360" w:lineRule="auto"/>
        <w:jc w:val="center"/>
        <w:outlineLvl w:val="0"/>
        <w:rPr>
          <w:rFonts w:asciiTheme="minorEastAsia" w:hAnsiTheme="minorEastAsia" w:eastAsiaTheme="minorEastAsia"/>
          <w:b/>
          <w:color w:val="auto"/>
          <w:sz w:val="28"/>
          <w:highlight w:val="none"/>
        </w:rPr>
      </w:pPr>
      <w:bookmarkStart w:id="656" w:name="_Toc22734"/>
      <w:r>
        <w:rPr>
          <w:rFonts w:hint="eastAsia" w:asciiTheme="minorEastAsia" w:hAnsiTheme="minorEastAsia" w:eastAsiaTheme="minorEastAsia"/>
          <w:b/>
          <w:color w:val="auto"/>
          <w:sz w:val="28"/>
          <w:highlight w:val="none"/>
        </w:rPr>
        <w:t>第六章  响应文件格式</w:t>
      </w:r>
      <w:bookmarkEnd w:id="656"/>
    </w:p>
    <w:p w14:paraId="23E55665">
      <w:pPr>
        <w:spacing w:line="900" w:lineRule="exact"/>
        <w:jc w:val="center"/>
        <w:rPr>
          <w:rFonts w:asciiTheme="minorEastAsia" w:hAnsiTheme="minorEastAsia" w:eastAsiaTheme="minorEastAsia"/>
          <w:b/>
          <w:color w:val="auto"/>
          <w:sz w:val="72"/>
          <w:highlight w:val="none"/>
        </w:rPr>
      </w:pPr>
    </w:p>
    <w:p w14:paraId="501C134A">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52ADF77B">
      <w:pPr>
        <w:spacing w:line="900" w:lineRule="exact"/>
        <w:jc w:val="center"/>
        <w:outlineLvl w:val="9"/>
        <w:rPr>
          <w:rFonts w:asciiTheme="minorEastAsia" w:hAnsiTheme="minorEastAsia" w:eastAsiaTheme="minorEastAsia"/>
          <w:b/>
          <w:color w:val="auto"/>
          <w:sz w:val="72"/>
          <w:highlight w:val="none"/>
        </w:rPr>
      </w:pPr>
    </w:p>
    <w:p w14:paraId="47FC8A7F">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5B3F6FFE">
      <w:pPr>
        <w:spacing w:line="900" w:lineRule="exact"/>
        <w:jc w:val="center"/>
        <w:outlineLvl w:val="9"/>
        <w:rPr>
          <w:rFonts w:asciiTheme="minorEastAsia" w:hAnsiTheme="minorEastAsia" w:eastAsiaTheme="minorEastAsia"/>
          <w:b/>
          <w:color w:val="auto"/>
          <w:sz w:val="72"/>
          <w:highlight w:val="none"/>
        </w:rPr>
      </w:pPr>
    </w:p>
    <w:p w14:paraId="4F98A39D">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46CB3931">
      <w:pPr>
        <w:spacing w:line="900" w:lineRule="exact"/>
        <w:jc w:val="center"/>
        <w:outlineLvl w:val="9"/>
        <w:rPr>
          <w:rFonts w:asciiTheme="minorEastAsia" w:hAnsiTheme="minorEastAsia" w:eastAsiaTheme="minorEastAsia"/>
          <w:b/>
          <w:color w:val="auto"/>
          <w:sz w:val="72"/>
          <w:highlight w:val="none"/>
        </w:rPr>
      </w:pPr>
    </w:p>
    <w:p w14:paraId="017FEB44">
      <w:pPr>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02B367DB">
      <w:pPr>
        <w:spacing w:after="156" w:afterLines="50"/>
        <w:jc w:val="center"/>
        <w:outlineLvl w:val="9"/>
        <w:rPr>
          <w:rFonts w:asciiTheme="minorEastAsia" w:hAnsiTheme="minorEastAsia" w:eastAsiaTheme="minorEastAsia"/>
          <w:b/>
          <w:color w:val="auto"/>
          <w:sz w:val="72"/>
          <w:highlight w:val="none"/>
        </w:rPr>
      </w:pPr>
    </w:p>
    <w:p w14:paraId="7ECB08F1">
      <w:pPr>
        <w:spacing w:after="156" w:afterLines="50" w:line="500" w:lineRule="exact"/>
        <w:jc w:val="center"/>
        <w:outlineLvl w:val="9"/>
        <w:rPr>
          <w:rFonts w:asciiTheme="minorEastAsia" w:hAnsiTheme="minorEastAsia" w:eastAsiaTheme="minorEastAsia"/>
          <w:b/>
          <w:color w:val="auto"/>
          <w:sz w:val="28"/>
          <w:szCs w:val="28"/>
          <w:highlight w:val="none"/>
        </w:rPr>
      </w:pPr>
    </w:p>
    <w:p w14:paraId="6DF86DDB">
      <w:pPr>
        <w:tabs>
          <w:tab w:val="left" w:pos="2410"/>
        </w:tabs>
        <w:autoSpaceDE w:val="0"/>
        <w:autoSpaceDN w:val="0"/>
        <w:adjustRightInd w:val="0"/>
        <w:snapToGrid w:val="0"/>
        <w:spacing w:line="360" w:lineRule="auto"/>
        <w:jc w:val="both"/>
        <w:outlineLvl w:val="9"/>
        <w:rPr>
          <w:rFonts w:hint="eastAsia" w:asciiTheme="minorEastAsia" w:hAnsiTheme="minorEastAsia" w:eastAsiaTheme="minorEastAsia"/>
          <w:b/>
          <w:color w:val="auto"/>
          <w:sz w:val="32"/>
          <w:highlight w:val="none"/>
          <w:u w:val="single"/>
          <w:lang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lang w:eastAsia="zh-CN"/>
        </w:rPr>
        <w:t>水闸自动化系统汛前维修项目第2包</w:t>
      </w:r>
    </w:p>
    <w:p w14:paraId="1BB1E498">
      <w:pPr>
        <w:tabs>
          <w:tab w:val="left" w:pos="2410"/>
        </w:tabs>
        <w:autoSpaceDE w:val="0"/>
        <w:autoSpaceDN w:val="0"/>
        <w:adjustRightInd w:val="0"/>
        <w:snapToGrid w:val="0"/>
        <w:spacing w:line="360" w:lineRule="auto"/>
        <w:jc w:val="both"/>
        <w:outlineLvl w:val="9"/>
        <w:rPr>
          <w:rFonts w:hint="eastAsia" w:asciiTheme="minorEastAsia" w:hAnsiTheme="minorEastAsia" w:eastAsiaTheme="minorEastAsia"/>
          <w:b/>
          <w:color w:val="auto"/>
          <w:sz w:val="32"/>
          <w:highlight w:val="none"/>
          <w:u w:val="single"/>
          <w:lang w:eastAsia="zh-CN"/>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AE223EA">
      <w:pPr>
        <w:tabs>
          <w:tab w:val="left" w:pos="2410"/>
        </w:tabs>
        <w:autoSpaceDE w:val="0"/>
        <w:autoSpaceDN w:val="0"/>
        <w:adjustRightInd w:val="0"/>
        <w:snapToGrid w:val="0"/>
        <w:spacing w:line="360" w:lineRule="auto"/>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982D9C9">
      <w:pPr>
        <w:spacing w:after="156" w:afterLines="50" w:line="500" w:lineRule="exact"/>
        <w:jc w:val="center"/>
        <w:outlineLvl w:val="9"/>
        <w:rPr>
          <w:rFonts w:asciiTheme="minorEastAsia" w:hAnsiTheme="minorEastAsia" w:eastAsiaTheme="minorEastAsia"/>
          <w:b/>
          <w:color w:val="auto"/>
          <w:sz w:val="32"/>
          <w:highlight w:val="none"/>
          <w:u w:val="none"/>
        </w:rPr>
      </w:pPr>
      <w:bookmarkStart w:id="657" w:name="_Toc19892"/>
      <w:bookmarkStart w:id="658" w:name="_Toc24911"/>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none"/>
          <w:lang w:val="en-US" w:eastAsia="zh-CN"/>
        </w:rPr>
        <w:t>年</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none"/>
          <w:lang w:val="en-US" w:eastAsia="zh-CN"/>
        </w:rPr>
        <w:t>月</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none"/>
        </w:rPr>
        <w:t>日</w:t>
      </w:r>
      <w:bookmarkEnd w:id="657"/>
      <w:bookmarkEnd w:id="658"/>
    </w:p>
    <w:p w14:paraId="22D2CA82">
      <w:pPr>
        <w:widowControl/>
        <w:jc w:val="left"/>
        <w:outlineLvl w:val="9"/>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7A9DB3D4">
      <w:pPr>
        <w:spacing w:line="360" w:lineRule="auto"/>
        <w:jc w:val="center"/>
        <w:outlineLvl w:val="1"/>
        <w:rPr>
          <w:rFonts w:asciiTheme="minorEastAsia" w:hAnsiTheme="minorEastAsia" w:eastAsiaTheme="minorEastAsia"/>
          <w:b/>
          <w:color w:val="auto"/>
          <w:sz w:val="24"/>
          <w:highlight w:val="none"/>
        </w:rPr>
      </w:pPr>
      <w:bookmarkStart w:id="659" w:name="_Toc461056631"/>
      <w:bookmarkStart w:id="660" w:name="_Toc461053086"/>
      <w:bookmarkStart w:id="661" w:name="_Toc21496"/>
      <w:bookmarkStart w:id="662" w:name="_Toc520983587"/>
      <w:bookmarkStart w:id="663" w:name="_Toc28280"/>
      <w:r>
        <w:rPr>
          <w:rFonts w:hint="eastAsia" w:asciiTheme="minorEastAsia" w:hAnsiTheme="minorEastAsia" w:eastAsiaTheme="minorEastAsia"/>
          <w:b/>
          <w:color w:val="auto"/>
          <w:sz w:val="24"/>
          <w:highlight w:val="none"/>
        </w:rPr>
        <w:t>一</w:t>
      </w:r>
      <w:bookmarkEnd w:id="659"/>
      <w:bookmarkEnd w:id="660"/>
      <w:r>
        <w:rPr>
          <w:rFonts w:hint="eastAsia" w:asciiTheme="minorEastAsia" w:hAnsiTheme="minorEastAsia" w:eastAsiaTheme="minorEastAsia"/>
          <w:b/>
          <w:color w:val="auto"/>
          <w:sz w:val="24"/>
          <w:highlight w:val="none"/>
        </w:rPr>
        <w:t>、报价表格式</w:t>
      </w:r>
      <w:bookmarkEnd w:id="661"/>
      <w:bookmarkEnd w:id="662"/>
      <w:bookmarkEnd w:id="663"/>
    </w:p>
    <w:p w14:paraId="709AC6B4">
      <w:pPr>
        <w:spacing w:before="156" w:beforeLines="50" w:after="156" w:afterLines="50" w:line="360" w:lineRule="auto"/>
        <w:jc w:val="left"/>
        <w:outlineLvl w:val="9"/>
        <w:rPr>
          <w:rFonts w:cs="@仿宋_GB2312"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b/>
          <w:color w:val="auto"/>
          <w:kern w:val="2"/>
          <w:sz w:val="24"/>
          <w:szCs w:val="24"/>
          <w:highlight w:val="none"/>
        </w:rPr>
        <w:t>1-1 报价表</w:t>
      </w:r>
    </w:p>
    <w:p w14:paraId="17F23887">
      <w:pPr>
        <w:snapToGrid w:val="0"/>
        <w:spacing w:line="360" w:lineRule="auto"/>
        <w:jc w:val="left"/>
        <w:rPr>
          <w:rFonts w:hint="eastAsia" w:cs="宋体" w:asciiTheme="minorEastAsia" w:hAnsiTheme="minorEastAsia" w:eastAsiaTheme="minorEastAsia"/>
          <w:b/>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eastAsia="zh-CN"/>
        </w:rPr>
        <w:t>水闸自动化系统汛前维修项目第2包</w:t>
      </w:r>
    </w:p>
    <w:p w14:paraId="7CB7588C">
      <w:pPr>
        <w:snapToGrid w:val="0"/>
        <w:spacing w:after="156" w:afterLines="50" w:line="360" w:lineRule="auto"/>
        <w:jc w:val="left"/>
        <w:rPr>
          <w:rFonts w:hint="eastAsia" w:cs="宋体" w:asciiTheme="minorEastAsia" w:hAnsiTheme="minorEastAsia" w:eastAsiaTheme="minorEastAsia"/>
          <w:b/>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lang w:eastAsia="zh-CN"/>
        </w:rPr>
        <w:fldChar w:fldCharType="begin"/>
      </w:r>
      <w:r>
        <w:rPr>
          <w:rFonts w:hint="eastAsia" w:cs="宋体" w:asciiTheme="minorEastAsia" w:hAnsiTheme="minorEastAsia" w:eastAsiaTheme="minorEastAsia"/>
          <w:b/>
          <w:color w:val="auto"/>
          <w:kern w:val="2"/>
          <w:sz w:val="24"/>
          <w:szCs w:val="24"/>
          <w:highlight w:val="none"/>
          <w:u w:val="single"/>
          <w:lang w:eastAsia="zh-CN"/>
        </w:rPr>
        <w:instrText xml:space="preserve"> HYPERLINK "https://pay.anhui.zcygov.cn/purchaseplan_front/" \l "/plan/list/view?id=1000000000005136112&amp;_app_=zcy.procurement" \t "https://www.anhui.zcygov.cn/project-center/_procurement_/purchasePlans/_blank" </w:instrText>
      </w:r>
      <w:r>
        <w:rPr>
          <w:rFonts w:hint="eastAsia" w:cs="宋体" w:asciiTheme="minorEastAsia" w:hAnsiTheme="minorEastAsia" w:eastAsiaTheme="minorEastAsia"/>
          <w:b/>
          <w:color w:val="auto"/>
          <w:kern w:val="2"/>
          <w:sz w:val="24"/>
          <w:szCs w:val="24"/>
          <w:highlight w:val="none"/>
          <w:u w:val="single"/>
          <w:lang w:eastAsia="zh-CN"/>
        </w:rPr>
        <w:fldChar w:fldCharType="separate"/>
      </w:r>
      <w:r>
        <w:rPr>
          <w:rFonts w:hint="eastAsia" w:cs="宋体" w:asciiTheme="minorEastAsia" w:hAnsiTheme="minorEastAsia" w:eastAsiaTheme="minorEastAsia"/>
          <w:b/>
          <w:color w:val="auto"/>
          <w:kern w:val="2"/>
          <w:sz w:val="24"/>
          <w:szCs w:val="24"/>
          <w:highlight w:val="none"/>
          <w:u w:val="single"/>
          <w:lang w:eastAsia="zh-CN"/>
        </w:rPr>
        <w:fldChar w:fldCharType="end"/>
      </w:r>
    </w:p>
    <w:tbl>
      <w:tblPr>
        <w:tblStyle w:val="5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5FEC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17C57A21">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6063" w:type="dxa"/>
            <w:tcBorders>
              <w:left w:val="single" w:color="auto" w:sz="4" w:space="0"/>
            </w:tcBorders>
          </w:tcPr>
          <w:p w14:paraId="67BB8747">
            <w:pPr>
              <w:rPr>
                <w:rFonts w:cs="宋体" w:asciiTheme="minorEastAsia" w:hAnsiTheme="minorEastAsia" w:eastAsiaTheme="minorEastAsia"/>
                <w:b/>
                <w:color w:val="auto"/>
                <w:kern w:val="2"/>
                <w:sz w:val="24"/>
                <w:szCs w:val="24"/>
                <w:highlight w:val="none"/>
              </w:rPr>
            </w:pPr>
          </w:p>
        </w:tc>
      </w:tr>
      <w:tr w14:paraId="741C0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7A9E77E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6063" w:type="dxa"/>
            <w:tcBorders>
              <w:left w:val="single" w:color="auto" w:sz="4" w:space="0"/>
            </w:tcBorders>
            <w:vAlign w:val="center"/>
          </w:tcPr>
          <w:p w14:paraId="6E011550">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全部</w:t>
            </w:r>
          </w:p>
        </w:tc>
      </w:tr>
      <w:tr w14:paraId="6C85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3907857B">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5B3E4626">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6063" w:type="dxa"/>
            <w:vAlign w:val="center"/>
          </w:tcPr>
          <w:p w14:paraId="6815E4AC">
            <w:pPr>
              <w:snapToGrid w:val="0"/>
              <w:rPr>
                <w:rFonts w:cs="宋体" w:asciiTheme="minorEastAsia" w:hAnsiTheme="minorEastAsia" w:eastAsiaTheme="minorEastAsia"/>
                <w:color w:val="auto"/>
                <w:kern w:val="2"/>
                <w:sz w:val="24"/>
                <w:szCs w:val="24"/>
                <w:highlight w:val="none"/>
              </w:rPr>
            </w:pPr>
          </w:p>
          <w:p w14:paraId="4E50D3FA">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1E9A35D">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cs="宋体"/>
                <w:bCs/>
                <w:color w:val="auto"/>
                <w:sz w:val="24"/>
                <w:szCs w:val="24"/>
                <w:highlight w:val="none"/>
                <w:lang w:eastAsia="zh-CN"/>
              </w:rPr>
              <w:t>（</w:t>
            </w:r>
            <w:r>
              <w:rPr>
                <w:rFonts w:hint="eastAsia" w:cs="宋体"/>
                <w:bCs/>
                <w:color w:val="auto"/>
                <w:sz w:val="24"/>
                <w:szCs w:val="24"/>
                <w:highlight w:val="none"/>
                <w:lang w:val="en-US" w:eastAsia="zh-CN"/>
              </w:rPr>
              <w:t>元）</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p>
          <w:p w14:paraId="3C0C82F9">
            <w:pPr>
              <w:snapToGrid w:val="0"/>
              <w:rPr>
                <w:rFonts w:cs="宋体" w:asciiTheme="minorEastAsia" w:hAnsiTheme="minorEastAsia" w:eastAsiaTheme="minorEastAsia"/>
                <w:b/>
                <w:color w:val="auto"/>
                <w:kern w:val="2"/>
                <w:sz w:val="24"/>
                <w:szCs w:val="24"/>
                <w:highlight w:val="none"/>
              </w:rPr>
            </w:pPr>
          </w:p>
        </w:tc>
      </w:tr>
      <w:tr w14:paraId="293A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0BE8BAE7">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6063" w:type="dxa"/>
            <w:vAlign w:val="center"/>
          </w:tcPr>
          <w:p w14:paraId="1ECC447A">
            <w:pPr>
              <w:snapToGrid w:val="0"/>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2"/>
                <w:highlight w:val="none"/>
                <w:lang w:val="en-US" w:eastAsia="zh-CN"/>
              </w:rPr>
              <w:t>质量合格，满足国家和行业规范标准。</w:t>
            </w:r>
          </w:p>
        </w:tc>
      </w:tr>
      <w:tr w14:paraId="3F00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0254A9C0">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6063" w:type="dxa"/>
            <w:vAlign w:val="center"/>
          </w:tcPr>
          <w:p w14:paraId="21F6626C">
            <w:pPr>
              <w:snapToGrid w:val="0"/>
              <w:spacing w:line="360" w:lineRule="auto"/>
              <w:rPr>
                <w:rFonts w:cs="宋体" w:asciiTheme="minorEastAsia" w:hAnsiTheme="minorEastAsia" w:eastAsiaTheme="minorEastAsia"/>
                <w:b/>
                <w:color w:val="auto"/>
                <w:kern w:val="2"/>
                <w:sz w:val="24"/>
                <w:szCs w:val="24"/>
                <w:highlight w:val="none"/>
              </w:rPr>
            </w:pPr>
          </w:p>
        </w:tc>
      </w:tr>
      <w:tr w14:paraId="3974B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0F703BEF">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6063" w:type="dxa"/>
            <w:vAlign w:val="center"/>
          </w:tcPr>
          <w:p w14:paraId="2B8D3064">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w:t>
            </w:r>
            <w:r>
              <w:rPr>
                <w:rFonts w:hint="eastAsia" w:cs="宋体" w:asciiTheme="minorEastAsia" w:hAnsiTheme="minorEastAsia" w:eastAsiaTheme="minorEastAsia"/>
                <w:color w:val="auto"/>
                <w:kern w:val="2"/>
                <w:sz w:val="24"/>
                <w:szCs w:val="24"/>
                <w:highlight w:val="none"/>
              </w:rPr>
              <w:sym w:font="Wingdings 2" w:char="0052"/>
            </w:r>
            <w:r>
              <w:rPr>
                <w:rFonts w:hint="eastAsia" w:cs="宋体" w:asciiTheme="minorEastAsia" w:hAnsiTheme="minorEastAsia" w:eastAsiaTheme="minorEastAsia"/>
                <w:color w:val="auto"/>
                <w:kern w:val="2"/>
                <w:sz w:val="24"/>
                <w:szCs w:val="24"/>
                <w:highlight w:val="none"/>
              </w:rPr>
              <w:t xml:space="preserve">    否□   （划√）</w:t>
            </w:r>
          </w:p>
        </w:tc>
      </w:tr>
      <w:tr w14:paraId="6E11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2459" w:type="dxa"/>
            <w:vAlign w:val="center"/>
          </w:tcPr>
          <w:p w14:paraId="76BD93C2">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6063" w:type="dxa"/>
          </w:tcPr>
          <w:p w14:paraId="7AF0A15A">
            <w:pPr>
              <w:rPr>
                <w:rFonts w:cs="宋体" w:asciiTheme="minorEastAsia" w:hAnsiTheme="minorEastAsia" w:eastAsiaTheme="minorEastAsia"/>
                <w:b/>
                <w:color w:val="auto"/>
                <w:kern w:val="2"/>
                <w:sz w:val="24"/>
                <w:szCs w:val="24"/>
                <w:highlight w:val="none"/>
              </w:rPr>
            </w:pPr>
          </w:p>
        </w:tc>
      </w:tr>
    </w:tbl>
    <w:p w14:paraId="404F52E3">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21F90162">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1FF2A90F">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0FDB7966">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1.本表内容根据磋商文件要求包括了磋商文件要求提供的全部</w:t>
      </w:r>
      <w:r>
        <w:rPr>
          <w:rFonts w:hint="eastAsia" w:cs="宋体" w:asciiTheme="minorEastAsia" w:hAnsiTheme="minorEastAsia" w:eastAsiaTheme="minorEastAsia"/>
          <w:b/>
          <w:bCs/>
          <w:color w:val="auto"/>
          <w:kern w:val="2"/>
          <w:sz w:val="24"/>
          <w:szCs w:val="24"/>
          <w:highlight w:val="none"/>
          <w:lang w:val="en-US" w:eastAsia="zh-CN"/>
        </w:rPr>
        <w:t>工程</w:t>
      </w:r>
      <w:r>
        <w:rPr>
          <w:rFonts w:hint="eastAsia" w:cs="宋体" w:asciiTheme="minorEastAsia" w:hAnsiTheme="minorEastAsia" w:eastAsiaTheme="minorEastAsia"/>
          <w:b/>
          <w:bCs/>
          <w:color w:val="auto"/>
          <w:kern w:val="2"/>
          <w:sz w:val="24"/>
          <w:szCs w:val="24"/>
          <w:highlight w:val="none"/>
        </w:rPr>
        <w:t>内容的所有费用。</w:t>
      </w:r>
    </w:p>
    <w:p w14:paraId="78E9843B">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5A66225A">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44203850">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cs="宋体" w:asciiTheme="minorEastAsia" w:hAnsiTheme="minorEastAsia" w:eastAsiaTheme="minorEastAsia"/>
          <w:b/>
          <w:bCs/>
          <w:color w:val="auto"/>
          <w:kern w:val="2"/>
          <w:sz w:val="24"/>
          <w:szCs w:val="24"/>
          <w:highlight w:val="none"/>
        </w:rPr>
        <w:br w:type="page"/>
      </w:r>
    </w:p>
    <w:p w14:paraId="4BCE5FBD">
      <w:pPr>
        <w:adjustRightInd w:val="0"/>
        <w:snapToGrid w:val="0"/>
        <w:spacing w:line="360" w:lineRule="auto"/>
        <w:outlineLvl w:val="9"/>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1-2 工程量清单报价书</w:t>
      </w:r>
    </w:p>
    <w:p w14:paraId="73B20FE1">
      <w:pPr>
        <w:autoSpaceDE w:val="0"/>
        <w:autoSpaceDN w:val="0"/>
        <w:adjustRightInd w:val="0"/>
        <w:spacing w:before="20" w:after="20" w:line="360" w:lineRule="auto"/>
        <w:jc w:val="center"/>
        <w:rPr>
          <w:rFonts w:cs="宋体" w:asciiTheme="minorEastAsia" w:hAnsiTheme="minorEastAsia" w:eastAsiaTheme="minorEastAsia"/>
          <w:b/>
          <w:color w:val="auto"/>
          <w:sz w:val="24"/>
          <w:szCs w:val="24"/>
          <w:highlight w:val="none"/>
        </w:rPr>
      </w:pPr>
    </w:p>
    <w:p w14:paraId="59835169">
      <w:pPr>
        <w:autoSpaceDE w:val="0"/>
        <w:autoSpaceDN w:val="0"/>
        <w:adjustRightInd w:val="0"/>
        <w:spacing w:before="20" w:after="20" w:line="360" w:lineRule="auto"/>
        <w:jc w:val="center"/>
        <w:outlineLvl w:val="9"/>
        <w:rPr>
          <w:rFonts w:cs="宋体" w:asciiTheme="minorEastAsia" w:hAnsiTheme="minorEastAsia" w:eastAsiaTheme="minorEastAsia"/>
          <w:b/>
          <w:color w:val="auto"/>
          <w:sz w:val="24"/>
          <w:szCs w:val="24"/>
          <w:highlight w:val="none"/>
        </w:rPr>
      </w:pPr>
      <w:bookmarkStart w:id="664" w:name="_Toc1874"/>
      <w:bookmarkStart w:id="665" w:name="_Toc26702"/>
      <w:r>
        <w:rPr>
          <w:rFonts w:hint="eastAsia" w:cs="宋体" w:asciiTheme="minorEastAsia" w:hAnsiTheme="minorEastAsia" w:eastAsiaTheme="minorEastAsia"/>
          <w:b/>
          <w:color w:val="auto"/>
          <w:sz w:val="24"/>
          <w:szCs w:val="24"/>
          <w:highlight w:val="none"/>
        </w:rPr>
        <w:t>工程量清单报价书</w:t>
      </w:r>
      <w:bookmarkEnd w:id="664"/>
      <w:bookmarkEnd w:id="665"/>
    </w:p>
    <w:p w14:paraId="1A1C62A2">
      <w:pPr>
        <w:adjustRightInd w:val="0"/>
        <w:snapToGrid w:val="0"/>
        <w:spacing w:line="360" w:lineRule="auto"/>
        <w:ind w:firstLine="422" w:firstLineChars="200"/>
        <w:jc w:val="center"/>
        <w:rPr>
          <w:b/>
          <w:bCs/>
          <w:color w:val="auto"/>
          <w:sz w:val="24"/>
          <w:szCs w:val="28"/>
          <w:highlight w:val="none"/>
        </w:rPr>
      </w:pPr>
      <w:r>
        <w:rPr>
          <w:rFonts w:hint="eastAsia" w:cs="宋体" w:asciiTheme="minorEastAsia" w:hAnsiTheme="minorEastAsia" w:eastAsiaTheme="minorEastAsia"/>
          <w:b/>
          <w:color w:val="auto"/>
          <w:kern w:val="2"/>
          <w:sz w:val="21"/>
          <w:szCs w:val="24"/>
          <w:highlight w:val="none"/>
        </w:rPr>
        <w:t>（格式详见工程量清单）</w:t>
      </w:r>
    </w:p>
    <w:p w14:paraId="481F93C9">
      <w:pPr>
        <w:widowControl/>
        <w:jc w:val="left"/>
        <w:rPr>
          <w:b/>
          <w:bCs/>
          <w:color w:val="auto"/>
          <w:sz w:val="24"/>
          <w:szCs w:val="28"/>
          <w:highlight w:val="none"/>
        </w:rPr>
      </w:pPr>
      <w:r>
        <w:rPr>
          <w:b/>
          <w:bCs/>
          <w:color w:val="auto"/>
          <w:sz w:val="24"/>
          <w:szCs w:val="28"/>
          <w:highlight w:val="none"/>
        </w:rPr>
        <w:br w:type="page"/>
      </w:r>
    </w:p>
    <w:p w14:paraId="2646BB33">
      <w:pPr>
        <w:spacing w:line="360" w:lineRule="auto"/>
        <w:jc w:val="both"/>
        <w:outlineLvl w:val="9"/>
        <w:rPr>
          <w:rFonts w:asciiTheme="minorEastAsia" w:hAnsiTheme="minorEastAsia" w:eastAsiaTheme="minorEastAsia"/>
          <w:b/>
          <w:color w:val="auto"/>
          <w:sz w:val="24"/>
          <w:highlight w:val="none"/>
        </w:rPr>
      </w:pPr>
      <w:bookmarkStart w:id="666" w:name="_Toc20879"/>
      <w:bookmarkStart w:id="667" w:name="_Toc520983588"/>
      <w:bookmarkStart w:id="668" w:name="_Toc22341"/>
      <w:r>
        <w:rPr>
          <w:rFonts w:hint="eastAsia" w:asciiTheme="minorEastAsia" w:hAnsiTheme="minorEastAsia" w:eastAsiaTheme="minorEastAsia"/>
          <w:b/>
          <w:color w:val="auto"/>
          <w:sz w:val="24"/>
          <w:highlight w:val="none"/>
          <w:lang w:val="en-US" w:eastAsia="zh-CN"/>
        </w:rPr>
        <w:t>1-3</w:t>
      </w:r>
      <w:r>
        <w:rPr>
          <w:rFonts w:hint="eastAsia" w:asciiTheme="minorEastAsia" w:hAnsiTheme="minorEastAsia" w:eastAsiaTheme="minorEastAsia"/>
          <w:b/>
          <w:color w:val="auto"/>
          <w:sz w:val="24"/>
          <w:highlight w:val="none"/>
        </w:rPr>
        <w:t>最后承诺报价表</w:t>
      </w:r>
      <w:bookmarkEnd w:id="666"/>
      <w:bookmarkEnd w:id="667"/>
      <w:bookmarkEnd w:id="668"/>
    </w:p>
    <w:p w14:paraId="70ED01ED">
      <w:pPr>
        <w:spacing w:before="156" w:beforeLines="50" w:after="156" w:afterLines="50" w:line="360" w:lineRule="auto"/>
        <w:ind w:firstLine="236" w:firstLineChars="98"/>
        <w:jc w:val="center"/>
        <w:outlineLvl w:val="9"/>
        <w:rPr>
          <w:b/>
          <w:color w:val="auto"/>
          <w:sz w:val="24"/>
          <w:szCs w:val="28"/>
          <w:highlight w:val="none"/>
        </w:rPr>
      </w:pPr>
      <w:bookmarkStart w:id="669" w:name="_Toc8562"/>
      <w:bookmarkStart w:id="670" w:name="_Toc13333"/>
      <w:r>
        <w:rPr>
          <w:rFonts w:hint="eastAsia"/>
          <w:b/>
          <w:color w:val="auto"/>
          <w:sz w:val="24"/>
          <w:szCs w:val="28"/>
          <w:highlight w:val="none"/>
        </w:rPr>
        <w:t>（第</w:t>
      </w:r>
      <w:r>
        <w:rPr>
          <w:rFonts w:hint="eastAsia"/>
          <w:b/>
          <w:color w:val="auto"/>
          <w:sz w:val="24"/>
          <w:szCs w:val="28"/>
          <w:highlight w:val="none"/>
          <w:u w:val="single"/>
        </w:rPr>
        <w:t xml:space="preserve">   </w:t>
      </w:r>
      <w:r>
        <w:rPr>
          <w:rFonts w:hint="eastAsia"/>
          <w:b/>
          <w:color w:val="auto"/>
          <w:sz w:val="24"/>
          <w:szCs w:val="28"/>
          <w:highlight w:val="none"/>
        </w:rPr>
        <w:t>次报价书）</w:t>
      </w:r>
      <w:bookmarkEnd w:id="669"/>
      <w:bookmarkEnd w:id="670"/>
    </w:p>
    <w:p w14:paraId="6ED7F9E8">
      <w:pPr>
        <w:snapToGrid w:val="0"/>
        <w:spacing w:line="360" w:lineRule="auto"/>
        <w:jc w:val="left"/>
        <w:rPr>
          <w:rFonts w:hint="eastAsia" w:cs="宋体" w:asciiTheme="minorEastAsia" w:hAnsiTheme="minorEastAsia" w:eastAsiaTheme="minorEastAsia"/>
          <w:b/>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eastAsia="zh-CN"/>
        </w:rPr>
        <w:t>水闸自动化系统汛前维修项目第2包</w:t>
      </w:r>
    </w:p>
    <w:p w14:paraId="4AD3CD88">
      <w:pPr>
        <w:snapToGrid w:val="0"/>
        <w:spacing w:after="156" w:afterLines="50" w:line="360" w:lineRule="auto"/>
        <w:jc w:val="left"/>
        <w:rPr>
          <w:rFonts w:hint="eastAsia" w:cs="宋体" w:asciiTheme="minorEastAsia" w:hAnsiTheme="minorEastAsia" w:eastAsiaTheme="minorEastAsia"/>
          <w:b/>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lang w:eastAsia="zh-CN"/>
        </w:rPr>
        <w:fldChar w:fldCharType="begin"/>
      </w:r>
      <w:r>
        <w:rPr>
          <w:rFonts w:hint="eastAsia" w:cs="宋体" w:asciiTheme="minorEastAsia" w:hAnsiTheme="minorEastAsia" w:eastAsiaTheme="minorEastAsia"/>
          <w:b/>
          <w:color w:val="auto"/>
          <w:kern w:val="2"/>
          <w:sz w:val="24"/>
          <w:szCs w:val="24"/>
          <w:highlight w:val="none"/>
          <w:u w:val="single"/>
          <w:lang w:eastAsia="zh-CN"/>
        </w:rPr>
        <w:instrText xml:space="preserve"> HYPERLINK "https://pay.anhui.zcygov.cn/purchaseplan_front/" \l "/plan/list/view?id=1000000000005136112&amp;_app_=zcy.procurement" \t "https://www.anhui.zcygov.cn/project-center/_procurement_/purchasePlans/_blank" </w:instrText>
      </w:r>
      <w:r>
        <w:rPr>
          <w:rFonts w:hint="eastAsia" w:cs="宋体" w:asciiTheme="minorEastAsia" w:hAnsiTheme="minorEastAsia" w:eastAsiaTheme="minorEastAsia"/>
          <w:b/>
          <w:color w:val="auto"/>
          <w:kern w:val="2"/>
          <w:sz w:val="24"/>
          <w:szCs w:val="24"/>
          <w:highlight w:val="none"/>
          <w:u w:val="single"/>
          <w:lang w:eastAsia="zh-CN"/>
        </w:rPr>
        <w:fldChar w:fldCharType="separate"/>
      </w:r>
      <w:r>
        <w:rPr>
          <w:rFonts w:hint="eastAsia" w:cs="宋体" w:asciiTheme="minorEastAsia" w:hAnsiTheme="minorEastAsia" w:eastAsiaTheme="minorEastAsia"/>
          <w:b/>
          <w:color w:val="auto"/>
          <w:kern w:val="2"/>
          <w:sz w:val="24"/>
          <w:szCs w:val="24"/>
          <w:highlight w:val="none"/>
          <w:u w:val="single"/>
          <w:lang w:eastAsia="zh-CN"/>
        </w:rPr>
        <w:fldChar w:fldCharType="end"/>
      </w:r>
    </w:p>
    <w:tbl>
      <w:tblPr>
        <w:tblStyle w:val="5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2"/>
        <w:gridCol w:w="5950"/>
      </w:tblGrid>
      <w:tr w14:paraId="3769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572" w:type="dxa"/>
            <w:tcBorders>
              <w:top w:val="single" w:color="auto" w:sz="4" w:space="0"/>
              <w:left w:val="single" w:color="auto" w:sz="4" w:space="0"/>
              <w:bottom w:val="single" w:color="auto" w:sz="4" w:space="0"/>
              <w:right w:val="single" w:color="auto" w:sz="4" w:space="0"/>
            </w:tcBorders>
            <w:vAlign w:val="center"/>
          </w:tcPr>
          <w:p w14:paraId="21BD3F94">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5950" w:type="dxa"/>
            <w:tcBorders>
              <w:left w:val="single" w:color="auto" w:sz="4" w:space="0"/>
            </w:tcBorders>
          </w:tcPr>
          <w:p w14:paraId="6DCFE4E0">
            <w:pPr>
              <w:rPr>
                <w:rFonts w:cs="宋体" w:asciiTheme="minorEastAsia" w:hAnsiTheme="minorEastAsia" w:eastAsiaTheme="minorEastAsia"/>
                <w:b/>
                <w:color w:val="auto"/>
                <w:kern w:val="2"/>
                <w:sz w:val="24"/>
                <w:szCs w:val="24"/>
                <w:highlight w:val="none"/>
              </w:rPr>
            </w:pPr>
          </w:p>
        </w:tc>
      </w:tr>
      <w:tr w14:paraId="42E7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572" w:type="dxa"/>
            <w:tcBorders>
              <w:top w:val="single" w:color="auto" w:sz="4" w:space="0"/>
              <w:left w:val="single" w:color="auto" w:sz="4" w:space="0"/>
              <w:bottom w:val="single" w:color="auto" w:sz="4" w:space="0"/>
              <w:right w:val="single" w:color="auto" w:sz="4" w:space="0"/>
            </w:tcBorders>
            <w:vAlign w:val="center"/>
          </w:tcPr>
          <w:p w14:paraId="3A5C0EB7">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5950" w:type="dxa"/>
            <w:tcBorders>
              <w:left w:val="single" w:color="auto" w:sz="4" w:space="0"/>
            </w:tcBorders>
            <w:vAlign w:val="center"/>
          </w:tcPr>
          <w:p w14:paraId="113932C4">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 xml:space="preserve">全部 </w:t>
            </w:r>
          </w:p>
        </w:tc>
      </w:tr>
      <w:tr w14:paraId="2027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2572" w:type="dxa"/>
            <w:tcBorders>
              <w:top w:val="single" w:color="auto" w:sz="4" w:space="0"/>
            </w:tcBorders>
            <w:vAlign w:val="center"/>
          </w:tcPr>
          <w:p w14:paraId="02AC3A45">
            <w:pPr>
              <w:spacing w:line="360" w:lineRule="auto"/>
              <w:jc w:val="center"/>
              <w:rPr>
                <w:rFonts w:cs="@仿宋_GB2312"/>
                <w:b/>
                <w:color w:val="auto"/>
                <w:kern w:val="2"/>
                <w:sz w:val="24"/>
                <w:highlight w:val="none"/>
              </w:rPr>
            </w:pPr>
            <w:r>
              <w:rPr>
                <w:rFonts w:hint="eastAsia" w:cs="@仿宋_GB2312"/>
                <w:b/>
                <w:bCs/>
                <w:color w:val="auto"/>
                <w:kern w:val="2"/>
                <w:sz w:val="24"/>
                <w:szCs w:val="28"/>
                <w:highlight w:val="none"/>
              </w:rPr>
              <w:t>最后报价</w:t>
            </w:r>
          </w:p>
          <w:p w14:paraId="079455B1">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5950" w:type="dxa"/>
            <w:vAlign w:val="center"/>
          </w:tcPr>
          <w:p w14:paraId="0F534C19">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5D002BCB">
            <w:pPr>
              <w:spacing w:line="360" w:lineRule="auto"/>
              <w:ind w:right="-670"/>
              <w:rPr>
                <w:rFonts w:cs="宋体" w:asciiTheme="minorEastAsia" w:hAnsiTheme="minorEastAsia" w:eastAsiaTheme="minorEastAsia"/>
                <w:b/>
                <w:color w:val="auto"/>
                <w:kern w:val="2"/>
                <w:sz w:val="24"/>
                <w:szCs w:val="24"/>
                <w:highlight w:val="none"/>
              </w:rPr>
            </w:pPr>
            <w:r>
              <w:rPr>
                <w:rFonts w:hint="eastAsia" w:ascii="宋体" w:hAnsi="宋体" w:eastAsia="宋体" w:cs="宋体"/>
                <w:bCs/>
                <w:color w:val="auto"/>
                <w:sz w:val="24"/>
                <w:szCs w:val="24"/>
                <w:highlight w:val="none"/>
              </w:rPr>
              <w:t>小写</w:t>
            </w:r>
            <w:r>
              <w:rPr>
                <w:rFonts w:hint="eastAsia" w:cs="宋体"/>
                <w:bCs/>
                <w:color w:val="auto"/>
                <w:sz w:val="24"/>
                <w:szCs w:val="24"/>
                <w:highlight w:val="none"/>
                <w:lang w:eastAsia="zh-CN"/>
              </w:rPr>
              <w:t>（</w:t>
            </w:r>
            <w:r>
              <w:rPr>
                <w:rFonts w:hint="eastAsia" w:cs="宋体"/>
                <w:bCs/>
                <w:color w:val="auto"/>
                <w:sz w:val="24"/>
                <w:szCs w:val="24"/>
                <w:highlight w:val="none"/>
                <w:lang w:val="en-US" w:eastAsia="zh-CN"/>
              </w:rPr>
              <w:t>元）</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p>
        </w:tc>
      </w:tr>
      <w:tr w14:paraId="149B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572" w:type="dxa"/>
            <w:tcBorders>
              <w:top w:val="single" w:color="auto" w:sz="4" w:space="0"/>
            </w:tcBorders>
            <w:vAlign w:val="center"/>
          </w:tcPr>
          <w:p w14:paraId="0FB5468D">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5950" w:type="dxa"/>
            <w:vAlign w:val="center"/>
          </w:tcPr>
          <w:p w14:paraId="12814048">
            <w:pPr>
              <w:snapToGrid w:val="0"/>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2"/>
                <w:highlight w:val="none"/>
                <w:lang w:val="en-US" w:eastAsia="zh-CN"/>
              </w:rPr>
              <w:t>质量合格，满足国家和行业规范标准。</w:t>
            </w:r>
          </w:p>
        </w:tc>
      </w:tr>
      <w:tr w14:paraId="1095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572" w:type="dxa"/>
            <w:tcBorders>
              <w:top w:val="single" w:color="auto" w:sz="4" w:space="0"/>
            </w:tcBorders>
            <w:vAlign w:val="center"/>
          </w:tcPr>
          <w:p w14:paraId="3672DB35">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5950" w:type="dxa"/>
            <w:vAlign w:val="center"/>
          </w:tcPr>
          <w:p w14:paraId="3EB63B14">
            <w:pPr>
              <w:snapToGrid w:val="0"/>
              <w:spacing w:line="360" w:lineRule="auto"/>
              <w:rPr>
                <w:rFonts w:cs="宋体" w:asciiTheme="minorEastAsia" w:hAnsiTheme="minorEastAsia" w:eastAsiaTheme="minorEastAsia"/>
                <w:b/>
                <w:color w:val="auto"/>
                <w:kern w:val="2"/>
                <w:sz w:val="24"/>
                <w:szCs w:val="24"/>
                <w:highlight w:val="none"/>
              </w:rPr>
            </w:pPr>
          </w:p>
        </w:tc>
      </w:tr>
      <w:tr w14:paraId="03A51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572" w:type="dxa"/>
            <w:tcBorders>
              <w:top w:val="single" w:color="auto" w:sz="4" w:space="0"/>
            </w:tcBorders>
            <w:vAlign w:val="center"/>
          </w:tcPr>
          <w:p w14:paraId="4F4D7001">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5950" w:type="dxa"/>
            <w:vAlign w:val="center"/>
          </w:tcPr>
          <w:p w14:paraId="6B3657ED">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w:t>
            </w:r>
            <w:r>
              <w:rPr>
                <w:rFonts w:hint="eastAsia" w:cs="宋体" w:asciiTheme="minorEastAsia" w:hAnsiTheme="minorEastAsia" w:eastAsiaTheme="minorEastAsia"/>
                <w:color w:val="auto"/>
                <w:kern w:val="2"/>
                <w:sz w:val="24"/>
                <w:szCs w:val="24"/>
                <w:highlight w:val="none"/>
              </w:rPr>
              <w:sym w:font="Wingdings 2" w:char="0052"/>
            </w:r>
            <w:r>
              <w:rPr>
                <w:rFonts w:hint="eastAsia" w:cs="宋体" w:asciiTheme="minorEastAsia" w:hAnsiTheme="minorEastAsia" w:eastAsiaTheme="minorEastAsia"/>
                <w:color w:val="auto"/>
                <w:kern w:val="2"/>
                <w:sz w:val="24"/>
                <w:szCs w:val="24"/>
                <w:highlight w:val="none"/>
              </w:rPr>
              <w:t xml:space="preserve">    否□   （划√）</w:t>
            </w:r>
          </w:p>
        </w:tc>
      </w:tr>
      <w:tr w14:paraId="7E9D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2572" w:type="dxa"/>
            <w:vAlign w:val="center"/>
          </w:tcPr>
          <w:p w14:paraId="5EEF24EB">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5950" w:type="dxa"/>
          </w:tcPr>
          <w:p w14:paraId="69C0D79A">
            <w:pPr>
              <w:rPr>
                <w:rFonts w:hint="eastAsia"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1.第一次报价减去最终承诺报价再除以第一次报价后，得出的优惠率视同为工程量清单报价中全部分项的优惠浮动值。此优惠率调整原则适用于合同内价格的计算及项目增减变更时价格的计算。</w:t>
            </w:r>
          </w:p>
          <w:p w14:paraId="77D1A3E6">
            <w:pP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2.如按照上述原则存在部分分项报价无法取整，合同价格按照最终承诺报价不变双方协商后修正部分分项报价单价。</w:t>
            </w:r>
          </w:p>
        </w:tc>
      </w:tr>
      <w:tr w14:paraId="6145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572" w:type="dxa"/>
            <w:vAlign w:val="center"/>
          </w:tcPr>
          <w:p w14:paraId="2AD4A71D">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磋商小组签字</w:t>
            </w:r>
          </w:p>
        </w:tc>
        <w:tc>
          <w:tcPr>
            <w:tcW w:w="5950" w:type="dxa"/>
          </w:tcPr>
          <w:p w14:paraId="1B8A6E2D">
            <w:pPr>
              <w:rPr>
                <w:rFonts w:cs="宋体" w:asciiTheme="minorEastAsia" w:hAnsiTheme="minorEastAsia" w:eastAsiaTheme="minorEastAsia"/>
                <w:b/>
                <w:color w:val="auto"/>
                <w:kern w:val="2"/>
                <w:sz w:val="24"/>
                <w:szCs w:val="24"/>
                <w:highlight w:val="none"/>
              </w:rPr>
            </w:pPr>
          </w:p>
        </w:tc>
      </w:tr>
    </w:tbl>
    <w:p w14:paraId="70366C13">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供应商公章或授权代表签字：</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5C5ED578">
      <w:pPr>
        <w:spacing w:line="440" w:lineRule="exact"/>
        <w:ind w:firstLine="4800" w:firstLineChars="2000"/>
        <w:rPr>
          <w:rFonts w:cs="宋体" w:asciiTheme="minorEastAsia" w:hAnsiTheme="minorEastAsia" w:eastAsiaTheme="minorEastAsia"/>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365B61EE">
      <w:pPr>
        <w:adjustRightInd w:val="0"/>
        <w:snapToGrid w:val="0"/>
        <w:spacing w:line="360" w:lineRule="auto"/>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注：</w:t>
      </w:r>
    </w:p>
    <w:p w14:paraId="06922738">
      <w:pPr>
        <w:spacing w:line="360" w:lineRule="auto"/>
        <w:ind w:firstLine="482" w:firstLineChars="200"/>
        <w:jc w:val="left"/>
        <w:rPr>
          <w:rFonts w:ascii="宋体" w:hAnsi="宋体" w:eastAsia="宋体"/>
          <w:bCs/>
          <w:color w:val="auto"/>
          <w:sz w:val="24"/>
          <w:szCs w:val="24"/>
          <w:highlight w:val="none"/>
        </w:rPr>
      </w:pPr>
      <w:r>
        <w:rPr>
          <w:rFonts w:hint="eastAsia" w:ascii="宋体" w:hAnsi="宋体" w:eastAsia="宋体"/>
          <w:b/>
          <w:bCs/>
          <w:color w:val="auto"/>
          <w:sz w:val="24"/>
          <w:szCs w:val="24"/>
          <w:highlight w:val="none"/>
        </w:rPr>
        <w:t>1.本页《报价表》由供应商在接到报价通知后依据磋商情况填写,并在规定</w:t>
      </w:r>
      <w:r>
        <w:rPr>
          <w:rFonts w:hint="eastAsia"/>
          <w:b/>
          <w:bCs/>
          <w:color w:val="auto"/>
          <w:sz w:val="24"/>
          <w:szCs w:val="24"/>
          <w:highlight w:val="none"/>
          <w:lang w:val="en-US" w:eastAsia="zh-CN"/>
        </w:rPr>
        <w:t>30分钟</w:t>
      </w:r>
      <w:r>
        <w:rPr>
          <w:rFonts w:hint="eastAsia" w:ascii="宋体" w:hAnsi="宋体" w:eastAsia="宋体"/>
          <w:b/>
          <w:bCs/>
          <w:color w:val="auto"/>
          <w:sz w:val="24"/>
          <w:szCs w:val="24"/>
          <w:highlight w:val="none"/>
        </w:rPr>
        <w:t>内提交。</w:t>
      </w:r>
      <w:r>
        <w:rPr>
          <w:rFonts w:hint="eastAsia" w:ascii="宋体" w:hAnsi="宋体" w:eastAsia="宋体"/>
          <w:color w:val="auto"/>
          <w:sz w:val="24"/>
          <w:szCs w:val="24"/>
          <w:highlight w:val="none"/>
        </w:rPr>
        <w:t>考虑磋商报价的方便，</w:t>
      </w:r>
      <w:r>
        <w:rPr>
          <w:rFonts w:hint="eastAsia"/>
          <w:color w:val="auto"/>
          <w:sz w:val="24"/>
          <w:szCs w:val="24"/>
          <w:highlight w:val="none"/>
          <w:lang w:val="en-US" w:eastAsia="zh-CN"/>
        </w:rPr>
        <w:t>按照最终报价不变的原则，</w:t>
      </w:r>
      <w:r>
        <w:rPr>
          <w:rFonts w:hint="eastAsia" w:ascii="宋体" w:hAnsi="宋体" w:eastAsia="宋体"/>
          <w:color w:val="auto"/>
          <w:sz w:val="24"/>
          <w:szCs w:val="24"/>
          <w:highlight w:val="none"/>
        </w:rPr>
        <w:t>供应商在填写最后承诺报价后，（第一次报价-最后承诺报价）除以第一次报价</w:t>
      </w:r>
      <w:r>
        <w:rPr>
          <w:rFonts w:hint="eastAsia"/>
          <w:color w:val="auto"/>
          <w:sz w:val="24"/>
          <w:szCs w:val="24"/>
          <w:highlight w:val="none"/>
          <w:lang w:eastAsia="zh-CN"/>
        </w:rPr>
        <w:t>（</w:t>
      </w:r>
      <w:r>
        <w:rPr>
          <w:rFonts w:hint="eastAsia"/>
          <w:color w:val="auto"/>
          <w:sz w:val="24"/>
          <w:szCs w:val="24"/>
          <w:highlight w:val="none"/>
          <w:lang w:val="en-US" w:eastAsia="zh-CN"/>
        </w:rPr>
        <w:t>扣除不下浮部分</w:t>
      </w:r>
      <w:r>
        <w:rPr>
          <w:rFonts w:hint="eastAsia"/>
          <w:color w:val="auto"/>
          <w:sz w:val="24"/>
          <w:szCs w:val="24"/>
          <w:highlight w:val="none"/>
          <w:lang w:eastAsia="zh-CN"/>
        </w:rPr>
        <w:t>）</w:t>
      </w:r>
      <w:r>
        <w:rPr>
          <w:rFonts w:hint="eastAsia" w:ascii="宋体" w:hAnsi="宋体" w:eastAsia="宋体"/>
          <w:color w:val="auto"/>
          <w:sz w:val="24"/>
          <w:szCs w:val="24"/>
          <w:highlight w:val="none"/>
        </w:rPr>
        <w:t>后得出的优惠率视同为需求表中全部分项设备、</w:t>
      </w:r>
      <w:r>
        <w:rPr>
          <w:rFonts w:hint="eastAsia"/>
          <w:color w:val="auto"/>
          <w:sz w:val="24"/>
          <w:szCs w:val="24"/>
          <w:highlight w:val="none"/>
          <w:lang w:val="en-US" w:eastAsia="zh-CN"/>
        </w:rPr>
        <w:t>工作量的</w:t>
      </w:r>
      <w:r>
        <w:rPr>
          <w:rFonts w:hint="eastAsia" w:ascii="宋体" w:hAnsi="宋体" w:eastAsia="宋体"/>
          <w:color w:val="auto"/>
          <w:sz w:val="24"/>
          <w:szCs w:val="24"/>
          <w:highlight w:val="none"/>
        </w:rPr>
        <w:t>优惠浮动值（特定分项优惠除外），而不考虑措施项目清单</w:t>
      </w:r>
      <w:r>
        <w:rPr>
          <w:rFonts w:hint="eastAsia"/>
          <w:color w:val="auto"/>
          <w:sz w:val="24"/>
          <w:szCs w:val="24"/>
          <w:highlight w:val="none"/>
          <w:lang w:eastAsia="zh-CN"/>
        </w:rPr>
        <w:t>（</w:t>
      </w:r>
      <w:r>
        <w:rPr>
          <w:rFonts w:hint="eastAsia"/>
          <w:color w:val="auto"/>
          <w:sz w:val="24"/>
          <w:szCs w:val="24"/>
          <w:highlight w:val="none"/>
          <w:lang w:val="en-US" w:eastAsia="zh-CN"/>
        </w:rPr>
        <w:t>含安全生产费</w:t>
      </w:r>
      <w:r>
        <w:rPr>
          <w:rFonts w:hint="eastAsia"/>
          <w:color w:val="auto"/>
          <w:sz w:val="24"/>
          <w:szCs w:val="24"/>
          <w:highlight w:val="none"/>
          <w:lang w:eastAsia="zh-CN"/>
        </w:rPr>
        <w:t>）</w:t>
      </w:r>
      <w:r>
        <w:rPr>
          <w:rFonts w:hint="eastAsia" w:ascii="宋体" w:hAnsi="宋体" w:eastAsia="宋体"/>
          <w:color w:val="auto"/>
          <w:sz w:val="24"/>
          <w:szCs w:val="24"/>
          <w:highlight w:val="none"/>
        </w:rPr>
        <w:t>的金额改变。</w:t>
      </w:r>
      <w:r>
        <w:rPr>
          <w:rFonts w:hint="eastAsia" w:ascii="宋体" w:hAnsi="宋体" w:eastAsia="宋体"/>
          <w:bCs/>
          <w:color w:val="auto"/>
          <w:sz w:val="24"/>
          <w:szCs w:val="24"/>
          <w:highlight w:val="none"/>
        </w:rPr>
        <w:t>此优惠率调整原则适用于合同内价格的计算及项目增减、变更时价格的计算。</w:t>
      </w:r>
    </w:p>
    <w:p w14:paraId="6CA77ED5">
      <w:pPr>
        <w:spacing w:line="360" w:lineRule="auto"/>
        <w:ind w:firstLine="482" w:firstLineChars="200"/>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2.如按照上述原则存在部分分项报价无法取整，合同价格按照最终承诺报价不变双方协商后修正部分分项报价单价</w:t>
      </w:r>
      <w:r>
        <w:rPr>
          <w:rFonts w:hint="eastAsia" w:cs="宋体"/>
          <w:b/>
          <w:bCs/>
          <w:color w:val="auto"/>
          <w:sz w:val="24"/>
          <w:szCs w:val="24"/>
          <w:highlight w:val="none"/>
          <w:lang w:eastAsia="zh-CN"/>
        </w:rPr>
        <w:t>，</w:t>
      </w:r>
      <w:r>
        <w:rPr>
          <w:rFonts w:hint="eastAsia" w:cs="宋体"/>
          <w:b/>
          <w:bCs/>
          <w:color w:val="auto"/>
          <w:sz w:val="24"/>
          <w:szCs w:val="24"/>
          <w:highlight w:val="none"/>
          <w:lang w:val="en-US" w:eastAsia="zh-CN"/>
        </w:rPr>
        <w:t>并将调整后的分项单价作为结算依据</w:t>
      </w:r>
      <w:r>
        <w:rPr>
          <w:rFonts w:hint="eastAsia" w:ascii="宋体" w:hAnsi="宋体" w:eastAsia="宋体" w:cs="宋体"/>
          <w:b/>
          <w:bCs/>
          <w:color w:val="auto"/>
          <w:sz w:val="24"/>
          <w:szCs w:val="24"/>
          <w:highlight w:val="none"/>
        </w:rPr>
        <w:t>。</w:t>
      </w:r>
    </w:p>
    <w:p w14:paraId="1C6B28BA">
      <w:pPr>
        <w:spacing w:line="360" w:lineRule="auto"/>
        <w:ind w:firstLine="482" w:firstLineChars="200"/>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3.表中大写金额与小写金额不一致的，以大写金额为准。</w:t>
      </w:r>
    </w:p>
    <w:p w14:paraId="25E993D8">
      <w:pPr>
        <w:spacing w:line="360" w:lineRule="auto"/>
        <w:ind w:firstLine="435"/>
        <w:rPr>
          <w:rFonts w:asciiTheme="minorEastAsia" w:hAnsiTheme="minorEastAsia" w:eastAsiaTheme="minorEastAsia"/>
          <w:b/>
          <w:bCs/>
          <w:color w:val="auto"/>
          <w:sz w:val="24"/>
          <w:highlight w:val="none"/>
        </w:rPr>
      </w:pPr>
      <w:r>
        <w:rPr>
          <w:rFonts w:hint="eastAsia" w:ascii="宋体" w:hAnsi="宋体" w:eastAsia="宋体" w:cs="宋体"/>
          <w:b/>
          <w:bCs/>
          <w:color w:val="auto"/>
          <w:sz w:val="24"/>
          <w:szCs w:val="24"/>
          <w:highlight w:val="none"/>
        </w:rPr>
        <w:t>4.</w:t>
      </w:r>
      <w:r>
        <w:rPr>
          <w:rFonts w:hint="eastAsia" w:cs="宋体"/>
          <w:b/>
          <w:bCs/>
          <w:color w:val="auto"/>
          <w:sz w:val="24"/>
          <w:szCs w:val="24"/>
          <w:highlight w:val="none"/>
          <w:lang w:val="en-US" w:eastAsia="zh-CN"/>
        </w:rPr>
        <w:t>实质性响应的供应商在规定时间内对磋商小组发出的二轮（或多轮）报价要求做出答复，若未按规定时间内提交报价的且未明确表示退出磋商的，则按上一轮报价执行</w:t>
      </w:r>
      <w:r>
        <w:rPr>
          <w:rFonts w:ascii="宋体" w:hAnsi="宋体" w:eastAsia="宋体" w:cs="宋体"/>
          <w:b/>
          <w:bCs/>
          <w:color w:val="auto"/>
          <w:sz w:val="24"/>
          <w:szCs w:val="24"/>
          <w:highlight w:val="none"/>
        </w:rPr>
        <w:t>。</w:t>
      </w:r>
    </w:p>
    <w:p w14:paraId="1EEE25E6">
      <w:pPr>
        <w:widowControl/>
        <w:ind w:firstLine="480" w:firstLineChars="200"/>
        <w:jc w:val="left"/>
        <w:rPr>
          <w:bCs/>
          <w:color w:val="auto"/>
          <w:sz w:val="24"/>
          <w:highlight w:val="none"/>
        </w:rPr>
      </w:pPr>
    </w:p>
    <w:p w14:paraId="69220716">
      <w:pPr>
        <w:rPr>
          <w:rFonts w:hint="eastAsia" w:cs="@仿宋_GB2312" w:asciiTheme="minorEastAsia" w:hAnsiTheme="minorEastAsia" w:eastAsiaTheme="minorEastAsia"/>
          <w:b/>
          <w:bCs/>
          <w:color w:val="auto"/>
          <w:kern w:val="2"/>
          <w:sz w:val="24"/>
          <w:szCs w:val="24"/>
          <w:highlight w:val="none"/>
          <w:lang w:val="en-US" w:eastAsia="zh-CN"/>
        </w:rPr>
      </w:pPr>
      <w:bookmarkStart w:id="671" w:name="_Toc7943"/>
      <w:bookmarkStart w:id="672" w:name="_Toc22429"/>
      <w:bookmarkStart w:id="673" w:name="_Toc520983591"/>
      <w:r>
        <w:rPr>
          <w:rFonts w:hint="eastAsia" w:cs="@仿宋_GB2312" w:asciiTheme="minorEastAsia" w:hAnsiTheme="minorEastAsia" w:eastAsiaTheme="minorEastAsia"/>
          <w:b/>
          <w:bCs/>
          <w:color w:val="auto"/>
          <w:kern w:val="2"/>
          <w:sz w:val="24"/>
          <w:szCs w:val="24"/>
          <w:highlight w:val="none"/>
          <w:lang w:val="en-US" w:eastAsia="zh-CN"/>
        </w:rPr>
        <w:br w:type="page"/>
      </w:r>
    </w:p>
    <w:p w14:paraId="63131E39">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r>
        <w:rPr>
          <w:rFonts w:hint="eastAsia" w:cs="@仿宋_GB2312" w:asciiTheme="minorEastAsia" w:hAnsiTheme="minorEastAsia" w:eastAsiaTheme="minorEastAsia"/>
          <w:b/>
          <w:bCs/>
          <w:color w:val="auto"/>
          <w:kern w:val="2"/>
          <w:sz w:val="24"/>
          <w:szCs w:val="24"/>
          <w:highlight w:val="none"/>
          <w:lang w:val="en-US" w:eastAsia="zh-CN"/>
        </w:rPr>
        <w:t>二</w:t>
      </w:r>
      <w:r>
        <w:rPr>
          <w:rFonts w:hint="eastAsia" w:cs="@仿宋_GB2312" w:asciiTheme="minorEastAsia" w:hAnsiTheme="minorEastAsia" w:eastAsiaTheme="minorEastAsia"/>
          <w:b/>
          <w:bCs/>
          <w:color w:val="auto"/>
          <w:kern w:val="2"/>
          <w:sz w:val="24"/>
          <w:szCs w:val="24"/>
          <w:highlight w:val="none"/>
        </w:rPr>
        <w:t>、供应商综合情况简介</w:t>
      </w:r>
      <w:bookmarkEnd w:id="671"/>
      <w:bookmarkEnd w:id="672"/>
    </w:p>
    <w:p w14:paraId="062257CA">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（供应商可自行制作格式）</w:t>
      </w:r>
    </w:p>
    <w:p w14:paraId="3CE6F75A">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4935C3CA">
      <w:pPr>
        <w:spacing w:line="360" w:lineRule="auto"/>
        <w:jc w:val="center"/>
        <w:outlineLvl w:val="1"/>
        <w:rPr>
          <w:rFonts w:asciiTheme="minorEastAsia" w:hAnsiTheme="minorEastAsia" w:eastAsiaTheme="minorEastAsia"/>
          <w:b/>
          <w:color w:val="auto"/>
          <w:sz w:val="24"/>
          <w:highlight w:val="none"/>
        </w:rPr>
      </w:pPr>
      <w:bookmarkStart w:id="674" w:name="_Toc28160"/>
      <w:bookmarkStart w:id="675" w:name="_Toc8006"/>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、磋商响应函</w:t>
      </w:r>
      <w:bookmarkEnd w:id="673"/>
      <w:bookmarkEnd w:id="674"/>
      <w:bookmarkEnd w:id="675"/>
    </w:p>
    <w:p w14:paraId="458967D3">
      <w:pPr>
        <w:spacing w:line="360" w:lineRule="auto"/>
        <w:rPr>
          <w:rFonts w:hint="default" w:cs="宋体" w:asciiTheme="minorEastAsia" w:hAnsiTheme="minorEastAsia" w:eastAsiaTheme="minorEastAsia"/>
          <w:b/>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single"/>
          <w:lang w:val="en-US" w:eastAsia="zh-CN"/>
        </w:rPr>
        <w:t>安徽省淮河河道管理局</w:t>
      </w:r>
    </w:p>
    <w:p w14:paraId="236109FF">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根据贵方的竞争性磋商公告和磋商邀请，我方兹宣布同意如下：</w:t>
      </w:r>
    </w:p>
    <w:p w14:paraId="25F9F33D">
      <w:pPr>
        <w:numPr>
          <w:ilvl w:val="0"/>
          <w:numId w:val="22"/>
        </w:numPr>
        <w:spacing w:line="360" w:lineRule="auto"/>
        <w:ind w:firstLine="480" w:firstLineChars="200"/>
        <w:rPr>
          <w:rFonts w:hint="eastAsia"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经踏勘项目现场和研究上述磋商文件的磋商须知、合同条款、图纸和工程建设技术标准及其他有关文件后，我方接受上述文件要求，并对工程量清单及最高投标限价无异议。我方</w:t>
      </w:r>
      <w:r>
        <w:rPr>
          <w:rFonts w:hint="eastAsia" w:cs="宋体" w:asciiTheme="minorEastAsia" w:hAnsiTheme="minorEastAsia" w:eastAsiaTheme="minorEastAsia"/>
          <w:bCs/>
          <w:color w:val="auto"/>
          <w:kern w:val="2"/>
          <w:sz w:val="24"/>
          <w:szCs w:val="24"/>
          <w:highlight w:val="none"/>
        </w:rPr>
        <w:t>承诺按本磋商文件、施工图纸、合同条款和工程建设技术标准的条件、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上述工程的施工、竣工，并承担任何质量缺陷保修责任。</w:t>
      </w:r>
    </w:p>
    <w:p w14:paraId="1106E6DB">
      <w:pPr>
        <w:numPr>
          <w:ilvl w:val="0"/>
          <w:numId w:val="0"/>
        </w:numPr>
        <w:spacing w:line="360" w:lineRule="auto"/>
        <w:ind w:firstLine="480" w:firstLineChars="200"/>
        <w:rPr>
          <w:rFonts w:hint="eastAsia" w:cs="宋体" w:asciiTheme="minorEastAsia" w:hAnsiTheme="minorEastAsia" w:eastAsiaTheme="minorEastAsia"/>
          <w:bCs/>
          <w:color w:val="auto"/>
          <w:kern w:val="2"/>
          <w:sz w:val="24"/>
          <w:szCs w:val="24"/>
          <w:highlight w:val="none"/>
        </w:rPr>
      </w:pP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我方在本项目投标中提供的</w:t>
      </w:r>
      <w:r>
        <w:rPr>
          <w:rFonts w:hint="eastAsia" w:cs="宋体"/>
          <w:color w:val="auto"/>
          <w:sz w:val="24"/>
          <w:szCs w:val="24"/>
          <w:highlight w:val="none"/>
          <w:lang w:val="en-US" w:eastAsia="zh-CN"/>
        </w:rPr>
        <w:t>供应商</w:t>
      </w:r>
      <w:r>
        <w:rPr>
          <w:rFonts w:ascii="宋体" w:hAnsi="宋体" w:eastAsia="宋体" w:cs="宋体"/>
          <w:color w:val="auto"/>
          <w:sz w:val="24"/>
          <w:szCs w:val="24"/>
          <w:highlight w:val="none"/>
        </w:rPr>
        <w:t>授权</w:t>
      </w:r>
      <w:r>
        <w:rPr>
          <w:rFonts w:hint="eastAsia" w:cs="宋体"/>
          <w:color w:val="auto"/>
          <w:sz w:val="24"/>
          <w:szCs w:val="24"/>
          <w:highlight w:val="none"/>
          <w:lang w:val="en-US" w:eastAsia="zh-CN"/>
        </w:rPr>
        <w:t>代表</w:t>
      </w:r>
      <w:r>
        <w:rPr>
          <w:rFonts w:ascii="宋体" w:hAnsi="宋体" w:eastAsia="宋体" w:cs="宋体"/>
          <w:color w:val="auto"/>
          <w:sz w:val="24"/>
          <w:szCs w:val="24"/>
          <w:highlight w:val="none"/>
        </w:rPr>
        <w:t>，以及</w:t>
      </w:r>
      <w:r>
        <w:rPr>
          <w:rFonts w:hint="eastAsia" w:cs="宋体"/>
          <w:color w:val="auto"/>
          <w:sz w:val="24"/>
          <w:szCs w:val="24"/>
          <w:highlight w:val="none"/>
          <w:lang w:val="en-US" w:eastAsia="zh-CN"/>
        </w:rPr>
        <w:t>响应</w:t>
      </w:r>
      <w:r>
        <w:rPr>
          <w:rFonts w:ascii="宋体" w:hAnsi="宋体" w:eastAsia="宋体" w:cs="宋体"/>
          <w:color w:val="auto"/>
          <w:sz w:val="24"/>
          <w:szCs w:val="24"/>
          <w:highlight w:val="none"/>
        </w:rPr>
        <w:t>文件中确定的项目管理人员，均与我单位具有劳动合同关系、且已依法缴纳社会保险。</w:t>
      </w:r>
    </w:p>
    <w:p w14:paraId="4285B578">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lang w:val="en-US" w:eastAsia="zh-CN"/>
        </w:rPr>
        <w:t>3</w:t>
      </w:r>
      <w:r>
        <w:rPr>
          <w:rFonts w:hint="eastAsia" w:cs="宋体" w:asciiTheme="minorEastAsia" w:hAnsiTheme="minorEastAsia" w:eastAsiaTheme="minorEastAsia"/>
          <w:color w:val="auto"/>
          <w:kern w:val="2"/>
          <w:sz w:val="24"/>
          <w:szCs w:val="24"/>
          <w:highlight w:val="none"/>
        </w:rPr>
        <w:t>.我方已详细审核并确认全部磋商文件及有关附件，充分理解磋商价格不得低于企业个别成本有关规定。我方经成本核算，所填报的磋商报价不低于企业个别成本。</w:t>
      </w:r>
    </w:p>
    <w:p w14:paraId="6AF44C40">
      <w:pPr>
        <w:spacing w:line="360" w:lineRule="auto"/>
        <w:ind w:firstLine="480" w:firstLineChars="200"/>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sz w:val="24"/>
          <w:szCs w:val="24"/>
          <w:highlight w:val="none"/>
        </w:rPr>
        <w:t>我方保证按磋商文件约定的工期和磋商文件或业主开工令的要求如期开工、工程质量达到合格标准、如期竣工并移交整个工程。</w:t>
      </w:r>
    </w:p>
    <w:p w14:paraId="6280CE3B">
      <w:pPr>
        <w:spacing w:line="360" w:lineRule="auto"/>
        <w:ind w:firstLine="480" w:firstLineChars="200"/>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.我方同意所提交的响应文件在磋商文件规定的磋商有效期内有效，在此期间内如果成交，我方将受此约束。</w:t>
      </w:r>
    </w:p>
    <w:p w14:paraId="13FF2B3F">
      <w:pPr>
        <w:spacing w:line="360" w:lineRule="auto"/>
        <w:ind w:firstLine="480" w:firstLineChars="200"/>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.除非另外达成协议并生效，你方的成交通知书和本响应文件以及磋商文件、磋商文件澄清、修改、补充将成为约束双方的合同文件的组成部分。</w:t>
      </w:r>
    </w:p>
    <w:p w14:paraId="01FC69AF">
      <w:pPr>
        <w:spacing w:line="360" w:lineRule="auto"/>
        <w:ind w:firstLine="435"/>
        <w:rPr>
          <w:rFonts w:hint="eastAsia" w:ascii="宋体" w:hAnsi="宋体" w:eastAsia="宋体"/>
          <w:b/>
          <w:bCs/>
          <w:color w:val="auto"/>
          <w:sz w:val="24"/>
          <w:szCs w:val="24"/>
          <w:highlight w:val="none"/>
        </w:rPr>
      </w:pPr>
      <w:r>
        <w:rPr>
          <w:rFonts w:hint="eastAsia" w:cs="宋体"/>
          <w:color w:val="auto"/>
          <w:kern w:val="2"/>
          <w:sz w:val="24"/>
          <w:szCs w:val="24"/>
          <w:highlight w:val="none"/>
          <w:lang w:val="en-US" w:eastAsia="zh-CN"/>
        </w:rPr>
        <w:t>7</w:t>
      </w:r>
      <w:r>
        <w:rPr>
          <w:rFonts w:hint="eastAsia" w:ascii="宋体" w:hAnsi="宋体" w:eastAsia="宋体" w:cs="宋体"/>
          <w:color w:val="auto"/>
          <w:kern w:val="2"/>
          <w:sz w:val="24"/>
          <w:szCs w:val="24"/>
          <w:highlight w:val="none"/>
        </w:rPr>
        <w:t>.其他补充说明</w:t>
      </w:r>
      <w:r>
        <w:rPr>
          <w:rFonts w:hint="eastAsia" w:cs="宋体" w:asciiTheme="minorEastAsia" w:hAnsiTheme="minorEastAsia" w:eastAsiaTheme="minorEastAsia"/>
          <w:color w:val="auto"/>
          <w:kern w:val="2"/>
          <w:sz w:val="24"/>
          <w:szCs w:val="24"/>
          <w:highlight w:val="none"/>
        </w:rPr>
        <w:t>：</w:t>
      </w:r>
      <w:r>
        <w:rPr>
          <w:rFonts w:ascii="宋体" w:hAnsi="宋体" w:eastAsia="宋体" w:cs="宋体"/>
          <w:b/>
          <w:bCs/>
          <w:color w:val="auto"/>
          <w:sz w:val="24"/>
          <w:szCs w:val="24"/>
          <w:highlight w:val="none"/>
        </w:rPr>
        <w:t>我方在本项目响应中提供的投标授权委托代理人，以及投标文件中确定的项目管理人员，均与我单位具有劳动合同关系、且已依法缴纳社会保险。</w:t>
      </w:r>
    </w:p>
    <w:p w14:paraId="6D211AE3">
      <w:pPr>
        <w:spacing w:line="360" w:lineRule="auto"/>
        <w:ind w:firstLine="480" w:firstLineChars="200"/>
        <w:rPr>
          <w:rFonts w:cs="宋体" w:asciiTheme="minorEastAsia" w:hAnsiTheme="minorEastAsia" w:eastAsiaTheme="minorEastAsia"/>
          <w:color w:val="auto"/>
          <w:kern w:val="2"/>
          <w:sz w:val="24"/>
          <w:szCs w:val="24"/>
          <w:highlight w:val="none"/>
          <w:u w:val="single"/>
        </w:rPr>
      </w:pPr>
    </w:p>
    <w:p w14:paraId="5DE284F1">
      <w:pPr>
        <w:pStyle w:val="54"/>
        <w:ind w:firstLine="200"/>
        <w:rPr>
          <w:color w:val="auto"/>
          <w:highlight w:val="none"/>
          <w:lang w:val="en-US"/>
        </w:rPr>
      </w:pPr>
    </w:p>
    <w:p w14:paraId="05282053">
      <w:pPr>
        <w:spacing w:line="360" w:lineRule="auto"/>
        <w:ind w:firstLine="4800" w:firstLineChars="2000"/>
        <w:rPr>
          <w:rFonts w:cs="@仿宋_GB2312"/>
          <w:color w:val="auto"/>
          <w:kern w:val="2"/>
          <w:sz w:val="24"/>
          <w:highlight w:val="none"/>
        </w:rPr>
      </w:pPr>
      <w:r>
        <w:rPr>
          <w:rFonts w:hint="eastAsia" w:cs="@仿宋_GB2312"/>
          <w:color w:val="auto"/>
          <w:kern w:val="2"/>
          <w:sz w:val="24"/>
          <w:highlight w:val="none"/>
        </w:rPr>
        <w:t>供应商电子签章：</w:t>
      </w:r>
      <w:r>
        <w:rPr>
          <w:rFonts w:hint="eastAsia" w:cs="@仿宋_GB2312"/>
          <w:color w:val="auto"/>
          <w:kern w:val="2"/>
          <w:sz w:val="24"/>
          <w:highlight w:val="none"/>
          <w:u w:val="single"/>
        </w:rPr>
        <w:t xml:space="preserve">             </w:t>
      </w:r>
    </w:p>
    <w:p w14:paraId="4F7178B7">
      <w:pPr>
        <w:spacing w:line="360" w:lineRule="auto"/>
        <w:ind w:firstLine="4800" w:firstLineChars="20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280B0B6C">
      <w:pPr>
        <w:widowControl/>
        <w:jc w:val="left"/>
        <w:rPr>
          <w:color w:val="auto"/>
          <w:sz w:val="24"/>
          <w:highlight w:val="none"/>
        </w:rPr>
      </w:pPr>
      <w:r>
        <w:rPr>
          <w:color w:val="auto"/>
          <w:sz w:val="24"/>
          <w:highlight w:val="none"/>
        </w:rPr>
        <w:br w:type="page"/>
      </w:r>
    </w:p>
    <w:p w14:paraId="6DF3BF95">
      <w:pPr>
        <w:spacing w:line="360" w:lineRule="auto"/>
        <w:jc w:val="center"/>
        <w:outlineLvl w:val="1"/>
        <w:rPr>
          <w:b/>
          <w:i/>
          <w:color w:val="auto"/>
          <w:sz w:val="24"/>
          <w:highlight w:val="none"/>
        </w:rPr>
      </w:pPr>
      <w:bookmarkStart w:id="676" w:name="_Toc2947"/>
      <w:bookmarkStart w:id="677" w:name="_Toc20728"/>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w:t>
      </w:r>
      <w:bookmarkEnd w:id="676"/>
      <w:bookmarkStart w:id="678" w:name="_Toc8658"/>
      <w:r>
        <w:rPr>
          <w:rFonts w:hint="eastAsia" w:asciiTheme="minorEastAsia" w:hAnsiTheme="minorEastAsia" w:eastAsiaTheme="minorEastAsia"/>
          <w:b/>
          <w:color w:val="auto"/>
          <w:sz w:val="24"/>
          <w:highlight w:val="none"/>
          <w:lang w:val="en-US" w:eastAsia="zh-CN"/>
        </w:rPr>
        <w:t>供应商资格声明书</w:t>
      </w:r>
      <w:bookmarkEnd w:id="677"/>
      <w:r>
        <w:rPr>
          <w:rFonts w:hint="eastAsia" w:asciiTheme="minorEastAsia" w:hAnsiTheme="minorEastAsia" w:eastAsiaTheme="minorEastAsia"/>
          <w:b/>
          <w:color w:val="auto"/>
          <w:sz w:val="24"/>
          <w:highlight w:val="none"/>
          <w:lang w:val="en-US" w:eastAsia="zh-CN"/>
        </w:rPr>
        <w:t xml:space="preserve"> </w:t>
      </w:r>
    </w:p>
    <w:p w14:paraId="6ECCFCD5">
      <w:pPr>
        <w:pStyle w:val="30"/>
        <w:spacing w:line="360" w:lineRule="auto"/>
        <w:rPr>
          <w:rFonts w:hint="default" w:eastAsia="宋体" w:asciiTheme="minorEastAsia" w:hAnsiTheme="minorEastAsia" w:cstheme="minorEastAsia"/>
          <w:color w:val="auto"/>
          <w:sz w:val="24"/>
          <w:szCs w:val="24"/>
          <w:highlight w:val="none"/>
          <w:lang w:val="en-US" w:eastAsia="zh-CN"/>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安徽省淮河河道管理局</w:t>
      </w:r>
    </w:p>
    <w:p w14:paraId="065AACA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在参与本次项目磋商中，我单位承诺：</w:t>
      </w:r>
    </w:p>
    <w:p w14:paraId="5F0DA98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3E01ECA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4E186CA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643E3D0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0CC19B6">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五</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52FC6167">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六</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有效期内，在本项目所在区域未存在因质量事故、安全事故等被限期承包工程或市场不良行为等被限制磋商资格行为，且处于处罚期内的情况；</w:t>
      </w:r>
    </w:p>
    <w:p w14:paraId="0E771C03">
      <w:pPr>
        <w:spacing w:line="360" w:lineRule="auto"/>
        <w:rPr>
          <w:rFonts w:hint="eastAsia"/>
          <w:color w:val="auto"/>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七</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234B5C6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（八）我单位不存在为采购项目提供整体设计、规范编制或者项目管理、监理、检测等服务后，再参加该采购项目的其他采购活动的情形（单一来源采购项目除外）；</w:t>
      </w:r>
    </w:p>
    <w:p w14:paraId="46DCA04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（九）与我单位存在单位负责人为同一人或者存在直接控股、管理关系的其他法人单位信息如下（如有，不论其是否参加同一合同项下的政府采购活动均须填写）：</w:t>
      </w:r>
    </w:p>
    <w:tbl>
      <w:tblPr>
        <w:tblStyle w:val="5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0F1C2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F31D2A0">
            <w:pPr>
              <w:keepNext w:val="0"/>
              <w:keepLines w:val="0"/>
              <w:pageBreakBefore w:val="0"/>
              <w:widowControl/>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2841" w:type="dxa"/>
          </w:tcPr>
          <w:p w14:paraId="3CA8668A">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841" w:type="dxa"/>
          </w:tcPr>
          <w:p w14:paraId="04210CC1">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4255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22A2BC1">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2841" w:type="dxa"/>
          </w:tcPr>
          <w:p w14:paraId="63E53CB0">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64FC4FD4">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2EFF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2679EBF">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2841" w:type="dxa"/>
          </w:tcPr>
          <w:p w14:paraId="7010A922">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3EA0FF82">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5311515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35405E16">
      <w:pPr>
        <w:spacing w:line="360" w:lineRule="auto"/>
        <w:ind w:firstLine="4800" w:firstLineChars="2000"/>
        <w:rPr>
          <w:rFonts w:ascii="宋体" w:hAnsi="宋体" w:eastAsia="宋体"/>
          <w:color w:val="auto"/>
          <w:sz w:val="24"/>
          <w:highlight w:val="none"/>
          <w:u w:val="single"/>
        </w:rPr>
      </w:pPr>
      <w:r>
        <w:rPr>
          <w:rFonts w:hint="eastAsia"/>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1038D49">
      <w:pPr>
        <w:spacing w:line="360" w:lineRule="auto"/>
        <w:jc w:val="center"/>
        <w:outlineLvl w:val="9"/>
        <w:rPr>
          <w:rFonts w:hint="eastAsia" w:asciiTheme="minorEastAsia" w:hAnsiTheme="minorEastAsia" w:eastAsiaTheme="minorEastAsia"/>
          <w:b/>
          <w:color w:val="auto"/>
          <w:sz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olor w:val="auto"/>
          <w:sz w:val="24"/>
          <w:highlight w:val="none"/>
          <w:lang w:val="en-US" w:eastAsia="zh-CN"/>
        </w:rPr>
        <w:t xml:space="preserve">                           </w:t>
      </w: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bookmarkEnd w:id="678"/>
    </w:p>
    <w:p w14:paraId="35EB964B">
      <w:pPr>
        <w:widowControl/>
        <w:jc w:val="center"/>
        <w:outlineLvl w:val="1"/>
        <w:rPr>
          <w:rFonts w:asciiTheme="minorEastAsia" w:hAnsiTheme="minorEastAsia" w:eastAsiaTheme="minorEastAsia"/>
          <w:b/>
          <w:color w:val="auto"/>
          <w:sz w:val="24"/>
          <w:highlight w:val="none"/>
          <w:u w:val="none"/>
        </w:rPr>
      </w:pPr>
      <w:bookmarkStart w:id="679" w:name="_Toc25503"/>
      <w:bookmarkStart w:id="680" w:name="_Toc204594911"/>
      <w:bookmarkStart w:id="681" w:name="_Toc121626298"/>
      <w:bookmarkStart w:id="682" w:name="_Toc516969106"/>
      <w:bookmarkStart w:id="683" w:name="_Toc520983594"/>
      <w:bookmarkStart w:id="684" w:name="_Toc909"/>
      <w:r>
        <w:rPr>
          <w:rFonts w:hint="eastAsia" w:asciiTheme="minorEastAsia" w:hAnsiTheme="minorEastAsia" w:eastAsiaTheme="minorEastAsia"/>
          <w:b/>
          <w:color w:val="auto"/>
          <w:sz w:val="24"/>
          <w:highlight w:val="none"/>
          <w:u w:val="none"/>
          <w:lang w:val="en-US" w:eastAsia="zh-CN"/>
        </w:rPr>
        <w:t>五</w:t>
      </w:r>
      <w:r>
        <w:rPr>
          <w:rFonts w:hint="eastAsia" w:asciiTheme="minorEastAsia" w:hAnsiTheme="minorEastAsia" w:eastAsiaTheme="minorEastAsia"/>
          <w:b/>
          <w:color w:val="auto"/>
          <w:sz w:val="24"/>
          <w:highlight w:val="none"/>
          <w:u w:val="none"/>
        </w:rPr>
        <w:t>、授权书</w:t>
      </w:r>
      <w:bookmarkEnd w:id="679"/>
      <w:bookmarkEnd w:id="680"/>
      <w:bookmarkEnd w:id="681"/>
      <w:bookmarkEnd w:id="682"/>
      <w:bookmarkEnd w:id="683"/>
      <w:bookmarkEnd w:id="684"/>
    </w:p>
    <w:p w14:paraId="2EC36E6F">
      <w:pPr>
        <w:spacing w:line="360" w:lineRule="auto"/>
        <w:jc w:val="center"/>
        <w:rPr>
          <w:rFonts w:asciiTheme="minorEastAsia" w:hAnsiTheme="minorEastAsia" w:eastAsiaTheme="minorEastAsia"/>
          <w:b/>
          <w:color w:val="auto"/>
          <w:sz w:val="24"/>
          <w:highlight w:val="none"/>
        </w:rPr>
      </w:pPr>
    </w:p>
    <w:p w14:paraId="1ECF96B2">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1FEC3D18">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5FC26B98">
      <w:pPr>
        <w:pStyle w:val="28"/>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63F86D15">
      <w:pPr>
        <w:pStyle w:val="28"/>
        <w:snapToGrid w:val="0"/>
        <w:spacing w:line="360" w:lineRule="auto"/>
        <w:ind w:firstLine="480" w:firstLineChars="200"/>
        <w:jc w:val="left"/>
        <w:rPr>
          <w:rFonts w:hAnsi="宋体" w:eastAsia="宋体"/>
          <w:color w:val="auto"/>
          <w:sz w:val="24"/>
          <w:highlight w:val="none"/>
        </w:rPr>
      </w:pPr>
    </w:p>
    <w:p w14:paraId="52783580">
      <w:pPr>
        <w:pStyle w:val="28"/>
        <w:snapToGrid w:val="0"/>
        <w:spacing w:line="360" w:lineRule="auto"/>
        <w:ind w:firstLine="480" w:firstLineChars="200"/>
        <w:jc w:val="left"/>
        <w:rPr>
          <w:rFonts w:hAnsi="宋体" w:eastAsia="宋体"/>
          <w:color w:val="auto"/>
          <w:sz w:val="24"/>
          <w:highlight w:val="none"/>
        </w:rPr>
      </w:pPr>
    </w:p>
    <w:p w14:paraId="5F6AD750">
      <w:pPr>
        <w:pStyle w:val="28"/>
        <w:snapToGrid w:val="0"/>
        <w:spacing w:line="360" w:lineRule="auto"/>
        <w:ind w:firstLine="480" w:firstLineChars="200"/>
        <w:jc w:val="left"/>
        <w:rPr>
          <w:rFonts w:hAnsi="宋体" w:eastAsia="宋体"/>
          <w:color w:val="auto"/>
          <w:sz w:val="24"/>
          <w:highlight w:val="none"/>
        </w:rPr>
      </w:pPr>
    </w:p>
    <w:p w14:paraId="54986ABC">
      <w:pPr>
        <w:pStyle w:val="28"/>
        <w:snapToGrid w:val="0"/>
        <w:spacing w:line="360" w:lineRule="auto"/>
        <w:ind w:firstLine="480" w:firstLineChars="200"/>
        <w:jc w:val="left"/>
        <w:rPr>
          <w:rFonts w:hAnsi="宋体" w:eastAsia="宋体"/>
          <w:color w:val="auto"/>
          <w:sz w:val="24"/>
          <w:highlight w:val="none"/>
        </w:rPr>
      </w:pPr>
    </w:p>
    <w:p w14:paraId="35877C53">
      <w:pPr>
        <w:pStyle w:val="28"/>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4E48593A">
      <w:pPr>
        <w:pStyle w:val="28"/>
        <w:snapToGrid w:val="0"/>
        <w:spacing w:line="360" w:lineRule="auto"/>
        <w:ind w:firstLine="480" w:firstLineChars="200"/>
        <w:jc w:val="left"/>
        <w:rPr>
          <w:rFonts w:hAnsi="宋体" w:eastAsia="宋体"/>
          <w:color w:val="auto"/>
          <w:sz w:val="24"/>
          <w:szCs w:val="28"/>
          <w:highlight w:val="none"/>
        </w:rPr>
      </w:pPr>
    </w:p>
    <w:p w14:paraId="642C9366">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7F014B92">
      <w:pPr>
        <w:spacing w:line="360" w:lineRule="auto"/>
        <w:rPr>
          <w:color w:val="auto"/>
          <w:sz w:val="24"/>
          <w:szCs w:val="28"/>
          <w:highlight w:val="none"/>
        </w:rPr>
      </w:pPr>
    </w:p>
    <w:p w14:paraId="26372FA7">
      <w:pPr>
        <w:spacing w:line="360" w:lineRule="auto"/>
        <w:jc w:val="center"/>
        <w:rPr>
          <w:bCs/>
          <w:color w:val="auto"/>
          <w:sz w:val="24"/>
          <w:szCs w:val="28"/>
          <w:highlight w:val="none"/>
        </w:rPr>
      </w:pPr>
      <w:r>
        <w:rPr>
          <w:rFonts w:hint="eastAsia"/>
          <w:bCs/>
          <w:color w:val="auto"/>
          <w:sz w:val="24"/>
          <w:szCs w:val="28"/>
          <w:highlight w:val="none"/>
          <w:lang w:val="en-US" w:eastAsia="zh-CN"/>
        </w:rPr>
        <w:t xml:space="preserve">                    </w:t>
      </w:r>
      <w:r>
        <w:rPr>
          <w:rFonts w:hint="eastAsia"/>
          <w:bCs/>
          <w:color w:val="auto"/>
          <w:sz w:val="24"/>
          <w:szCs w:val="28"/>
          <w:highlight w:val="none"/>
        </w:rPr>
        <w:t>供应商电子签章：</w:t>
      </w:r>
      <w:r>
        <w:rPr>
          <w:rFonts w:hint="eastAsia"/>
          <w:bCs/>
          <w:color w:val="auto"/>
          <w:sz w:val="24"/>
          <w:szCs w:val="28"/>
          <w:highlight w:val="none"/>
          <w:u w:val="single"/>
        </w:rPr>
        <w:t xml:space="preserve">                    </w:t>
      </w:r>
    </w:p>
    <w:p w14:paraId="06674B0E">
      <w:pPr>
        <w:spacing w:line="360" w:lineRule="auto"/>
        <w:rPr>
          <w:color w:val="auto"/>
          <w:sz w:val="24"/>
          <w:szCs w:val="28"/>
          <w:highlight w:val="none"/>
        </w:rPr>
      </w:pPr>
      <w:r>
        <w:rPr>
          <w:rFonts w:hint="eastAsia"/>
          <w:color w:val="auto"/>
          <w:sz w:val="24"/>
          <w:szCs w:val="28"/>
          <w:highlight w:val="none"/>
          <w:lang w:val="en-US" w:eastAsia="zh-CN"/>
        </w:rPr>
        <w:t xml:space="preserve">                                        </w:t>
      </w:r>
      <w:r>
        <w:rPr>
          <w:rFonts w:hint="eastAsia"/>
          <w:color w:val="auto"/>
          <w:sz w:val="24"/>
          <w:szCs w:val="28"/>
          <w:highlight w:val="none"/>
        </w:rPr>
        <w:t>日          期：</w:t>
      </w:r>
      <w:r>
        <w:rPr>
          <w:rFonts w:hint="eastAsia"/>
          <w:color w:val="auto"/>
          <w:sz w:val="24"/>
          <w:szCs w:val="28"/>
          <w:highlight w:val="none"/>
          <w:u w:val="single"/>
        </w:rPr>
        <w:t xml:space="preserve">                    </w:t>
      </w:r>
    </w:p>
    <w:p w14:paraId="1942F750">
      <w:pPr>
        <w:spacing w:line="360" w:lineRule="auto"/>
        <w:rPr>
          <w:color w:val="auto"/>
          <w:sz w:val="24"/>
          <w:szCs w:val="28"/>
          <w:highlight w:val="none"/>
        </w:rPr>
      </w:pPr>
    </w:p>
    <w:p w14:paraId="70ACAB42">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2BAD88DB">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48D8C45C">
      <w:pPr>
        <w:spacing w:line="360" w:lineRule="auto"/>
        <w:jc w:val="left"/>
        <w:rPr>
          <w:color w:val="auto"/>
          <w:sz w:val="24"/>
          <w:highlight w:val="none"/>
        </w:rPr>
      </w:pPr>
      <w:r>
        <w:rPr>
          <w:rFonts w:hint="eastAsia"/>
          <w:color w:val="auto"/>
          <w:sz w:val="24"/>
          <w:highlight w:val="none"/>
        </w:rPr>
        <w:t>2.法定代表人参加磋商的无需提供授权书，仅提供身份证明扫描件。</w:t>
      </w:r>
    </w:p>
    <w:p w14:paraId="3940335F">
      <w:pPr>
        <w:widowControl/>
        <w:jc w:val="left"/>
        <w:rPr>
          <w:color w:val="auto"/>
          <w:sz w:val="24"/>
          <w:highlight w:val="none"/>
        </w:rPr>
      </w:pPr>
      <w:r>
        <w:rPr>
          <w:color w:val="auto"/>
          <w:sz w:val="24"/>
          <w:highlight w:val="none"/>
        </w:rPr>
        <w:br w:type="page"/>
      </w:r>
    </w:p>
    <w:p w14:paraId="297978F6">
      <w:pPr>
        <w:keepNext/>
        <w:keepLines/>
        <w:spacing w:before="260" w:after="260" w:line="416" w:lineRule="auto"/>
        <w:jc w:val="center"/>
        <w:outlineLvl w:val="9"/>
        <w:rPr>
          <w:rFonts w:cs="@仿宋_GB2312" w:asciiTheme="minorEastAsia" w:hAnsiTheme="minorEastAsia" w:eastAsiaTheme="minorEastAsia"/>
          <w:b/>
          <w:bCs/>
          <w:color w:val="auto"/>
          <w:kern w:val="2"/>
          <w:sz w:val="24"/>
          <w:szCs w:val="24"/>
          <w:highlight w:val="none"/>
        </w:rPr>
      </w:pPr>
      <w:bookmarkStart w:id="685" w:name="_Toc32351"/>
      <w:bookmarkStart w:id="686" w:name="_Toc12223"/>
      <w:r>
        <w:rPr>
          <w:rFonts w:hint="eastAsia" w:cs="@仿宋_GB2312" w:asciiTheme="minorEastAsia" w:hAnsiTheme="minorEastAsia" w:eastAsiaTheme="minorEastAsia"/>
          <w:b/>
          <w:bCs/>
          <w:color w:val="auto"/>
          <w:kern w:val="2"/>
          <w:sz w:val="24"/>
          <w:szCs w:val="24"/>
          <w:highlight w:val="none"/>
        </w:rPr>
        <w:t>法定代表人身份证明书</w:t>
      </w:r>
      <w:bookmarkEnd w:id="685"/>
      <w:bookmarkEnd w:id="686"/>
    </w:p>
    <w:p w14:paraId="15C79503">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6B021A70">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46B73B72">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277ADF1B">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5DAB923A">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08408071">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488747B0">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0AF8A26A">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0A8B4641">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48A2415A">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（供应商单位名称）       </w:t>
      </w:r>
      <w:r>
        <w:rPr>
          <w:rFonts w:hint="eastAsia" w:ascii="Calibri" w:hAnsi="Calibri" w:cs="Times New Roman"/>
          <w:color w:val="auto"/>
          <w:kern w:val="2"/>
          <w:sz w:val="24"/>
          <w:szCs w:val="28"/>
          <w:highlight w:val="none"/>
        </w:rPr>
        <w:t>的法定代表人。</w:t>
      </w:r>
    </w:p>
    <w:p w14:paraId="3AC2136A">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22B3867A">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6000A4C0">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6D38140F">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2D6B698C">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5138D014">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供应商电子签章：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5E561946">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0EB69FB4">
      <w:pPr>
        <w:widowControl/>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4DED0854">
      <w:pPr>
        <w:keepNext/>
        <w:keepLines/>
        <w:spacing w:before="260" w:after="260" w:line="416" w:lineRule="auto"/>
        <w:jc w:val="center"/>
        <w:outlineLvl w:val="1"/>
        <w:rPr>
          <w:rFonts w:hint="eastAsia" w:cs="@仿宋_GB2312" w:asciiTheme="minorEastAsia" w:hAnsiTheme="minorEastAsia" w:eastAsiaTheme="minorEastAsia"/>
          <w:b/>
          <w:bCs/>
          <w:color w:val="auto"/>
          <w:kern w:val="2"/>
          <w:sz w:val="24"/>
          <w:szCs w:val="24"/>
          <w:highlight w:val="none"/>
        </w:rPr>
      </w:pPr>
      <w:bookmarkStart w:id="687" w:name="_Toc4373"/>
      <w:bookmarkStart w:id="688" w:name="_Toc20099"/>
      <w:r>
        <w:rPr>
          <w:rFonts w:hint="eastAsia" w:cs="@仿宋_GB2312" w:asciiTheme="minorEastAsia" w:hAnsiTheme="minorEastAsia" w:eastAsiaTheme="minorEastAsia"/>
          <w:b/>
          <w:bCs/>
          <w:color w:val="auto"/>
          <w:kern w:val="2"/>
          <w:sz w:val="24"/>
          <w:szCs w:val="24"/>
          <w:highlight w:val="none"/>
          <w:lang w:val="en-US" w:eastAsia="zh-CN"/>
        </w:rPr>
        <w:t>六</w:t>
      </w:r>
      <w:r>
        <w:rPr>
          <w:rFonts w:hint="eastAsia" w:cs="@仿宋_GB2312" w:asciiTheme="minorEastAsia" w:hAnsiTheme="minorEastAsia" w:eastAsiaTheme="minorEastAsia"/>
          <w:b/>
          <w:bCs/>
          <w:color w:val="auto"/>
          <w:kern w:val="2"/>
          <w:sz w:val="24"/>
          <w:szCs w:val="24"/>
          <w:highlight w:val="none"/>
        </w:rPr>
        <w:t>、项目经理承诺书</w:t>
      </w:r>
      <w:bookmarkEnd w:id="687"/>
      <w:bookmarkEnd w:id="688"/>
    </w:p>
    <w:p w14:paraId="293ABCDC">
      <w:pPr>
        <w:spacing w:line="360" w:lineRule="auto"/>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none"/>
          <w:lang w:eastAsia="zh-CN"/>
        </w:rPr>
        <w:t>采购人</w:t>
      </w:r>
    </w:p>
    <w:p w14:paraId="480F76EB">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本人作为我单位在本项目磋商担任的项目经理，郑重承诺：</w:t>
      </w:r>
    </w:p>
    <w:p w14:paraId="294CEE68">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磋商而造假的行为。</w:t>
      </w:r>
    </w:p>
    <w:p w14:paraId="5CF91269">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lang w:val="en-US" w:eastAsia="zh-CN"/>
        </w:rPr>
        <w:t>二</w:t>
      </w:r>
      <w:r>
        <w:rPr>
          <w:rFonts w:hint="eastAsia" w:cs="宋体"/>
          <w:color w:val="auto"/>
          <w:kern w:val="2"/>
          <w:sz w:val="24"/>
          <w:szCs w:val="24"/>
          <w:highlight w:val="none"/>
        </w:rPr>
        <w:t>、本人承诺，一旦成交，将严格按照磋商文件规定履约。</w:t>
      </w:r>
    </w:p>
    <w:p w14:paraId="5D665B61">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lang w:val="en-US" w:eastAsia="zh-CN"/>
        </w:rPr>
        <w:t>三</w:t>
      </w:r>
      <w:r>
        <w:rPr>
          <w:rFonts w:hint="eastAsia" w:cs="宋体"/>
          <w:color w:val="auto"/>
          <w:kern w:val="2"/>
          <w:sz w:val="24"/>
          <w:szCs w:val="24"/>
          <w:highlight w:val="none"/>
        </w:rPr>
        <w:t>、本人声明，对以上承诺，一旦发现虚假现象，本人愿意承担相应法律责任，并随时无条件配合监管部门调查取证。</w:t>
      </w:r>
    </w:p>
    <w:p w14:paraId="655D4B89">
      <w:pPr>
        <w:spacing w:line="360" w:lineRule="auto"/>
        <w:ind w:firstLine="482" w:firstLineChars="200"/>
        <w:rPr>
          <w:rFonts w:hint="eastAsia" w:cs="宋体"/>
          <w:b/>
          <w:bCs/>
          <w:color w:val="auto"/>
          <w:kern w:val="2"/>
          <w:sz w:val="24"/>
          <w:szCs w:val="24"/>
          <w:highlight w:val="none"/>
          <w:lang w:val="en-US" w:eastAsia="zh-CN"/>
        </w:rPr>
      </w:pPr>
      <w:r>
        <w:rPr>
          <w:rFonts w:hint="eastAsia" w:cs="宋体"/>
          <w:b/>
          <w:bCs/>
          <w:color w:val="auto"/>
          <w:kern w:val="2"/>
          <w:sz w:val="24"/>
          <w:szCs w:val="24"/>
          <w:highlight w:val="none"/>
          <w:lang w:val="en-US" w:eastAsia="zh-CN"/>
        </w:rPr>
        <w:t>四、</w:t>
      </w:r>
      <w:r>
        <w:rPr>
          <w:rFonts w:hint="eastAsia" w:cs="宋体"/>
          <w:b/>
          <w:bCs/>
          <w:color w:val="auto"/>
          <w:kern w:val="2"/>
          <w:sz w:val="24"/>
          <w:szCs w:val="24"/>
          <w:highlight w:val="none"/>
        </w:rPr>
        <w:t>本人声明</w:t>
      </w:r>
      <w:r>
        <w:rPr>
          <w:rFonts w:hint="eastAsia" w:cs="宋体"/>
          <w:b/>
          <w:bCs/>
          <w:color w:val="auto"/>
          <w:kern w:val="2"/>
          <w:sz w:val="24"/>
          <w:szCs w:val="24"/>
          <w:highlight w:val="none"/>
          <w:lang w:val="en-US" w:eastAsia="zh-CN"/>
        </w:rPr>
        <w:t>与我单位具有劳动合同关系、且已依法缴纳社会保险。</w:t>
      </w:r>
    </w:p>
    <w:p w14:paraId="6E25D39A">
      <w:pPr>
        <w:spacing w:line="360" w:lineRule="auto"/>
        <w:ind w:firstLine="480" w:firstLineChars="200"/>
        <w:rPr>
          <w:rFonts w:cs="宋体"/>
          <w:color w:val="auto"/>
          <w:kern w:val="2"/>
          <w:sz w:val="24"/>
          <w:szCs w:val="24"/>
          <w:highlight w:val="none"/>
        </w:rPr>
      </w:pPr>
    </w:p>
    <w:p w14:paraId="323DAD81">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1F764E4B">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4DB64623">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09C4998E">
      <w:pPr>
        <w:spacing w:line="360" w:lineRule="auto"/>
        <w:ind w:firstLine="480" w:firstLineChars="200"/>
        <w:rPr>
          <w:rFonts w:cs="宋体"/>
          <w:color w:val="auto"/>
          <w:kern w:val="2"/>
          <w:sz w:val="24"/>
          <w:szCs w:val="24"/>
          <w:highlight w:val="none"/>
        </w:rPr>
      </w:pPr>
    </w:p>
    <w:p w14:paraId="1C8582BE">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color w:val="auto"/>
          <w:kern w:val="2"/>
          <w:sz w:val="24"/>
          <w:szCs w:val="24"/>
          <w:highlight w:val="none"/>
        </w:rPr>
        <w:t>注：本页后附项目经理身份证明扫描件。</w:t>
      </w:r>
    </w:p>
    <w:p w14:paraId="5E42B3B6">
      <w:pPr>
        <w:autoSpaceDE w:val="0"/>
        <w:autoSpaceDN w:val="0"/>
        <w:adjustRightInd w:val="0"/>
        <w:spacing w:line="360" w:lineRule="auto"/>
        <w:jc w:val="center"/>
        <w:rPr>
          <w:rFonts w:asciiTheme="minorEastAsia" w:hAnsiTheme="minorEastAsia" w:eastAsiaTheme="minorEastAsia"/>
          <w:color w:val="auto"/>
          <w:sz w:val="28"/>
          <w:highlight w:val="none"/>
        </w:rPr>
      </w:pPr>
      <w:bookmarkStart w:id="689" w:name="_Toc438648628"/>
      <w:r>
        <w:rPr>
          <w:rFonts w:hint="eastAsia" w:ascii="@仿宋_GB2312" w:eastAsia="@仿宋_GB2312" w:cs="宋体"/>
          <w:b/>
          <w:color w:val="auto"/>
          <w:kern w:val="2"/>
          <w:sz w:val="24"/>
          <w:szCs w:val="24"/>
          <w:highlight w:val="none"/>
        </w:rPr>
        <w:br w:type="page"/>
      </w:r>
      <w:bookmarkEnd w:id="689"/>
    </w:p>
    <w:p w14:paraId="5266DDC2">
      <w:pPr>
        <w:spacing w:line="360" w:lineRule="auto"/>
        <w:jc w:val="center"/>
        <w:outlineLvl w:val="1"/>
        <w:rPr>
          <w:rFonts w:asciiTheme="minorEastAsia" w:hAnsiTheme="minorEastAsia" w:eastAsiaTheme="minorEastAsia"/>
          <w:b/>
          <w:color w:val="auto"/>
          <w:sz w:val="24"/>
          <w:highlight w:val="none"/>
        </w:rPr>
      </w:pPr>
      <w:bookmarkStart w:id="690" w:name="_Toc31589"/>
      <w:bookmarkStart w:id="691" w:name="_Toc28359"/>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、中小企业声明函</w:t>
      </w:r>
      <w:bookmarkEnd w:id="690"/>
      <w:bookmarkEnd w:id="691"/>
    </w:p>
    <w:p w14:paraId="2D436CCB">
      <w:pPr>
        <w:pStyle w:val="1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z w:val="24"/>
          <w:szCs w:val="24"/>
          <w:highlight w:val="none"/>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w:t>
      </w:r>
      <w:r>
        <w:rPr>
          <w:rFonts w:hint="eastAsia" w:ascii="宋体" w:hAnsi="宋体" w:eastAsia="宋体"/>
          <w:b w:val="0"/>
          <w:i/>
          <w:color w:val="auto"/>
          <w:sz w:val="24"/>
          <w:highlight w:val="none"/>
          <w:lang w:val="en-US" w:eastAsia="zh-CN"/>
        </w:rPr>
        <w:t>磋商，不需此件，请删去“中小企业声明函”）</w:t>
      </w:r>
    </w:p>
    <w:p w14:paraId="75D555AA">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本公司（联合体）郑重声明，根据《政府采购促进中小企业发展管理办法》（财库﹝2020﹞46号）的规定，本公司（联合体）参加</w:t>
      </w:r>
      <w:r>
        <w:rPr>
          <w:rFonts w:hint="eastAsia" w:cs="@仿宋_GB2312"/>
          <w:b/>
          <w:bCs/>
          <w:color w:val="auto"/>
          <w:kern w:val="2"/>
          <w:sz w:val="24"/>
          <w:szCs w:val="24"/>
          <w:highlight w:val="none"/>
          <w:u w:val="single"/>
          <w:lang w:val="en-US" w:eastAsia="zh-CN"/>
        </w:rPr>
        <w:t>安徽省淮河河道管理局</w:t>
      </w:r>
      <w:r>
        <w:rPr>
          <w:rFonts w:hint="eastAsia" w:cs="@仿宋_GB2312"/>
          <w:color w:val="auto"/>
          <w:kern w:val="2"/>
          <w:sz w:val="24"/>
          <w:szCs w:val="24"/>
          <w:highlight w:val="none"/>
          <w:lang w:val="zh-CN"/>
        </w:rPr>
        <w:t>的</w:t>
      </w:r>
      <w:r>
        <w:rPr>
          <w:rFonts w:hint="eastAsia" w:cs="@仿宋_GB2312"/>
          <w:b/>
          <w:bCs/>
          <w:color w:val="auto"/>
          <w:kern w:val="2"/>
          <w:sz w:val="24"/>
          <w:szCs w:val="24"/>
          <w:highlight w:val="none"/>
          <w:u w:val="single"/>
          <w:lang w:val="zh-CN"/>
        </w:rPr>
        <w:t>水闸自动化系统汛前维修项目第2包</w:t>
      </w:r>
      <w:r>
        <w:rPr>
          <w:rFonts w:hint="eastAsia" w:cs="@仿宋_GB2312"/>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2BE27B5F">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1.</w:t>
      </w:r>
      <w:r>
        <w:rPr>
          <w:rFonts w:hint="eastAsia" w:cs="@仿宋_GB2312"/>
          <w:color w:val="auto"/>
          <w:kern w:val="2"/>
          <w:sz w:val="24"/>
          <w:szCs w:val="24"/>
          <w:highlight w:val="none"/>
          <w:u w:val="single"/>
          <w:lang w:val="zh-CN"/>
        </w:rPr>
        <w:t xml:space="preserve"> </w:t>
      </w:r>
      <w:r>
        <w:rPr>
          <w:rFonts w:hint="eastAsia" w:cs="@仿宋_GB2312"/>
          <w:b/>
          <w:bCs/>
          <w:color w:val="auto"/>
          <w:kern w:val="2"/>
          <w:sz w:val="24"/>
          <w:szCs w:val="24"/>
          <w:highlight w:val="none"/>
          <w:u w:val="single"/>
          <w:lang w:val="zh-CN"/>
        </w:rPr>
        <w:t>水闸自动化系统汛前维修项目第2包</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，属于</w:t>
      </w:r>
      <w:r>
        <w:rPr>
          <w:rFonts w:hint="eastAsia" w:cs="@仿宋_GB2312"/>
          <w:b/>
          <w:bCs/>
          <w:color w:val="auto"/>
          <w:kern w:val="2"/>
          <w:sz w:val="24"/>
          <w:szCs w:val="24"/>
          <w:highlight w:val="none"/>
          <w:u w:val="single"/>
          <w:lang w:val="en-US" w:eastAsia="zh-CN"/>
        </w:rPr>
        <w:t xml:space="preserve"> 建筑业 </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313EF4FF">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w:t>
      </w:r>
    </w:p>
    <w:p w14:paraId="38A13FD7">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以上企业，不属于大企业的分支机构，不存在控股股东为大企业的情形，也不存在与大企业的负责人为同一人的情形。</w:t>
      </w:r>
    </w:p>
    <w:p w14:paraId="68E31A6D">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 xml:space="preserve">本企业对上述声明内容的真实性负责。如有虚假，将依法承担相应责任。 </w:t>
      </w:r>
    </w:p>
    <w:p w14:paraId="072F5D07">
      <w:pPr>
        <w:spacing w:line="360" w:lineRule="auto"/>
        <w:ind w:firstLine="435"/>
        <w:rPr>
          <w:rFonts w:cs="@仿宋_GB2312" w:asciiTheme="minorEastAsia" w:hAnsiTheme="minorEastAsia" w:eastAsiaTheme="minorEastAsia"/>
          <w:color w:val="auto"/>
          <w:kern w:val="2"/>
          <w:sz w:val="24"/>
          <w:szCs w:val="24"/>
          <w:highlight w:val="none"/>
        </w:rPr>
      </w:pPr>
    </w:p>
    <w:p w14:paraId="408C5725">
      <w:pPr>
        <w:spacing w:line="360" w:lineRule="auto"/>
        <w:ind w:firstLine="435"/>
        <w:rPr>
          <w:rFonts w:cs="@仿宋_GB2312" w:asciiTheme="minorEastAsia" w:hAnsiTheme="minorEastAsia" w:eastAsiaTheme="minorEastAsia"/>
          <w:color w:val="auto"/>
          <w:kern w:val="2"/>
          <w:sz w:val="24"/>
          <w:szCs w:val="24"/>
          <w:highlight w:val="none"/>
        </w:rPr>
      </w:pPr>
    </w:p>
    <w:p w14:paraId="3844C0C6">
      <w:pPr>
        <w:spacing w:line="360" w:lineRule="auto"/>
        <w:ind w:firstLine="4228" w:firstLineChars="176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供应商</w:t>
      </w:r>
      <w:r>
        <w:rPr>
          <w:rFonts w:cs="@仿宋_GB2312" w:asciiTheme="minorEastAsia" w:hAnsiTheme="minorEastAsia" w:eastAsiaTheme="minorEastAsia"/>
          <w:color w:val="auto"/>
          <w:kern w:val="2"/>
          <w:sz w:val="24"/>
          <w:szCs w:val="24"/>
          <w:highlight w:val="none"/>
        </w:rPr>
        <w:t>电子签章</w:t>
      </w:r>
      <w:r>
        <w:rPr>
          <w:rFonts w:hint="eastAsia" w:cs="@仿宋_GB2312" w:asciiTheme="minorEastAsia" w:hAnsiTheme="minorEastAsia" w:eastAsiaTheme="minorEastAsia"/>
          <w:color w:val="auto"/>
          <w:kern w:val="2"/>
          <w:sz w:val="24"/>
          <w:szCs w:val="24"/>
          <w:highlight w:val="none"/>
        </w:rPr>
        <w:t>：</w:t>
      </w:r>
      <w:r>
        <w:rPr>
          <w:rFonts w:cs="@仿宋_GB2312" w:asciiTheme="minorEastAsia" w:hAnsiTheme="minorEastAsia" w:eastAsiaTheme="minorEastAsia"/>
          <w:color w:val="auto"/>
          <w:kern w:val="2"/>
          <w:sz w:val="24"/>
          <w:szCs w:val="24"/>
          <w:highlight w:val="none"/>
          <w:u w:val="single"/>
        </w:rPr>
        <w:t xml:space="preserve">             </w:t>
      </w:r>
    </w:p>
    <w:p w14:paraId="0E79EAE5">
      <w:pPr>
        <w:tabs>
          <w:tab w:val="left" w:pos="4620"/>
        </w:tabs>
        <w:spacing w:line="360" w:lineRule="auto"/>
        <w:ind w:firstLine="4252" w:firstLineChars="177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日</w:t>
      </w:r>
      <w:r>
        <w:rPr>
          <w:rFonts w:cs="@仿宋_GB2312" w:asciiTheme="minorEastAsia" w:hAnsiTheme="minorEastAsia" w:eastAsiaTheme="minorEastAsia"/>
          <w:color w:val="auto"/>
          <w:kern w:val="2"/>
          <w:sz w:val="24"/>
          <w:szCs w:val="24"/>
          <w:highlight w:val="none"/>
        </w:rPr>
        <w:t xml:space="preserve">      </w:t>
      </w:r>
      <w:r>
        <w:rPr>
          <w:rFonts w:hint="eastAsia" w:cs="@仿宋_GB2312" w:asciiTheme="minorEastAsia" w:hAnsiTheme="minorEastAsia" w:eastAsiaTheme="minorEastAsia"/>
          <w:color w:val="auto"/>
          <w:kern w:val="2"/>
          <w:sz w:val="24"/>
          <w:szCs w:val="24"/>
          <w:highlight w:val="none"/>
        </w:rPr>
        <w:t xml:space="preserve">    期：</w:t>
      </w:r>
      <w:r>
        <w:rPr>
          <w:rFonts w:cs="@仿宋_GB2312" w:asciiTheme="minorEastAsia" w:hAnsiTheme="minorEastAsia" w:eastAsiaTheme="minorEastAsia"/>
          <w:color w:val="auto"/>
          <w:kern w:val="2"/>
          <w:sz w:val="24"/>
          <w:szCs w:val="24"/>
          <w:highlight w:val="none"/>
          <w:u w:val="single"/>
        </w:rPr>
        <w:t xml:space="preserve">             </w:t>
      </w:r>
    </w:p>
    <w:p w14:paraId="486263B7">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23F8BEF1">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15AE7A42">
      <w:pPr>
        <w:tabs>
          <w:tab w:val="left" w:pos="4620"/>
        </w:tabs>
        <w:spacing w:line="360" w:lineRule="auto"/>
        <w:jc w:val="left"/>
        <w:rPr>
          <w:rFonts w:hint="eastAsia" w:cs="@仿宋_GB2312" w:asciiTheme="minorEastAsia" w:hAnsiTheme="minorEastAsia" w:eastAsiaTheme="minorEastAsia"/>
          <w:b/>
          <w:color w:val="auto"/>
          <w:kern w:val="2"/>
          <w:sz w:val="21"/>
          <w:szCs w:val="24"/>
          <w:highlight w:val="none"/>
          <w:lang w:eastAsia="zh-CN"/>
        </w:rPr>
      </w:pPr>
      <w:r>
        <w:rPr>
          <w:rFonts w:hint="eastAsia" w:cs="@仿宋_GB2312" w:asciiTheme="minorEastAsia" w:hAnsiTheme="minorEastAsia" w:eastAsiaTheme="minorEastAsia"/>
          <w:b/>
          <w:color w:val="auto"/>
          <w:kern w:val="2"/>
          <w:sz w:val="21"/>
          <w:szCs w:val="24"/>
          <w:highlight w:val="none"/>
          <w:lang w:eastAsia="zh-CN"/>
        </w:rPr>
        <w:t>注：</w:t>
      </w:r>
    </w:p>
    <w:p w14:paraId="17B7A5EF">
      <w:pPr>
        <w:tabs>
          <w:tab w:val="left" w:pos="4620"/>
        </w:tabs>
        <w:spacing w:line="360" w:lineRule="auto"/>
        <w:jc w:val="left"/>
        <w:rPr>
          <w:rFonts w:cs="@仿宋_GB2312" w:asciiTheme="minorEastAsia" w:hAnsiTheme="minorEastAsia" w:eastAsiaTheme="minorEastAsia"/>
          <w:color w:val="auto"/>
          <w:kern w:val="2"/>
          <w:sz w:val="21"/>
          <w:szCs w:val="24"/>
          <w:highlight w:val="none"/>
        </w:rPr>
      </w:pPr>
      <w:r>
        <w:rPr>
          <w:rFonts w:cs="@仿宋_GB2312" w:asciiTheme="minorEastAsia" w:hAnsiTheme="minorEastAsia" w:eastAsiaTheme="minorEastAsia"/>
          <w:color w:val="auto"/>
          <w:kern w:val="2"/>
          <w:sz w:val="21"/>
          <w:szCs w:val="24"/>
          <w:highlight w:val="none"/>
        </w:rPr>
        <w:t>1.从业人员、营业收入、资产总额填报上一年数据，无上一年数据的新成立企业可不填报。</w:t>
      </w:r>
    </w:p>
    <w:p w14:paraId="5762D423">
      <w:pPr>
        <w:tabs>
          <w:tab w:val="left" w:pos="4620"/>
        </w:tabs>
        <w:spacing w:line="360" w:lineRule="auto"/>
        <w:jc w:val="left"/>
        <w:rPr>
          <w:rFonts w:cs="宋体"/>
          <w:b/>
          <w:bCs/>
          <w:color w:val="auto"/>
          <w:kern w:val="2"/>
          <w:sz w:val="21"/>
          <w:szCs w:val="21"/>
          <w:highlight w:val="none"/>
        </w:rPr>
      </w:pPr>
      <w:r>
        <w:rPr>
          <w:rFonts w:hint="eastAsia" w:cs="宋体"/>
          <w:b/>
          <w:bCs/>
          <w:color w:val="auto"/>
          <w:sz w:val="21"/>
          <w:szCs w:val="21"/>
          <w:highlight w:val="none"/>
        </w:rPr>
        <w:t>2.</w:t>
      </w:r>
      <w:r>
        <w:rPr>
          <w:rFonts w:hint="eastAsia" w:cs="宋体"/>
          <w:b/>
          <w:bCs/>
          <w:color w:val="auto"/>
          <w:kern w:val="2"/>
          <w:sz w:val="21"/>
          <w:szCs w:val="21"/>
          <w:highlight w:val="none"/>
        </w:rPr>
        <w:t>供应商应根据《政府采购促进中小企业发展管理办法》（财库﹝2020﹞46号）和《关于印发中小企业划型标准规定的通知》(工信部联企业〔2011〕300号)相关规定，如实填写中小企业声明函。</w:t>
      </w:r>
      <w:r>
        <w:rPr>
          <w:rFonts w:hint="eastAsia" w:cs="宋体"/>
          <w:b/>
          <w:bCs/>
          <w:color w:val="auto"/>
          <w:kern w:val="2"/>
          <w:sz w:val="21"/>
          <w:szCs w:val="21"/>
          <w:highlight w:val="none"/>
          <w:lang w:val="zh-CN"/>
        </w:rPr>
        <w:t>如有虚假，将依法承担相应责任。</w:t>
      </w:r>
      <w:r>
        <w:rPr>
          <w:rFonts w:hint="eastAsia" w:cs="宋体"/>
          <w:b/>
          <w:bCs/>
          <w:color w:val="auto"/>
          <w:kern w:val="2"/>
          <w:sz w:val="21"/>
          <w:szCs w:val="21"/>
          <w:highlight w:val="none"/>
        </w:rPr>
        <w:t>供应商自行登录工业和信息化部官网进行中小企业规模类型自测（查询网址https://www.miit.gov.cn/）。</w:t>
      </w:r>
    </w:p>
    <w:p w14:paraId="6C155615">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3.上述“</w:t>
      </w:r>
      <w:r>
        <w:rPr>
          <w:rFonts w:hint="eastAsia" w:cs="宋体"/>
          <w:b/>
          <w:bCs/>
          <w:color w:val="auto"/>
          <w:kern w:val="2"/>
          <w:sz w:val="21"/>
          <w:szCs w:val="21"/>
          <w:highlight w:val="none"/>
          <w:u w:val="single"/>
          <w:lang w:val="zh-CN"/>
        </w:rPr>
        <w:t>标的名称</w:t>
      </w:r>
      <w:r>
        <w:rPr>
          <w:rFonts w:hint="eastAsia" w:cs="宋体"/>
          <w:b/>
          <w:bCs/>
          <w:color w:val="auto"/>
          <w:kern w:val="2"/>
          <w:sz w:val="21"/>
          <w:szCs w:val="21"/>
          <w:highlight w:val="none"/>
        </w:rPr>
        <w:t>”，详见第三章采购需求前附表中明确的“标的名称”。</w:t>
      </w:r>
    </w:p>
    <w:p w14:paraId="0D6D27C7">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4.上述“</w:t>
      </w:r>
      <w:r>
        <w:rPr>
          <w:rFonts w:hint="eastAsia" w:cs="宋体"/>
          <w:b/>
          <w:bCs/>
          <w:color w:val="auto"/>
          <w:kern w:val="2"/>
          <w:sz w:val="21"/>
          <w:szCs w:val="21"/>
          <w:highlight w:val="none"/>
          <w:u w:val="single"/>
        </w:rPr>
        <w:t>采购文件中明确的所属行业</w:t>
      </w:r>
      <w:r>
        <w:rPr>
          <w:rFonts w:hint="eastAsia" w:cs="宋体"/>
          <w:b/>
          <w:bCs/>
          <w:color w:val="auto"/>
          <w:kern w:val="2"/>
          <w:sz w:val="21"/>
          <w:szCs w:val="21"/>
          <w:highlight w:val="none"/>
        </w:rPr>
        <w:t>”，详见第三章采购需求前附表中明确的“所属行业”。</w:t>
      </w:r>
    </w:p>
    <w:p w14:paraId="36557EF0">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5．</w:t>
      </w:r>
      <w:r>
        <w:rPr>
          <w:rFonts w:hint="eastAsia" w:cs="宋体"/>
          <w:b/>
          <w:bCs/>
          <w:color w:val="auto"/>
          <w:szCs w:val="21"/>
          <w:highlight w:val="none"/>
        </w:rPr>
        <w:t>填写示例：</w:t>
      </w:r>
      <w:r>
        <w:rPr>
          <w:rFonts w:hint="eastAsia" w:cs="宋体"/>
          <w:b/>
          <w:bCs/>
          <w:color w:val="auto"/>
          <w:szCs w:val="21"/>
          <w:highlight w:val="none"/>
          <w:u w:val="single"/>
        </w:rPr>
        <w:t>某标的名称</w:t>
      </w:r>
      <w:r>
        <w:rPr>
          <w:rFonts w:hint="eastAsia" w:cs="宋体"/>
          <w:b/>
          <w:bCs/>
          <w:color w:val="auto"/>
          <w:szCs w:val="21"/>
          <w:highlight w:val="none"/>
        </w:rPr>
        <w:t>（</w:t>
      </w:r>
      <w:r>
        <w:rPr>
          <w:rFonts w:hint="eastAsia" w:cs="宋体"/>
          <w:b/>
          <w:bCs/>
          <w:color w:val="auto"/>
          <w:szCs w:val="21"/>
          <w:highlight w:val="none"/>
          <w:u w:val="single"/>
        </w:rPr>
        <w:t>填写第三章采购需求前附表中明确的“标的名称”</w:t>
      </w:r>
      <w:r>
        <w:rPr>
          <w:rFonts w:hint="eastAsia" w:cs="宋体"/>
          <w:b/>
          <w:bCs/>
          <w:color w:val="auto"/>
          <w:szCs w:val="21"/>
          <w:highlight w:val="none"/>
        </w:rPr>
        <w:t>），属于</w:t>
      </w:r>
      <w:r>
        <w:rPr>
          <w:rFonts w:hint="eastAsia" w:cs="宋体"/>
          <w:b/>
          <w:bCs/>
          <w:color w:val="auto"/>
          <w:szCs w:val="21"/>
          <w:highlight w:val="none"/>
          <w:u w:val="single"/>
        </w:rPr>
        <w:t>（填写第三章采购需求前附表中明确的“所属行业”，如建筑业）</w:t>
      </w:r>
      <w:r>
        <w:rPr>
          <w:rFonts w:hint="eastAsia" w:cs="宋体"/>
          <w:b/>
          <w:bCs/>
          <w:color w:val="auto"/>
          <w:szCs w:val="21"/>
          <w:highlight w:val="none"/>
        </w:rPr>
        <w:t>行业；承接企业为</w:t>
      </w:r>
      <w:r>
        <w:rPr>
          <w:rFonts w:hint="eastAsia" w:cs="宋体"/>
          <w:b/>
          <w:bCs/>
          <w:color w:val="auto"/>
          <w:szCs w:val="21"/>
          <w:highlight w:val="none"/>
          <w:u w:val="single"/>
          <w:lang w:val="zh-CN"/>
        </w:rPr>
        <w:t>某公司</w:t>
      </w:r>
      <w:r>
        <w:rPr>
          <w:rFonts w:hint="eastAsia" w:cs="宋体"/>
          <w:b/>
          <w:bCs/>
          <w:color w:val="auto"/>
          <w:szCs w:val="21"/>
          <w:highlight w:val="none"/>
        </w:rPr>
        <w:t>，</w:t>
      </w:r>
      <w:r>
        <w:rPr>
          <w:rFonts w:hint="eastAsia" w:cs="宋体"/>
          <w:b/>
          <w:bCs/>
          <w:color w:val="auto"/>
          <w:szCs w:val="21"/>
          <w:highlight w:val="none"/>
          <w:lang w:val="zh-CN"/>
        </w:rPr>
        <w:t>从业人员</w:t>
      </w:r>
      <w:r>
        <w:rPr>
          <w:rFonts w:hint="eastAsia" w:cs="宋体"/>
          <w:b/>
          <w:bCs/>
          <w:color w:val="auto"/>
          <w:szCs w:val="21"/>
          <w:highlight w:val="none"/>
          <w:u w:val="single"/>
        </w:rPr>
        <w:t>100</w:t>
      </w:r>
      <w:r>
        <w:rPr>
          <w:rFonts w:hint="eastAsia" w:cs="宋体"/>
          <w:b/>
          <w:bCs/>
          <w:color w:val="auto"/>
          <w:szCs w:val="21"/>
          <w:highlight w:val="none"/>
          <w:lang w:val="zh-CN"/>
        </w:rPr>
        <w:t>人</w:t>
      </w:r>
      <w:r>
        <w:rPr>
          <w:rFonts w:hint="eastAsia" w:cs="宋体"/>
          <w:b/>
          <w:bCs/>
          <w:color w:val="auto"/>
          <w:szCs w:val="21"/>
          <w:highlight w:val="none"/>
        </w:rPr>
        <w:t>，</w:t>
      </w:r>
      <w:r>
        <w:rPr>
          <w:rFonts w:hint="eastAsia" w:cs="宋体"/>
          <w:b/>
          <w:bCs/>
          <w:color w:val="auto"/>
          <w:szCs w:val="21"/>
          <w:highlight w:val="none"/>
          <w:lang w:val="zh-CN"/>
        </w:rPr>
        <w:t>营业收入为</w:t>
      </w:r>
      <w:r>
        <w:rPr>
          <w:rFonts w:hint="eastAsia" w:cs="宋体"/>
          <w:b/>
          <w:bCs/>
          <w:color w:val="auto"/>
          <w:szCs w:val="21"/>
          <w:highlight w:val="none"/>
          <w:u w:val="single"/>
        </w:rPr>
        <w:t>10000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资产总额为</w:t>
      </w:r>
      <w:r>
        <w:rPr>
          <w:rFonts w:hint="eastAsia" w:cs="宋体"/>
          <w:b/>
          <w:bCs/>
          <w:color w:val="auto"/>
          <w:szCs w:val="21"/>
          <w:highlight w:val="none"/>
          <w:u w:val="single"/>
        </w:rPr>
        <w:t>5000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属于</w:t>
      </w:r>
      <w:r>
        <w:rPr>
          <w:rFonts w:hint="eastAsia" w:cs="宋体"/>
          <w:b/>
          <w:bCs/>
          <w:color w:val="auto"/>
          <w:szCs w:val="21"/>
          <w:highlight w:val="none"/>
        </w:rPr>
        <w:t>中</w:t>
      </w:r>
      <w:r>
        <w:rPr>
          <w:rFonts w:hint="eastAsia" w:cs="宋体"/>
          <w:b/>
          <w:bCs/>
          <w:color w:val="auto"/>
          <w:szCs w:val="21"/>
          <w:highlight w:val="none"/>
          <w:u w:val="single"/>
          <w:lang w:val="zh-CN"/>
        </w:rPr>
        <w:t>型</w:t>
      </w:r>
      <w:r>
        <w:rPr>
          <w:rFonts w:hint="eastAsia" w:cs="宋体"/>
          <w:b/>
          <w:bCs/>
          <w:color w:val="auto"/>
          <w:szCs w:val="21"/>
          <w:highlight w:val="none"/>
          <w:lang w:val="zh-CN"/>
        </w:rPr>
        <w:t>企业</w:t>
      </w:r>
      <w:r>
        <w:rPr>
          <w:rFonts w:hint="eastAsia" w:cs="宋体"/>
          <w:b/>
          <w:bCs/>
          <w:color w:val="auto"/>
          <w:szCs w:val="21"/>
          <w:highlight w:val="none"/>
        </w:rPr>
        <w:t>[供应商自行登录工业和信息化部官网进行中小企业规模类型自测（查询网址https://www.miit.gov.cn/）]</w:t>
      </w:r>
      <w:r>
        <w:rPr>
          <w:rFonts w:hint="eastAsia" w:cs="宋体"/>
          <w:b/>
          <w:bCs/>
          <w:color w:val="auto"/>
          <w:kern w:val="2"/>
          <w:sz w:val="21"/>
          <w:szCs w:val="21"/>
          <w:highlight w:val="none"/>
          <w:lang w:val="zh-CN"/>
        </w:rPr>
        <w:t>。</w:t>
      </w:r>
    </w:p>
    <w:p w14:paraId="0ABCC68C">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B7C17DC">
      <w:pPr>
        <w:spacing w:line="360" w:lineRule="auto"/>
        <w:jc w:val="center"/>
        <w:outlineLvl w:val="9"/>
        <w:rPr>
          <w:rFonts w:asciiTheme="minorEastAsia" w:hAnsiTheme="minorEastAsia" w:eastAsiaTheme="minorEastAsia"/>
          <w:b/>
          <w:color w:val="auto"/>
          <w:sz w:val="24"/>
          <w:highlight w:val="none"/>
        </w:rPr>
      </w:pPr>
      <w:bookmarkStart w:id="692" w:name="_Toc17813"/>
      <w:bookmarkStart w:id="693" w:name="_Toc17154"/>
      <w:r>
        <w:rPr>
          <w:rFonts w:hint="eastAsia" w:asciiTheme="minorEastAsia" w:hAnsiTheme="minorEastAsia" w:eastAsiaTheme="minorEastAsia"/>
          <w:b/>
          <w:color w:val="auto"/>
          <w:sz w:val="24"/>
          <w:highlight w:val="none"/>
        </w:rPr>
        <w:t>残疾人福利性单位声明函</w:t>
      </w:r>
      <w:bookmarkEnd w:id="692"/>
      <w:bookmarkEnd w:id="693"/>
    </w:p>
    <w:p w14:paraId="34BBA5A1">
      <w:pPr>
        <w:pStyle w:val="1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（非残疾人福利性单位磋商，请删去“残疾人福利性单位声明函”）</w:t>
      </w:r>
    </w:p>
    <w:p w14:paraId="3F2DC4B9">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w:t>
      </w:r>
      <w:r>
        <w:rPr>
          <w:rFonts w:hint="eastAsia" w:cs="Times New Roman"/>
          <w:color w:val="auto"/>
          <w:kern w:val="2"/>
          <w:sz w:val="24"/>
          <w:szCs w:val="22"/>
          <w:highlight w:val="none"/>
        </w:rPr>
        <w:t>郑重</w:t>
      </w:r>
      <w:r>
        <w:rPr>
          <w:rFonts w:hint="eastAsia" w:cs="Times New Roman"/>
          <w:color w:val="auto"/>
          <w:spacing w:val="6"/>
          <w:kern w:val="2"/>
          <w:sz w:val="24"/>
          <w:szCs w:val="24"/>
          <w:highlight w:val="none"/>
        </w:rPr>
        <w:t>声明，根据《财政部 民政部 中国残疾人联合会关于促进残疾人就业政府采购政策的通知》（财库</w:t>
      </w:r>
      <w:r>
        <w:rPr>
          <w:rFonts w:hint="eastAsia" w:cs="Times New Roman"/>
          <w:color w:val="auto"/>
          <w:kern w:val="2"/>
          <w:sz w:val="24"/>
          <w:szCs w:val="24"/>
          <w:highlight w:val="none"/>
        </w:rPr>
        <w:t>〔2017〕141</w:t>
      </w:r>
      <w:r>
        <w:rPr>
          <w:rFonts w:hint="eastAsia" w:cs="Times New Roman"/>
          <w:color w:val="auto"/>
          <w:spacing w:val="6"/>
          <w:kern w:val="2"/>
          <w:sz w:val="24"/>
          <w:szCs w:val="24"/>
          <w:highlight w:val="none"/>
        </w:rPr>
        <w:t>号）的规定，</w:t>
      </w:r>
      <w:r>
        <w:rPr>
          <w:rFonts w:hint="eastAsia" w:asciiTheme="minorEastAsia" w:hAnsiTheme="minorEastAsia" w:eastAsiaTheme="minorEastAsia"/>
          <w:color w:val="auto"/>
          <w:spacing w:val="6"/>
          <w:sz w:val="24"/>
          <w:szCs w:val="24"/>
          <w:highlight w:val="none"/>
        </w:rPr>
        <w:t>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b/>
          <w:bCs/>
          <w:color w:val="auto"/>
          <w:spacing w:val="6"/>
          <w:sz w:val="24"/>
          <w:szCs w:val="24"/>
          <w:highlight w:val="none"/>
          <w:u w:val="single"/>
          <w:lang w:val="en-US" w:eastAsia="zh-CN"/>
        </w:rPr>
        <w:t>安徽省淮河河道管理局</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b/>
          <w:bCs/>
          <w:color w:val="auto"/>
          <w:spacing w:val="6"/>
          <w:sz w:val="24"/>
          <w:szCs w:val="24"/>
          <w:highlight w:val="none"/>
          <w:u w:val="single"/>
          <w:lang w:eastAsia="zh-CN"/>
        </w:rPr>
        <w:t>水闸自动化系统汛前维修项目第2包</w:t>
      </w:r>
      <w:r>
        <w:rPr>
          <w:rFonts w:hint="eastAsia" w:asciiTheme="minorEastAsia" w:hAnsiTheme="minorEastAsia" w:eastAsiaTheme="minorEastAsia"/>
          <w:color w:val="auto"/>
          <w:spacing w:val="6"/>
          <w:sz w:val="24"/>
          <w:szCs w:val="24"/>
          <w:highlight w:val="none"/>
        </w:rPr>
        <w:t>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41E59054">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本单位对上述声明的真实性负责。如有虚假，将依法承担相应责任。</w:t>
      </w:r>
    </w:p>
    <w:p w14:paraId="65E8402A">
      <w:pPr>
        <w:spacing w:line="360" w:lineRule="auto"/>
        <w:ind w:firstLine="4228" w:firstLineChars="1762"/>
        <w:rPr>
          <w:rFonts w:cs="Times New Roman"/>
          <w:color w:val="auto"/>
          <w:kern w:val="2"/>
          <w:sz w:val="24"/>
          <w:szCs w:val="24"/>
          <w:highlight w:val="none"/>
        </w:rPr>
      </w:pPr>
    </w:p>
    <w:p w14:paraId="52DB0985">
      <w:pPr>
        <w:spacing w:line="360" w:lineRule="auto"/>
        <w:ind w:firstLine="4228" w:firstLineChars="1762"/>
        <w:rPr>
          <w:rFonts w:cs="Times New Roman"/>
          <w:color w:val="auto"/>
          <w:kern w:val="2"/>
          <w:sz w:val="24"/>
          <w:szCs w:val="24"/>
          <w:highlight w:val="none"/>
        </w:rPr>
      </w:pPr>
    </w:p>
    <w:p w14:paraId="0EF6C151">
      <w:pPr>
        <w:spacing w:line="360" w:lineRule="auto"/>
        <w:ind w:firstLine="4228" w:firstLineChars="1762"/>
        <w:rPr>
          <w:rFonts w:cs="Times New Roman"/>
          <w:color w:val="auto"/>
          <w:kern w:val="2"/>
          <w:sz w:val="24"/>
          <w:szCs w:val="24"/>
          <w:highlight w:val="none"/>
          <w:u w:val="single"/>
        </w:rPr>
      </w:pPr>
      <w:r>
        <w:rPr>
          <w:rFonts w:hint="eastAsia" w:cs="Times New Roman"/>
          <w:color w:val="auto"/>
          <w:kern w:val="2"/>
          <w:sz w:val="24"/>
          <w:szCs w:val="24"/>
          <w:highlight w:val="none"/>
        </w:rPr>
        <w:t>供应商</w:t>
      </w:r>
      <w:r>
        <w:rPr>
          <w:rFonts w:cs="Times New Roman"/>
          <w:color w:val="auto"/>
          <w:kern w:val="2"/>
          <w:sz w:val="24"/>
          <w:szCs w:val="24"/>
          <w:highlight w:val="none"/>
        </w:rPr>
        <w:t>电子签章</w:t>
      </w:r>
      <w:r>
        <w:rPr>
          <w:rFonts w:hint="eastAsia" w:cs="Times New Roman"/>
          <w:color w:val="auto"/>
          <w:kern w:val="2"/>
          <w:sz w:val="24"/>
          <w:szCs w:val="24"/>
          <w:highlight w:val="none"/>
        </w:rPr>
        <w:t>：</w:t>
      </w:r>
      <w:r>
        <w:rPr>
          <w:rFonts w:cs="Times New Roman"/>
          <w:color w:val="auto"/>
          <w:kern w:val="2"/>
          <w:sz w:val="24"/>
          <w:szCs w:val="24"/>
          <w:highlight w:val="none"/>
          <w:u w:val="single"/>
        </w:rPr>
        <w:t xml:space="preserve">             </w:t>
      </w:r>
    </w:p>
    <w:p w14:paraId="48837596">
      <w:pPr>
        <w:tabs>
          <w:tab w:val="left" w:pos="4620"/>
        </w:tabs>
        <w:spacing w:line="360" w:lineRule="auto"/>
        <w:ind w:firstLine="4252" w:firstLineChars="1772"/>
        <w:rPr>
          <w:rFonts w:cs="Times New Roman"/>
          <w:color w:val="auto"/>
          <w:kern w:val="2"/>
          <w:sz w:val="24"/>
          <w:szCs w:val="24"/>
          <w:highlight w:val="none"/>
          <w:u w:val="single"/>
        </w:rPr>
      </w:pPr>
      <w:r>
        <w:rPr>
          <w:rFonts w:hint="eastAsia" w:cs="Times New Roman"/>
          <w:color w:val="auto"/>
          <w:kern w:val="2"/>
          <w:sz w:val="24"/>
          <w:szCs w:val="24"/>
          <w:highlight w:val="none"/>
        </w:rPr>
        <w:t>日</w:t>
      </w:r>
      <w:r>
        <w:rPr>
          <w:rFonts w:cs="Times New Roman"/>
          <w:color w:val="auto"/>
          <w:kern w:val="2"/>
          <w:sz w:val="24"/>
          <w:szCs w:val="24"/>
          <w:highlight w:val="none"/>
        </w:rPr>
        <w:t xml:space="preserve">      </w:t>
      </w:r>
      <w:r>
        <w:rPr>
          <w:rFonts w:hint="eastAsia" w:cs="Times New Roman"/>
          <w:color w:val="auto"/>
          <w:kern w:val="2"/>
          <w:sz w:val="24"/>
          <w:szCs w:val="24"/>
          <w:highlight w:val="none"/>
        </w:rPr>
        <w:t xml:space="preserve">    期：</w:t>
      </w:r>
      <w:r>
        <w:rPr>
          <w:rFonts w:cs="Times New Roman"/>
          <w:color w:val="auto"/>
          <w:kern w:val="2"/>
          <w:sz w:val="24"/>
          <w:szCs w:val="24"/>
          <w:highlight w:val="none"/>
          <w:u w:val="single"/>
        </w:rPr>
        <w:t xml:space="preserve">             </w:t>
      </w:r>
    </w:p>
    <w:p w14:paraId="148C96C8">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9835E76">
      <w:pPr>
        <w:spacing w:line="360" w:lineRule="auto"/>
        <w:jc w:val="center"/>
        <w:outlineLvl w:val="1"/>
        <w:rPr>
          <w:rFonts w:asciiTheme="minorEastAsia" w:hAnsiTheme="minorEastAsia" w:eastAsiaTheme="minorEastAsia"/>
          <w:b/>
          <w:color w:val="auto"/>
          <w:sz w:val="24"/>
          <w:highlight w:val="none"/>
        </w:rPr>
      </w:pPr>
      <w:bookmarkStart w:id="694" w:name="_Toc17768"/>
      <w:bookmarkStart w:id="695" w:name="_Toc26894"/>
      <w:bookmarkStart w:id="696" w:name="_Hlk44283088"/>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、诚信履约承诺函</w:t>
      </w:r>
      <w:bookmarkEnd w:id="694"/>
      <w:bookmarkEnd w:id="695"/>
    </w:p>
    <w:p w14:paraId="036D15EF">
      <w:pPr>
        <w:spacing w:line="360" w:lineRule="auto"/>
        <w:rPr>
          <w:rFonts w:cs="@仿宋_GB2312" w:asciiTheme="minorEastAsia" w:hAnsiTheme="minorEastAsia" w:eastAsiaTheme="minorEastAsia"/>
          <w:b/>
          <w:bCs/>
          <w:color w:val="auto"/>
          <w:kern w:val="2"/>
          <w:sz w:val="24"/>
          <w:highlight w:val="none"/>
        </w:rPr>
      </w:pPr>
    </w:p>
    <w:bookmarkEnd w:id="696"/>
    <w:p w14:paraId="57E6D622">
      <w:pPr>
        <w:spacing w:line="360" w:lineRule="auto"/>
        <w:rPr>
          <w:rFonts w:asciiTheme="minorEastAsia" w:hAnsiTheme="minorEastAsia" w:eastAsiaTheme="minorEastAsia"/>
          <w:b/>
          <w:bCs/>
          <w:color w:val="auto"/>
          <w:sz w:val="24"/>
          <w:highlight w:val="none"/>
          <w:u w:val="single"/>
        </w:rPr>
      </w:pPr>
      <w:bookmarkStart w:id="697" w:name="_Toc8176"/>
      <w:bookmarkStart w:id="698" w:name="_Toc28645"/>
      <w:r>
        <w:rPr>
          <w:rFonts w:hint="eastAsia" w:asciiTheme="minorEastAsia" w:hAnsiTheme="minorEastAsia" w:eastAsiaTheme="minorEastAsia"/>
          <w:b/>
          <w:bCs/>
          <w:color w:val="auto"/>
          <w:sz w:val="24"/>
          <w:highlight w:val="none"/>
          <w:u w:val="single"/>
        </w:rPr>
        <w:t>致：采购人</w:t>
      </w:r>
    </w:p>
    <w:p w14:paraId="787E52BB">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lang w:val="en-US" w:eastAsia="zh-CN"/>
        </w:rPr>
        <w:t>若</w:t>
      </w:r>
      <w:r>
        <w:rPr>
          <w:rFonts w:hint="eastAsia" w:asciiTheme="minorEastAsia" w:hAnsiTheme="minorEastAsia" w:eastAsiaTheme="minorEastAsia"/>
          <w:bCs/>
          <w:color w:val="auto"/>
          <w:sz w:val="24"/>
          <w:highlight w:val="none"/>
        </w:rPr>
        <w:t>我单位被确定为本项目成交供应商，我单位承诺在合同签订及履约过程中将严格执行《中华人民共和国政府采购法》、《中华人民共和国政府采购法实施条例》及本项目采购文件</w:t>
      </w:r>
      <w:r>
        <w:rPr>
          <w:rFonts w:hint="eastAsia" w:asciiTheme="minorEastAsia" w:hAnsiTheme="minorEastAsia" w:eastAsiaTheme="minorEastAsia"/>
          <w:bCs/>
          <w:color w:val="auto"/>
          <w:sz w:val="24"/>
          <w:highlight w:val="none"/>
          <w:lang w:val="en-US" w:eastAsia="zh-CN"/>
        </w:rPr>
        <w:t>的</w:t>
      </w:r>
      <w:r>
        <w:rPr>
          <w:rFonts w:hint="eastAsia" w:asciiTheme="minorEastAsia" w:hAnsiTheme="minorEastAsia" w:eastAsiaTheme="minorEastAsia"/>
          <w:bCs/>
          <w:color w:val="auto"/>
          <w:sz w:val="24"/>
          <w:highlight w:val="none"/>
        </w:rPr>
        <w:t>相关规定，</w:t>
      </w:r>
      <w:r>
        <w:rPr>
          <w:rFonts w:hint="eastAsia" w:asciiTheme="minorEastAsia" w:hAnsiTheme="minorEastAsia" w:eastAsiaTheme="minorEastAsia"/>
          <w:bCs/>
          <w:color w:val="auto"/>
          <w:sz w:val="24"/>
          <w:highlight w:val="none"/>
          <w:lang w:val="en-US" w:eastAsia="zh-CN"/>
        </w:rPr>
        <w:t>并郑重承诺如下</w:t>
      </w:r>
      <w:r>
        <w:rPr>
          <w:rFonts w:hint="eastAsia" w:asciiTheme="minorEastAsia" w:hAnsiTheme="minorEastAsia" w:eastAsiaTheme="minorEastAsia"/>
          <w:bCs/>
          <w:color w:val="auto"/>
          <w:sz w:val="24"/>
          <w:highlight w:val="none"/>
        </w:rPr>
        <w:t>：</w:t>
      </w:r>
    </w:p>
    <w:p w14:paraId="5D2F1008">
      <w:pPr>
        <w:numPr>
          <w:ilvl w:val="0"/>
          <w:numId w:val="0"/>
        </w:numPr>
        <w:spacing w:line="360" w:lineRule="auto"/>
        <w:ind w:firstLine="480" w:firstLineChars="200"/>
        <w:rPr>
          <w:rFonts w:hint="default" w:cs="@仿宋_GB2312" w:asciiTheme="minorEastAsia" w:hAnsiTheme="minorEastAsia" w:eastAsiaTheme="minorEastAsia"/>
          <w:bCs/>
          <w:color w:val="auto"/>
          <w:kern w:val="2"/>
          <w:sz w:val="24"/>
          <w:highlight w:val="none"/>
          <w:lang w:val="en-US" w:eastAsia="zh-CN" w:bidi="ar-SA"/>
        </w:rPr>
      </w:pPr>
      <w:r>
        <w:rPr>
          <w:rFonts w:hint="eastAsia" w:cs="@仿宋_GB2312" w:asciiTheme="minorEastAsia" w:hAnsiTheme="minorEastAsia" w:eastAsiaTheme="minorEastAsia"/>
          <w:bCs/>
          <w:color w:val="auto"/>
          <w:kern w:val="2"/>
          <w:sz w:val="24"/>
          <w:highlight w:val="none"/>
          <w:lang w:val="en-US" w:eastAsia="zh-CN" w:bidi="ar-SA"/>
        </w:rPr>
        <w:t>（1）我单位响应文件全部为真实、有效，若存在虚假响应，一经查实，无条件同意采购人取消我单位成交资格或合同甲方解除合同，同时愿意承担因此造成的一切损失和处罚，包括但不限于信用惩戒、限制响应资格等。</w:t>
      </w:r>
    </w:p>
    <w:p w14:paraId="108EA558">
      <w:pPr>
        <w:numPr>
          <w:ilvl w:val="0"/>
          <w:numId w:val="0"/>
        </w:numPr>
        <w:spacing w:line="360" w:lineRule="auto"/>
        <w:ind w:firstLine="480" w:firstLineChars="200"/>
        <w:rPr>
          <w:rFonts w:hint="eastAsia" w:asciiTheme="minorEastAsia" w:hAnsiTheme="minorEastAsia" w:eastAsiaTheme="minorEastAsia"/>
          <w:bCs/>
          <w:color w:val="auto"/>
          <w:sz w:val="24"/>
          <w:highlight w:val="none"/>
          <w:lang w:val="en-US" w:eastAsia="zh-CN"/>
        </w:rPr>
      </w:pPr>
      <w:r>
        <w:rPr>
          <w:rFonts w:hint="eastAsia" w:cs="@仿宋_GB2312" w:asciiTheme="minorEastAsia" w:hAnsiTheme="minorEastAsia" w:eastAsiaTheme="minorEastAsia"/>
          <w:bCs/>
          <w:color w:val="auto"/>
          <w:kern w:val="2"/>
          <w:sz w:val="24"/>
          <w:highlight w:val="none"/>
          <w:lang w:val="en-US" w:eastAsia="zh-CN" w:bidi="ar-SA"/>
        </w:rPr>
        <w:t>（2）</w:t>
      </w:r>
      <w:r>
        <w:rPr>
          <w:rFonts w:hint="eastAsia" w:asciiTheme="minorEastAsia" w:hAnsiTheme="minorEastAsia" w:eastAsiaTheme="minorEastAsia"/>
          <w:b/>
          <w:bCs w:val="0"/>
          <w:color w:val="auto"/>
          <w:sz w:val="24"/>
          <w:highlight w:val="none"/>
          <w:lang w:val="en-US" w:eastAsia="zh-CN"/>
        </w:rPr>
        <w:t>成交通知书发送之日起10日历天内，</w:t>
      </w:r>
      <w:r>
        <w:rPr>
          <w:rFonts w:hint="eastAsia" w:asciiTheme="minorEastAsia" w:hAnsiTheme="minorEastAsia" w:eastAsiaTheme="minorEastAsia"/>
          <w:bCs/>
          <w:color w:val="auto"/>
          <w:sz w:val="24"/>
          <w:highlight w:val="none"/>
          <w:lang w:val="en-US" w:eastAsia="zh-CN"/>
        </w:rPr>
        <w:t>按照响应文件提供自备机械设备、项目组成员，并为所有项目人员购买</w:t>
      </w:r>
      <w:r>
        <w:rPr>
          <w:rFonts w:hint="eastAsia" w:cs="宋体"/>
          <w:b/>
          <w:bCs/>
          <w:color w:val="auto"/>
          <w:sz w:val="24"/>
          <w:szCs w:val="24"/>
          <w:highlight w:val="none"/>
          <w:u w:val="single"/>
        </w:rPr>
        <w:t>雇主责任险或</w:t>
      </w:r>
      <w:r>
        <w:rPr>
          <w:rFonts w:hint="eastAsia" w:cs="宋体"/>
          <w:b/>
          <w:bCs/>
          <w:color w:val="auto"/>
          <w:sz w:val="24"/>
          <w:szCs w:val="24"/>
          <w:highlight w:val="none"/>
          <w:u w:val="single"/>
          <w:lang w:eastAsia="zh-CN"/>
        </w:rPr>
        <w:t>团体意外险</w:t>
      </w:r>
      <w:r>
        <w:rPr>
          <w:rFonts w:hint="eastAsia" w:asciiTheme="minorEastAsia" w:hAnsiTheme="minorEastAsia" w:eastAsiaTheme="minorEastAsia"/>
          <w:bCs/>
          <w:color w:val="auto"/>
          <w:sz w:val="24"/>
          <w:highlight w:val="none"/>
          <w:lang w:val="en-US" w:eastAsia="zh-CN"/>
        </w:rPr>
        <w:t>，进场作业前由甲方验证，若不能按时提供，无条件同意采购人取消</w:t>
      </w:r>
      <w:r>
        <w:rPr>
          <w:rFonts w:hint="eastAsia" w:cs="@仿宋_GB2312" w:asciiTheme="minorEastAsia" w:hAnsiTheme="minorEastAsia" w:eastAsiaTheme="minorEastAsia"/>
          <w:bCs/>
          <w:color w:val="auto"/>
          <w:kern w:val="2"/>
          <w:sz w:val="24"/>
          <w:highlight w:val="none"/>
          <w:lang w:val="en-US" w:eastAsia="zh-CN" w:bidi="ar-SA"/>
        </w:rPr>
        <w:t>我单位</w:t>
      </w:r>
      <w:r>
        <w:rPr>
          <w:rFonts w:hint="eastAsia" w:asciiTheme="minorEastAsia" w:hAnsiTheme="minorEastAsia" w:eastAsiaTheme="minorEastAsia"/>
          <w:bCs/>
          <w:color w:val="auto"/>
          <w:sz w:val="24"/>
          <w:highlight w:val="none"/>
          <w:lang w:val="en-US" w:eastAsia="zh-CN"/>
        </w:rPr>
        <w:t>成交资格或合同甲方解除合同，同时愿意承担因此造成的一切损失和处罚，包括但不限于信用惩戒、限制响应资格等。</w:t>
      </w:r>
    </w:p>
    <w:p w14:paraId="4635BA22">
      <w:pPr>
        <w:numPr>
          <w:ilvl w:val="0"/>
          <w:numId w:val="0"/>
        </w:numPr>
        <w:spacing w:line="360" w:lineRule="auto"/>
        <w:ind w:left="0" w:leftChars="0" w:firstLine="480" w:firstLineChars="200"/>
        <w:rPr>
          <w:rFonts w:hint="eastAsia" w:asciiTheme="minorEastAsia" w:hAnsiTheme="minorEastAsia" w:eastAsiaTheme="minorEastAsia"/>
          <w:bCs/>
          <w:color w:val="auto"/>
          <w:sz w:val="24"/>
          <w:highlight w:val="none"/>
          <w:lang w:val="en-US" w:eastAsia="zh-CN"/>
        </w:rPr>
      </w:pPr>
      <w:r>
        <w:rPr>
          <w:rFonts w:hint="eastAsia" w:cs="@仿宋_GB2312" w:asciiTheme="minorEastAsia" w:hAnsiTheme="minorEastAsia" w:eastAsiaTheme="minorEastAsia"/>
          <w:bCs/>
          <w:color w:val="auto"/>
          <w:kern w:val="2"/>
          <w:sz w:val="24"/>
          <w:highlight w:val="none"/>
          <w:lang w:val="en-US" w:eastAsia="zh-CN" w:bidi="ar-SA"/>
        </w:rPr>
        <w:t>（3）</w:t>
      </w:r>
      <w:r>
        <w:rPr>
          <w:rFonts w:hint="eastAsia" w:asciiTheme="minorEastAsia" w:hAnsiTheme="minorEastAsia" w:eastAsiaTheme="minorEastAsia"/>
          <w:bCs/>
          <w:color w:val="auto"/>
          <w:sz w:val="24"/>
          <w:highlight w:val="none"/>
          <w:lang w:val="en-US" w:eastAsia="zh-CN"/>
        </w:rPr>
        <w:t>项目履约过程中，质量、进度及安全严格按照采购文件要求执行，并自愿服从合同甲方监管，若出现不服从现场监管，无条件同意采购人取消</w:t>
      </w:r>
      <w:r>
        <w:rPr>
          <w:rFonts w:hint="eastAsia" w:cs="@仿宋_GB2312" w:asciiTheme="minorEastAsia" w:hAnsiTheme="minorEastAsia" w:eastAsiaTheme="minorEastAsia"/>
          <w:bCs/>
          <w:color w:val="auto"/>
          <w:kern w:val="2"/>
          <w:sz w:val="24"/>
          <w:highlight w:val="none"/>
          <w:lang w:val="en-US" w:eastAsia="zh-CN" w:bidi="ar-SA"/>
        </w:rPr>
        <w:t>我单位</w:t>
      </w:r>
      <w:r>
        <w:rPr>
          <w:rFonts w:hint="eastAsia" w:asciiTheme="minorEastAsia" w:hAnsiTheme="minorEastAsia" w:eastAsiaTheme="minorEastAsia"/>
          <w:bCs/>
          <w:color w:val="auto"/>
          <w:sz w:val="24"/>
          <w:highlight w:val="none"/>
          <w:lang w:val="en-US" w:eastAsia="zh-CN"/>
        </w:rPr>
        <w:t>成交资格或合同甲方解除合同，并愿意承担因此造成的一切损失和处罚，包括但不限于信用惩戒、限制响应资格等。</w:t>
      </w:r>
    </w:p>
    <w:p w14:paraId="69B899B6">
      <w:pPr>
        <w:spacing w:line="360" w:lineRule="auto"/>
        <w:ind w:firstLine="480" w:firstLineChars="200"/>
        <w:rPr>
          <w:rFonts w:hint="eastAsia" w:asciiTheme="minorEastAsia" w:hAnsiTheme="minorEastAsia" w:eastAsiaTheme="minorEastAsia"/>
          <w:bCs/>
          <w:color w:val="auto"/>
          <w:sz w:val="24"/>
          <w:highlight w:val="none"/>
          <w:lang w:eastAsia="zh-CN"/>
        </w:rPr>
      </w:pP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lang w:val="en-US" w:eastAsia="zh-CN"/>
        </w:rPr>
        <w:t>4</w:t>
      </w:r>
      <w:r>
        <w:rPr>
          <w:rFonts w:hint="eastAsia" w:asciiTheme="minorEastAsia" w:hAnsiTheme="minorEastAsia" w:eastAsiaTheme="minorEastAsia"/>
          <w:bCs/>
          <w:color w:val="auto"/>
          <w:sz w:val="24"/>
          <w:highlight w:val="none"/>
          <w:lang w:eastAsia="zh-CN"/>
        </w:rPr>
        <w:t>）作业过程中如出现作业人员未有效佩戴现场安全防护必需的安全帽、安全绳、救生衣以及其他必需的作业防护等安全防护用品，发生不安全行为的，每出现一次，从</w:t>
      </w:r>
      <w:r>
        <w:rPr>
          <w:rFonts w:hint="eastAsia" w:asciiTheme="minorEastAsia" w:hAnsiTheme="minorEastAsia" w:eastAsiaTheme="minorEastAsia"/>
          <w:bCs/>
          <w:color w:val="auto"/>
          <w:sz w:val="24"/>
          <w:highlight w:val="none"/>
          <w:lang w:val="en-US" w:eastAsia="zh-CN"/>
        </w:rPr>
        <w:t>项目</w:t>
      </w:r>
      <w:r>
        <w:rPr>
          <w:rFonts w:hint="eastAsia" w:asciiTheme="minorEastAsia" w:hAnsiTheme="minorEastAsia" w:eastAsiaTheme="minorEastAsia"/>
          <w:bCs/>
          <w:color w:val="auto"/>
          <w:sz w:val="24"/>
          <w:highlight w:val="none"/>
          <w:lang w:eastAsia="zh-CN"/>
        </w:rPr>
        <w:t>结算价中自愿核减1000元，减完为止。</w:t>
      </w:r>
    </w:p>
    <w:p w14:paraId="1EEF1ED8">
      <w:pPr>
        <w:spacing w:line="360" w:lineRule="auto"/>
        <w:ind w:firstLine="480" w:firstLineChars="200"/>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lang w:val="en-US" w:eastAsia="zh-CN"/>
        </w:rPr>
        <w:t>5</w:t>
      </w: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rPr>
        <w:t>合同履约期间，</w:t>
      </w:r>
      <w:r>
        <w:rPr>
          <w:rFonts w:hint="eastAsia" w:asciiTheme="minorEastAsia" w:hAnsiTheme="minorEastAsia" w:eastAsiaTheme="minorEastAsia"/>
          <w:bCs/>
          <w:color w:val="auto"/>
          <w:sz w:val="24"/>
          <w:highlight w:val="none"/>
          <w:lang w:val="en-US" w:eastAsia="zh-CN"/>
        </w:rPr>
        <w:t>所有项目</w:t>
      </w:r>
      <w:r>
        <w:rPr>
          <w:rFonts w:hint="eastAsia" w:asciiTheme="minorEastAsia" w:hAnsiTheme="minorEastAsia" w:eastAsiaTheme="minorEastAsia"/>
          <w:bCs/>
          <w:color w:val="auto"/>
          <w:sz w:val="24"/>
          <w:highlight w:val="none"/>
        </w:rPr>
        <w:t>人员突发疾病、意外等造成的人员伤亡及财产损失均由</w:t>
      </w:r>
      <w:r>
        <w:rPr>
          <w:rFonts w:hint="eastAsia" w:asciiTheme="minorEastAsia" w:hAnsiTheme="minorEastAsia" w:eastAsiaTheme="minorEastAsia"/>
          <w:bCs/>
          <w:color w:val="auto"/>
          <w:sz w:val="24"/>
          <w:highlight w:val="none"/>
          <w:lang w:val="en-US" w:eastAsia="zh-CN"/>
        </w:rPr>
        <w:t>我单位</w:t>
      </w:r>
      <w:r>
        <w:rPr>
          <w:rFonts w:hint="eastAsia" w:asciiTheme="minorEastAsia" w:hAnsiTheme="minorEastAsia" w:eastAsiaTheme="minorEastAsia"/>
          <w:bCs/>
          <w:color w:val="auto"/>
          <w:sz w:val="24"/>
          <w:highlight w:val="none"/>
        </w:rPr>
        <w:t>负责</w:t>
      </w:r>
      <w:r>
        <w:rPr>
          <w:rFonts w:hint="eastAsia" w:asciiTheme="minorEastAsia" w:hAnsiTheme="minorEastAsia" w:eastAsiaTheme="minorEastAsia"/>
          <w:bCs/>
          <w:color w:val="auto"/>
          <w:sz w:val="24"/>
          <w:highlight w:val="none"/>
          <w:lang w:val="en-US" w:eastAsia="zh-CN"/>
        </w:rPr>
        <w:t>承担，并全额赔偿因此给采购人或第三方造成的损失。</w:t>
      </w:r>
    </w:p>
    <w:p w14:paraId="33B41972">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lang w:val="en-US" w:eastAsia="zh-CN"/>
        </w:rPr>
        <w:t>6</w:t>
      </w:r>
      <w:r>
        <w:rPr>
          <w:rFonts w:hint="eastAsia" w:asciiTheme="minorEastAsia" w:hAnsiTheme="minorEastAsia" w:eastAsiaTheme="minorEastAsia"/>
          <w:bCs/>
          <w:color w:val="auto"/>
          <w:sz w:val="24"/>
          <w:highlight w:val="none"/>
        </w:rPr>
        <w:t>）在项目发生投诉、信访举报案件、履约存在争议时，拒绝协助配合调查的，无条件同意采购人取消</w:t>
      </w:r>
      <w:r>
        <w:rPr>
          <w:rFonts w:hint="eastAsia" w:cs="@仿宋_GB2312" w:asciiTheme="minorEastAsia" w:hAnsiTheme="minorEastAsia" w:eastAsiaTheme="minorEastAsia"/>
          <w:bCs/>
          <w:color w:val="auto"/>
          <w:kern w:val="2"/>
          <w:sz w:val="24"/>
          <w:highlight w:val="none"/>
          <w:lang w:val="en-US" w:eastAsia="zh-CN" w:bidi="ar-SA"/>
        </w:rPr>
        <w:t>我单位</w:t>
      </w:r>
      <w:r>
        <w:rPr>
          <w:rFonts w:hint="eastAsia" w:asciiTheme="minorEastAsia" w:hAnsiTheme="minorEastAsia" w:eastAsiaTheme="minorEastAsia"/>
          <w:bCs/>
          <w:color w:val="auto"/>
          <w:sz w:val="24"/>
          <w:highlight w:val="none"/>
        </w:rPr>
        <w:t>成交资格或</w:t>
      </w:r>
      <w:r>
        <w:rPr>
          <w:rFonts w:hint="eastAsia" w:asciiTheme="minorEastAsia" w:hAnsiTheme="minorEastAsia" w:eastAsiaTheme="minorEastAsia"/>
          <w:bCs/>
          <w:color w:val="auto"/>
          <w:sz w:val="24"/>
          <w:highlight w:val="none"/>
          <w:lang w:eastAsia="zh-CN"/>
        </w:rPr>
        <w:t>合同甲方解除合同</w:t>
      </w:r>
      <w:r>
        <w:rPr>
          <w:rFonts w:hint="eastAsia" w:asciiTheme="minorEastAsia" w:hAnsiTheme="minorEastAsia" w:eastAsiaTheme="minorEastAsia"/>
          <w:bCs/>
          <w:color w:val="auto"/>
          <w:sz w:val="24"/>
          <w:highlight w:val="none"/>
        </w:rPr>
        <w:t>，并愿意承担因此造成的一切损失和处罚，包括但不限于信用惩戒、限制响应资格等。</w:t>
      </w:r>
    </w:p>
    <w:p w14:paraId="054D267F">
      <w:pPr>
        <w:spacing w:line="360" w:lineRule="auto"/>
        <w:rPr>
          <w:rFonts w:asciiTheme="minorEastAsia" w:hAnsiTheme="minorEastAsia" w:eastAsiaTheme="minorEastAsia"/>
          <w:bCs/>
          <w:color w:val="auto"/>
          <w:sz w:val="24"/>
          <w:highlight w:val="none"/>
        </w:rPr>
      </w:pPr>
    </w:p>
    <w:p w14:paraId="39949A67">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5700BE7A">
      <w:pPr>
        <w:spacing w:line="360" w:lineRule="auto"/>
        <w:ind w:firstLine="4320" w:firstLineChars="1800"/>
        <w:rPr>
          <w:rFonts w:asciiTheme="minorEastAsia" w:hAnsiTheme="minorEastAsia" w:eastAsiaTheme="minorEastAsia"/>
          <w:b/>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7CEA6C2B">
      <w:pPr>
        <w:rPr>
          <w:color w:val="auto"/>
          <w:highlight w:val="none"/>
        </w:rPr>
      </w:pPr>
    </w:p>
    <w:p w14:paraId="57E7324C">
      <w:pPr>
        <w:rPr>
          <w:rFonts w:hint="eastAsia" w:ascii="宋体" w:hAnsi="宋体" w:eastAsia="宋体"/>
          <w:b/>
          <w:color w:val="auto"/>
          <w:sz w:val="24"/>
          <w:szCs w:val="24"/>
          <w:highlight w:val="none"/>
          <w:lang w:val="en-US" w:eastAsia="zh-CN"/>
        </w:rPr>
      </w:pPr>
      <w:r>
        <w:rPr>
          <w:rFonts w:hint="eastAsia" w:ascii="宋体" w:hAnsi="宋体" w:eastAsia="宋体"/>
          <w:b/>
          <w:color w:val="auto"/>
          <w:sz w:val="24"/>
          <w:szCs w:val="24"/>
          <w:highlight w:val="none"/>
          <w:lang w:val="en-US" w:eastAsia="zh-CN"/>
        </w:rPr>
        <w:br w:type="page"/>
      </w:r>
    </w:p>
    <w:p w14:paraId="56991D0C">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bookmarkEnd w:id="697"/>
      <w:bookmarkEnd w:id="698"/>
    </w:p>
    <w:p w14:paraId="089A0D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邀请、采购需求及评标方法和标准规定的相关证明文件。</w:t>
      </w:r>
    </w:p>
    <w:p w14:paraId="41CDAEC1">
      <w:pPr>
        <w:spacing w:line="360" w:lineRule="auto"/>
        <w:ind w:firstLine="480" w:firstLineChars="200"/>
        <w:rPr>
          <w:rFonts w:asciiTheme="minorEastAsia" w:hAnsiTheme="minorEastAsia" w:eastAsiaTheme="minorEastAsia"/>
          <w:color w:val="auto"/>
          <w:sz w:val="24"/>
          <w:highlight w:val="none"/>
        </w:rPr>
      </w:pPr>
    </w:p>
    <w:p w14:paraId="0550886B">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6819AA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w:t>
      </w:r>
      <w:r>
        <w:rPr>
          <w:rFonts w:asciiTheme="minorEastAsia" w:hAnsiTheme="minorEastAsia" w:eastAsiaTheme="minorEastAsia"/>
          <w:color w:val="auto"/>
          <w:sz w:val="24"/>
          <w:highlight w:val="none"/>
        </w:rPr>
        <w:t>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2D9DA627">
      <w:pPr>
        <w:pStyle w:val="51"/>
        <w:spacing w:before="0" w:beforeAutospacing="0" w:after="0" w:afterAutospacing="0" w:line="360" w:lineRule="auto"/>
        <w:ind w:firstLine="640"/>
        <w:jc w:val="both"/>
        <w:rPr>
          <w:color w:val="auto"/>
          <w:highlight w:val="none"/>
        </w:rPr>
      </w:pPr>
      <w:r>
        <w:rPr>
          <w:rFonts w:asciiTheme="minorEastAsia" w:hAnsiTheme="minorEastAsia" w:eastAsiaTheme="minorEastAsia"/>
          <w:color w:val="auto"/>
          <w:sz w:val="24"/>
          <w:highlight w:val="none"/>
        </w:rPr>
        <w:br w:type="page"/>
      </w:r>
    </w:p>
    <w:p w14:paraId="5FA29A07">
      <w:pPr>
        <w:widowControl/>
        <w:jc w:val="center"/>
        <w:outlineLvl w:val="0"/>
        <w:rPr>
          <w:b/>
          <w:bCs/>
          <w:color w:val="auto"/>
          <w:sz w:val="28"/>
          <w:highlight w:val="none"/>
        </w:rPr>
      </w:pPr>
      <w:bookmarkStart w:id="699" w:name="_Toc24879"/>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699"/>
    </w:p>
    <w:p w14:paraId="7703CDA0">
      <w:pPr>
        <w:spacing w:line="360" w:lineRule="auto"/>
        <w:jc w:val="center"/>
        <w:outlineLvl w:val="9"/>
        <w:rPr>
          <w:rFonts w:ascii="仿宋" w:hAnsi="仿宋" w:eastAsia="仿宋" w:cs="仿宋"/>
          <w:b/>
          <w:bCs/>
          <w:color w:val="auto"/>
          <w:sz w:val="32"/>
          <w:szCs w:val="44"/>
          <w:highlight w:val="none"/>
        </w:rPr>
      </w:pPr>
      <w:bookmarkStart w:id="700" w:name="_Toc2290"/>
      <w:bookmarkStart w:id="701" w:name="_Toc26448"/>
      <w:r>
        <w:rPr>
          <w:rFonts w:hint="eastAsia" w:ascii="仿宋" w:hAnsi="仿宋" w:eastAsia="仿宋" w:cs="仿宋"/>
          <w:b/>
          <w:bCs/>
          <w:color w:val="auto"/>
          <w:sz w:val="32"/>
          <w:szCs w:val="44"/>
          <w:highlight w:val="none"/>
        </w:rPr>
        <w:t>询问函范本</w:t>
      </w:r>
      <w:bookmarkEnd w:id="700"/>
      <w:bookmarkEnd w:id="701"/>
    </w:p>
    <w:p w14:paraId="75F84E3C">
      <w:pPr>
        <w:adjustRightInd w:val="0"/>
        <w:snapToGrid w:val="0"/>
        <w:spacing w:line="360" w:lineRule="auto"/>
        <w:ind w:firstLine="480" w:firstLineChars="200"/>
        <w:jc w:val="center"/>
        <w:outlineLvl w:val="9"/>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26C84026">
      <w:pPr>
        <w:adjustRightInd w:val="0"/>
        <w:snapToGrid w:val="0"/>
        <w:spacing w:line="360" w:lineRule="auto"/>
        <w:outlineLvl w:val="9"/>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20ACB722">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7FA940B0">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702" w:name="_Toc14234"/>
      <w:bookmarkStart w:id="703" w:name="_Toc32070"/>
      <w:r>
        <w:rPr>
          <w:rFonts w:hint="eastAsia" w:cs="仿宋" w:asciiTheme="minorEastAsia" w:hAnsiTheme="minorEastAsia" w:eastAsiaTheme="minorEastAsia"/>
          <w:color w:val="auto"/>
          <w:sz w:val="24"/>
          <w:szCs w:val="24"/>
          <w:highlight w:val="none"/>
        </w:rPr>
        <w:t>一、(事项一)</w:t>
      </w:r>
      <w:bookmarkEnd w:id="702"/>
      <w:bookmarkEnd w:id="703"/>
    </w:p>
    <w:p w14:paraId="6779C2A6">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64E4FBEF">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587E490">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1512D075">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704" w:name="_Toc6489"/>
      <w:bookmarkStart w:id="705" w:name="_Toc16507"/>
      <w:r>
        <w:rPr>
          <w:rFonts w:hint="eastAsia" w:cs="仿宋" w:asciiTheme="minorEastAsia" w:hAnsiTheme="minorEastAsia" w:eastAsiaTheme="minorEastAsia"/>
          <w:color w:val="auto"/>
          <w:sz w:val="24"/>
          <w:szCs w:val="24"/>
          <w:highlight w:val="none"/>
        </w:rPr>
        <w:t>二、(事项二)</w:t>
      </w:r>
      <w:bookmarkEnd w:id="704"/>
      <w:bookmarkEnd w:id="705"/>
    </w:p>
    <w:p w14:paraId="213529F3">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F4DACD4">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3D0B9209">
      <w:pPr>
        <w:spacing w:line="360" w:lineRule="auto"/>
        <w:ind w:firstLine="4228" w:firstLineChars="1762"/>
        <w:outlineLvl w:val="9"/>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33C12C3C">
      <w:pPr>
        <w:spacing w:line="360" w:lineRule="auto"/>
        <w:ind w:firstLine="4228" w:firstLineChars="1762"/>
        <w:outlineLvl w:val="9"/>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08B5E907">
      <w:pPr>
        <w:tabs>
          <w:tab w:val="left" w:pos="630"/>
        </w:tabs>
        <w:spacing w:line="360" w:lineRule="auto"/>
        <w:ind w:firstLine="4228" w:firstLineChars="1762"/>
        <w:outlineLvl w:val="9"/>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202520B3">
      <w:pPr>
        <w:outlineLvl w:val="9"/>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6A30A590">
      <w:pPr>
        <w:jc w:val="center"/>
        <w:outlineLvl w:val="9"/>
        <w:rPr>
          <w:rFonts w:ascii="仿宋" w:hAnsi="仿宋" w:eastAsia="仿宋" w:cs="仿宋"/>
          <w:b/>
          <w:bCs/>
          <w:color w:val="auto"/>
          <w:sz w:val="32"/>
          <w:szCs w:val="44"/>
          <w:highlight w:val="none"/>
        </w:rPr>
      </w:pPr>
      <w:bookmarkStart w:id="706" w:name="_Toc4923"/>
      <w:bookmarkStart w:id="707" w:name="_Toc26224"/>
      <w:r>
        <w:rPr>
          <w:rFonts w:hint="eastAsia" w:ascii="仿宋" w:hAnsi="仿宋" w:eastAsia="仿宋" w:cs="仿宋"/>
          <w:b/>
          <w:bCs/>
          <w:color w:val="auto"/>
          <w:sz w:val="32"/>
          <w:szCs w:val="44"/>
          <w:highlight w:val="none"/>
        </w:rPr>
        <w:t>质疑函范本</w:t>
      </w:r>
      <w:bookmarkEnd w:id="706"/>
      <w:bookmarkEnd w:id="707"/>
    </w:p>
    <w:p w14:paraId="7AFE8C4A">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708" w:name="_Toc3847"/>
      <w:bookmarkStart w:id="709" w:name="_Toc10663"/>
      <w:r>
        <w:rPr>
          <w:rFonts w:hint="eastAsia" w:cs="仿宋" w:asciiTheme="minorEastAsia" w:hAnsiTheme="minorEastAsia" w:eastAsiaTheme="minorEastAsia"/>
          <w:b/>
          <w:bCs/>
          <w:color w:val="auto"/>
          <w:sz w:val="24"/>
          <w:szCs w:val="24"/>
          <w:highlight w:val="none"/>
        </w:rPr>
        <w:t>一、质疑供应商基本信息</w:t>
      </w:r>
      <w:bookmarkEnd w:id="708"/>
      <w:bookmarkEnd w:id="709"/>
    </w:p>
    <w:p w14:paraId="6341DC51">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6004825D">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EA3D27A">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13162467">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176E9956">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447D6D08">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033FC6E">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710" w:name="_Toc19182"/>
      <w:bookmarkStart w:id="711" w:name="_Toc30012"/>
      <w:r>
        <w:rPr>
          <w:rFonts w:hint="eastAsia" w:cs="仿宋" w:asciiTheme="minorEastAsia" w:hAnsiTheme="minorEastAsia" w:eastAsiaTheme="minorEastAsia"/>
          <w:b/>
          <w:bCs/>
          <w:color w:val="auto"/>
          <w:sz w:val="24"/>
          <w:szCs w:val="24"/>
          <w:highlight w:val="none"/>
        </w:rPr>
        <w:t>二、质疑项目基本情况</w:t>
      </w:r>
      <w:bookmarkEnd w:id="710"/>
      <w:bookmarkEnd w:id="711"/>
    </w:p>
    <w:p w14:paraId="4A285CD9">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06D02A62">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59491CA8">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4589A02D">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79C48367">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712" w:name="_Toc9989"/>
      <w:bookmarkStart w:id="713" w:name="_Toc21700"/>
      <w:r>
        <w:rPr>
          <w:rFonts w:hint="eastAsia" w:cs="仿宋" w:asciiTheme="minorEastAsia" w:hAnsiTheme="minorEastAsia" w:eastAsiaTheme="minorEastAsia"/>
          <w:b/>
          <w:bCs/>
          <w:color w:val="auto"/>
          <w:sz w:val="24"/>
          <w:szCs w:val="24"/>
          <w:highlight w:val="none"/>
        </w:rPr>
        <w:t>三、质疑事项具体内容</w:t>
      </w:r>
      <w:bookmarkEnd w:id="712"/>
      <w:bookmarkEnd w:id="713"/>
    </w:p>
    <w:p w14:paraId="3174D8E3">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07839590">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4CD93E4F">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3D6CDEF6">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6F193722">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2134EA46">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1615EBF8">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F830892">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714" w:name="_Toc19016"/>
      <w:bookmarkStart w:id="715" w:name="_Toc10625"/>
      <w:r>
        <w:rPr>
          <w:rFonts w:hint="eastAsia" w:cs="仿宋" w:asciiTheme="minorEastAsia" w:hAnsiTheme="minorEastAsia" w:eastAsiaTheme="minorEastAsia"/>
          <w:b/>
          <w:bCs/>
          <w:color w:val="auto"/>
          <w:sz w:val="24"/>
          <w:szCs w:val="24"/>
          <w:highlight w:val="none"/>
        </w:rPr>
        <w:t>四、与质疑事项相关的质疑请求</w:t>
      </w:r>
      <w:bookmarkEnd w:id="714"/>
      <w:bookmarkEnd w:id="715"/>
    </w:p>
    <w:p w14:paraId="12EAF110">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71E73AB">
      <w:pPr>
        <w:spacing w:line="360" w:lineRule="auto"/>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66E5A5B4">
      <w:pPr>
        <w:spacing w:line="360" w:lineRule="auto"/>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071E95BA">
      <w:pPr>
        <w:widowControl/>
        <w:jc w:val="left"/>
        <w:outlineLvl w:val="9"/>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291D528B">
      <w:pPr>
        <w:outlineLvl w:val="9"/>
        <w:rPr>
          <w:rFonts w:asciiTheme="minorEastAsia" w:hAnsiTheme="minorEastAsia" w:eastAsiaTheme="minorEastAsia"/>
          <w:b/>
          <w:color w:val="auto"/>
          <w:sz w:val="28"/>
          <w:szCs w:val="32"/>
          <w:highlight w:val="none"/>
        </w:rPr>
      </w:pPr>
      <w:bookmarkStart w:id="716" w:name="_Toc25274"/>
      <w:bookmarkStart w:id="717" w:name="_Toc17684"/>
      <w:r>
        <w:rPr>
          <w:rFonts w:hint="eastAsia" w:asciiTheme="minorEastAsia" w:hAnsiTheme="minorEastAsia" w:eastAsiaTheme="minorEastAsia"/>
          <w:b/>
          <w:color w:val="auto"/>
          <w:sz w:val="28"/>
          <w:szCs w:val="32"/>
          <w:highlight w:val="none"/>
        </w:rPr>
        <w:t>质疑函制作说明：</w:t>
      </w:r>
      <w:bookmarkEnd w:id="716"/>
      <w:bookmarkEnd w:id="717"/>
    </w:p>
    <w:p w14:paraId="637A655A">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5A8DCA98">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7264030">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2D9CCB9D">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B232B71">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01F520B8">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Kingsoft U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65DCB">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8650">
    <w:pPr>
      <w:pStyle w:val="33"/>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CA737">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81CA737">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333D0">
    <w:pPr>
      <w:pStyle w:val="33"/>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3410B6">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43410B6">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0D64D">
    <w:pPr>
      <w:pStyle w:val="33"/>
      <w:rPr>
        <w:rFonts w:asciiTheme="minorEastAsia" w:hAnsiTheme="minorEastAsia" w:eastAsiaTheme="minorEastAsia"/>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5CB4F">
                          <w:pPr>
                            <w:pStyle w:val="33"/>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AD5CB4F">
                    <w:pPr>
                      <w:pStyle w:val="33"/>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75D9B">
    <w:pPr>
      <w:pStyle w:val="3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D2612">
    <w:pPr>
      <w:pStyle w:val="35"/>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2572C"/>
    <w:multiLevelType w:val="singleLevel"/>
    <w:tmpl w:val="8872572C"/>
    <w:lvl w:ilvl="0" w:tentative="0">
      <w:start w:val="1"/>
      <w:numFmt w:val="decimal"/>
      <w:lvlText w:val="(%1)"/>
      <w:lvlJc w:val="left"/>
      <w:pPr>
        <w:tabs>
          <w:tab w:val="left" w:pos="420"/>
        </w:tabs>
        <w:ind w:left="1145" w:hanging="425"/>
      </w:pPr>
      <w:rPr>
        <w:rFonts w:hint="default"/>
      </w:rPr>
    </w:lvl>
  </w:abstractNum>
  <w:abstractNum w:abstractNumId="1">
    <w:nsid w:val="A7669EAF"/>
    <w:multiLevelType w:val="singleLevel"/>
    <w:tmpl w:val="A7669EAF"/>
    <w:lvl w:ilvl="0" w:tentative="0">
      <w:start w:val="1"/>
      <w:numFmt w:val="decimal"/>
      <w:lvlText w:val="(%1)"/>
      <w:lvlJc w:val="left"/>
      <w:pPr>
        <w:tabs>
          <w:tab w:val="left" w:pos="420"/>
        </w:tabs>
        <w:ind w:left="845" w:hanging="425"/>
      </w:pPr>
      <w:rPr>
        <w:rFonts w:hint="default"/>
      </w:rPr>
    </w:lvl>
  </w:abstractNum>
  <w:abstractNum w:abstractNumId="2">
    <w:nsid w:val="A9D58FFC"/>
    <w:multiLevelType w:val="singleLevel"/>
    <w:tmpl w:val="A9D58FFC"/>
    <w:lvl w:ilvl="0" w:tentative="0">
      <w:start w:val="1"/>
      <w:numFmt w:val="decimal"/>
      <w:suff w:val="nothing"/>
      <w:lvlText w:val="(%1)"/>
      <w:lvlJc w:val="left"/>
      <w:pPr>
        <w:ind w:left="845" w:hanging="425"/>
      </w:pPr>
      <w:rPr>
        <w:rFonts w:hint="default"/>
      </w:rPr>
    </w:lvl>
  </w:abstractNum>
  <w:abstractNum w:abstractNumId="3">
    <w:nsid w:val="AD6C466A"/>
    <w:multiLevelType w:val="singleLevel"/>
    <w:tmpl w:val="AD6C466A"/>
    <w:lvl w:ilvl="0" w:tentative="0">
      <w:start w:val="1"/>
      <w:numFmt w:val="decimal"/>
      <w:suff w:val="nothing"/>
      <w:lvlText w:val="(%1)"/>
      <w:lvlJc w:val="left"/>
      <w:pPr>
        <w:ind w:left="845" w:hanging="425"/>
      </w:pPr>
      <w:rPr>
        <w:rFonts w:hint="default"/>
      </w:rPr>
    </w:lvl>
  </w:abstractNum>
  <w:abstractNum w:abstractNumId="4">
    <w:nsid w:val="B8E7739C"/>
    <w:multiLevelType w:val="singleLevel"/>
    <w:tmpl w:val="B8E7739C"/>
    <w:lvl w:ilvl="0" w:tentative="0">
      <w:start w:val="1"/>
      <w:numFmt w:val="decimal"/>
      <w:lvlText w:val="(%1)"/>
      <w:lvlJc w:val="left"/>
      <w:pPr>
        <w:tabs>
          <w:tab w:val="left" w:pos="420"/>
        </w:tabs>
        <w:ind w:left="845" w:hanging="425"/>
      </w:pPr>
      <w:rPr>
        <w:rFonts w:hint="default"/>
      </w:rPr>
    </w:lvl>
  </w:abstractNum>
  <w:abstractNum w:abstractNumId="5">
    <w:nsid w:val="CFC23794"/>
    <w:multiLevelType w:val="singleLevel"/>
    <w:tmpl w:val="CFC23794"/>
    <w:lvl w:ilvl="0" w:tentative="0">
      <w:start w:val="1"/>
      <w:numFmt w:val="decimal"/>
      <w:suff w:val="nothing"/>
      <w:lvlText w:val="（%1）"/>
      <w:lvlJc w:val="left"/>
    </w:lvl>
  </w:abstractNum>
  <w:abstractNum w:abstractNumId="6">
    <w:nsid w:val="D03DC7CE"/>
    <w:multiLevelType w:val="singleLevel"/>
    <w:tmpl w:val="D03DC7CE"/>
    <w:lvl w:ilvl="0" w:tentative="0">
      <w:start w:val="1"/>
      <w:numFmt w:val="decimal"/>
      <w:lvlText w:val="(%1)"/>
      <w:lvlJc w:val="left"/>
      <w:pPr>
        <w:tabs>
          <w:tab w:val="left" w:pos="420"/>
        </w:tabs>
        <w:ind w:left="845" w:hanging="425"/>
      </w:pPr>
      <w:rPr>
        <w:rFonts w:hint="default"/>
      </w:rPr>
    </w:lvl>
  </w:abstractNum>
  <w:abstractNum w:abstractNumId="7">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8">
    <w:nsid w:val="D625F623"/>
    <w:multiLevelType w:val="singleLevel"/>
    <w:tmpl w:val="D625F623"/>
    <w:lvl w:ilvl="0" w:tentative="0">
      <w:start w:val="1"/>
      <w:numFmt w:val="decimal"/>
      <w:lvlText w:val="(%1)"/>
      <w:lvlJc w:val="left"/>
      <w:pPr>
        <w:tabs>
          <w:tab w:val="left" w:pos="420"/>
        </w:tabs>
        <w:ind w:left="845" w:hanging="425"/>
      </w:pPr>
      <w:rPr>
        <w:rFonts w:hint="default"/>
      </w:rPr>
    </w:lvl>
  </w:abstractNum>
  <w:abstractNum w:abstractNumId="9">
    <w:nsid w:val="D9873A4E"/>
    <w:multiLevelType w:val="singleLevel"/>
    <w:tmpl w:val="D9873A4E"/>
    <w:lvl w:ilvl="0" w:tentative="0">
      <w:start w:val="1"/>
      <w:numFmt w:val="decimal"/>
      <w:suff w:val="nothing"/>
      <w:lvlText w:val="（%1）"/>
      <w:lvlJc w:val="left"/>
    </w:lvl>
  </w:abstractNum>
  <w:abstractNum w:abstractNumId="10">
    <w:nsid w:val="E859410F"/>
    <w:multiLevelType w:val="singleLevel"/>
    <w:tmpl w:val="E859410F"/>
    <w:lvl w:ilvl="0" w:tentative="0">
      <w:start w:val="1"/>
      <w:numFmt w:val="decimal"/>
      <w:suff w:val="nothing"/>
      <w:lvlText w:val="(%1)"/>
      <w:lvlJc w:val="left"/>
      <w:pPr>
        <w:ind w:left="425" w:hanging="425"/>
      </w:pPr>
      <w:rPr>
        <w:rFonts w:hint="default"/>
      </w:rPr>
    </w:lvl>
  </w:abstractNum>
  <w:abstractNum w:abstractNumId="11">
    <w:nsid w:val="00000001"/>
    <w:multiLevelType w:val="singleLevel"/>
    <w:tmpl w:val="00000001"/>
    <w:lvl w:ilvl="0" w:tentative="0">
      <w:start w:val="1"/>
      <w:numFmt w:val="decimal"/>
      <w:suff w:val="nothing"/>
      <w:lvlText w:val="（%1）"/>
      <w:lvlJc w:val="left"/>
    </w:lvl>
  </w:abstractNum>
  <w:abstractNum w:abstractNumId="12">
    <w:nsid w:val="00000004"/>
    <w:multiLevelType w:val="singleLevel"/>
    <w:tmpl w:val="00000004"/>
    <w:lvl w:ilvl="0" w:tentative="0">
      <w:start w:val="1"/>
      <w:numFmt w:val="decimal"/>
      <w:suff w:val="nothing"/>
      <w:lvlText w:val="（%1）"/>
      <w:lvlJc w:val="left"/>
    </w:lvl>
  </w:abstractNum>
  <w:abstractNum w:abstractNumId="13">
    <w:nsid w:val="047931B4"/>
    <w:multiLevelType w:val="singleLevel"/>
    <w:tmpl w:val="047931B4"/>
    <w:lvl w:ilvl="0" w:tentative="0">
      <w:start w:val="1"/>
      <w:numFmt w:val="decimal"/>
      <w:lvlText w:val="(%1)"/>
      <w:lvlJc w:val="left"/>
      <w:pPr>
        <w:tabs>
          <w:tab w:val="left" w:pos="420"/>
        </w:tabs>
        <w:ind w:left="905" w:hanging="425"/>
      </w:pPr>
      <w:rPr>
        <w:rFonts w:hint="default"/>
      </w:rPr>
    </w:lvl>
  </w:abstractNum>
  <w:abstractNum w:abstractNumId="14">
    <w:nsid w:val="05AF9F2D"/>
    <w:multiLevelType w:val="singleLevel"/>
    <w:tmpl w:val="05AF9F2D"/>
    <w:lvl w:ilvl="0" w:tentative="0">
      <w:start w:val="3"/>
      <w:numFmt w:val="decimal"/>
      <w:lvlText w:val="%1."/>
      <w:lvlJc w:val="left"/>
      <w:pPr>
        <w:tabs>
          <w:tab w:val="left" w:pos="312"/>
        </w:tabs>
      </w:pPr>
    </w:lvl>
  </w:abstractNum>
  <w:abstractNum w:abstractNumId="15">
    <w:nsid w:val="07AE1F5C"/>
    <w:multiLevelType w:val="singleLevel"/>
    <w:tmpl w:val="07AE1F5C"/>
    <w:lvl w:ilvl="0" w:tentative="0">
      <w:start w:val="1"/>
      <w:numFmt w:val="decimal"/>
      <w:lvlText w:val="(%1)"/>
      <w:lvlJc w:val="left"/>
      <w:pPr>
        <w:tabs>
          <w:tab w:val="left" w:pos="420"/>
        </w:tabs>
        <w:ind w:left="845" w:hanging="425"/>
      </w:pPr>
      <w:rPr>
        <w:rFonts w:hint="default"/>
      </w:rPr>
    </w:lvl>
  </w:abstractNum>
  <w:abstractNum w:abstractNumId="16">
    <w:nsid w:val="0FC25D48"/>
    <w:multiLevelType w:val="singleLevel"/>
    <w:tmpl w:val="0FC25D48"/>
    <w:lvl w:ilvl="0" w:tentative="0">
      <w:start w:val="1"/>
      <w:numFmt w:val="decimal"/>
      <w:lvlText w:val="%1."/>
      <w:lvlJc w:val="left"/>
      <w:pPr>
        <w:tabs>
          <w:tab w:val="left" w:pos="312"/>
        </w:tabs>
      </w:pPr>
    </w:lvl>
  </w:abstractNum>
  <w:abstractNum w:abstractNumId="17">
    <w:nsid w:val="221CBBC1"/>
    <w:multiLevelType w:val="singleLevel"/>
    <w:tmpl w:val="221CBBC1"/>
    <w:lvl w:ilvl="0" w:tentative="0">
      <w:start w:val="1"/>
      <w:numFmt w:val="decimal"/>
      <w:lvlText w:val="(%1)"/>
      <w:lvlJc w:val="left"/>
      <w:pPr>
        <w:tabs>
          <w:tab w:val="left" w:pos="420"/>
        </w:tabs>
        <w:ind w:left="845" w:hanging="425"/>
      </w:pPr>
      <w:rPr>
        <w:rFonts w:hint="default"/>
      </w:rPr>
    </w:lvl>
  </w:abstractNum>
  <w:abstractNum w:abstractNumId="18">
    <w:nsid w:val="50B338D4"/>
    <w:multiLevelType w:val="singleLevel"/>
    <w:tmpl w:val="50B338D4"/>
    <w:lvl w:ilvl="0" w:tentative="0">
      <w:start w:val="1"/>
      <w:numFmt w:val="decimal"/>
      <w:suff w:val="nothing"/>
      <w:lvlText w:val="（%1）"/>
      <w:lvlJc w:val="left"/>
    </w:lvl>
  </w:abstractNum>
  <w:abstractNum w:abstractNumId="19">
    <w:nsid w:val="61F6390F"/>
    <w:multiLevelType w:val="singleLevel"/>
    <w:tmpl w:val="61F6390F"/>
    <w:lvl w:ilvl="0" w:tentative="0">
      <w:start w:val="1"/>
      <w:numFmt w:val="decimal"/>
      <w:lvlText w:val="(%1)"/>
      <w:lvlJc w:val="left"/>
      <w:pPr>
        <w:tabs>
          <w:tab w:val="left" w:pos="420"/>
        </w:tabs>
        <w:ind w:left="845" w:hanging="425"/>
      </w:pPr>
      <w:rPr>
        <w:rFonts w:hint="default"/>
      </w:rPr>
    </w:lvl>
  </w:abstractNum>
  <w:abstractNum w:abstractNumId="20">
    <w:nsid w:val="7CD1C27F"/>
    <w:multiLevelType w:val="singleLevel"/>
    <w:tmpl w:val="7CD1C27F"/>
    <w:lvl w:ilvl="0" w:tentative="0">
      <w:start w:val="1"/>
      <w:numFmt w:val="decimal"/>
      <w:lvlText w:val="(%1)"/>
      <w:lvlJc w:val="left"/>
      <w:pPr>
        <w:tabs>
          <w:tab w:val="left" w:pos="420"/>
        </w:tabs>
        <w:ind w:left="1145" w:hanging="425"/>
      </w:pPr>
      <w:rPr>
        <w:rFonts w:hint="default"/>
      </w:rPr>
    </w:lvl>
  </w:abstractNum>
  <w:abstractNum w:abstractNumId="21">
    <w:nsid w:val="7F7E5238"/>
    <w:multiLevelType w:val="multilevel"/>
    <w:tmpl w:val="7F7E5238"/>
    <w:lvl w:ilvl="0" w:tentative="0">
      <w:start w:val="1"/>
      <w:numFmt w:val="none"/>
      <w:pStyle w:val="170"/>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2"/>
      <w:lvlText w:val="           "/>
      <w:lvlJc w:val="left"/>
      <w:pPr>
        <w:tabs>
          <w:tab w:val="left" w:pos="1440"/>
        </w:tabs>
        <w:ind w:left="1152" w:hanging="1152"/>
      </w:pPr>
      <w:rPr>
        <w:rFonts w:hint="eastAsia"/>
      </w:rPr>
    </w:lvl>
    <w:lvl w:ilvl="6" w:tentative="0">
      <w:start w:val="1"/>
      <w:numFmt w:val="decimal"/>
      <w:pStyle w:val="174"/>
      <w:lvlText w:val="%1.%2.%3.%4.%5.%6.%7"/>
      <w:lvlJc w:val="left"/>
      <w:pPr>
        <w:tabs>
          <w:tab w:val="left" w:pos="2520"/>
        </w:tabs>
        <w:ind w:left="1296" w:hanging="1296"/>
      </w:pPr>
      <w:rPr>
        <w:rFonts w:hint="eastAsia"/>
      </w:rPr>
    </w:lvl>
    <w:lvl w:ilvl="7" w:tentative="0">
      <w:start w:val="1"/>
      <w:numFmt w:val="decimal"/>
      <w:pStyle w:val="176"/>
      <w:lvlText w:val="%1.%2.%3.%4.%5.%6.%7.%8"/>
      <w:lvlJc w:val="left"/>
      <w:pPr>
        <w:tabs>
          <w:tab w:val="left" w:pos="1440"/>
        </w:tabs>
        <w:ind w:left="1440" w:hanging="1440"/>
      </w:pPr>
      <w:rPr>
        <w:rFonts w:hint="eastAsia"/>
      </w:rPr>
    </w:lvl>
    <w:lvl w:ilvl="8" w:tentative="0">
      <w:start w:val="1"/>
      <w:numFmt w:val="decimal"/>
      <w:pStyle w:val="178"/>
      <w:lvlText w:val="%1.%2.%3.%4.%5.%6.%7.%8.%9"/>
      <w:lvlJc w:val="left"/>
      <w:pPr>
        <w:tabs>
          <w:tab w:val="left" w:pos="1584"/>
        </w:tabs>
        <w:ind w:left="1584" w:hanging="1584"/>
      </w:pPr>
      <w:rPr>
        <w:rFonts w:hint="eastAsia"/>
      </w:rPr>
    </w:lvl>
  </w:abstractNum>
  <w:num w:numId="1">
    <w:abstractNumId w:val="21"/>
  </w:num>
  <w:num w:numId="2">
    <w:abstractNumId w:val="14"/>
  </w:num>
  <w:num w:numId="3">
    <w:abstractNumId w:val="5"/>
  </w:num>
  <w:num w:numId="4">
    <w:abstractNumId w:val="18"/>
  </w:num>
  <w:num w:numId="5">
    <w:abstractNumId w:val="0"/>
  </w:num>
  <w:num w:numId="6">
    <w:abstractNumId w:val="8"/>
  </w:num>
  <w:num w:numId="7">
    <w:abstractNumId w:val="4"/>
  </w:num>
  <w:num w:numId="8">
    <w:abstractNumId w:val="17"/>
  </w:num>
  <w:num w:numId="9">
    <w:abstractNumId w:val="10"/>
  </w:num>
  <w:num w:numId="10">
    <w:abstractNumId w:val="15"/>
  </w:num>
  <w:num w:numId="11">
    <w:abstractNumId w:val="13"/>
  </w:num>
  <w:num w:numId="12">
    <w:abstractNumId w:val="1"/>
  </w:num>
  <w:num w:numId="13">
    <w:abstractNumId w:val="6"/>
  </w:num>
  <w:num w:numId="14">
    <w:abstractNumId w:val="2"/>
  </w:num>
  <w:num w:numId="15">
    <w:abstractNumId w:val="3"/>
  </w:num>
  <w:num w:numId="16">
    <w:abstractNumId w:val="9"/>
  </w:num>
  <w:num w:numId="17">
    <w:abstractNumId w:val="20"/>
  </w:num>
  <w:num w:numId="18">
    <w:abstractNumId w:val="19"/>
  </w:num>
  <w:num w:numId="19">
    <w:abstractNumId w:val="7"/>
  </w:num>
  <w:num w:numId="20">
    <w:abstractNumId w:val="12"/>
  </w:num>
  <w:num w:numId="21">
    <w:abstractNumId w:val="1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yYjJjOTg4Y2Q0YTc4MzE2NjViYTc4MTdjODFlNWE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1A7"/>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0BD"/>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0CAF"/>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E5C95"/>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00390C"/>
    <w:rsid w:val="01216A43"/>
    <w:rsid w:val="01A64FED"/>
    <w:rsid w:val="01B6046E"/>
    <w:rsid w:val="02300221"/>
    <w:rsid w:val="02A86BE5"/>
    <w:rsid w:val="02DF6040"/>
    <w:rsid w:val="0305345B"/>
    <w:rsid w:val="032853BC"/>
    <w:rsid w:val="034F016A"/>
    <w:rsid w:val="039E5EDD"/>
    <w:rsid w:val="03DA5762"/>
    <w:rsid w:val="040575E6"/>
    <w:rsid w:val="042E6885"/>
    <w:rsid w:val="044F5876"/>
    <w:rsid w:val="058D7738"/>
    <w:rsid w:val="05CE3C5E"/>
    <w:rsid w:val="05DA7FE9"/>
    <w:rsid w:val="05F53ECA"/>
    <w:rsid w:val="060D5ED0"/>
    <w:rsid w:val="06694CFE"/>
    <w:rsid w:val="06826CEB"/>
    <w:rsid w:val="06A646FC"/>
    <w:rsid w:val="06C508DA"/>
    <w:rsid w:val="06C604CC"/>
    <w:rsid w:val="06EE74DB"/>
    <w:rsid w:val="072015CC"/>
    <w:rsid w:val="07E4353E"/>
    <w:rsid w:val="08035B97"/>
    <w:rsid w:val="08617CF0"/>
    <w:rsid w:val="08633A5F"/>
    <w:rsid w:val="0878647D"/>
    <w:rsid w:val="093E5132"/>
    <w:rsid w:val="097D1872"/>
    <w:rsid w:val="099C3247"/>
    <w:rsid w:val="09A62B95"/>
    <w:rsid w:val="09AF5ECF"/>
    <w:rsid w:val="09B44D40"/>
    <w:rsid w:val="0A40375A"/>
    <w:rsid w:val="0A583F07"/>
    <w:rsid w:val="0AD35BED"/>
    <w:rsid w:val="0AE331B4"/>
    <w:rsid w:val="0B071D3B"/>
    <w:rsid w:val="0B34273F"/>
    <w:rsid w:val="0B5759D8"/>
    <w:rsid w:val="0B584B6B"/>
    <w:rsid w:val="0B7E1AF8"/>
    <w:rsid w:val="0B91283B"/>
    <w:rsid w:val="0B9A6428"/>
    <w:rsid w:val="0BB97319"/>
    <w:rsid w:val="0BC76A6E"/>
    <w:rsid w:val="0BD069A1"/>
    <w:rsid w:val="0C0B76AE"/>
    <w:rsid w:val="0C0D3381"/>
    <w:rsid w:val="0C1955FE"/>
    <w:rsid w:val="0C3C77C2"/>
    <w:rsid w:val="0C695EBF"/>
    <w:rsid w:val="0C764D16"/>
    <w:rsid w:val="0CF464E3"/>
    <w:rsid w:val="0D3E7892"/>
    <w:rsid w:val="0D710CA8"/>
    <w:rsid w:val="0DB72352"/>
    <w:rsid w:val="0DDA1988"/>
    <w:rsid w:val="0DFC12FE"/>
    <w:rsid w:val="0DFF1A91"/>
    <w:rsid w:val="0E277278"/>
    <w:rsid w:val="0E30091C"/>
    <w:rsid w:val="0EB116DF"/>
    <w:rsid w:val="0EB9796D"/>
    <w:rsid w:val="0ED93BBF"/>
    <w:rsid w:val="0EEE68D0"/>
    <w:rsid w:val="0F4C683F"/>
    <w:rsid w:val="0F9242C9"/>
    <w:rsid w:val="0FBD342A"/>
    <w:rsid w:val="0FC76BB7"/>
    <w:rsid w:val="0FED14FF"/>
    <w:rsid w:val="0FFB7896"/>
    <w:rsid w:val="10B908D5"/>
    <w:rsid w:val="10EE19D3"/>
    <w:rsid w:val="10F935A7"/>
    <w:rsid w:val="110C00AB"/>
    <w:rsid w:val="111A5120"/>
    <w:rsid w:val="111D2072"/>
    <w:rsid w:val="115B2DE0"/>
    <w:rsid w:val="121A67F7"/>
    <w:rsid w:val="125E4B0E"/>
    <w:rsid w:val="12802AFE"/>
    <w:rsid w:val="12D373EF"/>
    <w:rsid w:val="12E83133"/>
    <w:rsid w:val="135079C0"/>
    <w:rsid w:val="13517FF7"/>
    <w:rsid w:val="13607801"/>
    <w:rsid w:val="1375778E"/>
    <w:rsid w:val="13873A19"/>
    <w:rsid w:val="13FC4407"/>
    <w:rsid w:val="14CA3957"/>
    <w:rsid w:val="14E43199"/>
    <w:rsid w:val="14F74BCE"/>
    <w:rsid w:val="157C128B"/>
    <w:rsid w:val="157E6EF5"/>
    <w:rsid w:val="159870F0"/>
    <w:rsid w:val="15D45DE5"/>
    <w:rsid w:val="161F0868"/>
    <w:rsid w:val="1684559B"/>
    <w:rsid w:val="16F15C51"/>
    <w:rsid w:val="17146EEB"/>
    <w:rsid w:val="1719192A"/>
    <w:rsid w:val="17810C39"/>
    <w:rsid w:val="17AD32B5"/>
    <w:rsid w:val="17B80C6E"/>
    <w:rsid w:val="18A85F98"/>
    <w:rsid w:val="193E25F8"/>
    <w:rsid w:val="196842EC"/>
    <w:rsid w:val="19960E59"/>
    <w:rsid w:val="1A554FB9"/>
    <w:rsid w:val="1AAB619B"/>
    <w:rsid w:val="1B364292"/>
    <w:rsid w:val="1C136791"/>
    <w:rsid w:val="1C8C6544"/>
    <w:rsid w:val="1CE617B0"/>
    <w:rsid w:val="1D015171"/>
    <w:rsid w:val="1D191BE5"/>
    <w:rsid w:val="1D3B78BE"/>
    <w:rsid w:val="1D8D60CF"/>
    <w:rsid w:val="1DEC70E9"/>
    <w:rsid w:val="1E0B00F8"/>
    <w:rsid w:val="1E112FC8"/>
    <w:rsid w:val="1E196982"/>
    <w:rsid w:val="1E471C90"/>
    <w:rsid w:val="1EF439EC"/>
    <w:rsid w:val="1F2D79C6"/>
    <w:rsid w:val="1F2E6A6D"/>
    <w:rsid w:val="1F324B4A"/>
    <w:rsid w:val="1F332CA6"/>
    <w:rsid w:val="1F4B71D4"/>
    <w:rsid w:val="1FC3402A"/>
    <w:rsid w:val="1FCC6A3E"/>
    <w:rsid w:val="1FFE5062"/>
    <w:rsid w:val="20305D15"/>
    <w:rsid w:val="20542ED4"/>
    <w:rsid w:val="20570BEB"/>
    <w:rsid w:val="20CF3CAF"/>
    <w:rsid w:val="21221225"/>
    <w:rsid w:val="21326E5F"/>
    <w:rsid w:val="215150C9"/>
    <w:rsid w:val="21616461"/>
    <w:rsid w:val="21A12912"/>
    <w:rsid w:val="22196184"/>
    <w:rsid w:val="22F83FEB"/>
    <w:rsid w:val="22FB7F7F"/>
    <w:rsid w:val="237C1D35"/>
    <w:rsid w:val="239156F4"/>
    <w:rsid w:val="240959A7"/>
    <w:rsid w:val="240A7D85"/>
    <w:rsid w:val="241D3932"/>
    <w:rsid w:val="24586F23"/>
    <w:rsid w:val="245B6F27"/>
    <w:rsid w:val="247E2DFD"/>
    <w:rsid w:val="249A1C21"/>
    <w:rsid w:val="256D3B90"/>
    <w:rsid w:val="259C34F4"/>
    <w:rsid w:val="26282E39"/>
    <w:rsid w:val="263B7010"/>
    <w:rsid w:val="2641214D"/>
    <w:rsid w:val="264E76A3"/>
    <w:rsid w:val="265324A8"/>
    <w:rsid w:val="265B0373"/>
    <w:rsid w:val="273168FE"/>
    <w:rsid w:val="274D5052"/>
    <w:rsid w:val="2753038A"/>
    <w:rsid w:val="275A1F7C"/>
    <w:rsid w:val="276A4438"/>
    <w:rsid w:val="27E04A80"/>
    <w:rsid w:val="27E85AF1"/>
    <w:rsid w:val="28153BB7"/>
    <w:rsid w:val="286A598B"/>
    <w:rsid w:val="28851C58"/>
    <w:rsid w:val="288E11CC"/>
    <w:rsid w:val="28A96E2F"/>
    <w:rsid w:val="299D3B3E"/>
    <w:rsid w:val="29A70519"/>
    <w:rsid w:val="2A1534D2"/>
    <w:rsid w:val="2A8B3997"/>
    <w:rsid w:val="2ACB2D39"/>
    <w:rsid w:val="2ADB5F53"/>
    <w:rsid w:val="2AFB4FC0"/>
    <w:rsid w:val="2B2368E4"/>
    <w:rsid w:val="2B3E6793"/>
    <w:rsid w:val="2B5044AE"/>
    <w:rsid w:val="2B652AA2"/>
    <w:rsid w:val="2B89414F"/>
    <w:rsid w:val="2BE61F32"/>
    <w:rsid w:val="2C2F4A08"/>
    <w:rsid w:val="2C320603"/>
    <w:rsid w:val="2CBC165F"/>
    <w:rsid w:val="2CCB6C14"/>
    <w:rsid w:val="2D0A773C"/>
    <w:rsid w:val="2D1633EB"/>
    <w:rsid w:val="2D340315"/>
    <w:rsid w:val="2D611D48"/>
    <w:rsid w:val="2DA77776"/>
    <w:rsid w:val="2DAC4350"/>
    <w:rsid w:val="2E535D64"/>
    <w:rsid w:val="2E992065"/>
    <w:rsid w:val="2E992FC2"/>
    <w:rsid w:val="2EB60132"/>
    <w:rsid w:val="2EE336AE"/>
    <w:rsid w:val="2F7327E4"/>
    <w:rsid w:val="2F850E2A"/>
    <w:rsid w:val="2F8779B7"/>
    <w:rsid w:val="2FA32A49"/>
    <w:rsid w:val="2FC51CEF"/>
    <w:rsid w:val="2FDF2500"/>
    <w:rsid w:val="30550401"/>
    <w:rsid w:val="315E02E1"/>
    <w:rsid w:val="316E1B79"/>
    <w:rsid w:val="31AC0DC2"/>
    <w:rsid w:val="31EB7645"/>
    <w:rsid w:val="3215051D"/>
    <w:rsid w:val="330C0CEE"/>
    <w:rsid w:val="33E463D1"/>
    <w:rsid w:val="33E83C08"/>
    <w:rsid w:val="33FF032A"/>
    <w:rsid w:val="34152599"/>
    <w:rsid w:val="346F0142"/>
    <w:rsid w:val="34790D04"/>
    <w:rsid w:val="34791549"/>
    <w:rsid w:val="347C4231"/>
    <w:rsid w:val="347E291E"/>
    <w:rsid w:val="34AA5B2B"/>
    <w:rsid w:val="3544508A"/>
    <w:rsid w:val="35DA54E6"/>
    <w:rsid w:val="360337E4"/>
    <w:rsid w:val="367E0853"/>
    <w:rsid w:val="36963DEF"/>
    <w:rsid w:val="36AD04C3"/>
    <w:rsid w:val="36B85FBC"/>
    <w:rsid w:val="36D733FE"/>
    <w:rsid w:val="36E71BB0"/>
    <w:rsid w:val="37107F95"/>
    <w:rsid w:val="376D72AA"/>
    <w:rsid w:val="37BB5A7B"/>
    <w:rsid w:val="38003C16"/>
    <w:rsid w:val="382F0057"/>
    <w:rsid w:val="383B3057"/>
    <w:rsid w:val="385414FE"/>
    <w:rsid w:val="385C7456"/>
    <w:rsid w:val="38CD4FE1"/>
    <w:rsid w:val="38DA3599"/>
    <w:rsid w:val="392D39C7"/>
    <w:rsid w:val="397C3770"/>
    <w:rsid w:val="39D30EB6"/>
    <w:rsid w:val="3AEA26F3"/>
    <w:rsid w:val="3B123B5D"/>
    <w:rsid w:val="3B2A6B5E"/>
    <w:rsid w:val="3B5006E0"/>
    <w:rsid w:val="3BF057D7"/>
    <w:rsid w:val="3BFD046C"/>
    <w:rsid w:val="3BFD31C3"/>
    <w:rsid w:val="3C2546B9"/>
    <w:rsid w:val="3C6923A5"/>
    <w:rsid w:val="3C6C2EE7"/>
    <w:rsid w:val="3C9227B9"/>
    <w:rsid w:val="3CBE62EC"/>
    <w:rsid w:val="3D081CDC"/>
    <w:rsid w:val="3D0B7FB1"/>
    <w:rsid w:val="3D192362"/>
    <w:rsid w:val="3D812480"/>
    <w:rsid w:val="3D86254C"/>
    <w:rsid w:val="3D891FB8"/>
    <w:rsid w:val="3DB84470"/>
    <w:rsid w:val="3E1677F2"/>
    <w:rsid w:val="3E5D2790"/>
    <w:rsid w:val="3E9B4698"/>
    <w:rsid w:val="3EE635F2"/>
    <w:rsid w:val="3F397A0D"/>
    <w:rsid w:val="3F9D1A94"/>
    <w:rsid w:val="3FA3480D"/>
    <w:rsid w:val="3FBD23EC"/>
    <w:rsid w:val="404F535A"/>
    <w:rsid w:val="40750F19"/>
    <w:rsid w:val="408D59ED"/>
    <w:rsid w:val="40A56CB3"/>
    <w:rsid w:val="40B54BA9"/>
    <w:rsid w:val="40CD2B03"/>
    <w:rsid w:val="40E21FA4"/>
    <w:rsid w:val="41771C44"/>
    <w:rsid w:val="41BB6E00"/>
    <w:rsid w:val="41FA1B64"/>
    <w:rsid w:val="4218737F"/>
    <w:rsid w:val="42CF07A0"/>
    <w:rsid w:val="42DD73D7"/>
    <w:rsid w:val="4335673E"/>
    <w:rsid w:val="43406525"/>
    <w:rsid w:val="43F61425"/>
    <w:rsid w:val="44166916"/>
    <w:rsid w:val="441722A4"/>
    <w:rsid w:val="447B4624"/>
    <w:rsid w:val="44CC5046"/>
    <w:rsid w:val="44E678A3"/>
    <w:rsid w:val="44F243AD"/>
    <w:rsid w:val="44FF068A"/>
    <w:rsid w:val="450D1720"/>
    <w:rsid w:val="453D710A"/>
    <w:rsid w:val="45517EE7"/>
    <w:rsid w:val="458A0FC3"/>
    <w:rsid w:val="45B649C6"/>
    <w:rsid w:val="45E16709"/>
    <w:rsid w:val="46364CA7"/>
    <w:rsid w:val="46A017ED"/>
    <w:rsid w:val="46D629D1"/>
    <w:rsid w:val="472745EF"/>
    <w:rsid w:val="47997CE8"/>
    <w:rsid w:val="47C27D6C"/>
    <w:rsid w:val="47F72214"/>
    <w:rsid w:val="4838270D"/>
    <w:rsid w:val="488F069E"/>
    <w:rsid w:val="48A71E8C"/>
    <w:rsid w:val="48BC7DAB"/>
    <w:rsid w:val="48EC3373"/>
    <w:rsid w:val="48F007C1"/>
    <w:rsid w:val="49364312"/>
    <w:rsid w:val="493B64BB"/>
    <w:rsid w:val="495E0E6D"/>
    <w:rsid w:val="49A413EC"/>
    <w:rsid w:val="49CD7090"/>
    <w:rsid w:val="49D55251"/>
    <w:rsid w:val="4A6F4C2B"/>
    <w:rsid w:val="4AB90145"/>
    <w:rsid w:val="4AEA4061"/>
    <w:rsid w:val="4B06733D"/>
    <w:rsid w:val="4B2D07D3"/>
    <w:rsid w:val="4B8B2F80"/>
    <w:rsid w:val="4BE87A98"/>
    <w:rsid w:val="4C1743E7"/>
    <w:rsid w:val="4C1A4486"/>
    <w:rsid w:val="4C2E43AC"/>
    <w:rsid w:val="4CA76E6E"/>
    <w:rsid w:val="4DDF2CBF"/>
    <w:rsid w:val="4E0144C3"/>
    <w:rsid w:val="4E102281"/>
    <w:rsid w:val="4E1E35A8"/>
    <w:rsid w:val="4E310B48"/>
    <w:rsid w:val="4E616C92"/>
    <w:rsid w:val="4E6F2E5D"/>
    <w:rsid w:val="4E7229C3"/>
    <w:rsid w:val="4E8B1908"/>
    <w:rsid w:val="4EC12B91"/>
    <w:rsid w:val="4EED7F02"/>
    <w:rsid w:val="4F9B25B3"/>
    <w:rsid w:val="4FAA6AA2"/>
    <w:rsid w:val="4FD7228A"/>
    <w:rsid w:val="508A5A0C"/>
    <w:rsid w:val="508B764F"/>
    <w:rsid w:val="50B13DEA"/>
    <w:rsid w:val="50C055F7"/>
    <w:rsid w:val="50C17863"/>
    <w:rsid w:val="50F27458"/>
    <w:rsid w:val="5100038B"/>
    <w:rsid w:val="512B7338"/>
    <w:rsid w:val="51357AF8"/>
    <w:rsid w:val="513F7105"/>
    <w:rsid w:val="517A638F"/>
    <w:rsid w:val="51BB0DAD"/>
    <w:rsid w:val="51F91CB7"/>
    <w:rsid w:val="51FA127E"/>
    <w:rsid w:val="52630BD1"/>
    <w:rsid w:val="528B0128"/>
    <w:rsid w:val="52991C53"/>
    <w:rsid w:val="529E42FF"/>
    <w:rsid w:val="52C553E8"/>
    <w:rsid w:val="52F37341"/>
    <w:rsid w:val="53253909"/>
    <w:rsid w:val="53331116"/>
    <w:rsid w:val="53530C46"/>
    <w:rsid w:val="53740BBC"/>
    <w:rsid w:val="53B33E41"/>
    <w:rsid w:val="53B65679"/>
    <w:rsid w:val="54062CA5"/>
    <w:rsid w:val="5407371F"/>
    <w:rsid w:val="542D1CD6"/>
    <w:rsid w:val="54301FB8"/>
    <w:rsid w:val="54770964"/>
    <w:rsid w:val="54C01D99"/>
    <w:rsid w:val="54E87505"/>
    <w:rsid w:val="55076EDB"/>
    <w:rsid w:val="5540169E"/>
    <w:rsid w:val="555E38D2"/>
    <w:rsid w:val="55646FF0"/>
    <w:rsid w:val="557F62EE"/>
    <w:rsid w:val="55992B5C"/>
    <w:rsid w:val="55BD684B"/>
    <w:rsid w:val="55C027DF"/>
    <w:rsid w:val="55E510E7"/>
    <w:rsid w:val="56395F69"/>
    <w:rsid w:val="565019E7"/>
    <w:rsid w:val="56861129"/>
    <w:rsid w:val="569861B6"/>
    <w:rsid w:val="56A83B0B"/>
    <w:rsid w:val="56B6493F"/>
    <w:rsid w:val="56BB4492"/>
    <w:rsid w:val="56D26221"/>
    <w:rsid w:val="56ED3FA2"/>
    <w:rsid w:val="56FB1D20"/>
    <w:rsid w:val="57650F48"/>
    <w:rsid w:val="5778511F"/>
    <w:rsid w:val="57AA1051"/>
    <w:rsid w:val="57D4238E"/>
    <w:rsid w:val="5809250B"/>
    <w:rsid w:val="58575D94"/>
    <w:rsid w:val="585A2A77"/>
    <w:rsid w:val="58946959"/>
    <w:rsid w:val="589E1721"/>
    <w:rsid w:val="58A12453"/>
    <w:rsid w:val="58B27195"/>
    <w:rsid w:val="58C1672F"/>
    <w:rsid w:val="590754CD"/>
    <w:rsid w:val="593D5002"/>
    <w:rsid w:val="5A5113C2"/>
    <w:rsid w:val="5A8C0EE1"/>
    <w:rsid w:val="5AE6136B"/>
    <w:rsid w:val="5B591320"/>
    <w:rsid w:val="5B916FC1"/>
    <w:rsid w:val="5BAC2B68"/>
    <w:rsid w:val="5BF605B4"/>
    <w:rsid w:val="5C4D0240"/>
    <w:rsid w:val="5C8F7148"/>
    <w:rsid w:val="5CA4452C"/>
    <w:rsid w:val="5D5B355A"/>
    <w:rsid w:val="5D5D7D54"/>
    <w:rsid w:val="5D8C4430"/>
    <w:rsid w:val="5D8D744A"/>
    <w:rsid w:val="5D8F082D"/>
    <w:rsid w:val="5DF71EF1"/>
    <w:rsid w:val="5E09527C"/>
    <w:rsid w:val="5E3C06A6"/>
    <w:rsid w:val="5E983F40"/>
    <w:rsid w:val="5EC73A2C"/>
    <w:rsid w:val="5F24257D"/>
    <w:rsid w:val="5F6103C2"/>
    <w:rsid w:val="5FCD130C"/>
    <w:rsid w:val="5FD07FE9"/>
    <w:rsid w:val="5FD941B2"/>
    <w:rsid w:val="5FF6672B"/>
    <w:rsid w:val="601401C0"/>
    <w:rsid w:val="604C7149"/>
    <w:rsid w:val="60613CC2"/>
    <w:rsid w:val="60A41A75"/>
    <w:rsid w:val="60F21B27"/>
    <w:rsid w:val="611E0377"/>
    <w:rsid w:val="61737CE0"/>
    <w:rsid w:val="617A62BB"/>
    <w:rsid w:val="61CF0031"/>
    <w:rsid w:val="621E2D67"/>
    <w:rsid w:val="62450E0A"/>
    <w:rsid w:val="625A41CC"/>
    <w:rsid w:val="626A5FAC"/>
    <w:rsid w:val="6270505E"/>
    <w:rsid w:val="627E7362"/>
    <w:rsid w:val="62856942"/>
    <w:rsid w:val="62A2790D"/>
    <w:rsid w:val="62C51160"/>
    <w:rsid w:val="62E70777"/>
    <w:rsid w:val="62EB49FC"/>
    <w:rsid w:val="631318DB"/>
    <w:rsid w:val="632B05B6"/>
    <w:rsid w:val="635272BD"/>
    <w:rsid w:val="63D905AD"/>
    <w:rsid w:val="64025D70"/>
    <w:rsid w:val="64333908"/>
    <w:rsid w:val="645F3309"/>
    <w:rsid w:val="647A03AB"/>
    <w:rsid w:val="651452D1"/>
    <w:rsid w:val="652674EA"/>
    <w:rsid w:val="654A0789"/>
    <w:rsid w:val="659830FE"/>
    <w:rsid w:val="65B46500"/>
    <w:rsid w:val="65D32682"/>
    <w:rsid w:val="65FF07B9"/>
    <w:rsid w:val="66381AEC"/>
    <w:rsid w:val="668A09CB"/>
    <w:rsid w:val="66B772E6"/>
    <w:rsid w:val="66E2747D"/>
    <w:rsid w:val="66F7550A"/>
    <w:rsid w:val="673047EC"/>
    <w:rsid w:val="678665C6"/>
    <w:rsid w:val="68155E7F"/>
    <w:rsid w:val="6833421D"/>
    <w:rsid w:val="683B31A6"/>
    <w:rsid w:val="687150F2"/>
    <w:rsid w:val="68DB5F16"/>
    <w:rsid w:val="68FB170C"/>
    <w:rsid w:val="69136471"/>
    <w:rsid w:val="69F10872"/>
    <w:rsid w:val="6A2B2E9D"/>
    <w:rsid w:val="6A4B69A3"/>
    <w:rsid w:val="6A833F73"/>
    <w:rsid w:val="6A9874AE"/>
    <w:rsid w:val="6AAD1A41"/>
    <w:rsid w:val="6AB853DB"/>
    <w:rsid w:val="6AEB57B0"/>
    <w:rsid w:val="6B0074AE"/>
    <w:rsid w:val="6B161ED7"/>
    <w:rsid w:val="6B5B0B88"/>
    <w:rsid w:val="6B9C347D"/>
    <w:rsid w:val="6BAC18E9"/>
    <w:rsid w:val="6BDA0E02"/>
    <w:rsid w:val="6BDB75D3"/>
    <w:rsid w:val="6C1A2CEB"/>
    <w:rsid w:val="6CEB1A97"/>
    <w:rsid w:val="6D2E7D96"/>
    <w:rsid w:val="6D2F1B21"/>
    <w:rsid w:val="6D390A55"/>
    <w:rsid w:val="6D846AD1"/>
    <w:rsid w:val="6DAC053E"/>
    <w:rsid w:val="6DB54928"/>
    <w:rsid w:val="6DDD441D"/>
    <w:rsid w:val="6E4B51ED"/>
    <w:rsid w:val="6E5F172B"/>
    <w:rsid w:val="6E861409"/>
    <w:rsid w:val="6EAE0CA0"/>
    <w:rsid w:val="6EAE7189"/>
    <w:rsid w:val="6ED068A4"/>
    <w:rsid w:val="6F141779"/>
    <w:rsid w:val="6F352F9A"/>
    <w:rsid w:val="6F566693"/>
    <w:rsid w:val="6F5D0B2F"/>
    <w:rsid w:val="6F6117F5"/>
    <w:rsid w:val="6F84274A"/>
    <w:rsid w:val="6FBE314B"/>
    <w:rsid w:val="6FDC216E"/>
    <w:rsid w:val="70217AAF"/>
    <w:rsid w:val="70A0444C"/>
    <w:rsid w:val="70E11BD6"/>
    <w:rsid w:val="710F4D7A"/>
    <w:rsid w:val="71E7396A"/>
    <w:rsid w:val="72AC4223"/>
    <w:rsid w:val="72B648F6"/>
    <w:rsid w:val="73831A23"/>
    <w:rsid w:val="739D491A"/>
    <w:rsid w:val="74300CFA"/>
    <w:rsid w:val="74B90999"/>
    <w:rsid w:val="74FC2405"/>
    <w:rsid w:val="75465BD1"/>
    <w:rsid w:val="75526B58"/>
    <w:rsid w:val="75BD5BF7"/>
    <w:rsid w:val="75DA5A7E"/>
    <w:rsid w:val="777A7420"/>
    <w:rsid w:val="77CD4BBB"/>
    <w:rsid w:val="78325075"/>
    <w:rsid w:val="78373BAC"/>
    <w:rsid w:val="78BD53BB"/>
    <w:rsid w:val="78D4376C"/>
    <w:rsid w:val="79775D93"/>
    <w:rsid w:val="799B26EC"/>
    <w:rsid w:val="79DA107C"/>
    <w:rsid w:val="7A13262E"/>
    <w:rsid w:val="7A721EC3"/>
    <w:rsid w:val="7A7F7E7B"/>
    <w:rsid w:val="7AEF723C"/>
    <w:rsid w:val="7B6969A9"/>
    <w:rsid w:val="7B853EC3"/>
    <w:rsid w:val="7B8763AA"/>
    <w:rsid w:val="7C113447"/>
    <w:rsid w:val="7C2B1EB0"/>
    <w:rsid w:val="7C363AD7"/>
    <w:rsid w:val="7C730498"/>
    <w:rsid w:val="7CAE2B9E"/>
    <w:rsid w:val="7CE85FF3"/>
    <w:rsid w:val="7D18299B"/>
    <w:rsid w:val="7D7543A3"/>
    <w:rsid w:val="7D796C4C"/>
    <w:rsid w:val="7D912DEC"/>
    <w:rsid w:val="7DAF0CA9"/>
    <w:rsid w:val="7DDD3DC8"/>
    <w:rsid w:val="7DE71E07"/>
    <w:rsid w:val="7E0E55E6"/>
    <w:rsid w:val="7E18651E"/>
    <w:rsid w:val="7E250B4B"/>
    <w:rsid w:val="7E2F5732"/>
    <w:rsid w:val="7E6E5448"/>
    <w:rsid w:val="7EAB0421"/>
    <w:rsid w:val="7EAB552B"/>
    <w:rsid w:val="7EDD4AB0"/>
    <w:rsid w:val="7F1E1636"/>
    <w:rsid w:val="7F201AEB"/>
    <w:rsid w:val="7F4C0D3F"/>
    <w:rsid w:val="7FA949DA"/>
    <w:rsid w:val="7FF75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7"/>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6"/>
    <w:unhideWhenUsed/>
    <w:qFormat/>
    <w:uiPriority w:val="0"/>
    <w:pPr>
      <w:keepNext/>
      <w:keepLines/>
      <w:spacing w:before="0" w:after="0" w:line="360" w:lineRule="auto"/>
      <w:outlineLvl w:val="2"/>
    </w:pPr>
    <w:rPr>
      <w:rFonts w:ascii="宋体" w:hAnsi="宋体" w:eastAsia="宋体"/>
      <w:b/>
      <w:bCs/>
      <w:sz w:val="28"/>
      <w:szCs w:val="32"/>
    </w:rPr>
  </w:style>
  <w:style w:type="paragraph" w:styleId="5">
    <w:name w:val="heading 4"/>
    <w:basedOn w:val="1"/>
    <w:next w:val="1"/>
    <w:link w:val="91"/>
    <w:qFormat/>
    <w:uiPriority w:val="0"/>
    <w:pPr>
      <w:keepNext/>
      <w:keepLines/>
      <w:spacing w:before="280" w:after="290" w:line="376" w:lineRule="auto"/>
      <w:outlineLvl w:val="3"/>
    </w:pPr>
    <w:rPr>
      <w:b/>
      <w:bCs/>
      <w:sz w:val="28"/>
      <w:szCs w:val="28"/>
    </w:rPr>
  </w:style>
  <w:style w:type="paragraph" w:styleId="6">
    <w:name w:val="heading 5"/>
    <w:basedOn w:val="1"/>
    <w:next w:val="1"/>
    <w:link w:val="98"/>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99"/>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0"/>
    <w:autoRedefine/>
    <w:qFormat/>
    <w:uiPriority w:val="0"/>
    <w:pPr>
      <w:tabs>
        <w:tab w:val="left" w:pos="1800"/>
        <w:tab w:val="clear" w:pos="1440"/>
      </w:tabs>
      <w:ind w:left="1276" w:hanging="1276"/>
      <w:outlineLvl w:val="6"/>
    </w:pPr>
  </w:style>
  <w:style w:type="paragraph" w:styleId="9">
    <w:name w:val="heading 8"/>
    <w:basedOn w:val="1"/>
    <w:next w:val="1"/>
    <w:link w:val="101"/>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2"/>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7">
    <w:name w:val="Default Paragraph Font"/>
    <w:autoRedefine/>
    <w:semiHidden/>
    <w:unhideWhenUsed/>
    <w:qFormat/>
    <w:uiPriority w:val="1"/>
  </w:style>
  <w:style w:type="table" w:default="1" w:styleId="55">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unhideWhenUsed/>
    <w:qFormat/>
    <w:uiPriority w:val="39"/>
    <w:pPr>
      <w:ind w:left="1260"/>
      <w:jc w:val="left"/>
    </w:pPr>
    <w:rPr>
      <w:rFonts w:ascii="Calibri" w:hAnsi="Calibri" w:cs="Calibri"/>
      <w:kern w:val="2"/>
      <w:sz w:val="18"/>
      <w:szCs w:val="18"/>
    </w:rPr>
  </w:style>
  <w:style w:type="paragraph" w:styleId="13">
    <w:name w:val="Normal Indent"/>
    <w:basedOn w:val="1"/>
    <w:next w:val="1"/>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7"/>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3"/>
    <w:qFormat/>
    <w:uiPriority w:val="0"/>
    <w:pPr>
      <w:jc w:val="left"/>
    </w:pPr>
    <w:rPr>
      <w:rFonts w:ascii="Arial" w:hAnsi="Arial" w:eastAsia="黑体" w:cs="Arial"/>
    </w:rPr>
  </w:style>
  <w:style w:type="paragraph" w:styleId="17">
    <w:name w:val="Salutation"/>
    <w:basedOn w:val="1"/>
    <w:next w:val="1"/>
    <w:link w:val="113"/>
    <w:autoRedefine/>
    <w:qFormat/>
    <w:uiPriority w:val="0"/>
    <w:rPr>
      <w:rFonts w:ascii="仿宋_GB2312" w:hAnsi="Times New Roman" w:eastAsia="仿宋_GB2312" w:cs="Times New Roman"/>
      <w:kern w:val="2"/>
      <w:sz w:val="28"/>
      <w:lang w:val="zh-CN"/>
    </w:rPr>
  </w:style>
  <w:style w:type="paragraph" w:styleId="18">
    <w:name w:val="Body Text 3"/>
    <w:basedOn w:val="1"/>
    <w:link w:val="133"/>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link w:val="92"/>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07"/>
    <w:unhideWhenUsed/>
    <w:qFormat/>
    <w:uiPriority w:val="0"/>
    <w:pPr>
      <w:spacing w:after="120"/>
      <w:ind w:left="420" w:leftChars="200"/>
    </w:pPr>
    <w:rPr>
      <w:rFonts w:asciiTheme="minorHAnsi" w:hAnsiTheme="minorHAnsi"/>
      <w:kern w:val="2"/>
      <w:sz w:val="21"/>
      <w:szCs w:val="22"/>
    </w:rPr>
  </w:style>
  <w:style w:type="paragraph" w:styleId="21">
    <w:name w:val="Body Text First Indent 2"/>
    <w:basedOn w:val="20"/>
    <w:next w:val="1"/>
    <w:qFormat/>
    <w:uiPriority w:val="0"/>
    <w:pPr>
      <w:ind w:firstLine="420"/>
    </w:pPr>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2"/>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79"/>
    <w:qFormat/>
    <w:uiPriority w:val="0"/>
    <w:rPr>
      <w:rFonts w:ascii="Arial" w:hAnsi="Arial" w:cs="Arial"/>
      <w:b/>
      <w:sz w:val="28"/>
    </w:rPr>
  </w:style>
  <w:style w:type="paragraph" w:styleId="31">
    <w:name w:val="Body Text Indent 2"/>
    <w:basedOn w:val="1"/>
    <w:link w:val="129"/>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6"/>
    <w:unhideWhenUsed/>
    <w:qFormat/>
    <w:uiPriority w:val="0"/>
    <w:rPr>
      <w:sz w:val="18"/>
      <w:szCs w:val="18"/>
    </w:rPr>
  </w:style>
  <w:style w:type="paragraph" w:styleId="33">
    <w:name w:val="footer"/>
    <w:basedOn w:val="1"/>
    <w:link w:val="71"/>
    <w:unhideWhenUsed/>
    <w:qFormat/>
    <w:uiPriority w:val="99"/>
    <w:pPr>
      <w:tabs>
        <w:tab w:val="center" w:pos="4153"/>
        <w:tab w:val="right" w:pos="8306"/>
      </w:tabs>
      <w:snapToGrid w:val="0"/>
      <w:jc w:val="left"/>
    </w:pPr>
    <w:rPr>
      <w:sz w:val="18"/>
      <w:szCs w:val="18"/>
    </w:rPr>
  </w:style>
  <w:style w:type="paragraph" w:styleId="34">
    <w:name w:val="envelope return"/>
    <w:basedOn w:val="1"/>
    <w:qFormat/>
    <w:uiPriority w:val="0"/>
    <w:pPr>
      <w:widowControl/>
      <w:snapToGrid w:val="0"/>
      <w:spacing w:line="240" w:lineRule="auto"/>
      <w:ind w:firstLine="0" w:firstLineChars="0"/>
      <w:jc w:val="left"/>
    </w:pPr>
    <w:rPr>
      <w:rFonts w:ascii="Arial" w:hAnsi="Arial"/>
      <w:szCs w:val="20"/>
    </w:rPr>
  </w:style>
  <w:style w:type="paragraph" w:styleId="35">
    <w:name w:val="header"/>
    <w:basedOn w:val="1"/>
    <w:link w:val="70"/>
    <w:unhideWhenUsed/>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7">
    <w:name w:val="List Continue 4"/>
    <w:basedOn w:val="1"/>
    <w:qFormat/>
    <w:uiPriority w:val="0"/>
    <w:pPr>
      <w:spacing w:after="120"/>
      <w:ind w:left="1680" w:leftChars="800"/>
    </w:pPr>
    <w:rPr>
      <w:rFonts w:ascii="Calibri" w:hAnsi="Calibri" w:cs="Times New Roman"/>
      <w:kern w:val="2"/>
      <w:sz w:val="21"/>
      <w:szCs w:val="22"/>
    </w:rPr>
  </w:style>
  <w:style w:type="paragraph" w:styleId="38">
    <w:name w:val="toc 4"/>
    <w:basedOn w:val="1"/>
    <w:next w:val="1"/>
    <w:autoRedefine/>
    <w:unhideWhenUsed/>
    <w:qFormat/>
    <w:uiPriority w:val="39"/>
    <w:pPr>
      <w:ind w:left="630"/>
      <w:jc w:val="left"/>
    </w:pPr>
    <w:rPr>
      <w:rFonts w:ascii="Calibri" w:hAnsi="Calibri" w:cs="Calibri"/>
      <w:kern w:val="2"/>
      <w:sz w:val="18"/>
      <w:szCs w:val="18"/>
    </w:rPr>
  </w:style>
  <w:style w:type="paragraph" w:styleId="39">
    <w:name w:val="index heading"/>
    <w:basedOn w:val="1"/>
    <w:next w:val="40"/>
    <w:autoRedefine/>
    <w:semiHidden/>
    <w:qFormat/>
    <w:uiPriority w:val="0"/>
    <w:rPr>
      <w:rFonts w:ascii="Times New Roman" w:hAnsi="Times New Roman" w:cs="Times New Roman"/>
      <w:kern w:val="2"/>
      <w:sz w:val="21"/>
      <w:szCs w:val="24"/>
    </w:rPr>
  </w:style>
  <w:style w:type="paragraph" w:styleId="40">
    <w:name w:val="index 1"/>
    <w:basedOn w:val="1"/>
    <w:next w:val="1"/>
    <w:autoRedefine/>
    <w:qFormat/>
    <w:uiPriority w:val="0"/>
    <w:pPr>
      <w:jc w:val="center"/>
    </w:pPr>
    <w:rPr>
      <w:rFonts w:ascii="Arial" w:hAnsi="Arial" w:eastAsia="Arial" w:cs="Arial"/>
      <w:b/>
      <w:bCs/>
      <w:sz w:val="28"/>
    </w:rPr>
  </w:style>
  <w:style w:type="paragraph" w:styleId="41">
    <w:name w:val="Subtitle"/>
    <w:basedOn w:val="1"/>
    <w:link w:val="221"/>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2">
    <w:name w:val="List"/>
    <w:basedOn w:val="1"/>
    <w:autoRedefine/>
    <w:qFormat/>
    <w:uiPriority w:val="0"/>
    <w:pPr>
      <w:ind w:left="200" w:hanging="200" w:hangingChars="200"/>
    </w:pPr>
    <w:rPr>
      <w:rFonts w:ascii="Calibri" w:hAnsi="Calibri" w:cs="Times New Roman"/>
      <w:kern w:val="2"/>
      <w:sz w:val="21"/>
      <w:szCs w:val="22"/>
    </w:rPr>
  </w:style>
  <w:style w:type="paragraph" w:styleId="43">
    <w:name w:val="footnote text"/>
    <w:basedOn w:val="1"/>
    <w:link w:val="109"/>
    <w:unhideWhenUsed/>
    <w:qFormat/>
    <w:uiPriority w:val="0"/>
    <w:pPr>
      <w:snapToGrid w:val="0"/>
      <w:jc w:val="left"/>
    </w:pPr>
    <w:rPr>
      <w:rFonts w:ascii="Times New Roman" w:hAnsi="Times New Roman" w:cs="Times New Roman"/>
      <w:kern w:val="2"/>
      <w:sz w:val="18"/>
      <w:szCs w:val="18"/>
      <w:lang w:val="zh-CN"/>
    </w:rPr>
  </w:style>
  <w:style w:type="paragraph" w:styleId="44">
    <w:name w:val="toc 6"/>
    <w:basedOn w:val="1"/>
    <w:next w:val="1"/>
    <w:autoRedefine/>
    <w:unhideWhenUsed/>
    <w:qFormat/>
    <w:uiPriority w:val="39"/>
    <w:pPr>
      <w:ind w:left="1050"/>
      <w:jc w:val="left"/>
    </w:pPr>
    <w:rPr>
      <w:rFonts w:ascii="Calibri" w:hAnsi="Calibri" w:cs="Calibri"/>
      <w:kern w:val="2"/>
      <w:sz w:val="18"/>
      <w:szCs w:val="18"/>
    </w:rPr>
  </w:style>
  <w:style w:type="paragraph" w:styleId="45">
    <w:name w:val="Body Text Indent 3"/>
    <w:basedOn w:val="1"/>
    <w:link w:val="128"/>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6">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7">
    <w:name w:val="toc 9"/>
    <w:basedOn w:val="1"/>
    <w:next w:val="1"/>
    <w:unhideWhenUsed/>
    <w:qFormat/>
    <w:uiPriority w:val="39"/>
    <w:pPr>
      <w:ind w:left="1680"/>
      <w:jc w:val="left"/>
    </w:pPr>
    <w:rPr>
      <w:rFonts w:ascii="Calibri" w:hAnsi="Calibri" w:cs="Calibri"/>
      <w:kern w:val="2"/>
      <w:sz w:val="18"/>
      <w:szCs w:val="18"/>
    </w:rPr>
  </w:style>
  <w:style w:type="paragraph" w:styleId="48">
    <w:name w:val="Body Text 2"/>
    <w:basedOn w:val="1"/>
    <w:link w:val="132"/>
    <w:autoRedefine/>
    <w:qFormat/>
    <w:uiPriority w:val="0"/>
    <w:pPr>
      <w:spacing w:line="360" w:lineRule="auto"/>
    </w:pPr>
    <w:rPr>
      <w:rFonts w:hAnsi="Times New Roman" w:cs="Times New Roman"/>
      <w:spacing w:val="-20"/>
      <w:kern w:val="2"/>
      <w:sz w:val="28"/>
      <w:lang w:val="zh-CN"/>
    </w:rPr>
  </w:style>
  <w:style w:type="paragraph" w:styleId="49">
    <w:name w:val="List 4"/>
    <w:basedOn w:val="1"/>
    <w:autoRedefine/>
    <w:qFormat/>
    <w:uiPriority w:val="0"/>
    <w:pPr>
      <w:ind w:left="100" w:leftChars="600" w:hanging="200" w:hangingChars="200"/>
    </w:pPr>
    <w:rPr>
      <w:rFonts w:ascii="Calibri" w:hAnsi="Calibri" w:cs="Times New Roman"/>
      <w:kern w:val="2"/>
      <w:sz w:val="21"/>
      <w:szCs w:val="22"/>
    </w:rPr>
  </w:style>
  <w:style w:type="paragraph" w:styleId="50">
    <w:name w:val="List Continue 2"/>
    <w:basedOn w:val="1"/>
    <w:autoRedefine/>
    <w:qFormat/>
    <w:uiPriority w:val="0"/>
    <w:pPr>
      <w:spacing w:after="120"/>
      <w:ind w:left="840" w:leftChars="400"/>
    </w:pPr>
    <w:rPr>
      <w:rFonts w:ascii="Calibri" w:hAnsi="Calibri" w:cs="Times New Roman"/>
      <w:kern w:val="2"/>
      <w:sz w:val="21"/>
      <w:szCs w:val="22"/>
    </w:rPr>
  </w:style>
  <w:style w:type="paragraph" w:styleId="51">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36"/>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4"/>
    <w:autoRedefine/>
    <w:unhideWhenUsed/>
    <w:qFormat/>
    <w:uiPriority w:val="0"/>
    <w:rPr>
      <w:rFonts w:ascii="宋体" w:hAnsi="宋体" w:eastAsia="宋体" w:cstheme="minorBidi"/>
      <w:b/>
      <w:bCs/>
    </w:rPr>
  </w:style>
  <w:style w:type="paragraph" w:styleId="54">
    <w:name w:val="Body Text First Indent"/>
    <w:basedOn w:val="19"/>
    <w:semiHidden/>
    <w:unhideWhenUsed/>
    <w:qFormat/>
    <w:uiPriority w:val="99"/>
    <w:pPr>
      <w:ind w:firstLine="420" w:firstLineChars="100"/>
    </w:pPr>
  </w:style>
  <w:style w:type="table" w:styleId="56">
    <w:name w:val="Table Grid"/>
    <w:basedOn w:val="5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autoRedefine/>
    <w:qFormat/>
    <w:uiPriority w:val="0"/>
    <w:rPr>
      <w:b/>
      <w:bCs/>
    </w:rPr>
  </w:style>
  <w:style w:type="character" w:styleId="59">
    <w:name w:val="page number"/>
    <w:basedOn w:val="57"/>
    <w:qFormat/>
    <w:uiPriority w:val="0"/>
  </w:style>
  <w:style w:type="character" w:styleId="60">
    <w:name w:val="FollowedHyperlink"/>
    <w:basedOn w:val="57"/>
    <w:autoRedefine/>
    <w:semiHidden/>
    <w:unhideWhenUsed/>
    <w:qFormat/>
    <w:uiPriority w:val="99"/>
    <w:rPr>
      <w:color w:val="800080" w:themeColor="followedHyperlink"/>
      <w:u w:val="single"/>
      <w14:textFill>
        <w14:solidFill>
          <w14:schemeClr w14:val="folHlink"/>
        </w14:solidFill>
      </w14:textFill>
    </w:rPr>
  </w:style>
  <w:style w:type="character" w:styleId="61">
    <w:name w:val="Emphasis"/>
    <w:qFormat/>
    <w:uiPriority w:val="0"/>
    <w:rPr>
      <w:color w:val="CC0033"/>
    </w:rPr>
  </w:style>
  <w:style w:type="character" w:styleId="62">
    <w:name w:val="Hyperlink"/>
    <w:basedOn w:val="57"/>
    <w:autoRedefine/>
    <w:unhideWhenUsed/>
    <w:qFormat/>
    <w:uiPriority w:val="99"/>
    <w:rPr>
      <w:color w:val="0000FF" w:themeColor="hyperlink"/>
      <w:u w:val="single"/>
      <w14:textFill>
        <w14:solidFill>
          <w14:schemeClr w14:val="hlink"/>
        </w14:solidFill>
      </w14:textFill>
    </w:rPr>
  </w:style>
  <w:style w:type="character" w:styleId="63">
    <w:name w:val="annotation reference"/>
    <w:basedOn w:val="57"/>
    <w:unhideWhenUsed/>
    <w:qFormat/>
    <w:uiPriority w:val="0"/>
    <w:rPr>
      <w:sz w:val="21"/>
      <w:szCs w:val="21"/>
    </w:rPr>
  </w:style>
  <w:style w:type="character" w:styleId="64">
    <w:name w:val="footnote reference"/>
    <w:unhideWhenUsed/>
    <w:qFormat/>
    <w:uiPriority w:val="0"/>
    <w:rPr>
      <w:vertAlign w:val="superscript"/>
    </w:rPr>
  </w:style>
  <w:style w:type="character" w:styleId="65">
    <w:name w:val="HTML Sample"/>
    <w:qFormat/>
    <w:uiPriority w:val="0"/>
    <w:rPr>
      <w:rFonts w:hint="default" w:ascii="monospace" w:hAnsi="monospace" w:eastAsia="monospace" w:cs="monospace"/>
      <w:sz w:val="21"/>
      <w:szCs w:val="21"/>
    </w:rPr>
  </w:style>
  <w:style w:type="character" w:customStyle="1" w:styleId="66">
    <w:name w:val="批注框文本 Char"/>
    <w:basedOn w:val="57"/>
    <w:link w:val="32"/>
    <w:autoRedefine/>
    <w:qFormat/>
    <w:uiPriority w:val="0"/>
    <w:rPr>
      <w:rFonts w:ascii="@仿宋_GB2312" w:hAnsi="@仿宋_GB2312" w:eastAsia="@仿宋_GB2312" w:cs="@仿宋_GB2312"/>
      <w:sz w:val="18"/>
      <w:szCs w:val="18"/>
    </w:rPr>
  </w:style>
  <w:style w:type="paragraph" w:customStyle="1" w:styleId="67">
    <w:name w:val="正文（缩进）"/>
    <w:basedOn w:val="1"/>
    <w:qFormat/>
    <w:uiPriority w:val="0"/>
    <w:pPr>
      <w:widowControl/>
      <w:spacing w:before="156" w:after="156"/>
      <w:ind w:firstLine="480" w:firstLineChars="200"/>
      <w:jc w:val="left"/>
    </w:pPr>
    <w:rPr>
      <w:sz w:val="24"/>
      <w:szCs w:val="24"/>
    </w:rPr>
  </w:style>
  <w:style w:type="paragraph" w:customStyle="1" w:styleId="68">
    <w:name w:val="xl31"/>
    <w:basedOn w:val="1"/>
    <w:qFormat/>
    <w:uiPriority w:val="0"/>
    <w:pPr>
      <w:widowControl/>
      <w:spacing w:before="100" w:beforeAutospacing="1" w:after="100" w:afterAutospacing="1"/>
      <w:jc w:val="center"/>
    </w:pPr>
    <w:rPr>
      <w:b/>
      <w:bCs/>
      <w:sz w:val="28"/>
      <w:szCs w:val="28"/>
    </w:rPr>
  </w:style>
  <w:style w:type="paragraph" w:customStyle="1" w:styleId="69">
    <w:name w:val="D&amp;L"/>
    <w:basedOn w:val="35"/>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0">
    <w:name w:val="页眉 Char"/>
    <w:basedOn w:val="57"/>
    <w:link w:val="35"/>
    <w:autoRedefine/>
    <w:qFormat/>
    <w:uiPriority w:val="99"/>
    <w:rPr>
      <w:rFonts w:ascii="@仿宋_GB2312" w:hAnsi="@仿宋_GB2312" w:eastAsia="@仿宋_GB2312" w:cs="@仿宋_GB2312"/>
      <w:sz w:val="18"/>
      <w:szCs w:val="18"/>
    </w:rPr>
  </w:style>
  <w:style w:type="character" w:customStyle="1" w:styleId="71">
    <w:name w:val="页脚 Char"/>
    <w:basedOn w:val="57"/>
    <w:link w:val="33"/>
    <w:qFormat/>
    <w:uiPriority w:val="99"/>
    <w:rPr>
      <w:rFonts w:ascii="@仿宋_GB2312" w:hAnsi="@仿宋_GB2312" w:eastAsia="@仿宋_GB2312" w:cs="@仿宋_GB2312"/>
      <w:sz w:val="18"/>
      <w:szCs w:val="18"/>
    </w:rPr>
  </w:style>
  <w:style w:type="character" w:customStyle="1" w:styleId="72">
    <w:name w:val="纯文本 Char"/>
    <w:link w:val="28"/>
    <w:autoRedefine/>
    <w:qFormat/>
    <w:uiPriority w:val="0"/>
    <w:rPr>
      <w:rFonts w:ascii="宋体" w:hAnsi="Courier New"/>
    </w:rPr>
  </w:style>
  <w:style w:type="character" w:customStyle="1" w:styleId="73">
    <w:name w:val="纯文本 字符1"/>
    <w:basedOn w:val="57"/>
    <w:autoRedefine/>
    <w:semiHidden/>
    <w:qFormat/>
    <w:uiPriority w:val="99"/>
    <w:rPr>
      <w:rFonts w:hAnsi="Courier New" w:cs="Courier New" w:asciiTheme="minorEastAsia"/>
      <w:szCs w:val="20"/>
    </w:rPr>
  </w:style>
  <w:style w:type="character" w:customStyle="1" w:styleId="74">
    <w:name w:val="未处理的提及1"/>
    <w:basedOn w:val="57"/>
    <w:semiHidden/>
    <w:unhideWhenUsed/>
    <w:qFormat/>
    <w:uiPriority w:val="99"/>
    <w:rPr>
      <w:color w:val="605E5C"/>
      <w:shd w:val="clear" w:color="auto" w:fill="E1DFDD"/>
    </w:rPr>
  </w:style>
  <w:style w:type="paragraph" w:styleId="75">
    <w:name w:val="List Paragraph"/>
    <w:basedOn w:val="1"/>
    <w:qFormat/>
    <w:uiPriority w:val="34"/>
    <w:pPr>
      <w:ind w:firstLine="420" w:firstLineChars="200"/>
    </w:pPr>
  </w:style>
  <w:style w:type="paragraph" w:customStyle="1" w:styleId="76">
    <w:name w:val="Char Char Char Char Char Char Char1 Char"/>
    <w:basedOn w:val="1"/>
    <w:qFormat/>
    <w:uiPriority w:val="0"/>
    <w:rPr>
      <w:rFonts w:ascii="Arial" w:hAnsi="Arial" w:cs="Arial"/>
      <w:sz w:val="24"/>
    </w:rPr>
  </w:style>
  <w:style w:type="table" w:customStyle="1" w:styleId="77">
    <w:name w:val="网格表 1 浅色1"/>
    <w:basedOn w:val="5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8">
    <w:name w:val="日期 字符"/>
    <w:basedOn w:val="57"/>
    <w:semiHidden/>
    <w:qFormat/>
    <w:uiPriority w:val="99"/>
    <w:rPr>
      <w:rFonts w:ascii="@仿宋_GB2312" w:hAnsi="@仿宋_GB2312" w:eastAsia="@仿宋_GB2312" w:cs="@仿宋_GB2312"/>
      <w:szCs w:val="20"/>
    </w:rPr>
  </w:style>
  <w:style w:type="character" w:customStyle="1" w:styleId="79">
    <w:name w:val="日期 Char"/>
    <w:link w:val="30"/>
    <w:autoRedefine/>
    <w:qFormat/>
    <w:uiPriority w:val="0"/>
    <w:rPr>
      <w:rFonts w:ascii="Arial" w:hAnsi="Arial" w:eastAsia="宋体" w:cs="Arial"/>
      <w:b/>
      <w:sz w:val="28"/>
      <w:szCs w:val="20"/>
    </w:rPr>
  </w:style>
  <w:style w:type="character" w:customStyle="1" w:styleId="80">
    <w:name w:val="纯文本 Char1"/>
    <w:link w:val="81"/>
    <w:qFormat/>
    <w:locked/>
    <w:uiPriority w:val="99"/>
    <w:rPr>
      <w:rFonts w:ascii="Arial" w:hAnsi="Arial" w:eastAsia="Arial"/>
      <w:kern w:val="2"/>
      <w:sz w:val="21"/>
      <w:lang w:val="en-US" w:eastAsia="zh-CN" w:bidi="ar-SA"/>
    </w:rPr>
  </w:style>
  <w:style w:type="paragraph" w:customStyle="1" w:styleId="81">
    <w:name w:val="纯文本1"/>
    <w:basedOn w:val="1"/>
    <w:link w:val="80"/>
    <w:autoRedefine/>
    <w:qFormat/>
    <w:uiPriority w:val="0"/>
    <w:rPr>
      <w:rFonts w:ascii="Arial" w:hAnsi="Arial" w:eastAsia="Arial"/>
    </w:rPr>
  </w:style>
  <w:style w:type="character" w:customStyle="1" w:styleId="82">
    <w:name w:val="批注文字 Char"/>
    <w:basedOn w:val="57"/>
    <w:autoRedefine/>
    <w:qFormat/>
    <w:uiPriority w:val="0"/>
    <w:rPr>
      <w:rFonts w:ascii="@仿宋_GB2312" w:hAnsi="@仿宋_GB2312" w:eastAsia="@仿宋_GB2312" w:cs="@仿宋_GB2312"/>
      <w:szCs w:val="20"/>
    </w:rPr>
  </w:style>
  <w:style w:type="character" w:customStyle="1" w:styleId="83">
    <w:name w:val="批注文字 Char1"/>
    <w:link w:val="16"/>
    <w:qFormat/>
    <w:uiPriority w:val="99"/>
    <w:rPr>
      <w:rFonts w:ascii="Arial" w:hAnsi="Arial" w:eastAsia="黑体" w:cs="Arial"/>
      <w:szCs w:val="20"/>
    </w:rPr>
  </w:style>
  <w:style w:type="character" w:customStyle="1" w:styleId="84">
    <w:name w:val="标题 1 Char"/>
    <w:basedOn w:val="57"/>
    <w:link w:val="2"/>
    <w:autoRedefine/>
    <w:qFormat/>
    <w:uiPriority w:val="0"/>
    <w:rPr>
      <w:rFonts w:ascii="@仿宋_GB2312" w:hAnsi="@仿宋_GB2312" w:eastAsia="@仿宋_GB2312" w:cs="@仿宋_GB2312"/>
      <w:b/>
      <w:bCs/>
      <w:kern w:val="44"/>
      <w:sz w:val="44"/>
      <w:szCs w:val="44"/>
    </w:rPr>
  </w:style>
  <w:style w:type="paragraph" w:customStyle="1" w:styleId="85">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6">
    <w:name w:val="标题 3 Char"/>
    <w:basedOn w:val="57"/>
    <w:link w:val="4"/>
    <w:autoRedefine/>
    <w:qFormat/>
    <w:uiPriority w:val="0"/>
    <w:rPr>
      <w:rFonts w:ascii="宋体" w:hAnsi="宋体" w:eastAsia="宋体" w:cs="@仿宋_GB2312"/>
      <w:b/>
      <w:bCs/>
      <w:sz w:val="28"/>
      <w:szCs w:val="32"/>
    </w:rPr>
  </w:style>
  <w:style w:type="character" w:customStyle="1" w:styleId="87">
    <w:name w:val="fontstyle01"/>
    <w:basedOn w:val="57"/>
    <w:qFormat/>
    <w:uiPriority w:val="0"/>
    <w:rPr>
      <w:rFonts w:hint="eastAsia" w:ascii="宋体" w:hAnsi="宋体" w:eastAsia="宋体"/>
      <w:color w:val="000000"/>
      <w:sz w:val="22"/>
      <w:szCs w:val="22"/>
    </w:rPr>
  </w:style>
  <w:style w:type="character" w:customStyle="1" w:styleId="88">
    <w:name w:val="fontstyle21"/>
    <w:basedOn w:val="57"/>
    <w:autoRedefine/>
    <w:qFormat/>
    <w:uiPriority w:val="0"/>
    <w:rPr>
      <w:rFonts w:hint="default" w:ascii="TimesNewRomanPSMT" w:hAnsi="TimesNewRomanPSMT"/>
      <w:color w:val="000000"/>
      <w:sz w:val="22"/>
      <w:szCs w:val="22"/>
    </w:rPr>
  </w:style>
  <w:style w:type="character" w:customStyle="1" w:styleId="89">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90">
    <w:name w:val="标题 4 字符"/>
    <w:basedOn w:val="57"/>
    <w:semiHidden/>
    <w:qFormat/>
    <w:uiPriority w:val="9"/>
    <w:rPr>
      <w:rFonts w:asciiTheme="majorHAnsi" w:hAnsiTheme="majorHAnsi" w:eastAsiaTheme="majorEastAsia" w:cstheme="majorBidi"/>
      <w:b/>
      <w:bCs/>
      <w:sz w:val="28"/>
      <w:szCs w:val="28"/>
    </w:rPr>
  </w:style>
  <w:style w:type="character" w:customStyle="1" w:styleId="91">
    <w:name w:val="标题 4 Char"/>
    <w:link w:val="5"/>
    <w:qFormat/>
    <w:uiPriority w:val="0"/>
    <w:rPr>
      <w:rFonts w:ascii="@仿宋_GB2312" w:hAnsi="@仿宋_GB2312" w:eastAsia="@仿宋_GB2312" w:cs="@仿宋_GB2312"/>
      <w:b/>
      <w:bCs/>
      <w:sz w:val="28"/>
      <w:szCs w:val="28"/>
    </w:rPr>
  </w:style>
  <w:style w:type="character" w:customStyle="1" w:styleId="92">
    <w:name w:val="正文文本 Char"/>
    <w:basedOn w:val="57"/>
    <w:link w:val="19"/>
    <w:autoRedefine/>
    <w:qFormat/>
    <w:uiPriority w:val="0"/>
    <w:rPr>
      <w:rFonts w:ascii="@微软简标宋" w:hAnsi="@微软简标宋" w:eastAsia="@微软简标宋" w:cs="@微软简标宋"/>
      <w:szCs w:val="24"/>
      <w:lang w:val="zh-CN" w:eastAsia="zh-CN"/>
    </w:rPr>
  </w:style>
  <w:style w:type="table" w:customStyle="1" w:styleId="93">
    <w:name w:val="网格型1"/>
    <w:basedOn w:val="5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4">
    <w:name w:val="批注主题 Char"/>
    <w:basedOn w:val="83"/>
    <w:link w:val="53"/>
    <w:qFormat/>
    <w:uiPriority w:val="0"/>
    <w:rPr>
      <w:rFonts w:ascii="Arial" w:hAnsi="Arial" w:eastAsia="黑体" w:cs="Arial"/>
      <w:b/>
      <w:bCs/>
      <w:szCs w:val="20"/>
    </w:rPr>
  </w:style>
  <w:style w:type="paragraph" w:customStyle="1" w:styleId="95">
    <w:name w:val="普通 (Web)"/>
    <w:basedOn w:val="1"/>
    <w:qFormat/>
    <w:uiPriority w:val="0"/>
    <w:pPr>
      <w:widowControl/>
      <w:spacing w:before="100" w:beforeAutospacing="1" w:after="100" w:afterAutospacing="1"/>
      <w:jc w:val="left"/>
    </w:pPr>
    <w:rPr>
      <w:rFonts w:cs="Times New Roman"/>
      <w:sz w:val="24"/>
      <w:szCs w:val="24"/>
    </w:rPr>
  </w:style>
  <w:style w:type="table" w:customStyle="1" w:styleId="96">
    <w:name w:val="网格型2"/>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7">
    <w:name w:val="标题 2 Char"/>
    <w:basedOn w:val="57"/>
    <w:link w:val="3"/>
    <w:autoRedefine/>
    <w:qFormat/>
    <w:uiPriority w:val="0"/>
    <w:rPr>
      <w:rFonts w:ascii="Cambria" w:hAnsi="Cambria" w:cs="Times New Roman"/>
      <w:b/>
      <w:bCs/>
      <w:kern w:val="2"/>
      <w:sz w:val="32"/>
      <w:szCs w:val="32"/>
      <w:lang w:val="zh-CN" w:eastAsia="zh-CN"/>
    </w:rPr>
  </w:style>
  <w:style w:type="character" w:customStyle="1" w:styleId="98">
    <w:name w:val="标题 5 Char"/>
    <w:basedOn w:val="57"/>
    <w:link w:val="6"/>
    <w:autoRedefine/>
    <w:qFormat/>
    <w:uiPriority w:val="0"/>
    <w:rPr>
      <w:rFonts w:ascii="Calibri" w:hAnsi="Calibri" w:cs="Times New Roman"/>
      <w:b/>
      <w:bCs/>
      <w:kern w:val="2"/>
      <w:sz w:val="28"/>
      <w:szCs w:val="28"/>
      <w:lang w:val="zh-CN" w:eastAsia="zh-CN"/>
    </w:rPr>
  </w:style>
  <w:style w:type="character" w:customStyle="1" w:styleId="99">
    <w:name w:val="标题 6 Char"/>
    <w:basedOn w:val="57"/>
    <w:link w:val="7"/>
    <w:autoRedefine/>
    <w:qFormat/>
    <w:uiPriority w:val="0"/>
    <w:rPr>
      <w:rFonts w:ascii="Times New Roman" w:hAnsi="Times New Roman" w:cs="Times New Roman"/>
      <w:b/>
      <w:bCs/>
      <w:kern w:val="2"/>
      <w:sz w:val="30"/>
      <w:szCs w:val="18"/>
      <w:lang w:val="zh-CN" w:eastAsia="zh-CN"/>
    </w:rPr>
  </w:style>
  <w:style w:type="character" w:customStyle="1" w:styleId="100">
    <w:name w:val="标题 7 Char"/>
    <w:basedOn w:val="57"/>
    <w:link w:val="8"/>
    <w:qFormat/>
    <w:uiPriority w:val="0"/>
    <w:rPr>
      <w:rFonts w:ascii="Times New Roman" w:hAnsi="Times New Roman" w:cs="Times New Roman"/>
      <w:b/>
      <w:bCs/>
      <w:kern w:val="2"/>
      <w:sz w:val="30"/>
      <w:szCs w:val="18"/>
      <w:lang w:val="zh-CN" w:eastAsia="zh-CN"/>
    </w:rPr>
  </w:style>
  <w:style w:type="character" w:customStyle="1" w:styleId="101">
    <w:name w:val="标题 8 Char"/>
    <w:basedOn w:val="57"/>
    <w:link w:val="9"/>
    <w:qFormat/>
    <w:uiPriority w:val="0"/>
    <w:rPr>
      <w:rFonts w:eastAsia="黑体" w:cs="Times New Roman"/>
      <w:kern w:val="2"/>
      <w:sz w:val="32"/>
      <w:szCs w:val="32"/>
      <w:lang w:val="zh-CN" w:eastAsia="zh-CN"/>
    </w:rPr>
  </w:style>
  <w:style w:type="character" w:customStyle="1" w:styleId="102">
    <w:name w:val="标题 9 Char"/>
    <w:basedOn w:val="57"/>
    <w:link w:val="10"/>
    <w:qFormat/>
    <w:uiPriority w:val="0"/>
    <w:rPr>
      <w:rFonts w:ascii="Cambria" w:hAnsi="Cambria" w:cs="Times New Roman"/>
      <w:kern w:val="2"/>
      <w:sz w:val="21"/>
      <w:szCs w:val="21"/>
      <w:lang w:val="zh-CN" w:eastAsia="zh-CN"/>
    </w:rPr>
  </w:style>
  <w:style w:type="character" w:customStyle="1" w:styleId="103">
    <w:name w:val="纯文本 Char2"/>
    <w:autoRedefine/>
    <w:qFormat/>
    <w:uiPriority w:val="0"/>
    <w:rPr>
      <w:rFonts w:ascii="宋体" w:hAnsi="Courier New"/>
    </w:rPr>
  </w:style>
  <w:style w:type="table" w:customStyle="1" w:styleId="104">
    <w:name w:val="网格型3"/>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5">
    <w:name w:val="网格表 1 浅色11"/>
    <w:basedOn w:val="55"/>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6">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7">
    <w:name w:val="正文文本缩进 Char"/>
    <w:basedOn w:val="57"/>
    <w:link w:val="20"/>
    <w:autoRedefine/>
    <w:qFormat/>
    <w:uiPriority w:val="0"/>
    <w:rPr>
      <w:rFonts w:asciiTheme="minorHAnsi" w:hAnsiTheme="minorHAnsi"/>
      <w:kern w:val="2"/>
      <w:sz w:val="21"/>
      <w:szCs w:val="22"/>
    </w:rPr>
  </w:style>
  <w:style w:type="paragraph" w:customStyle="1" w:styleId="108">
    <w:name w:val="Char"/>
    <w:basedOn w:val="1"/>
    <w:qFormat/>
    <w:uiPriority w:val="0"/>
    <w:rPr>
      <w:rFonts w:ascii="Tahoma" w:hAnsi="Tahoma" w:cs="Times New Roman"/>
      <w:sz w:val="24"/>
    </w:rPr>
  </w:style>
  <w:style w:type="character" w:customStyle="1" w:styleId="109">
    <w:name w:val="脚注文本 Char"/>
    <w:basedOn w:val="57"/>
    <w:link w:val="43"/>
    <w:autoRedefine/>
    <w:qFormat/>
    <w:uiPriority w:val="0"/>
    <w:rPr>
      <w:rFonts w:ascii="Times New Roman" w:hAnsi="Times New Roman" w:cs="Times New Roman"/>
      <w:kern w:val="2"/>
      <w:sz w:val="18"/>
      <w:szCs w:val="18"/>
      <w:lang w:val="zh-CN" w:eastAsia="zh-CN"/>
    </w:rPr>
  </w:style>
  <w:style w:type="paragraph" w:customStyle="1" w:styleId="110">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1">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2">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3">
    <w:name w:val="称呼 Char"/>
    <w:basedOn w:val="57"/>
    <w:link w:val="17"/>
    <w:autoRedefine/>
    <w:qFormat/>
    <w:uiPriority w:val="0"/>
    <w:rPr>
      <w:rFonts w:ascii="仿宋_GB2312" w:hAnsi="Times New Roman" w:eastAsia="仿宋_GB2312" w:cs="Times New Roman"/>
      <w:kern w:val="2"/>
      <w:sz w:val="28"/>
      <w:lang w:val="zh-CN" w:eastAsia="zh-CN"/>
    </w:rPr>
  </w:style>
  <w:style w:type="paragraph" w:customStyle="1" w:styleId="114">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5">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0">
    <w:name w:val="Normal_3"/>
    <w:qFormat/>
    <w:uiPriority w:val="0"/>
    <w:rPr>
      <w:rFonts w:ascii="Times New Roman" w:hAnsi="Times New Roman" w:eastAsia="Times New Roman" w:cs="Times New Roman"/>
      <w:sz w:val="24"/>
      <w:szCs w:val="24"/>
      <w:lang w:val="en-US" w:eastAsia="zh-CN" w:bidi="ar-SA"/>
    </w:rPr>
  </w:style>
  <w:style w:type="paragraph" w:customStyle="1" w:styleId="121">
    <w:name w:val="Char Char Char Char Char Char"/>
    <w:basedOn w:val="1"/>
    <w:autoRedefine/>
    <w:qFormat/>
    <w:uiPriority w:val="0"/>
    <w:rPr>
      <w:rFonts w:ascii="Tahoma" w:hAnsi="Tahoma" w:cs="Times New Roman"/>
      <w:kern w:val="2"/>
      <w:sz w:val="24"/>
    </w:rPr>
  </w:style>
  <w:style w:type="paragraph" w:customStyle="1" w:styleId="122">
    <w:name w:val="Blockquote"/>
    <w:basedOn w:val="1"/>
    <w:link w:val="123"/>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3">
    <w:name w:val="Blockquote Char"/>
    <w:link w:val="122"/>
    <w:autoRedefine/>
    <w:qFormat/>
    <w:uiPriority w:val="0"/>
    <w:rPr>
      <w:rFonts w:ascii="Times New Roman" w:hAnsi="Times New Roman" w:cs="Times New Roman"/>
      <w:sz w:val="24"/>
      <w:lang w:val="zh-CN" w:eastAsia="zh-CN"/>
    </w:rPr>
  </w:style>
  <w:style w:type="paragraph" w:customStyle="1" w:styleId="124">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5">
    <w:name w:val="样式1"/>
    <w:basedOn w:val="1"/>
    <w:next w:val="5"/>
    <w:qFormat/>
    <w:uiPriority w:val="0"/>
    <w:pPr>
      <w:spacing w:line="360" w:lineRule="auto"/>
      <w:ind w:firstLine="420" w:firstLineChars="200"/>
    </w:pPr>
    <w:rPr>
      <w:rFonts w:cs="Times New Roman"/>
      <w:kern w:val="2"/>
      <w:sz w:val="21"/>
      <w:szCs w:val="21"/>
    </w:rPr>
  </w:style>
  <w:style w:type="character" w:customStyle="1" w:styleId="126">
    <w:name w:val="tdrownotice1"/>
    <w:qFormat/>
    <w:uiPriority w:val="0"/>
    <w:rPr>
      <w:sz w:val="22"/>
    </w:rPr>
  </w:style>
  <w:style w:type="paragraph" w:customStyle="1" w:styleId="127">
    <w:name w:val="段落2"/>
    <w:basedOn w:val="1"/>
    <w:qFormat/>
    <w:uiPriority w:val="0"/>
    <w:pPr>
      <w:spacing w:line="360" w:lineRule="auto"/>
      <w:ind w:firstLine="480" w:firstLineChars="200"/>
    </w:pPr>
    <w:rPr>
      <w:rFonts w:ascii="Calibri" w:hAnsi="Calibri" w:cs="Courier New"/>
      <w:kern w:val="2"/>
      <w:sz w:val="24"/>
      <w:szCs w:val="21"/>
    </w:rPr>
  </w:style>
  <w:style w:type="character" w:customStyle="1" w:styleId="128">
    <w:name w:val="正文文本缩进 3 Char"/>
    <w:basedOn w:val="57"/>
    <w:link w:val="45"/>
    <w:qFormat/>
    <w:uiPriority w:val="0"/>
    <w:rPr>
      <w:rFonts w:hAnsi="MS Sans Serif" w:cs="Times New Roman"/>
      <w:bCs/>
      <w:color w:val="000000"/>
      <w:sz w:val="24"/>
      <w:lang w:val="zh-CN" w:eastAsia="zh-CN"/>
    </w:rPr>
  </w:style>
  <w:style w:type="character" w:customStyle="1" w:styleId="129">
    <w:name w:val="正文文本缩进 2 Char"/>
    <w:basedOn w:val="57"/>
    <w:link w:val="31"/>
    <w:autoRedefine/>
    <w:qFormat/>
    <w:uiPriority w:val="0"/>
    <w:rPr>
      <w:rFonts w:hAnsi="MS Sans Serif" w:cs="Times New Roman"/>
      <w:bCs/>
      <w:spacing w:val="12"/>
      <w:sz w:val="24"/>
      <w:lang w:val="zh-CN" w:eastAsia="zh-CN"/>
    </w:rPr>
  </w:style>
  <w:style w:type="paragraph" w:customStyle="1" w:styleId="130">
    <w:name w:val="目录"/>
    <w:basedOn w:val="1"/>
    <w:qFormat/>
    <w:uiPriority w:val="0"/>
    <w:pPr>
      <w:widowControl/>
      <w:jc w:val="center"/>
    </w:pPr>
    <w:rPr>
      <w:rFonts w:hAnsi="Calibri" w:cs="Times New Roman"/>
      <w:b/>
      <w:sz w:val="36"/>
    </w:rPr>
  </w:style>
  <w:style w:type="paragraph" w:customStyle="1" w:styleId="131">
    <w:name w:val="目录文字"/>
    <w:basedOn w:val="1"/>
    <w:autoRedefine/>
    <w:qFormat/>
    <w:uiPriority w:val="0"/>
    <w:pPr>
      <w:widowControl/>
      <w:spacing w:line="480" w:lineRule="auto"/>
      <w:jc w:val="left"/>
    </w:pPr>
    <w:rPr>
      <w:rFonts w:cs="Times New Roman"/>
      <w:sz w:val="24"/>
    </w:rPr>
  </w:style>
  <w:style w:type="character" w:customStyle="1" w:styleId="132">
    <w:name w:val="正文文本 2 Char"/>
    <w:basedOn w:val="57"/>
    <w:link w:val="48"/>
    <w:qFormat/>
    <w:uiPriority w:val="0"/>
    <w:rPr>
      <w:rFonts w:hAnsi="Times New Roman" w:cs="Times New Roman"/>
      <w:spacing w:val="-20"/>
      <w:kern w:val="2"/>
      <w:sz w:val="28"/>
      <w:lang w:val="zh-CN" w:eastAsia="zh-CN"/>
    </w:rPr>
  </w:style>
  <w:style w:type="character" w:customStyle="1" w:styleId="133">
    <w:name w:val="正文文本 3 Char"/>
    <w:basedOn w:val="57"/>
    <w:link w:val="18"/>
    <w:autoRedefine/>
    <w:qFormat/>
    <w:uiPriority w:val="0"/>
    <w:rPr>
      <w:rFonts w:ascii="仿宋_GB2312" w:eastAsia="仿宋_GB2312" w:cs="Times New Roman"/>
      <w:bCs/>
      <w:color w:val="000000"/>
      <w:kern w:val="2"/>
      <w:sz w:val="24"/>
      <w:szCs w:val="32"/>
      <w:lang w:val="zh-CN" w:eastAsia="zh-CN"/>
    </w:rPr>
  </w:style>
  <w:style w:type="paragraph" w:customStyle="1" w:styleId="13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5">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6">
    <w:name w:val="标题 Char"/>
    <w:basedOn w:val="57"/>
    <w:link w:val="52"/>
    <w:autoRedefine/>
    <w:qFormat/>
    <w:uiPriority w:val="0"/>
    <w:rPr>
      <w:rFonts w:eastAsia="黑体" w:cs="Times New Roman"/>
      <w:b/>
      <w:smallCaps/>
      <w:snapToGrid w:val="0"/>
      <w:kern w:val="2"/>
      <w:sz w:val="44"/>
      <w:szCs w:val="24"/>
      <w:lang w:val="zh-CN" w:eastAsia="zh-CN"/>
    </w:rPr>
  </w:style>
  <w:style w:type="paragraph" w:customStyle="1" w:styleId="137">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8">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39">
    <w:name w:val="简单回函地址"/>
    <w:basedOn w:val="1"/>
    <w:autoRedefine/>
    <w:qFormat/>
    <w:uiPriority w:val="0"/>
    <w:rPr>
      <w:rFonts w:ascii="Calibri" w:hAnsi="Calibri" w:cs="Times New Roman"/>
      <w:kern w:val="2"/>
      <w:sz w:val="21"/>
      <w:szCs w:val="22"/>
    </w:rPr>
  </w:style>
  <w:style w:type="paragraph" w:customStyle="1" w:styleId="140">
    <w:name w:val="Char Char Char Char"/>
    <w:basedOn w:val="1"/>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1">
    <w:name w:val="Default Paragraph Char Char Char Char"/>
    <w:basedOn w:val="1"/>
    <w:next w:val="1"/>
    <w:qFormat/>
    <w:uiPriority w:val="0"/>
    <w:pPr>
      <w:widowControl/>
      <w:spacing w:line="360" w:lineRule="auto"/>
      <w:jc w:val="left"/>
    </w:pPr>
    <w:rPr>
      <w:rFonts w:ascii="Calibri" w:hAnsi="Calibri" w:cs="Times New Roman"/>
      <w:sz w:val="21"/>
      <w:lang w:eastAsia="en-US"/>
    </w:rPr>
  </w:style>
  <w:style w:type="character" w:customStyle="1" w:styleId="142">
    <w:name w:val="t_tag"/>
    <w:basedOn w:val="57"/>
    <w:autoRedefine/>
    <w:qFormat/>
    <w:uiPriority w:val="0"/>
  </w:style>
  <w:style w:type="table" w:customStyle="1" w:styleId="143">
    <w:name w:val="网格型11"/>
    <w:basedOn w:val="55"/>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4">
    <w:name w:val="批注框文本 Char1"/>
    <w:basedOn w:val="57"/>
    <w:autoRedefine/>
    <w:qFormat/>
    <w:uiPriority w:val="0"/>
    <w:rPr>
      <w:rFonts w:ascii="Times New Roman" w:hAnsi="Times New Roman" w:eastAsia="宋体" w:cs="Times New Roman"/>
      <w:sz w:val="18"/>
      <w:szCs w:val="18"/>
    </w:rPr>
  </w:style>
  <w:style w:type="character" w:customStyle="1" w:styleId="145">
    <w:name w:val="批注主题 Char1"/>
    <w:basedOn w:val="83"/>
    <w:autoRedefine/>
    <w:qFormat/>
    <w:uiPriority w:val="0"/>
    <w:rPr>
      <w:rFonts w:ascii="@仿宋_GB2312" w:hAnsi="@仿宋_GB2312" w:eastAsia="@仿宋_GB2312" w:cs="@仿宋_GB2312"/>
      <w:b/>
      <w:bCs/>
      <w:szCs w:val="20"/>
    </w:rPr>
  </w:style>
  <w:style w:type="paragraph" w:customStyle="1" w:styleId="146">
    <w:name w:val="Char10 Char Char Char Char Char Char Char Char Char"/>
    <w:basedOn w:val="1"/>
    <w:next w:val="1"/>
    <w:qFormat/>
    <w:uiPriority w:val="0"/>
    <w:rPr>
      <w:rFonts w:ascii="Calibri" w:hAnsi="Calibri" w:cs="Times New Roman"/>
      <w:kern w:val="2"/>
      <w:sz w:val="21"/>
      <w:szCs w:val="22"/>
    </w:rPr>
  </w:style>
  <w:style w:type="character" w:customStyle="1" w:styleId="147">
    <w:name w:val="文档结构图 Char"/>
    <w:basedOn w:val="57"/>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8">
    <w:name w:val="标题 1 Char1"/>
    <w:qFormat/>
    <w:uiPriority w:val="0"/>
    <w:rPr>
      <w:rFonts w:ascii="Calibri" w:hAnsi="Calibri" w:eastAsia="宋体"/>
      <w:b/>
      <w:kern w:val="44"/>
      <w:sz w:val="44"/>
      <w:szCs w:val="44"/>
    </w:rPr>
  </w:style>
  <w:style w:type="character" w:customStyle="1" w:styleId="149">
    <w:name w:val="标题 3 Char1"/>
    <w:semiHidden/>
    <w:qFormat/>
    <w:uiPriority w:val="0"/>
    <w:rPr>
      <w:rFonts w:ascii="Calibri" w:hAnsi="Calibri" w:eastAsia="宋体"/>
      <w:b/>
      <w:kern w:val="2"/>
      <w:sz w:val="32"/>
    </w:rPr>
  </w:style>
  <w:style w:type="character" w:customStyle="1" w:styleId="150">
    <w:name w:val="标题 4 Char1"/>
    <w:semiHidden/>
    <w:qFormat/>
    <w:uiPriority w:val="0"/>
    <w:rPr>
      <w:rFonts w:ascii="Cambria" w:hAnsi="Cambria" w:eastAsia="宋体"/>
      <w:b/>
      <w:kern w:val="2"/>
      <w:sz w:val="28"/>
      <w:szCs w:val="28"/>
    </w:rPr>
  </w:style>
  <w:style w:type="character" w:customStyle="1" w:styleId="151">
    <w:name w:val="标题 5 Char1"/>
    <w:autoRedefine/>
    <w:semiHidden/>
    <w:qFormat/>
    <w:uiPriority w:val="0"/>
    <w:rPr>
      <w:rFonts w:ascii="Calibri" w:hAnsi="Calibri" w:eastAsia="宋体"/>
      <w:b/>
      <w:kern w:val="2"/>
      <w:sz w:val="28"/>
      <w:szCs w:val="28"/>
    </w:rPr>
  </w:style>
  <w:style w:type="character" w:customStyle="1" w:styleId="152">
    <w:name w:val="标题 6 Char1"/>
    <w:autoRedefine/>
    <w:semiHidden/>
    <w:qFormat/>
    <w:uiPriority w:val="0"/>
    <w:rPr>
      <w:rFonts w:ascii="Cambria" w:hAnsi="Cambria" w:eastAsia="宋体"/>
      <w:b/>
      <w:kern w:val="2"/>
      <w:sz w:val="24"/>
      <w:szCs w:val="24"/>
    </w:rPr>
  </w:style>
  <w:style w:type="character" w:customStyle="1" w:styleId="153">
    <w:name w:val="标题 7 Char1"/>
    <w:semiHidden/>
    <w:qFormat/>
    <w:uiPriority w:val="0"/>
    <w:rPr>
      <w:rFonts w:ascii="Calibri" w:hAnsi="Calibri" w:eastAsia="宋体"/>
      <w:b/>
      <w:kern w:val="2"/>
      <w:sz w:val="24"/>
      <w:szCs w:val="24"/>
    </w:rPr>
  </w:style>
  <w:style w:type="character" w:customStyle="1" w:styleId="154">
    <w:name w:val="标题 8 Char1"/>
    <w:autoRedefine/>
    <w:semiHidden/>
    <w:qFormat/>
    <w:uiPriority w:val="0"/>
    <w:rPr>
      <w:rFonts w:ascii="Cambria" w:hAnsi="Cambria" w:eastAsia="宋体"/>
      <w:kern w:val="2"/>
      <w:sz w:val="24"/>
      <w:szCs w:val="24"/>
    </w:rPr>
  </w:style>
  <w:style w:type="character" w:customStyle="1" w:styleId="155">
    <w:name w:val="标题 9 Char1"/>
    <w:semiHidden/>
    <w:qFormat/>
    <w:uiPriority w:val="0"/>
    <w:rPr>
      <w:rFonts w:ascii="Cambria" w:hAnsi="Cambria" w:eastAsia="宋体"/>
      <w:kern w:val="2"/>
      <w:sz w:val="21"/>
      <w:szCs w:val="21"/>
    </w:rPr>
  </w:style>
  <w:style w:type="paragraph" w:customStyle="1" w:styleId="156">
    <w:name w:val="MsoNormal"/>
    <w:basedOn w:val="157"/>
    <w:autoRedefine/>
    <w:qFormat/>
    <w:uiPriority w:val="0"/>
    <w:rPr>
      <w:rFonts w:ascii="Calibri" w:hAnsi="Calibri" w:eastAsia="Calibri"/>
      <w:sz w:val="21"/>
    </w:rPr>
  </w:style>
  <w:style w:type="paragraph" w:customStyle="1" w:styleId="157">
    <w:name w:val="Normal_0"/>
    <w:autoRedefine/>
    <w:qFormat/>
    <w:uiPriority w:val="0"/>
    <w:rPr>
      <w:rFonts w:ascii="Times New Roman" w:hAnsi="Times New Roman" w:eastAsia="宋体" w:cs="Times New Roman"/>
      <w:sz w:val="24"/>
      <w:szCs w:val="24"/>
      <w:lang w:val="en-US" w:eastAsia="zh-CN" w:bidi="ar-SA"/>
    </w:rPr>
  </w:style>
  <w:style w:type="paragraph" w:customStyle="1" w:styleId="158">
    <w:name w:val="标题 2_0"/>
    <w:basedOn w:val="159"/>
    <w:next w:val="160"/>
    <w:link w:val="161"/>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59">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1">
    <w:name w:val="标题 2 Char_0"/>
    <w:link w:val="158"/>
    <w:qFormat/>
    <w:uiPriority w:val="0"/>
    <w:rPr>
      <w:rFonts w:ascii="黑体" w:eastAsia="黑体" w:cs="Times New Roman"/>
      <w:b/>
      <w:smallCaps/>
      <w:snapToGrid w:val="0"/>
      <w:sz w:val="36"/>
      <w:szCs w:val="24"/>
      <w:lang w:val="zh-CN" w:eastAsia="zh-CN"/>
    </w:rPr>
  </w:style>
  <w:style w:type="paragraph" w:customStyle="1" w:styleId="162">
    <w:name w:val="纯文本_0"/>
    <w:basedOn w:val="160"/>
    <w:link w:val="163"/>
    <w:qFormat/>
    <w:uiPriority w:val="99"/>
    <w:rPr>
      <w:rFonts w:ascii="宋体" w:hAnsi="Courier New"/>
      <w:szCs w:val="21"/>
    </w:rPr>
  </w:style>
  <w:style w:type="character" w:customStyle="1" w:styleId="163">
    <w:name w:val="Texte Char1"/>
    <w:link w:val="162"/>
    <w:autoRedefine/>
    <w:qFormat/>
    <w:uiPriority w:val="99"/>
    <w:rPr>
      <w:rFonts w:hAnsi="Courier New" w:cs="Times New Roman"/>
      <w:kern w:val="2"/>
      <w:sz w:val="21"/>
      <w:szCs w:val="21"/>
    </w:rPr>
  </w:style>
  <w:style w:type="paragraph" w:customStyle="1" w:styleId="164">
    <w:name w:val="纯文本_1"/>
    <w:basedOn w:val="165"/>
    <w:link w:val="166"/>
    <w:autoRedefine/>
    <w:qFormat/>
    <w:uiPriority w:val="0"/>
    <w:rPr>
      <w:rFonts w:ascii="宋体" w:hAnsi="Courier New"/>
      <w:szCs w:val="21"/>
      <w:lang w:val="zh-CN"/>
    </w:rPr>
  </w:style>
  <w:style w:type="paragraph" w:customStyle="1" w:styleId="165">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6">
    <w:name w:val="纯文本 Char1_0"/>
    <w:link w:val="164"/>
    <w:qFormat/>
    <w:uiPriority w:val="0"/>
    <w:rPr>
      <w:rFonts w:hAnsi="Courier New" w:cs="Times New Roman"/>
      <w:kern w:val="2"/>
      <w:sz w:val="21"/>
      <w:szCs w:val="21"/>
      <w:lang w:val="zh-CN" w:eastAsia="zh-CN"/>
    </w:rPr>
  </w:style>
  <w:style w:type="paragraph" w:customStyle="1" w:styleId="167">
    <w:name w:val="标题 3_0"/>
    <w:basedOn w:val="168"/>
    <w:next w:val="169"/>
    <w:link w:val="180"/>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8">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正文缩进_0"/>
    <w:basedOn w:val="168"/>
    <w:autoRedefine/>
    <w:unhideWhenUsed/>
    <w:qFormat/>
    <w:uiPriority w:val="0"/>
    <w:pPr>
      <w:ind w:firstLine="420" w:firstLineChars="200"/>
    </w:pPr>
    <w:rPr>
      <w:rFonts w:ascii="Calibri" w:hAnsi="Calibri"/>
      <w:bCs/>
      <w:szCs w:val="32"/>
    </w:rPr>
  </w:style>
  <w:style w:type="paragraph" w:customStyle="1" w:styleId="170">
    <w:name w:val="标题 1_0"/>
    <w:basedOn w:val="168"/>
    <w:next w:val="168"/>
    <w:link w:val="171"/>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1">
    <w:name w:val="标题 1 Char_0"/>
    <w:link w:val="170"/>
    <w:qFormat/>
    <w:uiPriority w:val="0"/>
    <w:rPr>
      <w:rFonts w:ascii="黑体" w:hAnsi="Times New Roman" w:eastAsia="黑体" w:cs="Times New Roman"/>
      <w:sz w:val="52"/>
      <w:lang w:val="zh-CN" w:eastAsia="zh-CN"/>
    </w:rPr>
  </w:style>
  <w:style w:type="paragraph" w:customStyle="1" w:styleId="172">
    <w:name w:val="标题 6_0"/>
    <w:basedOn w:val="168"/>
    <w:next w:val="168"/>
    <w:link w:val="173"/>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3">
    <w:name w:val="标题 6 Char_0"/>
    <w:link w:val="172"/>
    <w:qFormat/>
    <w:uiPriority w:val="0"/>
    <w:rPr>
      <w:rFonts w:ascii="Arial" w:hAnsi="Arial" w:eastAsia="黑体" w:cs="Times New Roman"/>
      <w:b/>
      <w:bCs/>
      <w:sz w:val="24"/>
      <w:szCs w:val="24"/>
      <w:lang w:val="zh-CN" w:eastAsia="zh-CN"/>
    </w:rPr>
  </w:style>
  <w:style w:type="paragraph" w:customStyle="1" w:styleId="174">
    <w:name w:val="标题 7_0"/>
    <w:basedOn w:val="168"/>
    <w:next w:val="168"/>
    <w:link w:val="175"/>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5">
    <w:name w:val="标题 7 Char_0"/>
    <w:link w:val="174"/>
    <w:autoRedefine/>
    <w:qFormat/>
    <w:uiPriority w:val="0"/>
    <w:rPr>
      <w:rFonts w:ascii="Times New Roman" w:hAnsi="Times New Roman" w:cs="Times New Roman"/>
      <w:b/>
      <w:bCs/>
      <w:sz w:val="24"/>
      <w:szCs w:val="24"/>
      <w:lang w:val="zh-CN" w:eastAsia="zh-CN"/>
    </w:rPr>
  </w:style>
  <w:style w:type="paragraph" w:customStyle="1" w:styleId="176">
    <w:name w:val="标题 8_0"/>
    <w:basedOn w:val="168"/>
    <w:next w:val="168"/>
    <w:link w:val="177"/>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7">
    <w:name w:val="标题 8 Char_0"/>
    <w:link w:val="176"/>
    <w:autoRedefine/>
    <w:qFormat/>
    <w:uiPriority w:val="0"/>
    <w:rPr>
      <w:rFonts w:ascii="Arial" w:hAnsi="Arial" w:eastAsia="黑体" w:cs="Times New Roman"/>
      <w:sz w:val="24"/>
      <w:szCs w:val="24"/>
      <w:lang w:val="zh-CN" w:eastAsia="zh-CN"/>
    </w:rPr>
  </w:style>
  <w:style w:type="paragraph" w:customStyle="1" w:styleId="178">
    <w:name w:val="标题 9_0"/>
    <w:basedOn w:val="168"/>
    <w:next w:val="168"/>
    <w:link w:val="179"/>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79">
    <w:name w:val="标题 9 Char_0"/>
    <w:link w:val="178"/>
    <w:qFormat/>
    <w:uiPriority w:val="0"/>
    <w:rPr>
      <w:rFonts w:ascii="Arial" w:hAnsi="Arial" w:eastAsia="黑体" w:cs="Times New Roman"/>
      <w:sz w:val="21"/>
      <w:szCs w:val="21"/>
      <w:lang w:val="zh-CN" w:eastAsia="zh-CN"/>
    </w:rPr>
  </w:style>
  <w:style w:type="character" w:customStyle="1" w:styleId="180">
    <w:name w:val="标题 3 Char_0"/>
    <w:link w:val="167"/>
    <w:autoRedefine/>
    <w:qFormat/>
    <w:uiPriority w:val="0"/>
    <w:rPr>
      <w:rFonts w:ascii="Times New Roman" w:hAnsi="Times New Roman" w:cs="Times New Roman"/>
      <w:b/>
      <w:sz w:val="32"/>
      <w:lang w:val="zh-CN" w:eastAsia="zh-CN"/>
    </w:rPr>
  </w:style>
  <w:style w:type="paragraph" w:customStyle="1" w:styleId="181">
    <w:name w:val="Blockquote_0"/>
    <w:basedOn w:val="168"/>
    <w:link w:val="182"/>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2">
    <w:name w:val="Blockquote Char_0"/>
    <w:link w:val="181"/>
    <w:autoRedefine/>
    <w:qFormat/>
    <w:locked/>
    <w:uiPriority w:val="0"/>
    <w:rPr>
      <w:rFonts w:ascii="Times New Roman" w:hAnsi="Times New Roman" w:cs="Times New Roman"/>
      <w:sz w:val="24"/>
      <w:lang w:val="zh-CN" w:eastAsia="zh-CN"/>
    </w:rPr>
  </w:style>
  <w:style w:type="paragraph" w:customStyle="1" w:styleId="183">
    <w:name w:val="标题 4_0"/>
    <w:basedOn w:val="168"/>
    <w:next w:val="168"/>
    <w:link w:val="184"/>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4">
    <w:name w:val="标题 4 Char_0"/>
    <w:link w:val="183"/>
    <w:autoRedefine/>
    <w:qFormat/>
    <w:uiPriority w:val="0"/>
    <w:rPr>
      <w:rFonts w:ascii="Arial" w:hAnsi="Arial" w:eastAsia="黑体" w:cs="Times New Roman"/>
      <w:sz w:val="28"/>
      <w:lang w:val="zh-CN" w:eastAsia="zh-CN"/>
    </w:rPr>
  </w:style>
  <w:style w:type="paragraph" w:customStyle="1" w:styleId="185">
    <w:name w:val="纯文本_2"/>
    <w:basedOn w:val="168"/>
    <w:link w:val="186"/>
    <w:qFormat/>
    <w:uiPriority w:val="0"/>
    <w:rPr>
      <w:rFonts w:ascii="宋体" w:hAnsi="Courier New"/>
      <w:szCs w:val="21"/>
      <w:lang w:val="zh-CN"/>
    </w:rPr>
  </w:style>
  <w:style w:type="character" w:customStyle="1" w:styleId="186">
    <w:name w:val="纯文本 Char1_1"/>
    <w:link w:val="185"/>
    <w:autoRedefine/>
    <w:qFormat/>
    <w:uiPriority w:val="0"/>
    <w:rPr>
      <w:rFonts w:hAnsi="Courier New" w:cs="Times New Roman"/>
      <w:kern w:val="2"/>
      <w:sz w:val="21"/>
      <w:szCs w:val="21"/>
      <w:lang w:val="zh-CN" w:eastAsia="zh-CN"/>
    </w:rPr>
  </w:style>
  <w:style w:type="paragraph" w:customStyle="1" w:styleId="187">
    <w:name w:val="Blockquote_0_1"/>
    <w:basedOn w:val="188"/>
    <w:link w:val="189"/>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8">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9">
    <w:name w:val="Blockquote Char_0_1"/>
    <w:link w:val="187"/>
    <w:autoRedefine/>
    <w:qFormat/>
    <w:locked/>
    <w:uiPriority w:val="0"/>
    <w:rPr>
      <w:rFonts w:ascii="Times New Roman" w:hAnsi="Times New Roman" w:cs="Times New Roman"/>
      <w:sz w:val="24"/>
      <w:lang w:val="zh-CN" w:eastAsia="zh-CN"/>
    </w:rPr>
  </w:style>
  <w:style w:type="paragraph" w:customStyle="1" w:styleId="190">
    <w:name w:val="正文文本_0"/>
    <w:basedOn w:val="168"/>
    <w:link w:val="191"/>
    <w:autoRedefine/>
    <w:qFormat/>
    <w:uiPriority w:val="0"/>
    <w:pPr>
      <w:spacing w:after="120"/>
    </w:pPr>
    <w:rPr>
      <w:lang w:val="zh-CN"/>
    </w:rPr>
  </w:style>
  <w:style w:type="character" w:customStyle="1" w:styleId="191">
    <w:name w:val="正文文本 Char_0"/>
    <w:link w:val="190"/>
    <w:qFormat/>
    <w:uiPriority w:val="0"/>
    <w:rPr>
      <w:rFonts w:ascii="Times New Roman" w:hAnsi="Times New Roman" w:cs="Times New Roman"/>
      <w:kern w:val="2"/>
      <w:sz w:val="21"/>
      <w:szCs w:val="24"/>
      <w:lang w:val="zh-CN" w:eastAsia="zh-CN"/>
    </w:rPr>
  </w:style>
  <w:style w:type="paragraph" w:customStyle="1" w:styleId="192">
    <w:name w:val="普通(网站)_0"/>
    <w:basedOn w:val="168"/>
    <w:qFormat/>
    <w:uiPriority w:val="0"/>
    <w:pPr>
      <w:widowControl/>
      <w:spacing w:before="100" w:beforeAutospacing="1" w:after="100" w:afterAutospacing="1"/>
      <w:jc w:val="left"/>
    </w:pPr>
    <w:rPr>
      <w:rFonts w:ascii="宋体" w:hAnsi="宋体"/>
      <w:kern w:val="0"/>
      <w:sz w:val="24"/>
    </w:rPr>
  </w:style>
  <w:style w:type="paragraph" w:customStyle="1" w:styleId="19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5">
    <w:name w:val="脚注文本_0"/>
    <w:basedOn w:val="116"/>
    <w:link w:val="196"/>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6">
    <w:name w:val="脚注文本 Char_0"/>
    <w:link w:val="195"/>
    <w:qFormat/>
    <w:uiPriority w:val="0"/>
    <w:rPr>
      <w:rFonts w:ascii="Times New Roman" w:hAnsi="Times New Roman" w:cs="Times New Roman"/>
      <w:sz w:val="18"/>
      <w:lang w:val="zh-CN" w:eastAsia="zh-CN"/>
    </w:rPr>
  </w:style>
  <w:style w:type="paragraph" w:customStyle="1" w:styleId="197">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19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3">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8">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09">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0">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5">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6">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7">
    <w:name w:val="xl45"/>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18">
    <w:name w:val="font6"/>
    <w:basedOn w:val="1"/>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19">
    <w:name w:val="Char Char Char Char Char"/>
    <w:basedOn w:val="1"/>
    <w:autoRedefine/>
    <w:qFormat/>
    <w:uiPriority w:val="0"/>
    <w:rPr>
      <w:rFonts w:ascii="Tahoma" w:hAnsi="Tahoma" w:cs="Times New Roman"/>
      <w:kern w:val="2"/>
      <w:sz w:val="24"/>
    </w:rPr>
  </w:style>
  <w:style w:type="paragraph" w:customStyle="1" w:styleId="220">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1">
    <w:name w:val="副标题 Char"/>
    <w:basedOn w:val="57"/>
    <w:link w:val="41"/>
    <w:qFormat/>
    <w:uiPriority w:val="0"/>
    <w:rPr>
      <w:rFonts w:ascii="Arial" w:hAnsi="Arial" w:cs="Times New Roman"/>
      <w:b/>
      <w:bCs/>
      <w:kern w:val="28"/>
      <w:sz w:val="32"/>
      <w:szCs w:val="32"/>
      <w:lang w:val="zh-CN" w:eastAsia="zh-CN"/>
    </w:rPr>
  </w:style>
  <w:style w:type="character" w:customStyle="1" w:styleId="222">
    <w:name w:val="Char Char"/>
    <w:autoRedefine/>
    <w:qFormat/>
    <w:uiPriority w:val="0"/>
    <w:rPr>
      <w:rFonts w:ascii="宋体" w:hAnsi="Courier New" w:eastAsia="宋体" w:cs="Courier New"/>
      <w:kern w:val="2"/>
      <w:sz w:val="21"/>
      <w:szCs w:val="21"/>
      <w:lang w:val="en-US" w:eastAsia="zh-CN" w:bidi="ar-SA"/>
    </w:rPr>
  </w:style>
  <w:style w:type="character" w:customStyle="1" w:styleId="223">
    <w:name w:val="标题4 Char Char"/>
    <w:link w:val="224"/>
    <w:autoRedefine/>
    <w:qFormat/>
    <w:uiPriority w:val="0"/>
    <w:rPr>
      <w:rFonts w:ascii="Arial" w:hAnsi="Arial"/>
      <w:b/>
      <w:bCs/>
      <w:sz w:val="24"/>
      <w:szCs w:val="32"/>
    </w:rPr>
  </w:style>
  <w:style w:type="paragraph" w:customStyle="1" w:styleId="224">
    <w:name w:val="标题4"/>
    <w:basedOn w:val="3"/>
    <w:next w:val="25"/>
    <w:link w:val="223"/>
    <w:qFormat/>
    <w:uiPriority w:val="0"/>
    <w:pPr>
      <w:spacing w:before="0" w:after="0" w:line="413" w:lineRule="auto"/>
    </w:pPr>
    <w:rPr>
      <w:rFonts w:ascii="Arial" w:hAnsi="Arial" w:cstheme="minorBidi"/>
      <w:kern w:val="0"/>
      <w:sz w:val="24"/>
      <w:lang w:val="en-US"/>
    </w:rPr>
  </w:style>
  <w:style w:type="character" w:customStyle="1" w:styleId="225">
    <w:name w:val="明显引用 Char"/>
    <w:link w:val="226"/>
    <w:autoRedefine/>
    <w:qFormat/>
    <w:uiPriority w:val="0"/>
    <w:rPr>
      <w:b/>
      <w:bCs/>
      <w:i/>
      <w:iCs/>
      <w:color w:val="4F81BD"/>
    </w:rPr>
  </w:style>
  <w:style w:type="paragraph" w:styleId="226">
    <w:name w:val="Intense Quote"/>
    <w:basedOn w:val="1"/>
    <w:next w:val="1"/>
    <w:link w:val="225"/>
    <w:qFormat/>
    <w:uiPriority w:val="0"/>
    <w:pPr>
      <w:pBdr>
        <w:bottom w:val="single" w:color="4F81BD" w:themeColor="accent1" w:sz="4" w:space="4"/>
      </w:pBdr>
      <w:spacing w:before="200" w:after="280"/>
      <w:ind w:left="936" w:right="936"/>
    </w:pPr>
    <w:rPr>
      <w:b/>
      <w:bCs/>
      <w:i/>
      <w:iCs/>
      <w:color w:val="4F81BD"/>
    </w:rPr>
  </w:style>
  <w:style w:type="paragraph" w:customStyle="1" w:styleId="227">
    <w:name w:val="明显引用1"/>
    <w:basedOn w:val="1"/>
    <w:next w:val="1"/>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8">
    <w:name w:val="明显引用 Char1"/>
    <w:basedOn w:val="57"/>
    <w:autoRedefine/>
    <w:qFormat/>
    <w:uiPriority w:val="30"/>
    <w:rPr>
      <w:rFonts w:ascii="Times New Roman" w:hAnsi="Times New Roman" w:eastAsia="宋体" w:cs="Times New Roman"/>
      <w:i/>
      <w:iCs/>
      <w:color w:val="5B9BD5"/>
      <w:szCs w:val="24"/>
    </w:rPr>
  </w:style>
  <w:style w:type="character" w:customStyle="1" w:styleId="229">
    <w:name w:val="标题5 Char Char"/>
    <w:link w:val="230"/>
    <w:qFormat/>
    <w:uiPriority w:val="0"/>
    <w:rPr>
      <w:rFonts w:ascii="Arial" w:hAnsi="Arial"/>
      <w:b/>
      <w:bCs/>
      <w:sz w:val="24"/>
      <w:szCs w:val="32"/>
    </w:rPr>
  </w:style>
  <w:style w:type="paragraph" w:customStyle="1" w:styleId="230">
    <w:name w:val="标题5"/>
    <w:basedOn w:val="4"/>
    <w:link w:val="229"/>
    <w:qFormat/>
    <w:uiPriority w:val="0"/>
    <w:pPr>
      <w:spacing w:line="413" w:lineRule="auto"/>
      <w:jc w:val="left"/>
    </w:pPr>
    <w:rPr>
      <w:rFonts w:ascii="Arial" w:hAnsi="Arial"/>
      <w:sz w:val="24"/>
    </w:rPr>
  </w:style>
  <w:style w:type="character" w:customStyle="1" w:styleId="231">
    <w:name w:val="引用 Char"/>
    <w:link w:val="232"/>
    <w:autoRedefine/>
    <w:qFormat/>
    <w:uiPriority w:val="0"/>
    <w:rPr>
      <w:i/>
      <w:iCs/>
      <w:color w:val="000000"/>
    </w:rPr>
  </w:style>
  <w:style w:type="paragraph" w:styleId="232">
    <w:name w:val="Quote"/>
    <w:basedOn w:val="1"/>
    <w:next w:val="1"/>
    <w:link w:val="231"/>
    <w:autoRedefine/>
    <w:qFormat/>
    <w:uiPriority w:val="0"/>
    <w:rPr>
      <w:i/>
      <w:iCs/>
      <w:color w:val="000000"/>
    </w:rPr>
  </w:style>
  <w:style w:type="paragraph" w:customStyle="1" w:styleId="233">
    <w:name w:val="引用1"/>
    <w:basedOn w:val="1"/>
    <w:next w:val="1"/>
    <w:qFormat/>
    <w:uiPriority w:val="0"/>
    <w:rPr>
      <w:rFonts w:ascii="Calibri" w:hAnsi="Calibri" w:cs="Times New Roman"/>
      <w:i/>
      <w:iCs/>
      <w:color w:val="000000"/>
      <w:kern w:val="2"/>
      <w:sz w:val="21"/>
      <w:szCs w:val="22"/>
    </w:rPr>
  </w:style>
  <w:style w:type="character" w:customStyle="1" w:styleId="234">
    <w:name w:val="引用 Char1"/>
    <w:basedOn w:val="57"/>
    <w:qFormat/>
    <w:uiPriority w:val="29"/>
    <w:rPr>
      <w:rFonts w:ascii="Times New Roman" w:hAnsi="Times New Roman" w:eastAsia="宋体" w:cs="Times New Roman"/>
      <w:i/>
      <w:iCs/>
      <w:color w:val="404040"/>
      <w:szCs w:val="24"/>
    </w:rPr>
  </w:style>
  <w:style w:type="character" w:customStyle="1" w:styleId="235">
    <w:name w:val="ask-title2"/>
    <w:autoRedefine/>
    <w:qFormat/>
    <w:uiPriority w:val="0"/>
  </w:style>
  <w:style w:type="character" w:customStyle="1" w:styleId="236">
    <w:name w:val="正文文本 Char1"/>
    <w:qFormat/>
    <w:uiPriority w:val="0"/>
    <w:rPr>
      <w:kern w:val="2"/>
      <w:sz w:val="21"/>
      <w:szCs w:val="22"/>
    </w:rPr>
  </w:style>
  <w:style w:type="character" w:customStyle="1" w:styleId="237">
    <w:name w:val="不明显强调1"/>
    <w:autoRedefine/>
    <w:qFormat/>
    <w:uiPriority w:val="0"/>
    <w:rPr>
      <w:i/>
      <w:iCs/>
      <w:color w:val="808080"/>
    </w:rPr>
  </w:style>
  <w:style w:type="character" w:customStyle="1" w:styleId="238">
    <w:name w:val="明显参考1"/>
    <w:autoRedefine/>
    <w:qFormat/>
    <w:uiPriority w:val="0"/>
    <w:rPr>
      <w:b/>
      <w:bCs/>
      <w:smallCaps/>
      <w:color w:val="C0504D"/>
      <w:spacing w:val="5"/>
      <w:u w:val="single"/>
    </w:rPr>
  </w:style>
  <w:style w:type="character" w:customStyle="1" w:styleId="239">
    <w:name w:val="书籍标题1"/>
    <w:qFormat/>
    <w:uiPriority w:val="0"/>
    <w:rPr>
      <w:b/>
      <w:bCs/>
      <w:smallCaps/>
      <w:spacing w:val="5"/>
    </w:rPr>
  </w:style>
  <w:style w:type="character" w:customStyle="1" w:styleId="240">
    <w:name w:val="日期 Char1"/>
    <w:qFormat/>
    <w:uiPriority w:val="0"/>
    <w:rPr>
      <w:kern w:val="2"/>
      <w:sz w:val="21"/>
      <w:szCs w:val="22"/>
    </w:rPr>
  </w:style>
  <w:style w:type="character" w:customStyle="1" w:styleId="241">
    <w:name w:val="明显强调1"/>
    <w:autoRedefine/>
    <w:qFormat/>
    <w:uiPriority w:val="0"/>
    <w:rPr>
      <w:b/>
      <w:bCs/>
      <w:i/>
      <w:iCs/>
      <w:color w:val="4F81BD"/>
    </w:rPr>
  </w:style>
  <w:style w:type="character" w:customStyle="1" w:styleId="242">
    <w:name w:val="textcontents"/>
    <w:qFormat/>
    <w:uiPriority w:val="0"/>
    <w:rPr>
      <w:rFonts w:cs="Times New Roman"/>
    </w:rPr>
  </w:style>
  <w:style w:type="character" w:customStyle="1" w:styleId="243">
    <w:name w:val="不明显参考1"/>
    <w:autoRedefine/>
    <w:qFormat/>
    <w:uiPriority w:val="0"/>
    <w:rPr>
      <w:smallCaps/>
      <w:color w:val="C0504D"/>
      <w:u w:val="single"/>
    </w:rPr>
  </w:style>
  <w:style w:type="character" w:customStyle="1" w:styleId="244">
    <w:name w:val="批注文字 Char Char"/>
    <w:autoRedefine/>
    <w:qFormat/>
    <w:uiPriority w:val="0"/>
    <w:rPr>
      <w:rFonts w:ascii="宋体" w:hAnsi="Times New Roman" w:eastAsia="宋体" w:cs="Times New Roman"/>
      <w:sz w:val="28"/>
      <w:szCs w:val="20"/>
    </w:rPr>
  </w:style>
  <w:style w:type="character" w:customStyle="1" w:styleId="245">
    <w:name w:val="文档结构图 Char1"/>
    <w:qFormat/>
    <w:uiPriority w:val="0"/>
    <w:rPr>
      <w:rFonts w:ascii="宋体"/>
      <w:kern w:val="2"/>
      <w:sz w:val="18"/>
      <w:szCs w:val="18"/>
    </w:rPr>
  </w:style>
  <w:style w:type="paragraph" w:customStyle="1" w:styleId="246">
    <w:name w:val="修订1"/>
    <w:qFormat/>
    <w:uiPriority w:val="0"/>
    <w:rPr>
      <w:rFonts w:ascii="Times New Roman" w:hAnsi="Times New Roman" w:eastAsia="宋体" w:cs="Times New Roman"/>
      <w:kern w:val="2"/>
      <w:sz w:val="21"/>
      <w:szCs w:val="24"/>
      <w:lang w:val="en-US" w:eastAsia="zh-CN" w:bidi="ar-SA"/>
    </w:rPr>
  </w:style>
  <w:style w:type="character" w:customStyle="1" w:styleId="247">
    <w:name w:val="页脚 Char1"/>
    <w:autoRedefine/>
    <w:semiHidden/>
    <w:qFormat/>
    <w:uiPriority w:val="99"/>
    <w:rPr>
      <w:kern w:val="2"/>
      <w:sz w:val="18"/>
      <w:szCs w:val="18"/>
    </w:rPr>
  </w:style>
  <w:style w:type="character" w:customStyle="1" w:styleId="248">
    <w:name w:val="批注框文本 Char2"/>
    <w:semiHidden/>
    <w:qFormat/>
    <w:uiPriority w:val="99"/>
    <w:rPr>
      <w:kern w:val="2"/>
      <w:sz w:val="18"/>
      <w:szCs w:val="18"/>
    </w:rPr>
  </w:style>
  <w:style w:type="character" w:customStyle="1" w:styleId="249">
    <w:name w:val="批注主题 Char2"/>
    <w:semiHidden/>
    <w:qFormat/>
    <w:uiPriority w:val="99"/>
    <w:rPr>
      <w:b/>
      <w:bCs/>
      <w:kern w:val="2"/>
      <w:sz w:val="21"/>
      <w:szCs w:val="22"/>
    </w:rPr>
  </w:style>
  <w:style w:type="character" w:customStyle="1" w:styleId="250">
    <w:name w:val="文档结构图 Char2"/>
    <w:autoRedefine/>
    <w:semiHidden/>
    <w:qFormat/>
    <w:uiPriority w:val="99"/>
    <w:rPr>
      <w:rFonts w:ascii="宋体"/>
      <w:kern w:val="2"/>
      <w:sz w:val="18"/>
      <w:szCs w:val="18"/>
    </w:rPr>
  </w:style>
  <w:style w:type="character" w:customStyle="1" w:styleId="251">
    <w:name w:val="页眉 Char1"/>
    <w:autoRedefine/>
    <w:semiHidden/>
    <w:qFormat/>
    <w:uiPriority w:val="99"/>
    <w:rPr>
      <w:kern w:val="2"/>
      <w:sz w:val="18"/>
      <w:szCs w:val="18"/>
    </w:rPr>
  </w:style>
  <w:style w:type="character" w:customStyle="1" w:styleId="252">
    <w:name w:val="日期 Char2"/>
    <w:semiHidden/>
    <w:qFormat/>
    <w:uiPriority w:val="99"/>
    <w:rPr>
      <w:kern w:val="2"/>
      <w:sz w:val="21"/>
      <w:szCs w:val="22"/>
    </w:rPr>
  </w:style>
  <w:style w:type="character" w:customStyle="1" w:styleId="253">
    <w:name w:val="正文文本 Char2"/>
    <w:autoRedefine/>
    <w:semiHidden/>
    <w:qFormat/>
    <w:uiPriority w:val="99"/>
    <w:rPr>
      <w:kern w:val="2"/>
      <w:sz w:val="21"/>
      <w:szCs w:val="22"/>
    </w:rPr>
  </w:style>
  <w:style w:type="character" w:customStyle="1" w:styleId="254">
    <w:name w:val="标题 Char1"/>
    <w:qFormat/>
    <w:uiPriority w:val="10"/>
    <w:rPr>
      <w:rFonts w:ascii="Cambria" w:hAnsi="Cambria" w:cs="Times New Roman"/>
      <w:b/>
      <w:bCs/>
      <w:kern w:val="2"/>
      <w:sz w:val="32"/>
      <w:szCs w:val="32"/>
    </w:rPr>
  </w:style>
  <w:style w:type="character" w:customStyle="1" w:styleId="255">
    <w:name w:val="副标题 Char1"/>
    <w:autoRedefine/>
    <w:qFormat/>
    <w:uiPriority w:val="11"/>
    <w:rPr>
      <w:rFonts w:ascii="Cambria" w:hAnsi="Cambria" w:cs="Times New Roman"/>
      <w:b/>
      <w:bCs/>
      <w:kern w:val="28"/>
      <w:sz w:val="32"/>
      <w:szCs w:val="32"/>
    </w:rPr>
  </w:style>
  <w:style w:type="paragraph" w:customStyle="1" w:styleId="256">
    <w:name w:val="空半行"/>
    <w:basedOn w:val="1"/>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7">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8">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59">
    <w:name w:val="正文2 Char"/>
    <w:link w:val="260"/>
    <w:autoRedefine/>
    <w:qFormat/>
    <w:uiPriority w:val="0"/>
    <w:rPr>
      <w:rFonts w:ascii="楷体" w:eastAsia="楷体"/>
      <w:b/>
      <w:color w:val="0000FF"/>
    </w:rPr>
  </w:style>
  <w:style w:type="paragraph" w:customStyle="1" w:styleId="260">
    <w:name w:val="正文2"/>
    <w:link w:val="259"/>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1">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2">
    <w:name w:val="正文文本 (2)_"/>
    <w:link w:val="263"/>
    <w:qFormat/>
    <w:locked/>
    <w:uiPriority w:val="99"/>
    <w:rPr>
      <w:rFonts w:ascii="MingLiU" w:eastAsia="MingLiU" w:cs="MingLiU"/>
      <w:spacing w:val="20"/>
      <w:sz w:val="22"/>
      <w:shd w:val="clear" w:color="auto" w:fill="FFFFFF"/>
    </w:rPr>
  </w:style>
  <w:style w:type="paragraph" w:customStyle="1" w:styleId="263">
    <w:name w:val="正文文本 (2)1"/>
    <w:basedOn w:val="1"/>
    <w:link w:val="262"/>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4">
    <w:name w:val="正文文本 (2) + 间距 0 pt5"/>
    <w:qFormat/>
    <w:uiPriority w:val="99"/>
    <w:rPr>
      <w:rFonts w:ascii="MingLiU" w:eastAsia="MingLiU" w:cs="MingLiU"/>
      <w:spacing w:val="0"/>
      <w:sz w:val="22"/>
      <w:shd w:val="clear" w:color="auto" w:fill="FFFFFF"/>
    </w:rPr>
  </w:style>
  <w:style w:type="character" w:customStyle="1" w:styleId="265">
    <w:name w:val="访问过的超链接1"/>
    <w:basedOn w:val="57"/>
    <w:semiHidden/>
    <w:unhideWhenUsed/>
    <w:qFormat/>
    <w:uiPriority w:val="99"/>
    <w:rPr>
      <w:color w:val="954F72"/>
      <w:u w:val="single"/>
    </w:rPr>
  </w:style>
  <w:style w:type="character" w:customStyle="1" w:styleId="266">
    <w:name w:val="明显引用 Char2"/>
    <w:basedOn w:val="57"/>
    <w:qFormat/>
    <w:uiPriority w:val="30"/>
    <w:rPr>
      <w:b/>
      <w:bCs/>
      <w:i/>
      <w:iCs/>
      <w:color w:val="4F81BD" w:themeColor="accent1"/>
      <w14:textFill>
        <w14:solidFill>
          <w14:schemeClr w14:val="accent1"/>
        </w14:solidFill>
      </w14:textFill>
    </w:rPr>
  </w:style>
  <w:style w:type="character" w:customStyle="1" w:styleId="267">
    <w:name w:val="引用 Char2"/>
    <w:basedOn w:val="57"/>
    <w:qFormat/>
    <w:uiPriority w:val="29"/>
    <w:rPr>
      <w:i/>
      <w:iCs/>
      <w:color w:val="000000" w:themeColor="text1"/>
      <w14:textFill>
        <w14:solidFill>
          <w14:schemeClr w14:val="tx1"/>
        </w14:solidFill>
      </w14:textFill>
    </w:rPr>
  </w:style>
  <w:style w:type="table" w:customStyle="1" w:styleId="268">
    <w:name w:val="网格型4"/>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9">
    <w:name w:val="Table Normal"/>
    <w:autoRedefine/>
    <w:semiHidden/>
    <w:unhideWhenUsed/>
    <w:qFormat/>
    <w:uiPriority w:val="0"/>
    <w:tblPr>
      <w:tblCellMar>
        <w:top w:w="0" w:type="dxa"/>
        <w:left w:w="0" w:type="dxa"/>
        <w:bottom w:w="0" w:type="dxa"/>
        <w:right w:w="0" w:type="dxa"/>
      </w:tblCellMar>
    </w:tblPr>
  </w:style>
  <w:style w:type="paragraph" w:customStyle="1" w:styleId="270">
    <w:name w:val="Table Text"/>
    <w:basedOn w:val="1"/>
    <w:autoRedefine/>
    <w:semiHidden/>
    <w:qFormat/>
    <w:uiPriority w:val="0"/>
    <w:rPr>
      <w:rFonts w:ascii="Arial" w:hAnsi="Arial" w:eastAsia="Arial" w:cs="Arial"/>
      <w:sz w:val="21"/>
      <w:szCs w:val="21"/>
      <w:lang w:val="en-US" w:eastAsia="en-US" w:bidi="ar-SA"/>
    </w:rPr>
  </w:style>
  <w:style w:type="paragraph" w:customStyle="1" w:styleId="271">
    <w:name w:val="Table Paragraph"/>
    <w:basedOn w:val="1"/>
    <w:autoRedefine/>
    <w:qFormat/>
    <w:uiPriority w:val="1"/>
    <w:pPr>
      <w:jc w:val="left"/>
    </w:pPr>
    <w:rPr>
      <w:rFonts w:ascii="Calibri" w:hAnsi="Calibri" w:eastAsia="宋体" w:cs="Times New Roman"/>
      <w:kern w:val="0"/>
      <w:sz w:val="22"/>
      <w:lang w:eastAsia="en-US"/>
    </w:rPr>
  </w:style>
  <w:style w:type="character" w:customStyle="1" w:styleId="272">
    <w:name w:val="NormalCharacter"/>
    <w:qFormat/>
    <w:uiPriority w:val="99"/>
  </w:style>
  <w:style w:type="paragraph" w:customStyle="1" w:styleId="273">
    <w:name w:val="样式 样式 样式 五号 行距: 固定值 20 磅 + 首行缩进:  2 字符 + 首行缩进:  2 字符"/>
    <w:basedOn w:val="274"/>
    <w:autoRedefine/>
    <w:qFormat/>
    <w:uiPriority w:val="0"/>
    <w:pPr>
      <w:adjustRightInd w:val="0"/>
      <w:snapToGrid w:val="0"/>
      <w:ind w:firstLine="452"/>
    </w:pPr>
    <w:rPr>
      <w:rFonts w:ascii="Calibri" w:hAnsi="Calibri" w:cs="Times New Roman"/>
      <w:spacing w:val="0"/>
      <w:kern w:val="0"/>
      <w:sz w:val="20"/>
      <w:szCs w:val="21"/>
    </w:rPr>
  </w:style>
  <w:style w:type="paragraph" w:customStyle="1" w:styleId="274">
    <w:name w:val="样式 样式 五号 行距: 固定值 20 磅 + 首行缩进:  2 字符"/>
    <w:basedOn w:val="275"/>
    <w:autoRedefine/>
    <w:qFormat/>
    <w:uiPriority w:val="0"/>
    <w:pPr>
      <w:spacing w:line="360" w:lineRule="auto"/>
      <w:ind w:firstLine="200"/>
    </w:pPr>
  </w:style>
  <w:style w:type="paragraph" w:customStyle="1" w:styleId="275">
    <w:name w:val="样式 五号 行距: 固定值 20 磅"/>
    <w:basedOn w:val="1"/>
    <w:autoRedefine/>
    <w:qFormat/>
    <w:uiPriority w:val="0"/>
    <w:pPr>
      <w:spacing w:line="400" w:lineRule="exact"/>
      <w:ind w:firstLine="420" w:firstLineChars="200"/>
    </w:pPr>
    <w:rPr>
      <w:rFonts w:ascii="Times New Roman" w:hAnsi="Times New Roman" w:cs="宋体"/>
      <w:spacing w:val="8"/>
      <w:sz w:val="24"/>
      <w:szCs w:val="24"/>
    </w:rPr>
  </w:style>
  <w:style w:type="paragraph" w:customStyle="1" w:styleId="276">
    <w:name w:val="样式 样式 小四 行距: 1.5 倍行距1 + 黑体 小四 居中 段前: 3 磅 段后: 10 磅 行距: 单倍行距"/>
    <w:basedOn w:val="277"/>
    <w:autoRedefine/>
    <w:qFormat/>
    <w:uiPriority w:val="0"/>
    <w:pPr>
      <w:spacing w:before="60" w:after="200" w:line="240" w:lineRule="auto"/>
      <w:ind w:firstLine="0" w:firstLineChars="0"/>
      <w:jc w:val="center"/>
    </w:pPr>
    <w:rPr>
      <w:rFonts w:ascii="黑体" w:hAnsi="黑体" w:eastAsia="黑体"/>
      <w:sz w:val="24"/>
      <w:szCs w:val="20"/>
    </w:rPr>
  </w:style>
  <w:style w:type="paragraph" w:customStyle="1" w:styleId="277">
    <w:name w:val="样式 小四 行距: 1.5 倍行距1"/>
    <w:basedOn w:val="1"/>
    <w:autoRedefine/>
    <w:qFormat/>
    <w:uiPriority w:val="0"/>
    <w:pPr>
      <w:adjustRightInd w:val="0"/>
      <w:spacing w:line="360" w:lineRule="auto"/>
      <w:ind w:firstLine="360" w:firstLineChars="150"/>
      <w:textAlignment w:val="baseline"/>
    </w:pPr>
    <w:rPr>
      <w:rFonts w:cs="宋体"/>
      <w:kern w:val="0"/>
      <w:sz w:val="28"/>
      <w:szCs w:val="28"/>
    </w:rPr>
  </w:style>
  <w:style w:type="character" w:customStyle="1" w:styleId="278">
    <w:name w:val="font71"/>
    <w:basedOn w:val="57"/>
    <w:qFormat/>
    <w:uiPriority w:val="0"/>
    <w:rPr>
      <w:rFonts w:hint="eastAsia" w:ascii="宋体" w:hAnsi="宋体" w:eastAsia="宋体" w:cs="宋体"/>
      <w:color w:val="000000"/>
      <w:sz w:val="20"/>
      <w:szCs w:val="20"/>
      <w:u w:val="none"/>
    </w:rPr>
  </w:style>
  <w:style w:type="character" w:customStyle="1" w:styleId="279">
    <w:name w:val="font31"/>
    <w:basedOn w:val="57"/>
    <w:autoRedefine/>
    <w:qFormat/>
    <w:uiPriority w:val="0"/>
    <w:rPr>
      <w:rFonts w:hint="eastAsia" w:ascii="宋体" w:hAnsi="宋体" w:eastAsia="宋体" w:cs="宋体"/>
      <w:color w:val="00B0F0"/>
      <w:sz w:val="20"/>
      <w:szCs w:val="20"/>
      <w:u w:val="none"/>
    </w:rPr>
  </w:style>
  <w:style w:type="character" w:customStyle="1" w:styleId="280">
    <w:name w:val="font11"/>
    <w:basedOn w:val="57"/>
    <w:autoRedefine/>
    <w:qFormat/>
    <w:uiPriority w:val="0"/>
    <w:rPr>
      <w:rFonts w:hint="eastAsia" w:ascii="宋体" w:hAnsi="宋体" w:eastAsia="宋体" w:cs="宋体"/>
      <w:color w:val="000000"/>
      <w:sz w:val="20"/>
      <w:szCs w:val="20"/>
      <w:u w:val="none"/>
    </w:rPr>
  </w:style>
  <w:style w:type="character" w:customStyle="1" w:styleId="281">
    <w:name w:val="font21"/>
    <w:basedOn w:val="57"/>
    <w:qFormat/>
    <w:uiPriority w:val="0"/>
    <w:rPr>
      <w:rFonts w:hint="eastAsia" w:ascii="宋体" w:hAnsi="宋体" w:eastAsia="宋体" w:cs="宋体"/>
      <w:color w:val="FF0000"/>
      <w:sz w:val="20"/>
      <w:szCs w:val="20"/>
      <w:u w:val="none"/>
    </w:rPr>
  </w:style>
  <w:style w:type="character" w:customStyle="1" w:styleId="282">
    <w:name w:val="font61"/>
    <w:basedOn w:val="57"/>
    <w:autoRedefine/>
    <w:qFormat/>
    <w:uiPriority w:val="0"/>
    <w:rPr>
      <w:rFonts w:hint="eastAsia" w:ascii="宋体" w:hAnsi="宋体" w:eastAsia="宋体" w:cs="宋体"/>
      <w:color w:val="000000"/>
      <w:sz w:val="20"/>
      <w:szCs w:val="20"/>
      <w:u w:val="none"/>
    </w:rPr>
  </w:style>
  <w:style w:type="character" w:customStyle="1" w:styleId="283">
    <w:name w:val="font41"/>
    <w:basedOn w:val="57"/>
    <w:autoRedefine/>
    <w:qFormat/>
    <w:uiPriority w:val="0"/>
    <w:rPr>
      <w:rFonts w:hint="eastAsia" w:ascii="宋体" w:hAnsi="宋体" w:eastAsia="宋体" w:cs="宋体"/>
      <w:color w:val="00B0F0"/>
      <w:sz w:val="20"/>
      <w:szCs w:val="20"/>
      <w:u w:val="none"/>
    </w:rPr>
  </w:style>
  <w:style w:type="paragraph" w:customStyle="1" w:styleId="284">
    <w:name w:val="样式 样式 正文文本缩进正文文字缩进 + 首行缩进:  2 字符2 + 首行缩进:  2 字符"/>
    <w:basedOn w:val="1"/>
    <w:qFormat/>
    <w:uiPriority w:val="0"/>
    <w:pPr>
      <w:ind w:left="100" w:leftChars="100" w:right="100" w:rightChars="100" w:firstLine="200" w:firstLineChars="100"/>
      <w:jc w:val="left"/>
    </w:pPr>
    <w:rPr>
      <w:rFonts w:ascii="Arial" w:hAnsi="Arial"/>
    </w:rPr>
  </w:style>
  <w:style w:type="paragraph" w:customStyle="1" w:styleId="285">
    <w:name w:val="Body text|1"/>
    <w:basedOn w:val="1"/>
    <w:autoRedefine/>
    <w:qFormat/>
    <w:uiPriority w:val="0"/>
    <w:pPr>
      <w:spacing w:line="398"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110</Pages>
  <Words>465</Words>
  <Characters>533</Characters>
  <Lines>451</Lines>
  <Paragraphs>127</Paragraphs>
  <TotalTime>56</TotalTime>
  <ScaleCrop>false</ScaleCrop>
  <LinksUpToDate>false</LinksUpToDate>
  <CharactersWithSpaces>569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薛</cp:lastModifiedBy>
  <cp:lastPrinted>2019-12-07T15:20:00Z</cp:lastPrinted>
  <dcterms:modified xsi:type="dcterms:W3CDTF">2025-10-14T08:35:47Z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0DF3D0AB157C4348B590719264542C08_13</vt:lpwstr>
  </property>
  <property fmtid="{D5CDD505-2E9C-101B-9397-08002B2CF9AE}" pid="4" name="KSOTemplateDocerSaveRecord">
    <vt:lpwstr>eyJoZGlkIjoiODkyYjc0MzE2ZWExODM3MjhiYjE2YzBhNWFmZTU4YjEiLCJ1c2VySWQiOiIxMjMyMDYzNDI1In0=</vt:lpwstr>
  </property>
</Properties>
</file>