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C3F5D">
      <w:pPr>
        <w:tabs>
          <w:tab w:val="left" w:pos="315"/>
          <w:tab w:val="left" w:pos="8820"/>
        </w:tabs>
        <w:spacing w:before="240" w:beforeLines="100" w:after="120" w:afterLines="50" w:line="500" w:lineRule="exact"/>
        <w:ind w:right="254" w:rightChars="127"/>
        <w:jc w:val="center"/>
        <w:rPr>
          <w:rFonts w:hint="eastAsia" w:eastAsia="宋体"/>
          <w:b/>
          <w:bCs/>
          <w:color w:val="auto"/>
          <w:sz w:val="24"/>
          <w:szCs w:val="24"/>
          <w:highlight w:val="none"/>
          <w:vertAlign w:val="superscript"/>
          <w:lang w:val="en-US" w:eastAsia="zh-CN"/>
        </w:rPr>
      </w:pPr>
      <w:r>
        <w:rPr>
          <w:rFonts w:hint="eastAsia"/>
          <w:b/>
          <w:bCs/>
          <w:color w:val="auto"/>
          <w:sz w:val="24"/>
          <w:szCs w:val="24"/>
          <w:highlight w:val="none"/>
          <w:vertAlign w:val="superscript"/>
          <w:lang w:val="en-US" w:eastAsia="zh-CN"/>
        </w:rPr>
        <w:t xml:space="preserve"> </w:t>
      </w:r>
    </w:p>
    <w:p w14:paraId="55CD38AC">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28EB842B">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0" w:rightChars="0"/>
        <w:jc w:val="center"/>
        <w:textAlignment w:val="auto"/>
        <w:rPr>
          <w:rFonts w:hint="eastAsia"/>
          <w:b/>
          <w:bCs/>
          <w:color w:val="auto"/>
          <w:sz w:val="52"/>
          <w:szCs w:val="52"/>
          <w:highlight w:val="none"/>
        </w:rPr>
      </w:pPr>
      <w:bookmarkStart w:id="0" w:name="_Hlk9544796"/>
      <w:r>
        <w:rPr>
          <w:rFonts w:hint="eastAsia"/>
          <w:b/>
          <w:bCs/>
          <w:color w:val="auto"/>
          <w:sz w:val="52"/>
          <w:szCs w:val="52"/>
          <w:highlight w:val="none"/>
          <w:lang w:eastAsia="zh-CN"/>
        </w:rPr>
        <w:t>2025年省淮河局基层管理所维修改造（第1包潘集基层管理所维修改造）</w:t>
      </w:r>
    </w:p>
    <w:p w14:paraId="390AA218">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20AA2CBF">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竞争性磋商文件</w:t>
      </w:r>
    </w:p>
    <w:bookmarkEnd w:id="0"/>
    <w:p w14:paraId="1C1FC5F7">
      <w:pPr>
        <w:tabs>
          <w:tab w:val="left" w:pos="315"/>
          <w:tab w:val="left" w:pos="8820"/>
        </w:tabs>
        <w:spacing w:before="240" w:beforeLines="100" w:after="120" w:afterLines="50" w:line="500" w:lineRule="exact"/>
        <w:ind w:right="254" w:rightChars="127"/>
        <w:jc w:val="center"/>
        <w:rPr>
          <w:bCs/>
          <w:color w:val="auto"/>
          <w:sz w:val="24"/>
          <w:szCs w:val="24"/>
          <w:highlight w:val="none"/>
        </w:rPr>
      </w:pPr>
    </w:p>
    <w:p w14:paraId="6CF9E547">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3ACBC7E2">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4CF02C72">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2D1EF188">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023CE744">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3CF68ED2">
      <w:pPr>
        <w:tabs>
          <w:tab w:val="left" w:pos="2410"/>
        </w:tabs>
        <w:autoSpaceDE w:val="0"/>
        <w:autoSpaceDN w:val="0"/>
        <w:adjustRightInd w:val="0"/>
        <w:snapToGrid w:val="0"/>
        <w:spacing w:line="360" w:lineRule="auto"/>
        <w:rPr>
          <w:rFonts w:hint="eastAsia"/>
          <w:b/>
          <w:color w:val="auto"/>
          <w:spacing w:val="20"/>
          <w:sz w:val="28"/>
          <w:szCs w:val="28"/>
          <w:highlight w:val="none"/>
          <w:lang w:eastAsia="zh-CN"/>
        </w:rPr>
      </w:pPr>
      <w:r>
        <w:rPr>
          <w:rFonts w:hint="eastAsia"/>
          <w:b/>
          <w:color w:val="auto"/>
          <w:spacing w:val="20"/>
          <w:sz w:val="28"/>
          <w:szCs w:val="28"/>
          <w:highlight w:val="none"/>
        </w:rPr>
        <w:t>项目名称：</w:t>
      </w:r>
      <w:r>
        <w:rPr>
          <w:rFonts w:hint="eastAsia"/>
          <w:b/>
          <w:color w:val="auto"/>
          <w:spacing w:val="20"/>
          <w:sz w:val="28"/>
          <w:szCs w:val="28"/>
          <w:highlight w:val="none"/>
          <w:lang w:eastAsia="zh-CN"/>
        </w:rPr>
        <w:t>2025年省淮河局基层管理所维修改造（第1包潘集基层管理所维修改造）</w:t>
      </w:r>
    </w:p>
    <w:p w14:paraId="69360A21">
      <w:pPr>
        <w:tabs>
          <w:tab w:val="left" w:pos="2410"/>
        </w:tabs>
        <w:autoSpaceDE w:val="0"/>
        <w:autoSpaceDN w:val="0"/>
        <w:adjustRightInd w:val="0"/>
        <w:snapToGrid w:val="0"/>
        <w:spacing w:line="360" w:lineRule="auto"/>
        <w:rPr>
          <w:rFonts w:hint="default"/>
          <w:b/>
          <w:color w:val="auto"/>
          <w:spacing w:val="20"/>
          <w:sz w:val="28"/>
          <w:szCs w:val="28"/>
          <w:highlight w:val="none"/>
          <w:lang w:val="en-US" w:eastAsia="zh-CN"/>
        </w:rPr>
      </w:pPr>
      <w:r>
        <w:rPr>
          <w:rFonts w:hint="eastAsia"/>
          <w:b/>
          <w:color w:val="auto"/>
          <w:spacing w:val="20"/>
          <w:sz w:val="28"/>
          <w:szCs w:val="28"/>
          <w:highlight w:val="none"/>
        </w:rPr>
        <w:t>项目编号：FSSD34000120252699号001</w:t>
      </w:r>
    </w:p>
    <w:p w14:paraId="05D8325D">
      <w:pPr>
        <w:tabs>
          <w:tab w:val="left" w:pos="2410"/>
        </w:tabs>
        <w:autoSpaceDE w:val="0"/>
        <w:autoSpaceDN w:val="0"/>
        <w:adjustRightInd w:val="0"/>
        <w:snapToGrid w:val="0"/>
        <w:spacing w:line="360" w:lineRule="auto"/>
        <w:rPr>
          <w:rFonts w:hint="eastAsia"/>
          <w:b/>
          <w:color w:val="auto"/>
          <w:spacing w:val="20"/>
          <w:sz w:val="28"/>
          <w:szCs w:val="28"/>
          <w:highlight w:val="none"/>
          <w:u w:val="single"/>
          <w:lang w:val="en-US" w:eastAsia="zh-CN"/>
        </w:rPr>
      </w:pPr>
      <w:r>
        <w:rPr>
          <w:rFonts w:hint="eastAsia"/>
          <w:b/>
          <w:color w:val="auto"/>
          <w:spacing w:val="20"/>
          <w:sz w:val="28"/>
          <w:szCs w:val="28"/>
          <w:highlight w:val="none"/>
        </w:rPr>
        <w:t>采 购 人：</w:t>
      </w:r>
      <w:r>
        <w:rPr>
          <w:rFonts w:hint="eastAsia"/>
          <w:b/>
          <w:color w:val="auto"/>
          <w:spacing w:val="20"/>
          <w:sz w:val="28"/>
          <w:szCs w:val="28"/>
          <w:highlight w:val="none"/>
          <w:lang w:val="en-US" w:eastAsia="zh-CN"/>
        </w:rPr>
        <w:t>安徽省淮河河道管理局</w:t>
      </w:r>
    </w:p>
    <w:p w14:paraId="570402BE">
      <w:pPr>
        <w:tabs>
          <w:tab w:val="left" w:pos="2410"/>
        </w:tabs>
        <w:autoSpaceDE w:val="0"/>
        <w:autoSpaceDN w:val="0"/>
        <w:adjustRightInd w:val="0"/>
        <w:snapToGrid w:val="0"/>
        <w:spacing w:line="360" w:lineRule="auto"/>
        <w:rPr>
          <w:rFonts w:hint="default" w:eastAsia="宋体"/>
          <w:b/>
          <w:color w:val="auto"/>
          <w:spacing w:val="20"/>
          <w:sz w:val="28"/>
          <w:szCs w:val="28"/>
          <w:highlight w:val="none"/>
          <w:lang w:val="en-US" w:eastAsia="zh-CN"/>
        </w:rPr>
      </w:pPr>
      <w:r>
        <w:rPr>
          <w:rFonts w:hint="eastAsia"/>
          <w:b/>
          <w:color w:val="auto"/>
          <w:spacing w:val="20"/>
          <w:sz w:val="28"/>
          <w:szCs w:val="28"/>
          <w:highlight w:val="none"/>
        </w:rPr>
        <w:t>采购代理机构：</w:t>
      </w:r>
      <w:r>
        <w:rPr>
          <w:rFonts w:hint="eastAsia"/>
          <w:b/>
          <w:color w:val="auto"/>
          <w:spacing w:val="20"/>
          <w:sz w:val="28"/>
          <w:szCs w:val="28"/>
          <w:highlight w:val="none"/>
          <w:lang w:val="en-US" w:eastAsia="zh-CN"/>
        </w:rPr>
        <w:t>安徽安兆工程技术咨询服务有限公司</w:t>
      </w:r>
    </w:p>
    <w:p w14:paraId="66078D30">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1400399B">
      <w:pPr>
        <w:tabs>
          <w:tab w:val="left" w:pos="2410"/>
        </w:tabs>
        <w:autoSpaceDE w:val="0"/>
        <w:autoSpaceDN w:val="0"/>
        <w:adjustRightInd w:val="0"/>
        <w:snapToGrid w:val="0"/>
        <w:spacing w:line="360" w:lineRule="auto"/>
        <w:jc w:val="center"/>
        <w:rPr>
          <w:b/>
          <w:color w:val="auto"/>
          <w:sz w:val="28"/>
          <w:szCs w:val="28"/>
          <w:highlight w:val="none"/>
        </w:rPr>
      </w:pPr>
    </w:p>
    <w:p w14:paraId="20078994">
      <w:pPr>
        <w:tabs>
          <w:tab w:val="left" w:pos="2410"/>
        </w:tabs>
        <w:autoSpaceDE w:val="0"/>
        <w:autoSpaceDN w:val="0"/>
        <w:adjustRightInd w:val="0"/>
        <w:snapToGrid w:val="0"/>
        <w:spacing w:line="360" w:lineRule="auto"/>
        <w:jc w:val="center"/>
        <w:rPr>
          <w:rFonts w:hint="eastAsia"/>
          <w:b/>
          <w:color w:val="auto"/>
          <w:sz w:val="28"/>
          <w:szCs w:val="28"/>
          <w:highlight w:val="none"/>
          <w:u w:val="none"/>
        </w:rPr>
      </w:pPr>
      <w:r>
        <w:rPr>
          <w:rFonts w:hint="eastAsia"/>
          <w:b/>
          <w:color w:val="auto"/>
          <w:sz w:val="28"/>
          <w:szCs w:val="28"/>
          <w:highlight w:val="none"/>
          <w:u w:val="none"/>
          <w:lang w:val="en-US" w:eastAsia="zh-CN"/>
        </w:rPr>
        <w:t>2025</w:t>
      </w:r>
      <w:r>
        <w:rPr>
          <w:rFonts w:hint="eastAsia"/>
          <w:b/>
          <w:color w:val="auto"/>
          <w:sz w:val="28"/>
          <w:szCs w:val="28"/>
          <w:highlight w:val="none"/>
          <w:u w:val="none"/>
        </w:rPr>
        <w:t>年</w:t>
      </w:r>
      <w:r>
        <w:rPr>
          <w:rFonts w:hint="eastAsia"/>
          <w:b/>
          <w:color w:val="auto"/>
          <w:sz w:val="28"/>
          <w:szCs w:val="28"/>
          <w:highlight w:val="none"/>
          <w:u w:val="none"/>
          <w:lang w:val="en-US" w:eastAsia="zh-CN"/>
        </w:rPr>
        <w:t>8</w:t>
      </w:r>
      <w:r>
        <w:rPr>
          <w:rFonts w:hint="eastAsia"/>
          <w:b/>
          <w:color w:val="auto"/>
          <w:sz w:val="28"/>
          <w:szCs w:val="28"/>
          <w:highlight w:val="none"/>
          <w:u w:val="none"/>
        </w:rPr>
        <w:t>月</w:t>
      </w:r>
    </w:p>
    <w:p w14:paraId="21B657EA">
      <w:pPr>
        <w:tabs>
          <w:tab w:val="left" w:pos="2410"/>
        </w:tabs>
        <w:autoSpaceDE w:val="0"/>
        <w:autoSpaceDN w:val="0"/>
        <w:adjustRightInd w:val="0"/>
        <w:snapToGrid w:val="0"/>
        <w:spacing w:line="360" w:lineRule="auto"/>
        <w:jc w:val="center"/>
        <w:rPr>
          <w:b/>
          <w:color w:val="auto"/>
          <w:sz w:val="24"/>
          <w:szCs w:val="24"/>
          <w:highlight w:val="none"/>
        </w:rPr>
      </w:pPr>
      <w:r>
        <w:rPr>
          <w:b/>
          <w:color w:val="auto"/>
          <w:sz w:val="24"/>
          <w:szCs w:val="24"/>
          <w:highlight w:val="none"/>
        </w:rPr>
        <w:br w:type="page"/>
      </w:r>
    </w:p>
    <w:p w14:paraId="18E1449D">
      <w:pPr>
        <w:tabs>
          <w:tab w:val="left" w:pos="2410"/>
        </w:tabs>
        <w:autoSpaceDE w:val="0"/>
        <w:autoSpaceDN w:val="0"/>
        <w:adjustRightInd w:val="0"/>
        <w:snapToGrid w:val="0"/>
        <w:spacing w:line="360" w:lineRule="auto"/>
        <w:jc w:val="center"/>
        <w:rPr>
          <w:b/>
          <w:color w:val="auto"/>
          <w:sz w:val="24"/>
          <w:szCs w:val="24"/>
          <w:highlight w:val="none"/>
        </w:rPr>
      </w:pPr>
      <w:r>
        <w:rPr>
          <w:rFonts w:hint="eastAsia"/>
          <w:b/>
          <w:color w:val="auto"/>
          <w:sz w:val="24"/>
          <w:szCs w:val="24"/>
          <w:highlight w:val="none"/>
        </w:rPr>
        <w:t>目  录</w:t>
      </w:r>
    </w:p>
    <w:p w14:paraId="6C72CC8E">
      <w:pPr>
        <w:tabs>
          <w:tab w:val="left" w:pos="2410"/>
        </w:tabs>
        <w:autoSpaceDE w:val="0"/>
        <w:autoSpaceDN w:val="0"/>
        <w:adjustRightInd w:val="0"/>
        <w:snapToGrid w:val="0"/>
        <w:spacing w:line="360" w:lineRule="auto"/>
        <w:jc w:val="center"/>
        <w:rPr>
          <w:b/>
          <w:color w:val="auto"/>
          <w:sz w:val="24"/>
          <w:szCs w:val="24"/>
          <w:highlight w:val="none"/>
        </w:rPr>
      </w:pPr>
    </w:p>
    <w:p w14:paraId="44A4354E">
      <w:pPr>
        <w:pStyle w:val="35"/>
        <w:tabs>
          <w:tab w:val="right" w:leader="dot" w:pos="8279"/>
        </w:tabs>
        <w:rPr>
          <w:color w:val="auto"/>
          <w:sz w:val="24"/>
          <w:szCs w:val="24"/>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_Toc11403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第一章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_Toc11403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ascii="宋体" w:hAnsi="宋体"/>
          <w:color w:val="auto"/>
          <w:sz w:val="24"/>
          <w:szCs w:val="24"/>
          <w:highlight w:val="none"/>
        </w:rPr>
        <w:fldChar w:fldCharType="end"/>
      </w:r>
    </w:p>
    <w:p w14:paraId="0E74B562">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_Toc28080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供应商</w:t>
      </w:r>
      <w:r>
        <w:rPr>
          <w:rFonts w:ascii="宋体" w:hAnsi="宋体" w:eastAsia="宋体"/>
          <w:color w:val="auto"/>
          <w:sz w:val="24"/>
          <w:szCs w:val="24"/>
          <w:highlight w:val="none"/>
        </w:rPr>
        <w:t>须知</w:t>
      </w:r>
      <w:r>
        <w:rPr>
          <w:color w:val="auto"/>
          <w:sz w:val="24"/>
          <w:szCs w:val="24"/>
          <w:highlight w:val="none"/>
        </w:rPr>
        <w:tab/>
      </w:r>
      <w:r>
        <w:rPr>
          <w:rFonts w:hint="eastAsia"/>
          <w:color w:val="auto"/>
          <w:sz w:val="24"/>
          <w:szCs w:val="24"/>
          <w:highlight w:val="none"/>
          <w:lang w:val="en-US" w:eastAsia="zh-CN"/>
        </w:rPr>
        <w:t>5</w:t>
      </w:r>
      <w:r>
        <w:rPr>
          <w:rFonts w:ascii="宋体" w:hAnsi="宋体"/>
          <w:color w:val="auto"/>
          <w:sz w:val="24"/>
          <w:szCs w:val="24"/>
          <w:highlight w:val="none"/>
        </w:rPr>
        <w:fldChar w:fldCharType="end"/>
      </w:r>
    </w:p>
    <w:p w14:paraId="05D6515D">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_Toc30873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第三章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_Toc30873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ascii="宋体" w:hAnsi="宋体"/>
          <w:color w:val="auto"/>
          <w:sz w:val="24"/>
          <w:szCs w:val="24"/>
          <w:highlight w:val="none"/>
        </w:rPr>
        <w:fldChar w:fldCharType="end"/>
      </w:r>
    </w:p>
    <w:p w14:paraId="4EF0DA0B">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_Toc11353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第四章  评审方法和标准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_Toc11353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ascii="宋体" w:hAnsi="宋体"/>
          <w:color w:val="auto"/>
          <w:sz w:val="24"/>
          <w:szCs w:val="24"/>
          <w:highlight w:val="none"/>
        </w:rPr>
        <w:fldChar w:fldCharType="end"/>
      </w:r>
    </w:p>
    <w:p w14:paraId="3B81802E">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_Toc31277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第五章  </w:t>
      </w:r>
      <w:r>
        <w:rPr>
          <w:rFonts w:ascii="宋体" w:hAnsi="宋体" w:eastAsia="宋体"/>
          <w:color w:val="auto"/>
          <w:sz w:val="24"/>
          <w:szCs w:val="24"/>
          <w:highlight w:val="none"/>
        </w:rPr>
        <w:t>政府采购合同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_Toc31277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ascii="宋体" w:hAnsi="宋体"/>
          <w:color w:val="auto"/>
          <w:sz w:val="24"/>
          <w:szCs w:val="24"/>
          <w:highlight w:val="none"/>
        </w:rPr>
        <w:fldChar w:fldCharType="end"/>
      </w:r>
    </w:p>
    <w:p w14:paraId="2ACA7C8C">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_Toc22734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第六章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_Toc22734 \h </w:instrText>
      </w:r>
      <w:r>
        <w:rPr>
          <w:color w:val="auto"/>
          <w:sz w:val="24"/>
          <w:szCs w:val="24"/>
          <w:highlight w:val="none"/>
        </w:rPr>
        <w:fldChar w:fldCharType="separate"/>
      </w:r>
      <w:r>
        <w:rPr>
          <w:color w:val="auto"/>
          <w:sz w:val="24"/>
          <w:szCs w:val="24"/>
          <w:highlight w:val="none"/>
        </w:rPr>
        <w:t>74</w:t>
      </w:r>
      <w:r>
        <w:rPr>
          <w:color w:val="auto"/>
          <w:sz w:val="24"/>
          <w:szCs w:val="24"/>
          <w:highlight w:val="none"/>
        </w:rPr>
        <w:fldChar w:fldCharType="end"/>
      </w:r>
      <w:r>
        <w:rPr>
          <w:rFonts w:ascii="宋体" w:hAnsi="宋体"/>
          <w:color w:val="auto"/>
          <w:sz w:val="24"/>
          <w:szCs w:val="24"/>
          <w:highlight w:val="none"/>
        </w:rPr>
        <w:fldChar w:fldCharType="end"/>
      </w:r>
    </w:p>
    <w:p w14:paraId="45EE4126">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_Toc24879 </w:instrText>
      </w:r>
      <w:r>
        <w:rPr>
          <w:rFonts w:ascii="宋体" w:hAnsi="宋体"/>
          <w:color w:val="auto"/>
          <w:sz w:val="24"/>
          <w:szCs w:val="24"/>
          <w:highlight w:val="none"/>
        </w:rPr>
        <w:fldChar w:fldCharType="separate"/>
      </w:r>
      <w:r>
        <w:rPr>
          <w:rFonts w:hint="eastAsia"/>
          <w:bCs/>
          <w:color w:val="auto"/>
          <w:sz w:val="24"/>
          <w:szCs w:val="24"/>
          <w:highlight w:val="none"/>
        </w:rPr>
        <w:t>第</w:t>
      </w:r>
      <w:r>
        <w:rPr>
          <w:rFonts w:hint="eastAsia"/>
          <w:bCs/>
          <w:color w:val="auto"/>
          <w:sz w:val="24"/>
          <w:szCs w:val="24"/>
          <w:highlight w:val="none"/>
          <w:lang w:val="en-US" w:eastAsia="zh-CN"/>
        </w:rPr>
        <w:t>七</w:t>
      </w:r>
      <w:r>
        <w:rPr>
          <w:rFonts w:hint="eastAsia"/>
          <w:bCs/>
          <w:color w:val="auto"/>
          <w:sz w:val="24"/>
          <w:szCs w:val="24"/>
          <w:highlight w:val="none"/>
        </w:rPr>
        <w:t>章  政府采购</w:t>
      </w:r>
      <w:r>
        <w:rPr>
          <w:rFonts w:hint="eastAsia" w:ascii="宋体" w:hAnsi="宋体" w:eastAsia="宋体"/>
          <w:color w:val="auto"/>
          <w:sz w:val="24"/>
          <w:szCs w:val="24"/>
          <w:highlight w:val="none"/>
        </w:rPr>
        <w:t>供应</w:t>
      </w:r>
      <w:r>
        <w:rPr>
          <w:rFonts w:hint="eastAsia"/>
          <w:bCs/>
          <w:color w:val="auto"/>
          <w:sz w:val="24"/>
          <w:szCs w:val="24"/>
          <w:highlight w:val="none"/>
        </w:rPr>
        <w:t>商询问函和质疑函范本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_Toc24879 \h </w:instrText>
      </w:r>
      <w:r>
        <w:rPr>
          <w:color w:val="auto"/>
          <w:sz w:val="24"/>
          <w:szCs w:val="24"/>
          <w:highlight w:val="none"/>
        </w:rPr>
        <w:fldChar w:fldCharType="separate"/>
      </w:r>
      <w:r>
        <w:rPr>
          <w:color w:val="auto"/>
          <w:sz w:val="24"/>
          <w:szCs w:val="24"/>
          <w:highlight w:val="none"/>
        </w:rPr>
        <w:t>90</w:t>
      </w:r>
      <w:r>
        <w:rPr>
          <w:color w:val="auto"/>
          <w:sz w:val="24"/>
          <w:szCs w:val="24"/>
          <w:highlight w:val="none"/>
        </w:rPr>
        <w:fldChar w:fldCharType="end"/>
      </w:r>
      <w:r>
        <w:rPr>
          <w:rFonts w:ascii="宋体" w:hAnsi="宋体"/>
          <w:color w:val="auto"/>
          <w:sz w:val="24"/>
          <w:szCs w:val="24"/>
          <w:highlight w:val="none"/>
        </w:rPr>
        <w:fldChar w:fldCharType="end"/>
      </w:r>
    </w:p>
    <w:p w14:paraId="7182164D">
      <w:pPr>
        <w:pStyle w:val="45"/>
        <w:tabs>
          <w:tab w:val="right" w:leader="dot" w:pos="8296"/>
        </w:tabs>
        <w:rPr>
          <w:rFonts w:ascii="宋体" w:hAnsi="宋体"/>
          <w:b/>
          <w:color w:val="auto"/>
          <w:sz w:val="24"/>
          <w:szCs w:val="24"/>
          <w:highlight w:val="none"/>
        </w:rPr>
      </w:pPr>
      <w:r>
        <w:rPr>
          <w:rFonts w:ascii="宋体" w:hAnsi="宋体"/>
          <w:color w:val="auto"/>
          <w:sz w:val="24"/>
          <w:szCs w:val="24"/>
          <w:highlight w:val="none"/>
        </w:rPr>
        <w:fldChar w:fldCharType="end"/>
      </w:r>
    </w:p>
    <w:p w14:paraId="714ECCA2">
      <w:pPr>
        <w:pStyle w:val="4"/>
        <w:rPr>
          <w:color w:val="auto"/>
          <w:sz w:val="24"/>
          <w:szCs w:val="24"/>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79D4255A">
      <w:pPr>
        <w:spacing w:line="360" w:lineRule="auto"/>
        <w:jc w:val="center"/>
        <w:outlineLvl w:val="0"/>
        <w:rPr>
          <w:rFonts w:ascii="宋体" w:hAnsi="宋体" w:eastAsia="宋体"/>
          <w:b/>
          <w:color w:val="auto"/>
          <w:sz w:val="24"/>
          <w:szCs w:val="24"/>
          <w:highlight w:val="none"/>
        </w:rPr>
      </w:pPr>
      <w:bookmarkStart w:id="1" w:name="_Toc11403"/>
      <w:r>
        <w:rPr>
          <w:rFonts w:hint="eastAsia" w:ascii="宋体" w:hAnsi="宋体" w:eastAsia="宋体"/>
          <w:b/>
          <w:color w:val="auto"/>
          <w:sz w:val="24"/>
          <w:szCs w:val="24"/>
          <w:highlight w:val="none"/>
        </w:rPr>
        <w:t xml:space="preserve">第一章 </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磋商邀请</w:t>
      </w:r>
      <w:bookmarkEnd w:id="1"/>
    </w:p>
    <w:p w14:paraId="5F91988C">
      <w:pPr>
        <w:spacing w:line="360" w:lineRule="auto"/>
        <w:ind w:firstLine="435"/>
        <w:outlineLvl w:val="1"/>
        <w:rPr>
          <w:rFonts w:hint="eastAsia"/>
          <w:b/>
          <w:bCs/>
          <w:color w:val="auto"/>
          <w:sz w:val="24"/>
          <w:szCs w:val="24"/>
          <w:highlight w:val="none"/>
        </w:rPr>
      </w:pPr>
      <w:bookmarkStart w:id="2" w:name="_Toc8770"/>
      <w:bookmarkStart w:id="3" w:name="_Toc18492"/>
      <w:r>
        <w:rPr>
          <w:rFonts w:hint="eastAsia"/>
          <w:b/>
          <w:bCs/>
          <w:color w:val="auto"/>
          <w:sz w:val="24"/>
          <w:szCs w:val="24"/>
          <w:highlight w:val="none"/>
        </w:rPr>
        <w:t>一、</w:t>
      </w:r>
      <w:bookmarkEnd w:id="2"/>
      <w:r>
        <w:rPr>
          <w:rFonts w:hint="eastAsia"/>
          <w:b/>
          <w:bCs/>
          <w:color w:val="auto"/>
          <w:sz w:val="24"/>
          <w:szCs w:val="24"/>
          <w:highlight w:val="none"/>
        </w:rPr>
        <w:t>项目基本情况</w:t>
      </w:r>
      <w:bookmarkEnd w:id="3"/>
    </w:p>
    <w:p w14:paraId="09BA6624">
      <w:pPr>
        <w:spacing w:line="360" w:lineRule="auto"/>
        <w:ind w:firstLine="435"/>
        <w:rPr>
          <w:rFonts w:hint="eastAsia" w:ascii="宋体" w:hAnsi="宋体" w:eastAsia="宋体"/>
          <w:color w:val="auto"/>
          <w:sz w:val="24"/>
          <w:szCs w:val="24"/>
          <w:highlight w:val="none"/>
          <w:lang w:val="en-US" w:eastAsia="zh-CN"/>
        </w:rPr>
      </w:pPr>
      <w:bookmarkStart w:id="4" w:name="_Toc26628"/>
      <w:r>
        <w:rPr>
          <w:rFonts w:hint="eastAsia" w:ascii="宋体" w:hAnsi="宋体" w:eastAsia="宋体"/>
          <w:color w:val="auto"/>
          <w:sz w:val="24"/>
          <w:szCs w:val="24"/>
          <w:highlight w:val="none"/>
        </w:rPr>
        <w:t>1.项目编号：FSSD34000120252699号001</w:t>
      </w:r>
      <w:bookmarkStart w:id="730" w:name="_GoBack"/>
      <w:bookmarkEnd w:id="730"/>
    </w:p>
    <w:p w14:paraId="2DDFCDE2">
      <w:pPr>
        <w:spacing w:line="360" w:lineRule="auto"/>
        <w:ind w:firstLine="435"/>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2.项目名称：</w:t>
      </w:r>
      <w:r>
        <w:rPr>
          <w:rFonts w:hint="eastAsia"/>
          <w:color w:val="auto"/>
          <w:sz w:val="24"/>
          <w:szCs w:val="24"/>
          <w:highlight w:val="none"/>
          <w:u w:val="single"/>
          <w:lang w:eastAsia="zh-CN"/>
        </w:rPr>
        <w:t>2025年省淮河局基层管理所维修改造（第1包潘集基层管理所维修改造）</w:t>
      </w:r>
    </w:p>
    <w:p w14:paraId="58E4A52B">
      <w:pPr>
        <w:spacing w:line="360" w:lineRule="auto"/>
        <w:ind w:firstLine="435"/>
        <w:rPr>
          <w:rFonts w:hint="default"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rPr>
        <w:t>3.预算金额：</w:t>
      </w:r>
      <w:r>
        <w:rPr>
          <w:rFonts w:hint="eastAsia"/>
          <w:color w:val="auto"/>
          <w:sz w:val="24"/>
          <w:szCs w:val="24"/>
          <w:highlight w:val="none"/>
          <w:lang w:val="en-US" w:eastAsia="zh-CN"/>
        </w:rPr>
        <w:t>90万元</w:t>
      </w:r>
    </w:p>
    <w:p w14:paraId="2F8E8863">
      <w:pPr>
        <w:spacing w:line="360" w:lineRule="auto"/>
        <w:ind w:firstLine="435"/>
        <w:rPr>
          <w:rFonts w:hint="default" w:eastAsia="宋体"/>
          <w:color w:val="auto"/>
          <w:sz w:val="24"/>
          <w:szCs w:val="24"/>
          <w:highlight w:val="none"/>
          <w:u w:val="single"/>
          <w:lang w:val="en-US" w:eastAsia="zh-CN"/>
        </w:rPr>
      </w:pPr>
      <w:r>
        <w:rPr>
          <w:rFonts w:hint="eastAsia" w:ascii="宋体" w:hAnsi="宋体" w:eastAsia="宋体"/>
          <w:color w:val="auto"/>
          <w:sz w:val="24"/>
          <w:szCs w:val="24"/>
          <w:highlight w:val="none"/>
        </w:rPr>
        <w:t>4.最高限价：</w:t>
      </w:r>
      <w:r>
        <w:rPr>
          <w:rFonts w:hint="eastAsia"/>
          <w:color w:val="auto"/>
          <w:sz w:val="24"/>
          <w:szCs w:val="24"/>
          <w:highlight w:val="none"/>
          <w:lang w:val="en-US" w:eastAsia="zh-CN"/>
        </w:rPr>
        <w:t>90万元（含暂列金1万元）</w:t>
      </w:r>
    </w:p>
    <w:p w14:paraId="58E5B5C1">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5.采购需求：</w:t>
      </w:r>
    </w:p>
    <w:p w14:paraId="4266A050">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2025年省淮河局基层管理所维修改造</w:t>
      </w:r>
      <w:r>
        <w:rPr>
          <w:rFonts w:hint="eastAsia" w:ascii="宋体" w:hAnsi="宋体" w:eastAsia="宋体" w:cs="宋体"/>
          <w:color w:val="auto"/>
          <w:sz w:val="24"/>
          <w:szCs w:val="24"/>
          <w:highlight w:val="none"/>
          <w:lang w:val="en-US" w:eastAsia="zh-CN"/>
        </w:rPr>
        <w:t>为统采分签项目，共7个包别</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第1包：</w:t>
      </w:r>
      <w:r>
        <w:rPr>
          <w:rFonts w:hint="eastAsia" w:ascii="宋体" w:hAnsi="宋体" w:eastAsia="宋体" w:cs="宋体"/>
          <w:color w:val="auto"/>
          <w:sz w:val="24"/>
          <w:szCs w:val="24"/>
          <w:highlight w:val="none"/>
          <w:lang w:val="en-US" w:eastAsia="zh-CN"/>
        </w:rPr>
        <w:t>潘集基层管理所维修改造；</w:t>
      </w:r>
      <w:r>
        <w:rPr>
          <w:rFonts w:hint="eastAsia" w:cs="宋体"/>
          <w:b/>
          <w:bCs/>
          <w:color w:val="auto"/>
          <w:sz w:val="24"/>
          <w:szCs w:val="24"/>
          <w:highlight w:val="none"/>
          <w:lang w:val="en-US" w:eastAsia="zh-CN"/>
        </w:rPr>
        <w:t>第2包：</w:t>
      </w:r>
      <w:r>
        <w:rPr>
          <w:rFonts w:hint="eastAsia" w:ascii="宋体" w:hAnsi="宋体" w:eastAsia="宋体" w:cs="宋体"/>
          <w:color w:val="auto"/>
          <w:sz w:val="24"/>
          <w:szCs w:val="24"/>
          <w:highlight w:val="none"/>
          <w:lang w:val="en-US" w:eastAsia="zh-CN"/>
        </w:rPr>
        <w:t>凤台基层管理所维修改造；</w:t>
      </w:r>
      <w:r>
        <w:rPr>
          <w:rFonts w:hint="eastAsia" w:ascii="宋体" w:hAnsi="宋体" w:eastAsia="宋体" w:cs="宋体"/>
          <w:b/>
          <w:bCs/>
          <w:color w:val="auto"/>
          <w:sz w:val="24"/>
          <w:szCs w:val="24"/>
          <w:highlight w:val="none"/>
          <w:lang w:val="en-US" w:eastAsia="zh-CN"/>
        </w:rPr>
        <w:t>第3包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五河基层管理所维修改造；</w:t>
      </w:r>
      <w:r>
        <w:rPr>
          <w:rFonts w:hint="eastAsia" w:ascii="宋体" w:hAnsi="宋体" w:eastAsia="宋体" w:cs="宋体"/>
          <w:b/>
          <w:bCs/>
          <w:color w:val="auto"/>
          <w:sz w:val="24"/>
          <w:szCs w:val="24"/>
          <w:highlight w:val="none"/>
          <w:lang w:val="en-US" w:eastAsia="zh-CN"/>
        </w:rPr>
        <w:t>第4包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颍上基层管理所维修改造</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第5包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颍东基层管理所维修改造；</w:t>
      </w:r>
      <w:r>
        <w:rPr>
          <w:rFonts w:hint="eastAsia" w:ascii="宋体" w:hAnsi="宋体" w:eastAsia="宋体" w:cs="宋体"/>
          <w:b/>
          <w:bCs/>
          <w:color w:val="auto"/>
          <w:sz w:val="24"/>
          <w:szCs w:val="24"/>
          <w:highlight w:val="none"/>
          <w:lang w:val="en-US" w:eastAsia="zh-CN"/>
        </w:rPr>
        <w:t>第6包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怀远</w:t>
      </w:r>
      <w:r>
        <w:rPr>
          <w:rFonts w:hint="eastAsia" w:ascii="宋体" w:hAnsi="宋体" w:eastAsia="宋体" w:cs="宋体"/>
          <w:color w:val="auto"/>
          <w:sz w:val="24"/>
          <w:szCs w:val="24"/>
          <w:highlight w:val="none"/>
          <w:lang w:val="en-US" w:eastAsia="zh-CN"/>
        </w:rPr>
        <w:t>基层管理所维修改造；</w:t>
      </w:r>
      <w:r>
        <w:rPr>
          <w:rFonts w:hint="eastAsia" w:ascii="宋体" w:hAnsi="宋体" w:eastAsia="宋体" w:cs="宋体"/>
          <w:b/>
          <w:bCs/>
          <w:color w:val="auto"/>
          <w:sz w:val="24"/>
          <w:szCs w:val="24"/>
          <w:highlight w:val="none"/>
          <w:lang w:val="en-US" w:eastAsia="zh-CN"/>
        </w:rPr>
        <w:t>第7包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蒙城</w:t>
      </w:r>
      <w:r>
        <w:rPr>
          <w:rFonts w:hint="eastAsia" w:ascii="宋体" w:hAnsi="宋体" w:eastAsia="宋体" w:cs="宋体"/>
          <w:color w:val="auto"/>
          <w:sz w:val="24"/>
          <w:szCs w:val="24"/>
          <w:highlight w:val="none"/>
          <w:lang w:val="en-US" w:eastAsia="zh-CN"/>
        </w:rPr>
        <w:t>基层管理所维修改造。</w:t>
      </w:r>
    </w:p>
    <w:p w14:paraId="2988D18C">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由安徽省淮河河道管理局作为采购人统一组织采购，成交人成交后分别与安徽省淮河河道管理局、凤台淮河河道管理局、潘集淮河河道管理局3个单位签订合同。</w:t>
      </w:r>
    </w:p>
    <w:p w14:paraId="475704C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本项目为第1包潘集基层管理所维修改造，工作内容具体详见工程量清单。</w:t>
      </w:r>
    </w:p>
    <w:p w14:paraId="1C1A35FA">
      <w:pPr>
        <w:numPr>
          <w:ilvl w:val="0"/>
          <w:numId w:val="0"/>
        </w:num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6.</w:t>
      </w:r>
      <w:r>
        <w:rPr>
          <w:rFonts w:hint="eastAsia" w:ascii="宋体" w:hAnsi="宋体" w:eastAsia="宋体"/>
          <w:color w:val="auto"/>
          <w:sz w:val="24"/>
          <w:szCs w:val="24"/>
          <w:highlight w:val="none"/>
        </w:rPr>
        <w:t>合同履行期限：</w:t>
      </w:r>
      <w:r>
        <w:rPr>
          <w:rFonts w:hint="eastAsia" w:ascii="宋体" w:hAnsi="宋体" w:eastAsia="宋体"/>
          <w:color w:val="auto"/>
          <w:sz w:val="24"/>
          <w:szCs w:val="24"/>
          <w:highlight w:val="none"/>
          <w:lang w:eastAsia="zh-CN"/>
        </w:rPr>
        <w:t>（</w:t>
      </w:r>
      <w:r>
        <w:rPr>
          <w:rFonts w:hint="eastAsia"/>
          <w:color w:val="auto"/>
          <w:sz w:val="24"/>
          <w:szCs w:val="24"/>
          <w:highlight w:val="none"/>
          <w:lang w:eastAsia="zh-CN"/>
        </w:rPr>
        <w:t>第1包</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合同签订之日起</w:t>
      </w:r>
      <w:r>
        <w:rPr>
          <w:rFonts w:hint="eastAsia" w:ascii="宋体" w:hAnsi="宋体" w:eastAsia="宋体"/>
          <w:color w:val="auto"/>
          <w:sz w:val="24"/>
          <w:szCs w:val="24"/>
          <w:highlight w:val="none"/>
        </w:rPr>
        <w:t>90日历天</w:t>
      </w:r>
      <w:r>
        <w:rPr>
          <w:rFonts w:hint="eastAsia"/>
          <w:color w:val="auto"/>
          <w:sz w:val="24"/>
          <w:szCs w:val="24"/>
          <w:highlight w:val="none"/>
          <w:lang w:val="en-US" w:eastAsia="zh-CN"/>
        </w:rPr>
        <w:t>完成所有工作内容</w:t>
      </w:r>
      <w:r>
        <w:rPr>
          <w:rFonts w:hint="eastAsia"/>
          <w:color w:val="auto"/>
          <w:sz w:val="24"/>
          <w:szCs w:val="24"/>
          <w:highlight w:val="none"/>
          <w:lang w:eastAsia="zh-CN"/>
        </w:rPr>
        <w:t>。</w:t>
      </w:r>
    </w:p>
    <w:p w14:paraId="6B313C38">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7.本项目（</w:t>
      </w:r>
      <w:r>
        <w:rPr>
          <w:rFonts w:hint="eastAsia"/>
          <w:color w:val="auto"/>
          <w:sz w:val="24"/>
          <w:szCs w:val="24"/>
          <w:highlight w:val="none"/>
          <w:lang w:val="en-US" w:eastAsia="zh-CN"/>
        </w:rPr>
        <w:t>是/</w:t>
      </w:r>
      <w:r>
        <w:rPr>
          <w:rFonts w:hint="eastAsia" w:ascii="宋体" w:hAnsi="宋体" w:eastAsia="宋体"/>
          <w:color w:val="auto"/>
          <w:sz w:val="24"/>
          <w:szCs w:val="24"/>
          <w:highlight w:val="none"/>
        </w:rPr>
        <w:t>否）接受联合体</w:t>
      </w:r>
      <w:r>
        <w:rPr>
          <w:rFonts w:hint="eastAsia"/>
          <w:color w:val="auto"/>
          <w:sz w:val="24"/>
          <w:szCs w:val="24"/>
          <w:highlight w:val="none"/>
          <w:lang w:eastAsia="zh-CN"/>
        </w:rPr>
        <w:t>：</w:t>
      </w:r>
      <w:r>
        <w:rPr>
          <w:rFonts w:hint="eastAsia"/>
          <w:color w:val="auto"/>
          <w:sz w:val="24"/>
          <w:szCs w:val="24"/>
          <w:highlight w:val="none"/>
          <w:lang w:val="en-US" w:eastAsia="zh-CN"/>
        </w:rPr>
        <w:t>否</w:t>
      </w:r>
      <w:r>
        <w:rPr>
          <w:rFonts w:hint="eastAsia" w:ascii="宋体" w:hAnsi="宋体" w:eastAsia="宋体"/>
          <w:color w:val="auto"/>
          <w:sz w:val="24"/>
          <w:szCs w:val="24"/>
          <w:highlight w:val="none"/>
        </w:rPr>
        <w:t>。</w:t>
      </w:r>
    </w:p>
    <w:p w14:paraId="7317B9D0">
      <w:pPr>
        <w:spacing w:line="360" w:lineRule="auto"/>
        <w:ind w:firstLine="435"/>
        <w:outlineLvl w:val="1"/>
        <w:rPr>
          <w:rFonts w:hint="eastAsia" w:eastAsia="宋体"/>
          <w:b/>
          <w:bCs/>
          <w:color w:val="auto"/>
          <w:sz w:val="24"/>
          <w:szCs w:val="24"/>
          <w:highlight w:val="none"/>
          <w:lang w:val="en-US" w:eastAsia="zh-CN"/>
        </w:rPr>
      </w:pPr>
      <w:bookmarkStart w:id="5" w:name="_Toc27595"/>
      <w:r>
        <w:rPr>
          <w:rFonts w:hint="eastAsia"/>
          <w:b/>
          <w:bCs/>
          <w:color w:val="auto"/>
          <w:sz w:val="24"/>
          <w:szCs w:val="24"/>
          <w:highlight w:val="none"/>
        </w:rPr>
        <w:t>二</w:t>
      </w: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申请人的</w:t>
      </w:r>
      <w:r>
        <w:rPr>
          <w:rFonts w:hint="eastAsia"/>
          <w:b/>
          <w:bCs/>
          <w:color w:val="auto"/>
          <w:sz w:val="24"/>
          <w:szCs w:val="24"/>
          <w:highlight w:val="none"/>
        </w:rPr>
        <w:t>资格</w:t>
      </w:r>
      <w:bookmarkEnd w:id="4"/>
      <w:r>
        <w:rPr>
          <w:rFonts w:hint="eastAsia"/>
          <w:b/>
          <w:bCs/>
          <w:color w:val="auto"/>
          <w:sz w:val="24"/>
          <w:szCs w:val="24"/>
          <w:highlight w:val="none"/>
          <w:lang w:val="en-US" w:eastAsia="zh-CN"/>
        </w:rPr>
        <w:t>要求</w:t>
      </w:r>
      <w:bookmarkEnd w:id="5"/>
    </w:p>
    <w:p w14:paraId="39953A12">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bookmarkStart w:id="6" w:name="_Toc4065"/>
      <w:r>
        <w:rPr>
          <w:rFonts w:hint="eastAsia" w:ascii="宋体" w:hAnsi="宋体" w:eastAsia="宋体"/>
          <w:color w:val="auto"/>
          <w:sz w:val="24"/>
          <w:szCs w:val="24"/>
          <w:highlight w:val="none"/>
          <w:lang w:val="en-US" w:eastAsia="zh-CN"/>
        </w:rPr>
        <w:t>1.满足《中华人民共和国政府采购法》第二十二条规定；</w:t>
      </w:r>
    </w:p>
    <w:p w14:paraId="00743229">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2.落实政府采购政策需满足的资格要求：</w:t>
      </w:r>
    </w:p>
    <w:p w14:paraId="50186991">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2.1中小企业政策</w:t>
      </w:r>
    </w:p>
    <w:p w14:paraId="25BC9FEA">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2.1.1</w:t>
      </w:r>
      <w:r>
        <w:rPr>
          <w:rFonts w:hint="eastAsia" w:ascii="宋体" w:hAnsi="宋体" w:eastAsia="宋体"/>
          <w:color w:val="auto"/>
          <w:sz w:val="24"/>
          <w:szCs w:val="24"/>
          <w:highlight w:val="none"/>
          <w:lang w:val="en-US" w:eastAsia="zh-CN"/>
        </w:rPr>
        <w:sym w:font="Wingdings 2" w:char="00A3"/>
      </w:r>
      <w:r>
        <w:rPr>
          <w:rFonts w:hint="eastAsia" w:ascii="宋体" w:hAnsi="宋体" w:eastAsia="宋体"/>
          <w:color w:val="auto"/>
          <w:sz w:val="24"/>
          <w:szCs w:val="24"/>
          <w:highlight w:val="none"/>
          <w:lang w:val="en-US" w:eastAsia="zh-CN"/>
        </w:rPr>
        <w:t>本项目不专门面向中小企业预留采购份额。</w:t>
      </w:r>
    </w:p>
    <w:p w14:paraId="4FDC0A7A">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2.1.2</w:t>
      </w:r>
      <w:r>
        <w:rPr>
          <w:rFonts w:hint="eastAsia"/>
          <w:color w:val="auto"/>
          <w:sz w:val="24"/>
          <w:szCs w:val="24"/>
          <w:highlight w:val="none"/>
          <w:lang w:val="en-US" w:eastAsia="zh-CN"/>
        </w:rPr>
        <w:t>☑</w:t>
      </w:r>
      <w:r>
        <w:rPr>
          <w:rFonts w:hint="eastAsia" w:ascii="宋体" w:hAnsi="宋体" w:eastAsia="宋体"/>
          <w:color w:val="auto"/>
          <w:sz w:val="24"/>
          <w:szCs w:val="24"/>
          <w:highlight w:val="none"/>
          <w:lang w:val="en-US" w:eastAsia="zh-CN"/>
        </w:rPr>
        <w:t>本项目专门面向</w:t>
      </w:r>
      <w:r>
        <w:rPr>
          <w:rFonts w:hint="eastAsia" w:ascii="宋体" w:hAnsi="宋体" w:eastAsia="宋体"/>
          <w:color w:val="auto"/>
          <w:sz w:val="24"/>
          <w:szCs w:val="24"/>
          <w:highlight w:val="none"/>
          <w:u w:val="single"/>
          <w:lang w:val="en-US" w:eastAsia="zh-CN"/>
        </w:rPr>
        <w:t xml:space="preserve"> </w:t>
      </w:r>
      <w:r>
        <w:rPr>
          <w:rFonts w:hint="eastAsia"/>
          <w:b/>
          <w:bCs/>
          <w:color w:val="auto"/>
          <w:sz w:val="24"/>
          <w:szCs w:val="24"/>
          <w:highlight w:val="none"/>
          <w:u w:val="single"/>
          <w:lang w:val="en-US" w:eastAsia="zh-CN"/>
        </w:rPr>
        <w:t>中小企业</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采购。</w:t>
      </w:r>
    </w:p>
    <w:p w14:paraId="78000CF4">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144F0626">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lang w:val="en-US" w:eastAsia="zh-CN"/>
        </w:rPr>
        <w:t>其它落实政府采购政策的资格要求（如有）：</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22D4B0D4">
      <w:pPr>
        <w:numPr>
          <w:ilvl w:val="0"/>
          <w:numId w:val="0"/>
        </w:numPr>
        <w:spacing w:line="360" w:lineRule="auto"/>
        <w:ind w:firstLine="480" w:firstLineChars="200"/>
        <w:outlineLvl w:val="9"/>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3.本项目的</w:t>
      </w:r>
      <w:r>
        <w:rPr>
          <w:rFonts w:hint="eastAsia" w:ascii="宋体" w:hAnsi="宋体" w:eastAsia="宋体"/>
          <w:color w:val="auto"/>
          <w:sz w:val="24"/>
          <w:szCs w:val="24"/>
          <w:highlight w:val="none"/>
          <w:lang w:val="en-US" w:eastAsia="zh-CN"/>
        </w:rPr>
        <w:t>特定资格要求：</w:t>
      </w:r>
      <w:bookmarkStart w:id="7" w:name="_Toc2855"/>
    </w:p>
    <w:p w14:paraId="2D3C297B">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（1）具有有效的建筑工程</w:t>
      </w:r>
      <w:r>
        <w:rPr>
          <w:rFonts w:hint="eastAsia"/>
          <w:color w:val="auto"/>
          <w:sz w:val="24"/>
          <w:szCs w:val="24"/>
          <w:highlight w:val="none"/>
          <w:u w:val="single"/>
          <w:lang w:val="en-US" w:eastAsia="zh-CN"/>
        </w:rPr>
        <w:t>或水利水电工程施工总承包三级及以上</w:t>
      </w:r>
      <w:r>
        <w:rPr>
          <w:rFonts w:hint="eastAsia" w:ascii="宋体" w:hAnsi="宋体" w:eastAsia="宋体"/>
          <w:color w:val="auto"/>
          <w:sz w:val="24"/>
          <w:szCs w:val="24"/>
          <w:highlight w:val="none"/>
          <w:u w:val="single"/>
          <w:lang w:val="en-US" w:eastAsia="zh-CN"/>
        </w:rPr>
        <w:t>资质；</w:t>
      </w:r>
    </w:p>
    <w:p w14:paraId="1C310A39">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（2）具有有效的安全生产许可证；</w:t>
      </w:r>
    </w:p>
    <w:p w14:paraId="7B1D82BC">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（3）项目经理具有有效的建筑工程</w:t>
      </w:r>
      <w:r>
        <w:rPr>
          <w:rFonts w:hint="eastAsia"/>
          <w:color w:val="auto"/>
          <w:sz w:val="24"/>
          <w:szCs w:val="24"/>
          <w:highlight w:val="none"/>
          <w:u w:val="single"/>
          <w:lang w:val="en-US" w:eastAsia="zh-CN"/>
        </w:rPr>
        <w:t>或水利水电工程</w:t>
      </w:r>
      <w:r>
        <w:rPr>
          <w:rFonts w:hint="eastAsia" w:ascii="宋体" w:hAnsi="宋体" w:eastAsia="宋体"/>
          <w:color w:val="auto"/>
          <w:sz w:val="24"/>
          <w:szCs w:val="24"/>
          <w:highlight w:val="none"/>
          <w:u w:val="single"/>
          <w:lang w:val="en-US" w:eastAsia="zh-CN"/>
        </w:rPr>
        <w:t>专业二级及以上建造师注册证书，且持有</w:t>
      </w:r>
      <w:r>
        <w:rPr>
          <w:rFonts w:hint="eastAsia"/>
          <w:color w:val="auto"/>
          <w:sz w:val="24"/>
          <w:szCs w:val="24"/>
          <w:highlight w:val="none"/>
          <w:u w:val="single"/>
          <w:lang w:val="en-US" w:eastAsia="zh-CN"/>
        </w:rPr>
        <w:t>相关</w:t>
      </w:r>
      <w:r>
        <w:rPr>
          <w:rFonts w:hint="eastAsia" w:ascii="宋体" w:hAnsi="宋体" w:eastAsia="宋体"/>
          <w:color w:val="auto"/>
          <w:sz w:val="24"/>
          <w:szCs w:val="24"/>
          <w:highlight w:val="none"/>
          <w:u w:val="single"/>
          <w:lang w:val="en-US" w:eastAsia="zh-CN"/>
        </w:rPr>
        <w:t>行政主管部门颁发的B类安全生产考核合格证书。</w:t>
      </w:r>
    </w:p>
    <w:p w14:paraId="29AB86A5">
      <w:pPr>
        <w:spacing w:line="360" w:lineRule="auto"/>
        <w:ind w:firstLine="435"/>
        <w:outlineLvl w:val="1"/>
        <w:rPr>
          <w:rFonts w:hint="eastAsia"/>
          <w:b/>
          <w:bCs/>
          <w:color w:val="auto"/>
          <w:sz w:val="24"/>
          <w:szCs w:val="24"/>
          <w:highlight w:val="none"/>
        </w:rPr>
      </w:pPr>
      <w:r>
        <w:rPr>
          <w:rFonts w:hint="eastAsia"/>
          <w:b/>
          <w:bCs/>
          <w:color w:val="auto"/>
          <w:sz w:val="24"/>
          <w:szCs w:val="24"/>
          <w:highlight w:val="none"/>
        </w:rPr>
        <w:t>三、</w:t>
      </w:r>
      <w:bookmarkEnd w:id="6"/>
      <w:r>
        <w:rPr>
          <w:rFonts w:hint="eastAsia"/>
          <w:b/>
          <w:bCs/>
          <w:color w:val="auto"/>
          <w:sz w:val="24"/>
          <w:szCs w:val="24"/>
          <w:highlight w:val="none"/>
        </w:rPr>
        <w:t>获取采购文件</w:t>
      </w:r>
      <w:bookmarkEnd w:id="7"/>
    </w:p>
    <w:p w14:paraId="298A8E14">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8" w:name="_Toc28359092"/>
      <w:bookmarkStart w:id="9" w:name="_Toc28359015"/>
      <w:bookmarkStart w:id="10" w:name="_Toc35393632"/>
      <w:bookmarkStart w:id="11" w:name="_Toc35393801"/>
      <w:bookmarkStart w:id="12" w:name="_Toc28080"/>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日至2025年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w:t>
      </w:r>
      <w:bookmarkStart w:id="13" w:name="_Toc5805"/>
      <w:r>
        <w:rPr>
          <w:rFonts w:hint="eastAsia" w:ascii="宋体" w:hAnsi="宋体" w:eastAsia="宋体" w:cs="宋体"/>
          <w:color w:val="auto"/>
          <w:sz w:val="24"/>
          <w:szCs w:val="24"/>
          <w:highlight w:val="none"/>
        </w:rPr>
        <w:t>每天上午00:00至12:00，下午12:00至23:59（北京时间，法定节假日除外）</w:t>
      </w:r>
    </w:p>
    <w:p w14:paraId="3199B193">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地点：“徽采云”电子交易系统 </w:t>
      </w:r>
    </w:p>
    <w:p w14:paraId="2DD49FEF">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方式：供应商登录“徽采云”电子交易系统在线获取采购文件</w:t>
      </w:r>
    </w:p>
    <w:p w14:paraId="365BC846">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6DFB14EB">
      <w:pPr>
        <w:adjustRightInd w:val="0"/>
        <w:snapToGrid w:val="0"/>
        <w:spacing w:line="560" w:lineRule="exact"/>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bookmarkEnd w:id="8"/>
      <w:bookmarkEnd w:id="9"/>
      <w:bookmarkEnd w:id="10"/>
      <w:bookmarkEnd w:id="11"/>
      <w:bookmarkEnd w:id="13"/>
    </w:p>
    <w:p w14:paraId="049850F7">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14" w:name="_Toc32658"/>
      <w:bookmarkStart w:id="15" w:name="_Toc35393802"/>
      <w:bookmarkStart w:id="16" w:name="_Toc28359093"/>
      <w:bookmarkStart w:id="17" w:name="_Toc35393633"/>
      <w:bookmarkStart w:id="18" w:name="_Toc28359016"/>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1EFE0B9F">
      <w:pPr>
        <w:adjustRightInd w:val="0"/>
        <w:snapToGrid w:val="0"/>
        <w:spacing w:before="0" w:after="0" w:line="56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地点：</w:t>
      </w:r>
      <w:r>
        <w:rPr>
          <w:rFonts w:hint="eastAsia" w:ascii="宋体" w:hAnsi="宋体" w:eastAsia="宋体" w:cs="宋体"/>
          <w:b w:val="0"/>
          <w:bCs w:val="0"/>
          <w:color w:val="auto"/>
          <w:kern w:val="0"/>
          <w:sz w:val="24"/>
          <w:szCs w:val="24"/>
          <w:highlight w:val="none"/>
          <w:u w:val="single"/>
          <w:lang w:val="en-US" w:eastAsia="zh-CN" w:bidi="ar-SA"/>
        </w:rPr>
        <w:t>在提交截止时间前将加密的电子投标文件上传至电子交易系统，逾期提交的，电子交易系统将拒收。投标文件制作、加密及提交要求详见“安徽省政府采购网-徽采学院－电子交易系统学习专题－供应商－操作手册”。</w:t>
      </w:r>
    </w:p>
    <w:p w14:paraId="2F34506F">
      <w:pPr>
        <w:pStyle w:val="3"/>
        <w:adjustRightInd w:val="0"/>
        <w:snapToGrid w:val="0"/>
        <w:spacing w:before="0" w:after="0" w:line="560" w:lineRule="exact"/>
        <w:jc w:val="left"/>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五、开启</w:t>
      </w:r>
      <w:bookmarkEnd w:id="14"/>
      <w:bookmarkEnd w:id="15"/>
      <w:bookmarkEnd w:id="16"/>
      <w:bookmarkEnd w:id="17"/>
      <w:bookmarkEnd w:id="18"/>
    </w:p>
    <w:p w14:paraId="3AEEBECB">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71389232">
      <w:pPr>
        <w:adjustRightInd w:val="0"/>
        <w:snapToGrid w:val="0"/>
        <w:spacing w:line="56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地点：“徽采云”电子交易系统</w:t>
      </w:r>
    </w:p>
    <w:p w14:paraId="72E3B29B">
      <w:pPr>
        <w:pStyle w:val="3"/>
        <w:adjustRightInd w:val="0"/>
        <w:snapToGrid w:val="0"/>
        <w:spacing w:before="0" w:after="0" w:line="560" w:lineRule="exact"/>
        <w:jc w:val="left"/>
        <w:rPr>
          <w:rFonts w:ascii="宋体" w:hAnsi="宋体" w:eastAsia="宋体" w:cs="宋体"/>
          <w:bCs w:val="0"/>
          <w:color w:val="auto"/>
          <w:sz w:val="24"/>
          <w:szCs w:val="24"/>
          <w:highlight w:val="none"/>
        </w:rPr>
      </w:pPr>
      <w:bookmarkStart w:id="19" w:name="_Toc28359017"/>
      <w:bookmarkStart w:id="20" w:name="_Toc6935"/>
      <w:bookmarkStart w:id="21" w:name="_Toc35393634"/>
      <w:bookmarkStart w:id="22" w:name="_Toc35393803"/>
      <w:bookmarkStart w:id="23" w:name="_Toc28359094"/>
      <w:r>
        <w:rPr>
          <w:rFonts w:hint="eastAsia" w:ascii="宋体" w:hAnsi="宋体" w:eastAsia="宋体" w:cs="宋体"/>
          <w:bCs w:val="0"/>
          <w:color w:val="auto"/>
          <w:sz w:val="24"/>
          <w:szCs w:val="24"/>
          <w:highlight w:val="none"/>
        </w:rPr>
        <w:t>六、公告期限</w:t>
      </w:r>
      <w:bookmarkEnd w:id="19"/>
      <w:bookmarkEnd w:id="20"/>
      <w:bookmarkEnd w:id="21"/>
      <w:bookmarkEnd w:id="22"/>
      <w:bookmarkEnd w:id="23"/>
    </w:p>
    <w:p w14:paraId="66C689ED">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bookmarkStart w:id="24" w:name="_Toc35393804"/>
      <w:bookmarkStart w:id="25" w:name="_Toc23004"/>
      <w:bookmarkStart w:id="26" w:name="_Toc35393635"/>
    </w:p>
    <w:p w14:paraId="1AEE0B8C">
      <w:pPr>
        <w:numPr>
          <w:ilvl w:val="0"/>
          <w:numId w:val="0"/>
        </w:numPr>
        <w:adjustRightInd w:val="0"/>
        <w:snapToGrid w:val="0"/>
        <w:spacing w:line="560" w:lineRule="exact"/>
        <w:jc w:val="lef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24"/>
      <w:bookmarkEnd w:id="25"/>
      <w:bookmarkEnd w:id="26"/>
      <w:bookmarkStart w:id="27" w:name="_Toc28359018"/>
      <w:bookmarkStart w:id="28" w:name="_Toc35393636"/>
      <w:bookmarkStart w:id="29" w:name="_Toc28099"/>
      <w:bookmarkStart w:id="30" w:name="_Toc28359095"/>
      <w:bookmarkStart w:id="31" w:name="_Toc35393805"/>
    </w:p>
    <w:p w14:paraId="6BFF3F8B">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项目采用全流程电子化采购方式，相关操作说明如下：</w:t>
      </w:r>
    </w:p>
    <w:p w14:paraId="54B9AB9A">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1.本项目落实节能环保、中小微型企业扶持等相关政府采购政策。</w:t>
      </w:r>
    </w:p>
    <w:p w14:paraId="3AB4CBB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2.本次竞争性磋商公告同时在安徽省政府采购网、安徽省水利厅-安徽省淮河河道管理局网上发布。</w:t>
      </w:r>
    </w:p>
    <w:p w14:paraId="27995910">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3.供应商应合理安排磋商文件获取时间，特别是网络速度慢的地区防止在系统关闭前网络拥堵无法操作。如果因计算机及网络故障造成无法完成磋商文件获取，责任自负。</w:t>
      </w:r>
    </w:p>
    <w:p w14:paraId="3D5490F4">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4.响应文件的提交要求：</w:t>
      </w:r>
    </w:p>
    <w:p w14:paraId="1D76297C">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供应商应当在响应文件提交截止时间前通过“徽采云”电子交易系统上传加密的电子响应文件，未在响应文件提交截止时间前完成上传的，视为逾期送达，拒绝接收。</w:t>
      </w:r>
    </w:p>
    <w:p w14:paraId="00DDA84C">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5.电子招投标的说明</w:t>
      </w:r>
    </w:p>
    <w:p w14:paraId="6F0EC3CC">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5.1电子招投标：本项目以数据电文形式，依托“徽采云”电子交易系统进行响应活动；</w:t>
      </w:r>
    </w:p>
    <w:p w14:paraId="3E861837">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5.2响应准备：注册账号--详情参见“徽采云”平台供应商注册与配置手册“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响应客户端----前往“安徽省政府采购网-下载专区-电子交易系统专区”进行下载并安装（http://www.ccgp-anhui.gov.cn/anhuiCategory15/anhuiCategory119/9396667.html）；</w:t>
      </w:r>
    </w:p>
    <w:p w14:paraId="55FB8A76">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5.3招标文件的获取：使用 CA 登录“徽采云”电子交易系统；进入“项目采购”应用，在获取采购文件菜单中选择项目，获取招标文件；</w:t>
      </w:r>
    </w:p>
    <w:p w14:paraId="47649FA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5.4响应文件的制作：在“徽采云响应客户端”中完成“填写基本信息”、 “制作和导入响应（响应）文件”、“标书关联”、“标书检查”、“电子签名”、 “生成电子标书”等操作；</w:t>
      </w:r>
    </w:p>
    <w:p w14:paraId="44EF0E0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5.5响应文件的上传：使用CA登录“徽采云”电子交易系统；进入“项目采购”应用，在响应文件上传菜单中选择项目，上传加密的响应文件（*.jmbs）；</w:t>
      </w:r>
    </w:p>
    <w:p w14:paraId="5BC215A0">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5.6响应文件的解密：响应人按照系统提示和招标文件规定，在规定时间内完成在线解密；</w:t>
      </w:r>
    </w:p>
    <w:p w14:paraId="0E79DC45">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5.7“徽采云”电子交易系统具体操作指南：详见安徽省政府采购网-徽采学院-电子交易系统学习专题-供应商-操作手册。</w:t>
      </w:r>
    </w:p>
    <w:p w14:paraId="33FD9BB6">
      <w:pPr>
        <w:adjustRightInd w:val="0"/>
        <w:snapToGrid w:val="0"/>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5.8CA问题联系电话：安徽CA400-880-494.84629 ；翔晟CA0551-68105136。</w:t>
      </w:r>
    </w:p>
    <w:p w14:paraId="1997E6A6">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6.供应商参加多个包磋商的成交包数规定：</w:t>
      </w:r>
    </w:p>
    <w:p w14:paraId="239A295D">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6.1各供应商均可就本采购项目的</w:t>
      </w:r>
      <w:r>
        <w:rPr>
          <w:rFonts w:hint="eastAsia" w:cs="宋体"/>
          <w:b/>
          <w:bCs/>
          <w:color w:val="auto"/>
          <w:sz w:val="24"/>
          <w:szCs w:val="24"/>
          <w:highlight w:val="none"/>
          <w:lang w:val="en-US" w:eastAsia="zh-CN"/>
        </w:rPr>
        <w:t>7</w:t>
      </w:r>
      <w:r>
        <w:rPr>
          <w:rFonts w:hint="eastAsia" w:cs="宋体"/>
          <w:b/>
          <w:bCs/>
          <w:color w:val="auto"/>
          <w:sz w:val="24"/>
          <w:szCs w:val="24"/>
          <w:highlight w:val="none"/>
        </w:rPr>
        <w:t>个包别递交响应文件，</w:t>
      </w:r>
      <w:r>
        <w:rPr>
          <w:rFonts w:hint="eastAsia" w:cs="宋体"/>
          <w:b/>
          <w:bCs/>
          <w:color w:val="auto"/>
          <w:sz w:val="24"/>
          <w:szCs w:val="24"/>
          <w:highlight w:val="none"/>
          <w:lang w:val="en-US" w:eastAsia="zh-CN"/>
        </w:rPr>
        <w:t>因</w:t>
      </w:r>
      <w:r>
        <w:rPr>
          <w:rFonts w:hint="eastAsia" w:cs="宋体"/>
          <w:b/>
          <w:bCs/>
          <w:color w:val="auto"/>
          <w:sz w:val="24"/>
          <w:szCs w:val="24"/>
          <w:highlight w:val="none"/>
        </w:rPr>
        <w:t>各包别项目施工所在区域距离较远，为保证施工质量，供应商同时投本项目</w:t>
      </w:r>
      <w:r>
        <w:rPr>
          <w:rFonts w:hint="eastAsia" w:cs="宋体"/>
          <w:b/>
          <w:bCs/>
          <w:color w:val="auto"/>
          <w:sz w:val="24"/>
          <w:szCs w:val="24"/>
          <w:highlight w:val="none"/>
          <w:lang w:val="en-US" w:eastAsia="zh-CN"/>
        </w:rPr>
        <w:t>7</w:t>
      </w:r>
      <w:r>
        <w:rPr>
          <w:rFonts w:cs="宋体"/>
          <w:b/>
          <w:bCs/>
          <w:color w:val="auto"/>
          <w:sz w:val="24"/>
          <w:szCs w:val="24"/>
          <w:highlight w:val="none"/>
        </w:rPr>
        <w:t>个包别的，响应文件中使用相同项目经理及主要施工管理人员（包括但不限于项目副经理、技术负责人、安全员、质检员等）进行投标的，最多只能中1个</w:t>
      </w:r>
      <w:r>
        <w:rPr>
          <w:rFonts w:hint="eastAsia" w:cs="宋体"/>
          <w:b/>
          <w:bCs/>
          <w:color w:val="auto"/>
          <w:sz w:val="24"/>
          <w:szCs w:val="24"/>
          <w:highlight w:val="none"/>
          <w:lang w:val="en-US" w:eastAsia="zh-CN"/>
        </w:rPr>
        <w:t>包别</w:t>
      </w:r>
      <w:r>
        <w:rPr>
          <w:rFonts w:cs="宋体"/>
          <w:b/>
          <w:bCs/>
          <w:color w:val="auto"/>
          <w:sz w:val="24"/>
          <w:szCs w:val="24"/>
          <w:highlight w:val="none"/>
        </w:rPr>
        <w:t>（响应文件中须提供主要施工管理人员表）</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已在前面包别被推荐为第一成交候选供应商的后续包别不再推荐为成交候选供应商</w:t>
      </w:r>
      <w:r>
        <w:rPr>
          <w:rFonts w:cs="宋体"/>
          <w:b/>
          <w:bCs/>
          <w:color w:val="auto"/>
          <w:sz w:val="24"/>
          <w:szCs w:val="24"/>
          <w:highlight w:val="none"/>
        </w:rPr>
        <w:t>。</w:t>
      </w:r>
    </w:p>
    <w:p w14:paraId="7686E090">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6.2评审顺序：第1包→</w:t>
      </w:r>
      <w:r>
        <w:rPr>
          <w:rFonts w:hint="eastAsia" w:cs="宋体"/>
          <w:b/>
          <w:bCs/>
          <w:color w:val="auto"/>
          <w:sz w:val="24"/>
          <w:szCs w:val="24"/>
          <w:highlight w:val="none"/>
          <w:lang w:eastAsia="zh-CN"/>
        </w:rPr>
        <w:t>第</w:t>
      </w:r>
      <w:r>
        <w:rPr>
          <w:rFonts w:hint="eastAsia" w:cs="宋体"/>
          <w:b/>
          <w:bCs/>
          <w:color w:val="auto"/>
          <w:sz w:val="24"/>
          <w:szCs w:val="24"/>
          <w:highlight w:val="none"/>
          <w:lang w:val="en-US" w:eastAsia="zh-CN"/>
        </w:rPr>
        <w:t>2</w:t>
      </w:r>
      <w:r>
        <w:rPr>
          <w:rFonts w:hint="eastAsia" w:cs="宋体"/>
          <w:b/>
          <w:bCs/>
          <w:color w:val="auto"/>
          <w:sz w:val="24"/>
          <w:szCs w:val="24"/>
          <w:highlight w:val="none"/>
          <w:lang w:eastAsia="zh-CN"/>
        </w:rPr>
        <w:t>包</w:t>
      </w:r>
      <w:r>
        <w:rPr>
          <w:rFonts w:hint="eastAsia" w:cs="宋体"/>
          <w:b/>
          <w:bCs/>
          <w:color w:val="auto"/>
          <w:sz w:val="24"/>
          <w:szCs w:val="24"/>
          <w:highlight w:val="none"/>
        </w:rPr>
        <w:t>→第3包→第4包→第5包→第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2F8A298B">
      <w:pPr>
        <w:adjustRightInd w:val="0"/>
        <w:snapToGrid w:val="0"/>
        <w:spacing w:line="560" w:lineRule="exact"/>
        <w:ind w:firstLine="482" w:firstLineChars="200"/>
        <w:jc w:val="left"/>
        <w:rPr>
          <w:rFonts w:hint="default" w:cs="宋体"/>
          <w:b/>
          <w:bCs/>
          <w:color w:val="auto"/>
          <w:sz w:val="24"/>
          <w:szCs w:val="24"/>
          <w:highlight w:val="none"/>
          <w:lang w:val="en-US" w:eastAsia="zh-CN"/>
        </w:rPr>
      </w:pPr>
      <w:r>
        <w:rPr>
          <w:rFonts w:hint="eastAsia" w:cs="宋体"/>
          <w:b/>
          <w:bCs/>
          <w:color w:val="auto"/>
          <w:sz w:val="24"/>
          <w:szCs w:val="24"/>
          <w:highlight w:val="none"/>
        </w:rPr>
        <w:t>6.3推荐成交候选人的先后顺序：按照评审顺序进行推荐，即第1包→</w:t>
      </w:r>
      <w:r>
        <w:rPr>
          <w:rFonts w:hint="eastAsia" w:cs="宋体"/>
          <w:b/>
          <w:bCs/>
          <w:color w:val="auto"/>
          <w:sz w:val="24"/>
          <w:szCs w:val="24"/>
          <w:highlight w:val="none"/>
          <w:lang w:eastAsia="zh-CN"/>
        </w:rPr>
        <w:t>第</w:t>
      </w:r>
      <w:r>
        <w:rPr>
          <w:rFonts w:hint="eastAsia" w:cs="宋体"/>
          <w:b/>
          <w:bCs/>
          <w:color w:val="auto"/>
          <w:sz w:val="24"/>
          <w:szCs w:val="24"/>
          <w:highlight w:val="none"/>
          <w:lang w:val="en-US" w:eastAsia="zh-CN"/>
        </w:rPr>
        <w:t>2</w:t>
      </w:r>
      <w:r>
        <w:rPr>
          <w:rFonts w:hint="eastAsia" w:cs="宋体"/>
          <w:b/>
          <w:bCs/>
          <w:color w:val="auto"/>
          <w:sz w:val="24"/>
          <w:szCs w:val="24"/>
          <w:highlight w:val="none"/>
          <w:lang w:eastAsia="zh-CN"/>
        </w:rPr>
        <w:t>包</w:t>
      </w:r>
      <w:r>
        <w:rPr>
          <w:rFonts w:hint="eastAsia" w:cs="宋体"/>
          <w:b/>
          <w:bCs/>
          <w:color w:val="auto"/>
          <w:sz w:val="24"/>
          <w:szCs w:val="24"/>
          <w:highlight w:val="none"/>
        </w:rPr>
        <w:t>→第3包→第4包→第5包→第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3DC4F879">
      <w:pPr>
        <w:adjustRightInd w:val="0"/>
        <w:snapToGrid w:val="0"/>
        <w:spacing w:line="560" w:lineRule="exact"/>
        <w:ind w:firstLine="482"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八、凡对本</w:t>
      </w:r>
      <w:r>
        <w:rPr>
          <w:rFonts w:hint="eastAsia" w:ascii="宋体" w:hAnsi="宋体" w:eastAsia="宋体" w:cs="宋体"/>
          <w:b/>
          <w:color w:val="auto"/>
          <w:sz w:val="24"/>
          <w:szCs w:val="24"/>
          <w:highlight w:val="none"/>
        </w:rPr>
        <w:t>次采购提出询问，请按以下方式联系。</w:t>
      </w:r>
      <w:bookmarkEnd w:id="27"/>
      <w:bookmarkEnd w:id="28"/>
      <w:bookmarkEnd w:id="29"/>
      <w:bookmarkEnd w:id="30"/>
      <w:bookmarkEnd w:id="31"/>
    </w:p>
    <w:p w14:paraId="71DE5074">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32" w:name="_Toc28359096"/>
      <w:bookmarkStart w:id="33" w:name="_Toc28359019"/>
      <w:bookmarkStart w:id="34" w:name="_Toc35393637"/>
      <w:bookmarkStart w:id="35" w:name="_Toc35393806"/>
      <w:bookmarkStart w:id="36" w:name="_Toc29915"/>
      <w:r>
        <w:rPr>
          <w:rFonts w:hint="eastAsia" w:ascii="宋体" w:hAnsi="宋体" w:eastAsia="宋体" w:cs="宋体"/>
          <w:color w:val="auto"/>
          <w:sz w:val="24"/>
          <w:szCs w:val="24"/>
          <w:highlight w:val="none"/>
        </w:rPr>
        <w:t>1.采购人信息</w:t>
      </w:r>
      <w:bookmarkEnd w:id="32"/>
      <w:bookmarkEnd w:id="33"/>
      <w:bookmarkEnd w:id="34"/>
      <w:bookmarkEnd w:id="35"/>
      <w:bookmarkEnd w:id="36"/>
    </w:p>
    <w:p w14:paraId="3443573D">
      <w:pPr>
        <w:adjustRightInd w:val="0"/>
        <w:snapToGrid w:val="0"/>
        <w:spacing w:line="560" w:lineRule="exact"/>
        <w:ind w:firstLine="480" w:firstLineChars="200"/>
        <w:jc w:val="left"/>
        <w:rPr>
          <w:rFonts w:ascii="宋体" w:hAnsi="宋体" w:eastAsia="宋体"/>
          <w:color w:val="auto"/>
          <w:sz w:val="24"/>
          <w:szCs w:val="24"/>
          <w:highlight w:val="none"/>
        </w:rPr>
      </w:pPr>
      <w:bookmarkStart w:id="37" w:name="_Toc28359097"/>
      <w:bookmarkStart w:id="38" w:name="_Toc35393638"/>
      <w:bookmarkStart w:id="39" w:name="_Toc28359020"/>
      <w:bookmarkStart w:id="40" w:name="_Toc35393807"/>
      <w:r>
        <w:rPr>
          <w:rFonts w:hint="eastAsia" w:ascii="宋体" w:hAnsi="宋体" w:eastAsia="宋体" w:cs="宋体"/>
          <w:color w:val="auto"/>
          <w:sz w:val="24"/>
          <w:szCs w:val="24"/>
          <w:highlight w:val="none"/>
        </w:rPr>
        <w:t>名  称</w:t>
      </w:r>
      <w:r>
        <w:rPr>
          <w:rFonts w:hint="eastAsia" w:ascii="宋体" w:hAnsi="宋体" w:eastAsia="宋体"/>
          <w:color w:val="auto"/>
          <w:sz w:val="24"/>
          <w:szCs w:val="24"/>
          <w:highlight w:val="none"/>
        </w:rPr>
        <w:t>：安徽省淮河河道管理局</w:t>
      </w:r>
    </w:p>
    <w:p w14:paraId="0A723B77">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地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址：安徽省蚌埠市解放一路116号</w:t>
      </w:r>
    </w:p>
    <w:p w14:paraId="746F1E8B">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联系方式：0552-3918027</w:t>
      </w:r>
    </w:p>
    <w:p w14:paraId="66AF5592">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41" w:name="_Toc15577"/>
      <w:r>
        <w:rPr>
          <w:rFonts w:hint="eastAsia" w:ascii="宋体" w:hAnsi="宋体" w:eastAsia="宋体" w:cs="宋体"/>
          <w:color w:val="auto"/>
          <w:sz w:val="24"/>
          <w:szCs w:val="24"/>
          <w:highlight w:val="none"/>
        </w:rPr>
        <w:t>2.采购代理机构信息</w:t>
      </w:r>
      <w:bookmarkEnd w:id="37"/>
      <w:bookmarkEnd w:id="38"/>
      <w:bookmarkEnd w:id="39"/>
      <w:bookmarkEnd w:id="40"/>
      <w:bookmarkEnd w:id="41"/>
    </w:p>
    <w:p w14:paraId="03FBBADF">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名  称：</w:t>
      </w:r>
      <w:r>
        <w:rPr>
          <w:rFonts w:hint="eastAsia"/>
          <w:bCs/>
          <w:color w:val="auto"/>
          <w:sz w:val="24"/>
          <w:szCs w:val="24"/>
          <w:highlight w:val="none"/>
          <w:lang w:val="en-US" w:eastAsia="zh-CN"/>
        </w:rPr>
        <w:t>安徽安兆工程技术咨询服务有限公司</w:t>
      </w:r>
    </w:p>
    <w:p w14:paraId="0FE71A2B">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地  址：</w:t>
      </w:r>
      <w:r>
        <w:rPr>
          <w:rFonts w:hint="eastAsia"/>
          <w:bCs/>
          <w:color w:val="auto"/>
          <w:sz w:val="24"/>
          <w:szCs w:val="24"/>
          <w:highlight w:val="none"/>
          <w:lang w:val="en-US" w:eastAsia="zh-CN"/>
        </w:rPr>
        <w:t>安徽省蚌埠市凤阳西路41号</w:t>
      </w:r>
    </w:p>
    <w:p w14:paraId="7EAFBE28">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联系人：</w:t>
      </w:r>
      <w:r>
        <w:rPr>
          <w:rFonts w:hint="eastAsia"/>
          <w:bCs/>
          <w:color w:val="auto"/>
          <w:sz w:val="24"/>
          <w:szCs w:val="24"/>
          <w:highlight w:val="none"/>
          <w:lang w:val="en-US" w:eastAsia="zh-CN"/>
        </w:rPr>
        <w:t>薛工</w:t>
      </w:r>
    </w:p>
    <w:p w14:paraId="41177E0E">
      <w:pPr>
        <w:adjustRightInd w:val="0"/>
        <w:snapToGrid w:val="0"/>
        <w:spacing w:line="560" w:lineRule="exact"/>
        <w:ind w:firstLine="480" w:firstLineChars="200"/>
        <w:jc w:val="left"/>
        <w:rPr>
          <w:rFonts w:hint="default" w:eastAsia="宋体"/>
          <w:bCs/>
          <w:color w:val="auto"/>
          <w:sz w:val="24"/>
          <w:szCs w:val="24"/>
          <w:highlight w:val="none"/>
          <w:lang w:val="en-US" w:eastAsia="zh-CN"/>
        </w:rPr>
      </w:pPr>
      <w:r>
        <w:rPr>
          <w:rFonts w:hint="eastAsia" w:ascii="宋体" w:hAnsi="宋体" w:eastAsia="宋体"/>
          <w:bCs/>
          <w:color w:val="auto"/>
          <w:sz w:val="24"/>
          <w:szCs w:val="24"/>
          <w:highlight w:val="none"/>
        </w:rPr>
        <w:t>联系方式：</w:t>
      </w:r>
      <w:r>
        <w:rPr>
          <w:rFonts w:hint="eastAsia"/>
          <w:bCs/>
          <w:color w:val="auto"/>
          <w:sz w:val="24"/>
          <w:szCs w:val="24"/>
          <w:highlight w:val="none"/>
          <w:lang w:val="en-US" w:eastAsia="zh-CN"/>
        </w:rPr>
        <w:t>0552-3092287</w:t>
      </w:r>
    </w:p>
    <w:p w14:paraId="2403234D">
      <w:pPr>
        <w:adjustRightInd w:val="0"/>
        <w:snapToGrid w:val="0"/>
        <w:spacing w:line="560" w:lineRule="exact"/>
        <w:ind w:firstLine="480" w:firstLineChars="200"/>
        <w:jc w:val="left"/>
        <w:rPr>
          <w:rFonts w:ascii="宋体" w:hAnsi="宋体" w:eastAsia="宋体"/>
          <w:b/>
          <w:color w:val="auto"/>
          <w:sz w:val="24"/>
          <w:szCs w:val="24"/>
          <w:highlight w:val="none"/>
        </w:rPr>
      </w:pPr>
      <w:r>
        <w:rPr>
          <w:rFonts w:hint="eastAsia" w:ascii="宋体" w:hAnsi="宋体" w:eastAsia="宋体"/>
          <w:bCs/>
          <w:color w:val="auto"/>
          <w:sz w:val="24"/>
          <w:szCs w:val="24"/>
          <w:highlight w:val="none"/>
        </w:rPr>
        <w:t>3</w:t>
      </w:r>
      <w:r>
        <w:rPr>
          <w:rFonts w:hint="eastAsia" w:ascii="宋体" w:hAnsi="宋体" w:eastAsia="宋体"/>
          <w:b/>
          <w:color w:val="auto"/>
          <w:sz w:val="24"/>
          <w:szCs w:val="24"/>
          <w:highlight w:val="none"/>
        </w:rPr>
        <w:t>.</w:t>
      </w:r>
      <w:r>
        <w:rPr>
          <w:rFonts w:hint="eastAsia" w:ascii="宋体" w:hAnsi="宋体" w:eastAsia="宋体"/>
          <w:color w:val="auto"/>
          <w:sz w:val="24"/>
          <w:szCs w:val="24"/>
          <w:highlight w:val="none"/>
        </w:rPr>
        <w:t>政府采购监督管理部门信息</w:t>
      </w:r>
    </w:p>
    <w:p w14:paraId="5091BF73">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名  称：安徽省财政厅</w:t>
      </w:r>
    </w:p>
    <w:p w14:paraId="140AF865">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地  址：合肥市阜南西路238号</w:t>
      </w:r>
    </w:p>
    <w:p w14:paraId="2F92CAE2">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联系方式：0551-68150413</w:t>
      </w:r>
    </w:p>
    <w:p w14:paraId="01BB3B57">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31C1B27F">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第二章</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 xml:space="preserve"> 供应商</w:t>
      </w:r>
      <w:r>
        <w:rPr>
          <w:rFonts w:ascii="宋体" w:hAnsi="宋体" w:eastAsia="宋体"/>
          <w:b/>
          <w:color w:val="auto"/>
          <w:sz w:val="24"/>
          <w:szCs w:val="24"/>
          <w:highlight w:val="none"/>
        </w:rPr>
        <w:t>须知</w:t>
      </w:r>
      <w:bookmarkEnd w:id="12"/>
    </w:p>
    <w:p w14:paraId="6453C5F4">
      <w:pPr>
        <w:spacing w:line="360" w:lineRule="auto"/>
        <w:jc w:val="center"/>
        <w:outlineLvl w:val="1"/>
        <w:rPr>
          <w:rFonts w:ascii="宋体" w:hAnsi="宋体" w:eastAsia="宋体"/>
          <w:b/>
          <w:color w:val="auto"/>
          <w:sz w:val="24"/>
          <w:szCs w:val="24"/>
          <w:highlight w:val="none"/>
        </w:rPr>
      </w:pPr>
      <w:bookmarkStart w:id="42" w:name="_Toc18621"/>
      <w:bookmarkStart w:id="43" w:name="_Toc12027"/>
      <w:r>
        <w:rPr>
          <w:rFonts w:hint="eastAsia" w:ascii="宋体" w:hAnsi="宋体" w:eastAsia="宋体"/>
          <w:b/>
          <w:color w:val="auto"/>
          <w:sz w:val="24"/>
          <w:szCs w:val="24"/>
          <w:highlight w:val="none"/>
        </w:rPr>
        <w:t>一、供应商</w:t>
      </w:r>
      <w:r>
        <w:rPr>
          <w:rFonts w:ascii="宋体" w:hAnsi="宋体" w:eastAsia="宋体"/>
          <w:b/>
          <w:color w:val="auto"/>
          <w:sz w:val="24"/>
          <w:szCs w:val="24"/>
          <w:highlight w:val="none"/>
        </w:rPr>
        <w:t>须知前附表</w:t>
      </w:r>
      <w:bookmarkEnd w:id="42"/>
      <w:bookmarkEnd w:id="43"/>
    </w:p>
    <w:p w14:paraId="3693352C">
      <w:pPr>
        <w:spacing w:line="360" w:lineRule="auto"/>
        <w:ind w:firstLine="435"/>
        <w:rPr>
          <w:color w:val="auto"/>
          <w:sz w:val="24"/>
          <w:szCs w:val="24"/>
          <w:highlight w:val="none"/>
        </w:rPr>
      </w:pPr>
      <w:r>
        <w:rPr>
          <w:rFonts w:hint="eastAsia"/>
          <w:b/>
          <w:bCs/>
          <w:color w:val="auto"/>
          <w:sz w:val="24"/>
          <w:szCs w:val="24"/>
          <w:highlight w:val="none"/>
        </w:rPr>
        <w:t>注：</w:t>
      </w:r>
      <w:r>
        <w:rPr>
          <w:rFonts w:hint="eastAsia"/>
          <w:color w:val="auto"/>
          <w:sz w:val="24"/>
          <w:szCs w:val="24"/>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888"/>
        <w:gridCol w:w="6872"/>
      </w:tblGrid>
      <w:tr w14:paraId="7533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B88A07B">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条款号</w:t>
            </w:r>
          </w:p>
        </w:tc>
        <w:tc>
          <w:tcPr>
            <w:tcW w:w="977" w:type="pct"/>
            <w:vAlign w:val="center"/>
          </w:tcPr>
          <w:p w14:paraId="4CDE050B">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条款名称</w:t>
            </w:r>
          </w:p>
        </w:tc>
        <w:tc>
          <w:tcPr>
            <w:tcW w:w="3556" w:type="pct"/>
            <w:vAlign w:val="center"/>
          </w:tcPr>
          <w:p w14:paraId="1AD9ED90">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内容、说明与要求</w:t>
            </w:r>
          </w:p>
        </w:tc>
      </w:tr>
      <w:tr w14:paraId="0B30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D1B0CFC">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ascii="宋体" w:hAnsi="宋体" w:eastAsia="宋体"/>
                <w:bCs/>
                <w:color w:val="auto"/>
                <w:kern w:val="2"/>
                <w:sz w:val="24"/>
                <w:szCs w:val="24"/>
                <w:highlight w:val="none"/>
                <w:lang w:val="en-US" w:eastAsia="zh-CN"/>
              </w:rPr>
              <w:t>5</w:t>
            </w:r>
            <w:r>
              <w:rPr>
                <w:rFonts w:ascii="宋体" w:hAnsi="宋体" w:eastAsia="宋体"/>
                <w:bCs/>
                <w:color w:val="auto"/>
                <w:kern w:val="2"/>
                <w:sz w:val="24"/>
                <w:szCs w:val="24"/>
                <w:highlight w:val="none"/>
              </w:rPr>
              <w:t>.</w:t>
            </w:r>
            <w:r>
              <w:rPr>
                <w:rFonts w:hint="eastAsia" w:ascii="宋体" w:hAnsi="宋体" w:eastAsia="宋体"/>
                <w:bCs/>
                <w:color w:val="auto"/>
                <w:kern w:val="2"/>
                <w:sz w:val="24"/>
                <w:szCs w:val="24"/>
                <w:highlight w:val="none"/>
                <w:lang w:val="en-US" w:eastAsia="zh-CN"/>
              </w:rPr>
              <w:t>2</w:t>
            </w:r>
          </w:p>
        </w:tc>
        <w:tc>
          <w:tcPr>
            <w:tcW w:w="1711" w:type="dxa"/>
            <w:vAlign w:val="center"/>
          </w:tcPr>
          <w:p w14:paraId="36C483E7">
            <w:pPr>
              <w:pStyle w:val="68"/>
              <w:widowControl w:val="0"/>
              <w:spacing w:before="0" w:beforeAutospacing="0" w:after="0" w:afterAutospacing="0" w:line="360" w:lineRule="auto"/>
              <w:jc w:val="left"/>
              <w:rPr>
                <w:b w:val="0"/>
                <w:color w:val="auto"/>
                <w:sz w:val="24"/>
                <w:szCs w:val="24"/>
                <w:highlight w:val="none"/>
              </w:rPr>
            </w:pPr>
            <w:r>
              <w:rPr>
                <w:rFonts w:hint="eastAsia" w:ascii="宋体" w:hAnsi="宋体" w:eastAsia="宋体"/>
                <w:b w:val="0"/>
                <w:color w:val="auto"/>
                <w:sz w:val="24"/>
                <w:szCs w:val="24"/>
                <w:highlight w:val="none"/>
              </w:rPr>
              <w:t>现场考察</w:t>
            </w:r>
            <w:r>
              <w:rPr>
                <w:rFonts w:hint="eastAsia" w:ascii="宋体" w:hAnsi="宋体" w:eastAsia="宋体"/>
                <w:b w:val="0"/>
                <w:color w:val="auto"/>
                <w:sz w:val="24"/>
                <w:szCs w:val="24"/>
                <w:highlight w:val="none"/>
                <w:lang w:val="en-US" w:eastAsia="zh-CN"/>
              </w:rPr>
              <w:t>或标前答疑会</w:t>
            </w:r>
          </w:p>
        </w:tc>
        <w:tc>
          <w:tcPr>
            <w:tcW w:w="6229" w:type="dxa"/>
            <w:vAlign w:val="center"/>
          </w:tcPr>
          <w:p w14:paraId="6C69E56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sym w:font="Wingdings 2" w:char="0052"/>
            </w:r>
            <w:r>
              <w:rPr>
                <w:rFonts w:hint="eastAsia" w:ascii="宋体" w:hAnsi="宋体" w:eastAsia="宋体"/>
                <w:color w:val="auto"/>
                <w:sz w:val="24"/>
                <w:szCs w:val="24"/>
                <w:highlight w:val="none"/>
              </w:rPr>
              <w:t>不组织</w:t>
            </w:r>
            <w:r>
              <w:rPr>
                <w:rFonts w:hint="eastAsia" w:ascii="宋体" w:hAnsi="宋体" w:eastAsia="宋体"/>
                <w:color w:val="auto"/>
                <w:sz w:val="24"/>
                <w:szCs w:val="24"/>
                <w:highlight w:val="none"/>
                <w:lang w:val="en-US" w:eastAsia="zh-CN"/>
              </w:rPr>
              <w:t>或不召开</w:t>
            </w:r>
          </w:p>
          <w:p w14:paraId="022EF1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lang w:eastAsia="zh-CN"/>
              </w:rPr>
            </w:pP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统一组织</w:t>
            </w:r>
            <w:r>
              <w:rPr>
                <w:rFonts w:hint="eastAsia" w:ascii="宋体" w:hAnsi="宋体" w:eastAsia="宋体"/>
                <w:bCs/>
                <w:color w:val="auto"/>
                <w:sz w:val="24"/>
                <w:szCs w:val="24"/>
                <w:highlight w:val="none"/>
                <w:lang w:val="en-US" w:eastAsia="zh-CN"/>
              </w:rPr>
              <w:t>或统一召开</w:t>
            </w:r>
          </w:p>
          <w:p w14:paraId="1FB66E8B">
            <w:pPr>
              <w:spacing w:line="360" w:lineRule="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时间：</w:t>
            </w:r>
            <w:r>
              <w:rPr>
                <w:rFonts w:hint="eastAsia"/>
                <w:bCs/>
                <w:color w:val="auto"/>
                <w:sz w:val="24"/>
                <w:szCs w:val="24"/>
                <w:highlight w:val="none"/>
                <w:u w:val="single"/>
                <w:lang w:val="en-US" w:eastAsia="zh-CN"/>
              </w:rPr>
              <w:t>/</w:t>
            </w:r>
          </w:p>
          <w:p w14:paraId="08B47120">
            <w:pPr>
              <w:spacing w:line="360" w:lineRule="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地点：</w:t>
            </w:r>
            <w:r>
              <w:rPr>
                <w:rFonts w:hint="eastAsia"/>
                <w:bCs/>
                <w:color w:val="auto"/>
                <w:sz w:val="24"/>
                <w:szCs w:val="24"/>
                <w:highlight w:val="none"/>
                <w:u w:val="single"/>
                <w:lang w:val="en-US" w:eastAsia="zh-CN"/>
              </w:rPr>
              <w:t>/</w:t>
            </w:r>
          </w:p>
          <w:p w14:paraId="6519E8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联系人及联系电话：</w:t>
            </w:r>
            <w:r>
              <w:rPr>
                <w:rFonts w:hint="eastAsia"/>
                <w:bCs/>
                <w:color w:val="auto"/>
                <w:sz w:val="24"/>
                <w:szCs w:val="24"/>
                <w:highlight w:val="none"/>
                <w:u w:val="single"/>
                <w:lang w:val="en-US" w:eastAsia="zh-CN"/>
              </w:rPr>
              <w:t>/</w:t>
            </w:r>
          </w:p>
          <w:p w14:paraId="0C1F7DF5">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szCs w:val="24"/>
                <w:highlight w:val="none"/>
              </w:rPr>
            </w:pPr>
            <w:r>
              <w:rPr>
                <w:rFonts w:hint="eastAsia" w:ascii="宋体" w:hAnsi="宋体" w:eastAsia="宋体"/>
                <w:bCs w:val="0"/>
                <w:color w:val="auto"/>
                <w:sz w:val="24"/>
                <w:szCs w:val="24"/>
                <w:highlight w:val="none"/>
                <w:lang w:eastAsia="zh-CN"/>
              </w:rPr>
              <w:t>注</w:t>
            </w:r>
            <w:r>
              <w:rPr>
                <w:rFonts w:hint="eastAsia" w:ascii="宋体" w:hAnsi="宋体" w:eastAsia="宋体"/>
                <w:bCs w:val="0"/>
                <w:color w:val="auto"/>
                <w:sz w:val="24"/>
                <w:szCs w:val="24"/>
                <w:highlight w:val="none"/>
                <w:shd w:val="clear"/>
                <w:lang w:eastAsia="zh-CN"/>
              </w:rPr>
              <w:t>：</w:t>
            </w:r>
            <w:r>
              <w:rPr>
                <w:rFonts w:hint="eastAsia" w:ascii="宋体" w:hAnsi="宋体" w:eastAsia="宋体"/>
                <w:bCs w:val="0"/>
                <w:color w:val="auto"/>
                <w:sz w:val="24"/>
                <w:szCs w:val="24"/>
                <w:highlight w:val="none"/>
                <w:shd w:val="clear"/>
              </w:rPr>
              <w:t>如</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未参加采购人统一组织的现场考察</w:t>
            </w:r>
            <w:r>
              <w:rPr>
                <w:rFonts w:hint="eastAsia" w:ascii="宋体" w:hAnsi="宋体" w:eastAsia="宋体"/>
                <w:bCs w:val="0"/>
                <w:color w:val="auto"/>
                <w:sz w:val="24"/>
                <w:szCs w:val="24"/>
                <w:highlight w:val="none"/>
                <w:shd w:val="clear"/>
                <w:lang w:val="en-US" w:eastAsia="zh-CN"/>
              </w:rPr>
              <w:t>或采购人统一召开的标前答疑会</w:t>
            </w:r>
            <w:r>
              <w:rPr>
                <w:rFonts w:hint="eastAsia" w:ascii="宋体" w:hAnsi="宋体" w:eastAsia="宋体"/>
                <w:bCs w:val="0"/>
                <w:color w:val="auto"/>
                <w:sz w:val="24"/>
                <w:szCs w:val="24"/>
                <w:highlight w:val="none"/>
                <w:shd w:val="clear"/>
              </w:rPr>
              <w:t>，视同放弃现场考察</w:t>
            </w:r>
            <w:r>
              <w:rPr>
                <w:rFonts w:hint="eastAsia" w:ascii="宋体" w:hAnsi="宋体" w:eastAsia="宋体"/>
                <w:bCs w:val="0"/>
                <w:color w:val="auto"/>
                <w:sz w:val="24"/>
                <w:szCs w:val="24"/>
                <w:highlight w:val="none"/>
                <w:shd w:val="clear"/>
                <w:lang w:val="en-US" w:eastAsia="zh-CN"/>
              </w:rPr>
              <w:t>或标前答疑会</w:t>
            </w:r>
            <w:r>
              <w:rPr>
                <w:rFonts w:hint="eastAsia" w:ascii="宋体" w:hAnsi="宋体" w:eastAsia="宋体"/>
                <w:bCs w:val="0"/>
                <w:color w:val="auto"/>
                <w:sz w:val="24"/>
                <w:szCs w:val="24"/>
                <w:highlight w:val="none"/>
                <w:shd w:val="clear"/>
              </w:rPr>
              <w:t>，由此引起的一切责任由</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自行承担。</w:t>
            </w:r>
          </w:p>
        </w:tc>
      </w:tr>
      <w:tr w14:paraId="33CC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F5094A1">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6</w:t>
            </w:r>
            <w:r>
              <w:rPr>
                <w:bCs/>
                <w:color w:val="auto"/>
                <w:kern w:val="2"/>
                <w:sz w:val="24"/>
                <w:szCs w:val="24"/>
                <w:highlight w:val="none"/>
              </w:rPr>
              <w:t>.1</w:t>
            </w:r>
          </w:p>
        </w:tc>
        <w:tc>
          <w:tcPr>
            <w:tcW w:w="977" w:type="pct"/>
            <w:vAlign w:val="center"/>
          </w:tcPr>
          <w:p w14:paraId="069748F1">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网上询问截止时间</w:t>
            </w:r>
          </w:p>
        </w:tc>
        <w:tc>
          <w:tcPr>
            <w:tcW w:w="3556" w:type="pct"/>
            <w:vAlign w:val="center"/>
          </w:tcPr>
          <w:p w14:paraId="2B88E92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2025</w:t>
            </w:r>
            <w:r>
              <w:rPr>
                <w:b w:val="0"/>
                <w:color w:val="auto"/>
                <w:sz w:val="24"/>
                <w:szCs w:val="24"/>
                <w:highlight w:val="none"/>
              </w:rPr>
              <w:t>年</w:t>
            </w:r>
            <w:r>
              <w:rPr>
                <w:rFonts w:hint="eastAsia"/>
                <w:b w:val="0"/>
                <w:color w:val="auto"/>
                <w:sz w:val="24"/>
                <w:szCs w:val="24"/>
                <w:highlight w:val="none"/>
                <w:u w:val="single"/>
                <w:lang w:val="en-US" w:eastAsia="zh-CN"/>
              </w:rPr>
              <w:t>8</w:t>
            </w:r>
            <w:r>
              <w:rPr>
                <w:b w:val="0"/>
                <w:color w:val="auto"/>
                <w:sz w:val="24"/>
                <w:szCs w:val="24"/>
                <w:highlight w:val="none"/>
              </w:rPr>
              <w:t>月</w:t>
            </w:r>
            <w:r>
              <w:rPr>
                <w:rFonts w:hint="eastAsia"/>
                <w:b w:val="0"/>
                <w:color w:val="auto"/>
                <w:sz w:val="24"/>
                <w:szCs w:val="24"/>
                <w:highlight w:val="none"/>
                <w:u w:val="single"/>
                <w:lang w:val="en-US" w:eastAsia="zh-CN"/>
              </w:rPr>
              <w:t>11</w:t>
            </w:r>
            <w:r>
              <w:rPr>
                <w:b w:val="0"/>
                <w:color w:val="auto"/>
                <w:sz w:val="24"/>
                <w:szCs w:val="24"/>
                <w:highlight w:val="none"/>
              </w:rPr>
              <w:t>日</w:t>
            </w:r>
            <w:r>
              <w:rPr>
                <w:rFonts w:hint="eastAsia"/>
                <w:b w:val="0"/>
                <w:color w:val="auto"/>
                <w:sz w:val="24"/>
                <w:szCs w:val="24"/>
                <w:highlight w:val="none"/>
                <w:u w:val="single"/>
                <w:lang w:val="en-US" w:eastAsia="zh-CN"/>
              </w:rPr>
              <w:t>17</w:t>
            </w:r>
            <w:r>
              <w:rPr>
                <w:b w:val="0"/>
                <w:color w:val="auto"/>
                <w:sz w:val="24"/>
                <w:szCs w:val="24"/>
                <w:highlight w:val="none"/>
              </w:rPr>
              <w:t>时</w:t>
            </w:r>
            <w:r>
              <w:rPr>
                <w:rFonts w:hint="eastAsia"/>
                <w:b w:val="0"/>
                <w:color w:val="auto"/>
                <w:sz w:val="24"/>
                <w:szCs w:val="24"/>
                <w:highlight w:val="none"/>
                <w:u w:val="single"/>
                <w:lang w:val="en-US" w:eastAsia="zh-CN"/>
              </w:rPr>
              <w:t>30</w:t>
            </w:r>
            <w:r>
              <w:rPr>
                <w:rFonts w:hint="eastAsia"/>
                <w:b w:val="0"/>
                <w:color w:val="auto"/>
                <w:sz w:val="24"/>
                <w:szCs w:val="24"/>
                <w:highlight w:val="none"/>
              </w:rPr>
              <w:t>分</w:t>
            </w:r>
          </w:p>
        </w:tc>
      </w:tr>
      <w:tr w14:paraId="79DF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34F4E661">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7</w:t>
            </w:r>
            <w:r>
              <w:rPr>
                <w:bCs/>
                <w:color w:val="auto"/>
                <w:kern w:val="2"/>
                <w:sz w:val="24"/>
                <w:szCs w:val="24"/>
                <w:highlight w:val="none"/>
              </w:rPr>
              <w:t>.1</w:t>
            </w:r>
          </w:p>
        </w:tc>
        <w:tc>
          <w:tcPr>
            <w:tcW w:w="977" w:type="pct"/>
            <w:vAlign w:val="center"/>
          </w:tcPr>
          <w:p w14:paraId="3FE41E28">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包别划分</w:t>
            </w:r>
          </w:p>
        </w:tc>
        <w:tc>
          <w:tcPr>
            <w:tcW w:w="3556" w:type="pct"/>
            <w:vAlign w:val="center"/>
          </w:tcPr>
          <w:p w14:paraId="7BC45C9B">
            <w:pPr>
              <w:pStyle w:val="68"/>
              <w:widowControl w:val="0"/>
              <w:spacing w:before="0" w:beforeAutospacing="0" w:after="0" w:afterAutospacing="0" w:line="360" w:lineRule="auto"/>
              <w:jc w:val="both"/>
              <w:rPr>
                <w:b/>
                <w:bCs w:val="0"/>
                <w:color w:val="auto"/>
                <w:sz w:val="24"/>
                <w:szCs w:val="24"/>
                <w:highlight w:val="none"/>
              </w:rPr>
            </w:pPr>
            <w:r>
              <w:rPr>
                <w:b w:val="0"/>
                <w:bCs w:val="0"/>
                <w:color w:val="auto"/>
                <w:sz w:val="24"/>
                <w:szCs w:val="24"/>
                <w:highlight w:val="none"/>
              </w:rPr>
              <w:sym w:font="Wingdings 2" w:char="00A3"/>
            </w:r>
            <w:r>
              <w:rPr>
                <w:b w:val="0"/>
                <w:color w:val="auto"/>
                <w:sz w:val="24"/>
                <w:szCs w:val="24"/>
                <w:highlight w:val="none"/>
              </w:rPr>
              <w:t xml:space="preserve">不分包 </w:t>
            </w:r>
            <w:r>
              <w:rPr>
                <w:b w:val="0"/>
                <w:color w:val="auto"/>
                <w:sz w:val="24"/>
                <w:szCs w:val="24"/>
                <w:highlight w:val="none"/>
                <w:shd w:val="clear"/>
              </w:rPr>
              <w:t xml:space="preserve">    </w:t>
            </w:r>
            <w:r>
              <w:rPr>
                <w:rFonts w:hint="eastAsia"/>
                <w:b w:val="0"/>
                <w:color w:val="auto"/>
                <w:sz w:val="24"/>
                <w:szCs w:val="24"/>
                <w:highlight w:val="none"/>
                <w:shd w:val="clear"/>
                <w:lang w:eastAsia="zh-CN"/>
              </w:rPr>
              <w:t>☑</w:t>
            </w:r>
            <w:r>
              <w:rPr>
                <w:b w:val="0"/>
                <w:color w:val="auto"/>
                <w:sz w:val="24"/>
                <w:szCs w:val="24"/>
                <w:highlight w:val="none"/>
                <w:shd w:val="clear"/>
              </w:rPr>
              <w:t>分为</w:t>
            </w:r>
            <w:r>
              <w:rPr>
                <w:rFonts w:hint="eastAsia"/>
                <w:b w:val="0"/>
                <w:color w:val="auto"/>
                <w:sz w:val="24"/>
                <w:szCs w:val="24"/>
                <w:highlight w:val="none"/>
                <w:u w:val="single"/>
                <w:shd w:val="clear"/>
                <w:lang w:val="en-US" w:eastAsia="zh-CN"/>
              </w:rPr>
              <w:t xml:space="preserve"> 7 </w:t>
            </w:r>
            <w:r>
              <w:rPr>
                <w:b w:val="0"/>
                <w:color w:val="auto"/>
                <w:sz w:val="24"/>
                <w:szCs w:val="24"/>
                <w:highlight w:val="none"/>
                <w:shd w:val="clear"/>
              </w:rPr>
              <w:t>个包</w:t>
            </w:r>
            <w:r>
              <w:rPr>
                <w:rFonts w:hint="eastAsia"/>
                <w:b w:val="0"/>
                <w:color w:val="auto"/>
                <w:sz w:val="24"/>
                <w:szCs w:val="24"/>
                <w:highlight w:val="none"/>
                <w:shd w:val="clear"/>
                <w:lang w:eastAsia="zh-CN"/>
              </w:rPr>
              <w:t>，</w:t>
            </w:r>
            <w:r>
              <w:rPr>
                <w:rFonts w:hint="eastAsia"/>
                <w:b/>
                <w:bCs w:val="0"/>
                <w:color w:val="auto"/>
                <w:sz w:val="24"/>
                <w:szCs w:val="24"/>
                <w:highlight w:val="none"/>
                <w:lang w:eastAsia="zh-CN"/>
              </w:rPr>
              <w:t>2025年省淮河局基层管理所维修改造</w:t>
            </w:r>
            <w:r>
              <w:rPr>
                <w:rFonts w:hint="eastAsia"/>
                <w:b/>
                <w:bCs w:val="0"/>
                <w:color w:val="auto"/>
                <w:sz w:val="24"/>
                <w:szCs w:val="24"/>
                <w:highlight w:val="none"/>
                <w:lang w:val="en-US" w:eastAsia="zh-CN"/>
              </w:rPr>
              <w:t>分7个包</w:t>
            </w:r>
            <w:r>
              <w:rPr>
                <w:rFonts w:hint="eastAsia"/>
                <w:b/>
                <w:bCs w:val="0"/>
                <w:color w:val="auto"/>
                <w:sz w:val="24"/>
                <w:szCs w:val="24"/>
                <w:highlight w:val="none"/>
              </w:rPr>
              <w:t>，</w:t>
            </w:r>
            <w:r>
              <w:rPr>
                <w:rFonts w:hint="eastAsia"/>
                <w:b/>
                <w:bCs w:val="0"/>
                <w:color w:val="auto"/>
                <w:sz w:val="24"/>
                <w:szCs w:val="24"/>
                <w:highlight w:val="none"/>
                <w:lang w:val="en-US" w:eastAsia="zh-CN"/>
              </w:rPr>
              <w:t>本项目为第1包潘集基层管理所维修改造，</w:t>
            </w:r>
            <w:r>
              <w:rPr>
                <w:rFonts w:hint="eastAsia"/>
                <w:b/>
                <w:bCs w:val="0"/>
                <w:color w:val="auto"/>
                <w:sz w:val="24"/>
                <w:szCs w:val="24"/>
                <w:highlight w:val="none"/>
              </w:rPr>
              <w:t>供应商根据所投包号填写。</w:t>
            </w:r>
          </w:p>
          <w:p w14:paraId="0B2C6F82">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b w:val="0"/>
                <w:color w:val="auto"/>
                <w:sz w:val="24"/>
                <w:szCs w:val="24"/>
                <w:highlight w:val="none"/>
              </w:rPr>
              <w:t>供应商参加多个包磋商的成交包数规定：</w:t>
            </w:r>
            <w:r>
              <w:rPr>
                <w:rFonts w:hint="eastAsia"/>
                <w:b w:val="0"/>
                <w:color w:val="auto"/>
                <w:sz w:val="24"/>
                <w:szCs w:val="24"/>
                <w:highlight w:val="none"/>
                <w:lang w:val="en-US" w:eastAsia="zh-CN"/>
              </w:rPr>
              <w:t>详见磋商公告</w:t>
            </w:r>
            <w:r>
              <w:rPr>
                <w:rFonts w:hint="eastAsia"/>
                <w:b w:val="0"/>
                <w:color w:val="auto"/>
                <w:sz w:val="24"/>
                <w:szCs w:val="24"/>
                <w:highlight w:val="none"/>
                <w:lang w:eastAsia="zh-CN"/>
              </w:rPr>
              <w:t>。</w:t>
            </w:r>
          </w:p>
        </w:tc>
      </w:tr>
      <w:tr w14:paraId="6634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6" w:type="dxa"/>
            <w:vAlign w:val="center"/>
          </w:tcPr>
          <w:p w14:paraId="5B88A164">
            <w:pPr>
              <w:pStyle w:val="69"/>
              <w:pBdr>
                <w:bottom w:val="none" w:color="auto" w:sz="0" w:space="0"/>
              </w:pBdr>
              <w:tabs>
                <w:tab w:val="clear" w:pos="4153"/>
                <w:tab w:val="clear" w:pos="8306"/>
              </w:tabs>
              <w:adjustRightInd/>
              <w:spacing w:line="360" w:lineRule="auto"/>
              <w:textAlignment w:val="auto"/>
              <w:rPr>
                <w:rFonts w:hint="default"/>
                <w:bCs/>
                <w:color w:val="auto"/>
                <w:kern w:val="2"/>
                <w:sz w:val="24"/>
                <w:szCs w:val="24"/>
                <w:highlight w:val="none"/>
                <w:lang w:val="en-US" w:eastAsia="zh-CN"/>
              </w:rPr>
            </w:pPr>
            <w:r>
              <w:rPr>
                <w:rFonts w:hint="eastAsia"/>
                <w:bCs/>
                <w:color w:val="auto"/>
                <w:kern w:val="2"/>
                <w:sz w:val="24"/>
                <w:szCs w:val="24"/>
                <w:highlight w:val="none"/>
                <w:lang w:val="en-US" w:eastAsia="zh-CN"/>
              </w:rPr>
              <w:t>9.2</w:t>
            </w:r>
          </w:p>
        </w:tc>
        <w:tc>
          <w:tcPr>
            <w:tcW w:w="1711" w:type="dxa"/>
            <w:vAlign w:val="center"/>
          </w:tcPr>
          <w:p w14:paraId="47E03733">
            <w:pPr>
              <w:pStyle w:val="68"/>
              <w:widowControl w:val="0"/>
              <w:spacing w:before="0" w:beforeAutospacing="0" w:after="0" w:afterAutospacing="0" w:line="360" w:lineRule="auto"/>
              <w:jc w:val="left"/>
              <w:rPr>
                <w:rFonts w:hint="eastAsia"/>
                <w:b w:val="0"/>
                <w:color w:val="auto"/>
                <w:sz w:val="24"/>
                <w:szCs w:val="24"/>
                <w:highlight w:val="none"/>
              </w:rPr>
            </w:pPr>
            <w:r>
              <w:rPr>
                <w:rFonts w:hint="eastAsia" w:ascii="宋体" w:hAnsi="宋体" w:eastAsia="宋体"/>
                <w:b w:val="0"/>
                <w:color w:val="auto"/>
                <w:sz w:val="24"/>
                <w:szCs w:val="24"/>
                <w:highlight w:val="none"/>
              </w:rPr>
              <w:t>最高限价及分项限价</w:t>
            </w:r>
          </w:p>
        </w:tc>
        <w:tc>
          <w:tcPr>
            <w:tcW w:w="6229" w:type="dxa"/>
            <w:vAlign w:val="center"/>
          </w:tcPr>
          <w:p w14:paraId="75E87393">
            <w:pPr>
              <w:spacing w:line="360" w:lineRule="auto"/>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rPr>
              <w:t>本项目最高限价为</w:t>
            </w:r>
            <w:r>
              <w:rPr>
                <w:rFonts w:hint="eastAsia"/>
                <w:b/>
                <w:bCs/>
                <w:color w:val="auto"/>
                <w:sz w:val="24"/>
                <w:szCs w:val="24"/>
                <w:highlight w:val="none"/>
                <w:lang w:val="en-US" w:eastAsia="zh-CN"/>
              </w:rPr>
              <w:t>90万元（含暂列金1万元）</w:t>
            </w:r>
            <w:r>
              <w:rPr>
                <w:rFonts w:hint="eastAsia" w:ascii="宋体" w:hAnsi="宋体" w:eastAsia="宋体"/>
                <w:b/>
                <w:bCs/>
                <w:color w:val="auto"/>
                <w:sz w:val="24"/>
                <w:szCs w:val="24"/>
                <w:highlight w:val="none"/>
                <w:lang w:eastAsia="zh-CN"/>
              </w:rPr>
              <w:t>；</w:t>
            </w:r>
          </w:p>
          <w:p w14:paraId="2B4B7A43">
            <w:pPr>
              <w:pStyle w:val="68"/>
              <w:widowControl w:val="0"/>
              <w:spacing w:before="0" w:beforeAutospacing="0" w:after="0" w:afterAutospacing="0" w:line="360" w:lineRule="auto"/>
              <w:jc w:val="both"/>
              <w:rPr>
                <w:rFonts w:hint="default"/>
                <w:b/>
                <w:bCs/>
                <w:color w:val="auto"/>
                <w:sz w:val="24"/>
                <w:szCs w:val="24"/>
                <w:highlight w:val="none"/>
                <w:lang w:val="en-US" w:eastAsia="zh-CN"/>
              </w:rPr>
            </w:pPr>
            <w:r>
              <w:rPr>
                <w:rFonts w:hint="eastAsia"/>
                <w:b/>
                <w:bCs/>
                <w:color w:val="auto"/>
                <w:sz w:val="24"/>
                <w:szCs w:val="24"/>
                <w:highlight w:val="none"/>
                <w:lang w:val="en-US" w:eastAsia="zh-CN"/>
              </w:rPr>
              <w:t>分项限价：架河闸检修门预置安装8.5万元；</w:t>
            </w:r>
          </w:p>
          <w:p w14:paraId="62555BF8">
            <w:pPr>
              <w:pStyle w:val="68"/>
              <w:widowControl w:val="0"/>
              <w:spacing w:before="0" w:beforeAutospacing="0" w:after="0" w:afterAutospacing="0" w:line="360" w:lineRule="auto"/>
              <w:jc w:val="both"/>
              <w:rPr>
                <w:rFonts w:hint="eastAsia"/>
                <w:b w:val="0"/>
                <w:bCs w:val="0"/>
                <w:color w:val="auto"/>
                <w:sz w:val="24"/>
                <w:szCs w:val="24"/>
                <w:highlight w:val="none"/>
              </w:rPr>
            </w:pPr>
            <w:r>
              <w:rPr>
                <w:rFonts w:hint="eastAsia"/>
                <w:b/>
                <w:bCs/>
                <w:color w:val="auto"/>
                <w:sz w:val="24"/>
                <w:szCs w:val="24"/>
                <w:highlight w:val="none"/>
                <w:lang w:val="en-US" w:eastAsia="zh-CN"/>
              </w:rPr>
              <w:t>各包</w:t>
            </w:r>
            <w:r>
              <w:rPr>
                <w:rFonts w:hint="eastAsia"/>
                <w:b/>
                <w:bCs/>
                <w:color w:val="auto"/>
                <w:sz w:val="24"/>
                <w:szCs w:val="24"/>
                <w:highlight w:val="none"/>
              </w:rPr>
              <w:t>供应商的</w:t>
            </w:r>
            <w:r>
              <w:rPr>
                <w:rFonts w:hint="eastAsia"/>
                <w:b/>
                <w:bCs/>
                <w:color w:val="auto"/>
                <w:sz w:val="24"/>
                <w:szCs w:val="24"/>
                <w:highlight w:val="none"/>
                <w:lang w:val="en-US" w:eastAsia="zh-CN"/>
              </w:rPr>
              <w:t>投标</w:t>
            </w:r>
            <w:r>
              <w:rPr>
                <w:rFonts w:hint="eastAsia"/>
                <w:b/>
                <w:bCs/>
                <w:color w:val="auto"/>
                <w:sz w:val="24"/>
                <w:szCs w:val="24"/>
                <w:highlight w:val="none"/>
              </w:rPr>
              <w:t>报价不得超过</w:t>
            </w:r>
            <w:r>
              <w:rPr>
                <w:rFonts w:hint="eastAsia"/>
                <w:b/>
                <w:bCs/>
                <w:color w:val="auto"/>
                <w:sz w:val="24"/>
                <w:szCs w:val="24"/>
                <w:highlight w:val="none"/>
                <w:lang w:val="en-US" w:eastAsia="zh-CN"/>
              </w:rPr>
              <w:t>各包</w:t>
            </w:r>
            <w:r>
              <w:rPr>
                <w:rFonts w:hint="eastAsia"/>
                <w:b/>
                <w:bCs/>
                <w:color w:val="auto"/>
                <w:sz w:val="24"/>
                <w:szCs w:val="24"/>
                <w:highlight w:val="none"/>
              </w:rPr>
              <w:t>采购人公</w:t>
            </w:r>
            <w:r>
              <w:rPr>
                <w:b/>
                <w:bCs/>
                <w:color w:val="auto"/>
                <w:sz w:val="24"/>
                <w:szCs w:val="24"/>
                <w:highlight w:val="none"/>
              </w:rPr>
              <w:t>布的最高限价</w:t>
            </w:r>
            <w:r>
              <w:rPr>
                <w:rFonts w:hint="eastAsia"/>
                <w:b/>
                <w:bCs/>
                <w:color w:val="auto"/>
                <w:sz w:val="24"/>
                <w:szCs w:val="24"/>
                <w:highlight w:val="none"/>
                <w:lang w:val="en-US" w:eastAsia="zh-CN"/>
              </w:rPr>
              <w:t>及分项限价</w:t>
            </w:r>
            <w:r>
              <w:rPr>
                <w:b/>
                <w:bCs/>
                <w:color w:val="auto"/>
                <w:sz w:val="24"/>
                <w:szCs w:val="24"/>
                <w:highlight w:val="none"/>
              </w:rPr>
              <w:t>，否则其响应文件按照无效处理。</w:t>
            </w:r>
          </w:p>
        </w:tc>
      </w:tr>
      <w:tr w14:paraId="4CBB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55E35407">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0</w:t>
            </w:r>
            <w:r>
              <w:rPr>
                <w:bCs/>
                <w:color w:val="auto"/>
                <w:kern w:val="2"/>
                <w:sz w:val="24"/>
                <w:szCs w:val="24"/>
                <w:highlight w:val="none"/>
              </w:rPr>
              <w:t>.1</w:t>
            </w:r>
          </w:p>
        </w:tc>
        <w:tc>
          <w:tcPr>
            <w:tcW w:w="977" w:type="pct"/>
            <w:vAlign w:val="center"/>
          </w:tcPr>
          <w:p w14:paraId="79129D11">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磋商保证金</w:t>
            </w:r>
          </w:p>
        </w:tc>
        <w:tc>
          <w:tcPr>
            <w:tcW w:w="3556" w:type="pct"/>
            <w:vAlign w:val="center"/>
          </w:tcPr>
          <w:p w14:paraId="2521C23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不收取</w:t>
            </w:r>
          </w:p>
        </w:tc>
      </w:tr>
      <w:tr w14:paraId="5389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C31B3A3">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1</w:t>
            </w:r>
            <w:r>
              <w:rPr>
                <w:bCs/>
                <w:color w:val="auto"/>
                <w:kern w:val="2"/>
                <w:sz w:val="24"/>
                <w:szCs w:val="24"/>
                <w:highlight w:val="none"/>
              </w:rPr>
              <w:t>.1</w:t>
            </w:r>
          </w:p>
        </w:tc>
        <w:tc>
          <w:tcPr>
            <w:tcW w:w="977" w:type="pct"/>
            <w:vAlign w:val="center"/>
          </w:tcPr>
          <w:p w14:paraId="0CE2ED1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磋商有效期</w:t>
            </w:r>
          </w:p>
        </w:tc>
        <w:tc>
          <w:tcPr>
            <w:tcW w:w="3556" w:type="pct"/>
            <w:vAlign w:val="center"/>
          </w:tcPr>
          <w:p w14:paraId="244F4DD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90</w:t>
            </w:r>
            <w:r>
              <w:rPr>
                <w:rFonts w:hint="eastAsia"/>
                <w:b w:val="0"/>
                <w:color w:val="auto"/>
                <w:sz w:val="24"/>
                <w:szCs w:val="24"/>
                <w:highlight w:val="none"/>
              </w:rPr>
              <w:t>日历日</w:t>
            </w:r>
          </w:p>
        </w:tc>
      </w:tr>
      <w:tr w14:paraId="4F07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3EEB30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2</w:t>
            </w:r>
            <w:r>
              <w:rPr>
                <w:bCs/>
                <w:color w:val="auto"/>
                <w:kern w:val="2"/>
                <w:sz w:val="24"/>
                <w:szCs w:val="24"/>
                <w:highlight w:val="none"/>
              </w:rPr>
              <w:t>.3</w:t>
            </w:r>
          </w:p>
        </w:tc>
        <w:tc>
          <w:tcPr>
            <w:tcW w:w="977" w:type="pct"/>
            <w:vAlign w:val="center"/>
          </w:tcPr>
          <w:p w14:paraId="050724A8">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响应文件解密时间</w:t>
            </w:r>
          </w:p>
        </w:tc>
        <w:tc>
          <w:tcPr>
            <w:tcW w:w="3556" w:type="pct"/>
            <w:vAlign w:val="center"/>
          </w:tcPr>
          <w:p w14:paraId="7BEB91D4">
            <w:pPr>
              <w:pStyle w:val="68"/>
              <w:widowControl w:val="0"/>
              <w:spacing w:before="0" w:beforeAutospacing="0" w:after="0" w:afterAutospacing="0" w:line="360" w:lineRule="auto"/>
              <w:jc w:val="both"/>
              <w:rPr>
                <w:b w:val="0"/>
                <w:color w:val="auto"/>
                <w:sz w:val="24"/>
                <w:szCs w:val="24"/>
                <w:highlight w:val="none"/>
                <w:u w:val="single"/>
              </w:rPr>
            </w:pPr>
            <w:r>
              <w:rPr>
                <w:rFonts w:hint="eastAsia"/>
                <w:b w:val="0"/>
                <w:color w:val="auto"/>
                <w:sz w:val="24"/>
                <w:szCs w:val="24"/>
                <w:highlight w:val="none"/>
                <w:u w:val="none"/>
              </w:rPr>
              <w:t>响应文件提交截止时间后</w:t>
            </w:r>
            <w:r>
              <w:rPr>
                <w:rFonts w:hint="eastAsia"/>
                <w:b w:val="0"/>
                <w:color w:val="auto"/>
                <w:sz w:val="24"/>
                <w:szCs w:val="24"/>
                <w:highlight w:val="none"/>
                <w:u w:val="single"/>
                <w:lang w:val="en-US" w:eastAsia="zh-CN"/>
              </w:rPr>
              <w:t>60</w:t>
            </w:r>
            <w:r>
              <w:rPr>
                <w:rFonts w:hint="eastAsia"/>
                <w:b w:val="0"/>
                <w:color w:val="auto"/>
                <w:sz w:val="24"/>
                <w:szCs w:val="24"/>
                <w:highlight w:val="none"/>
                <w:u w:val="none"/>
              </w:rPr>
              <w:t>分钟内</w:t>
            </w:r>
          </w:p>
        </w:tc>
      </w:tr>
      <w:tr w14:paraId="290C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894B6E6">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4</w:t>
            </w:r>
            <w:r>
              <w:rPr>
                <w:rFonts w:hint="eastAsia"/>
                <w:bCs/>
                <w:color w:val="auto"/>
                <w:kern w:val="2"/>
                <w:sz w:val="24"/>
                <w:szCs w:val="24"/>
                <w:highlight w:val="none"/>
              </w:rPr>
              <w:t>.3</w:t>
            </w:r>
          </w:p>
        </w:tc>
        <w:tc>
          <w:tcPr>
            <w:tcW w:w="977" w:type="pct"/>
            <w:vAlign w:val="center"/>
          </w:tcPr>
          <w:p w14:paraId="655041E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评审方法</w:t>
            </w:r>
          </w:p>
        </w:tc>
        <w:tc>
          <w:tcPr>
            <w:tcW w:w="3556" w:type="pct"/>
            <w:vAlign w:val="center"/>
          </w:tcPr>
          <w:p w14:paraId="001E99F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none"/>
              </w:rPr>
              <w:t>综合评分法</w:t>
            </w:r>
          </w:p>
        </w:tc>
      </w:tr>
      <w:tr w14:paraId="1EE8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FF6B61C">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17</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2545CB4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最后报价扣除</w:t>
            </w:r>
          </w:p>
        </w:tc>
        <w:tc>
          <w:tcPr>
            <w:tcW w:w="3556" w:type="pct"/>
            <w:vAlign w:val="center"/>
          </w:tcPr>
          <w:p w14:paraId="27F3F839">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（1）</w:t>
            </w:r>
            <w:r>
              <w:rPr>
                <w:rFonts w:ascii="宋体" w:hAnsi="宋体" w:eastAsia="宋体"/>
                <w:b w:val="0"/>
                <w:color w:val="auto"/>
                <w:sz w:val="24"/>
                <w:szCs w:val="24"/>
                <w:highlight w:val="none"/>
              </w:rPr>
              <w:t>小型和微型</w:t>
            </w:r>
            <w:r>
              <w:rPr>
                <w:rFonts w:hint="eastAsia" w:ascii="宋体" w:hAnsi="宋体" w:eastAsia="宋体"/>
                <w:b w:val="0"/>
                <w:color w:val="auto"/>
                <w:sz w:val="24"/>
                <w:szCs w:val="24"/>
                <w:highlight w:val="none"/>
              </w:rPr>
              <w:t>企业价格扣除：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p w14:paraId="43994BD0">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（2）监狱企业价格扣除：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02A48D92">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（3）残疾人福利性单位价格扣除：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19BD9DE4">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（4）符合条件的联合体价格扣除：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p w14:paraId="7F225818">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（5）符合条件的向小微企业分包的大中型企业价格扣除：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tc>
      </w:tr>
      <w:tr w14:paraId="3ED8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08BAC364">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19</w:t>
            </w:r>
            <w:r>
              <w:rPr>
                <w:bCs/>
                <w:color w:val="auto"/>
                <w:kern w:val="2"/>
                <w:sz w:val="24"/>
                <w:szCs w:val="24"/>
                <w:highlight w:val="none"/>
              </w:rPr>
              <w:t>.</w:t>
            </w:r>
            <w:r>
              <w:rPr>
                <w:rFonts w:hint="eastAsia"/>
                <w:bCs/>
                <w:color w:val="auto"/>
                <w:kern w:val="2"/>
                <w:sz w:val="24"/>
                <w:szCs w:val="24"/>
                <w:highlight w:val="none"/>
              </w:rPr>
              <w:t>1</w:t>
            </w:r>
          </w:p>
        </w:tc>
        <w:tc>
          <w:tcPr>
            <w:tcW w:w="977" w:type="pct"/>
            <w:vMerge w:val="restart"/>
            <w:vAlign w:val="center"/>
          </w:tcPr>
          <w:p w14:paraId="513B0413">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确定成交候选供应商和成交供应商</w:t>
            </w:r>
          </w:p>
        </w:tc>
        <w:tc>
          <w:tcPr>
            <w:tcW w:w="3556" w:type="pct"/>
            <w:vAlign w:val="center"/>
          </w:tcPr>
          <w:p w14:paraId="3B2DE8E5">
            <w:pPr>
              <w:pStyle w:val="68"/>
              <w:widowControl w:val="0"/>
              <w:spacing w:before="0" w:beforeAutospacing="0" w:after="0" w:afterAutospacing="0" w:line="360" w:lineRule="auto"/>
              <w:jc w:val="both"/>
              <w:rPr>
                <w:rFonts w:hint="default" w:ascii="宋体" w:hAnsi="宋体" w:eastAsia="宋体"/>
                <w:b w:val="0"/>
                <w:color w:val="auto"/>
                <w:sz w:val="24"/>
                <w:szCs w:val="24"/>
                <w:highlight w:val="none"/>
                <w:lang w:val="en-US" w:eastAsia="zh-CN"/>
              </w:rPr>
            </w:pPr>
            <w:r>
              <w:rPr>
                <w:rFonts w:hint="eastAsia"/>
                <w:b w:val="0"/>
                <w:color w:val="auto"/>
                <w:sz w:val="24"/>
                <w:szCs w:val="24"/>
                <w:highlight w:val="none"/>
              </w:rPr>
              <w:t>磋商小组推荐成交</w:t>
            </w:r>
            <w:r>
              <w:rPr>
                <w:b w:val="0"/>
                <w:color w:val="auto"/>
                <w:sz w:val="24"/>
                <w:szCs w:val="24"/>
                <w:highlight w:val="none"/>
              </w:rPr>
              <w:t>候选</w:t>
            </w:r>
            <w:r>
              <w:rPr>
                <w:rFonts w:hint="eastAsia"/>
                <w:b w:val="0"/>
                <w:color w:val="auto"/>
                <w:sz w:val="24"/>
                <w:szCs w:val="24"/>
                <w:highlight w:val="none"/>
              </w:rPr>
              <w:t>供应商的</w:t>
            </w:r>
            <w:r>
              <w:rPr>
                <w:b w:val="0"/>
                <w:color w:val="auto"/>
                <w:sz w:val="24"/>
                <w:szCs w:val="24"/>
                <w:highlight w:val="none"/>
              </w:rPr>
              <w:t>数量</w:t>
            </w:r>
            <w:r>
              <w:rPr>
                <w:rFonts w:hint="eastAsia"/>
                <w:b w:val="0"/>
                <w:color w:val="auto"/>
                <w:sz w:val="24"/>
                <w:szCs w:val="24"/>
                <w:highlight w:val="none"/>
              </w:rPr>
              <w:t>：</w:t>
            </w:r>
            <w:r>
              <w:rPr>
                <w:rFonts w:hint="eastAsia" w:ascii="宋体" w:hAnsi="宋体" w:eastAsia="宋体"/>
                <w:b w:val="0"/>
                <w:color w:val="auto"/>
                <w:sz w:val="24"/>
                <w:szCs w:val="24"/>
                <w:highlight w:val="none"/>
              </w:rPr>
              <w:t>3家</w:t>
            </w:r>
            <w:r>
              <w:rPr>
                <w:rFonts w:hint="eastAsia"/>
                <w:b w:val="0"/>
                <w:color w:val="auto"/>
                <w:sz w:val="24"/>
                <w:szCs w:val="24"/>
                <w:highlight w:val="none"/>
                <w:lang w:val="en-US" w:eastAsia="zh-CN"/>
              </w:rPr>
              <w:t>及以上</w:t>
            </w:r>
          </w:p>
          <w:p w14:paraId="63AC811E">
            <w:pPr>
              <w:pStyle w:val="68"/>
              <w:widowControl w:val="0"/>
              <w:spacing w:before="0" w:beforeAutospacing="0" w:after="0" w:afterAutospacing="0" w:line="360" w:lineRule="auto"/>
              <w:jc w:val="both"/>
              <w:rPr>
                <w:b w:val="0"/>
                <w:color w:val="auto"/>
                <w:sz w:val="24"/>
                <w:szCs w:val="24"/>
                <w:highlight w:val="none"/>
                <w:u w:val="single"/>
              </w:rPr>
            </w:pPr>
            <w:r>
              <w:rPr>
                <w:rFonts w:hint="eastAsia" w:ascii="宋体" w:hAnsi="宋体" w:eastAsia="宋体"/>
                <w:b w:val="0"/>
                <w:color w:val="auto"/>
                <w:sz w:val="24"/>
                <w:szCs w:val="24"/>
                <w:highlight w:val="none"/>
                <w:lang w:val="en-US" w:eastAsia="zh-CN"/>
              </w:rPr>
              <w:t>注：法律、法规另有规定的，从其规定</w:t>
            </w:r>
          </w:p>
        </w:tc>
      </w:tr>
      <w:tr w14:paraId="767A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4C9A9B5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p>
        </w:tc>
        <w:tc>
          <w:tcPr>
            <w:tcW w:w="977" w:type="pct"/>
            <w:vMerge w:val="continue"/>
            <w:vAlign w:val="center"/>
          </w:tcPr>
          <w:p w14:paraId="2EB6B6B8">
            <w:pPr>
              <w:pStyle w:val="68"/>
              <w:widowControl w:val="0"/>
              <w:spacing w:before="0" w:beforeAutospacing="0" w:after="0" w:afterAutospacing="0" w:line="360" w:lineRule="auto"/>
              <w:jc w:val="both"/>
              <w:rPr>
                <w:b w:val="0"/>
                <w:color w:val="auto"/>
                <w:sz w:val="24"/>
                <w:szCs w:val="24"/>
                <w:highlight w:val="none"/>
              </w:rPr>
            </w:pPr>
          </w:p>
        </w:tc>
        <w:tc>
          <w:tcPr>
            <w:tcW w:w="3556" w:type="pct"/>
            <w:vAlign w:val="center"/>
          </w:tcPr>
          <w:p w14:paraId="4058641E">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确定成交供应商：</w:t>
            </w:r>
          </w:p>
          <w:p w14:paraId="3464441B">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b w:val="0"/>
                <w:color w:val="auto"/>
                <w:sz w:val="24"/>
                <w:szCs w:val="24"/>
                <w:highlight w:val="none"/>
              </w:rPr>
              <w:sym w:font="Wingdings" w:char="00A8"/>
            </w:r>
            <w:r>
              <w:rPr>
                <w:rFonts w:hint="eastAsia"/>
                <w:b w:val="0"/>
                <w:color w:val="auto"/>
                <w:sz w:val="24"/>
                <w:szCs w:val="24"/>
                <w:highlight w:val="none"/>
              </w:rPr>
              <w:t xml:space="preserve">采购人委托磋商小组确定 </w:t>
            </w:r>
            <w:r>
              <w:rPr>
                <w:b w:val="0"/>
                <w:color w:val="auto"/>
                <w:sz w:val="24"/>
                <w:szCs w:val="24"/>
                <w:highlight w:val="none"/>
              </w:rPr>
              <w:t xml:space="preserve">   </w:t>
            </w:r>
            <w:r>
              <w:rPr>
                <w:rFonts w:hint="eastAsia"/>
                <w:b w:val="0"/>
                <w:color w:val="auto"/>
                <w:sz w:val="24"/>
                <w:szCs w:val="24"/>
                <w:highlight w:val="none"/>
              </w:rPr>
              <w:t xml:space="preserve"> </w:t>
            </w:r>
            <w:r>
              <w:rPr>
                <w:rFonts w:hint="eastAsia"/>
                <w:b w:val="0"/>
                <w:color w:val="auto"/>
                <w:sz w:val="24"/>
                <w:szCs w:val="24"/>
                <w:highlight w:val="none"/>
              </w:rPr>
              <w:sym w:font="Wingdings 2" w:char="0052"/>
            </w:r>
            <w:r>
              <w:rPr>
                <w:rFonts w:hint="eastAsia"/>
                <w:b w:val="0"/>
                <w:color w:val="auto"/>
                <w:sz w:val="24"/>
                <w:szCs w:val="24"/>
                <w:highlight w:val="none"/>
              </w:rPr>
              <w:t>采购人确定</w:t>
            </w:r>
          </w:p>
        </w:tc>
      </w:tr>
      <w:tr w14:paraId="4292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3B6BA01">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2</w:t>
            </w:r>
            <w:r>
              <w:rPr>
                <w:rFonts w:hint="eastAsia"/>
                <w:bCs/>
                <w:color w:val="auto"/>
                <w:kern w:val="2"/>
                <w:sz w:val="24"/>
                <w:szCs w:val="24"/>
                <w:highlight w:val="none"/>
                <w:lang w:val="en-US" w:eastAsia="zh-CN"/>
              </w:rPr>
              <w:t>2</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4DF2BDFB">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随成交结果公告同时公告的内容</w:t>
            </w:r>
          </w:p>
        </w:tc>
        <w:tc>
          <w:tcPr>
            <w:tcW w:w="3556" w:type="pct"/>
            <w:vAlign w:val="center"/>
          </w:tcPr>
          <w:p w14:paraId="0C64C87E">
            <w:pPr>
              <w:pStyle w:val="68"/>
              <w:widowControl w:val="0"/>
              <w:numPr>
                <w:ilvl w:val="0"/>
                <w:numId w:val="2"/>
              </w:numPr>
              <w:spacing w:before="0" w:beforeAutospacing="0" w:after="0" w:afterAutospacing="0" w:line="360" w:lineRule="auto"/>
              <w:jc w:val="both"/>
              <w:rPr>
                <w:rFonts w:hint="eastAsia" w:ascii="宋体" w:hAnsi="宋体" w:eastAsia="宋体"/>
                <w:b w:val="0"/>
                <w:color w:val="auto"/>
                <w:sz w:val="24"/>
                <w:szCs w:val="24"/>
                <w:highlight w:val="none"/>
                <w:u w:val="none"/>
              </w:rPr>
            </w:pPr>
            <w:r>
              <w:rPr>
                <w:rFonts w:hint="eastAsia" w:ascii="宋体" w:hAnsi="宋体" w:eastAsia="宋体"/>
                <w:b w:val="0"/>
                <w:color w:val="auto"/>
                <w:sz w:val="24"/>
                <w:szCs w:val="24"/>
                <w:highlight w:val="none"/>
                <w:u w:val="none"/>
              </w:rPr>
              <w:t>中小企业声明函；</w:t>
            </w:r>
          </w:p>
          <w:p w14:paraId="7BCFEBB1">
            <w:pPr>
              <w:pStyle w:val="68"/>
              <w:widowControl w:val="0"/>
              <w:numPr>
                <w:ilvl w:val="0"/>
                <w:numId w:val="0"/>
              </w:numPr>
              <w:spacing w:before="0" w:beforeAutospacing="0" w:after="0" w:afterAutospacing="0" w:line="360" w:lineRule="auto"/>
              <w:jc w:val="both"/>
              <w:rPr>
                <w:rFonts w:ascii="宋体" w:hAnsi="宋体" w:eastAsia="宋体"/>
                <w:b w:val="0"/>
                <w:i/>
                <w:color w:val="auto"/>
                <w:sz w:val="24"/>
                <w:szCs w:val="24"/>
                <w:highlight w:val="none"/>
                <w:u w:val="none"/>
              </w:rPr>
            </w:pPr>
            <w:r>
              <w:rPr>
                <w:rFonts w:hint="eastAsia" w:ascii="宋体" w:hAnsi="宋体" w:eastAsia="宋体"/>
                <w:b w:val="0"/>
                <w:color w:val="auto"/>
                <w:sz w:val="24"/>
                <w:szCs w:val="24"/>
                <w:highlight w:val="none"/>
                <w:u w:val="none"/>
              </w:rPr>
              <w:t>（</w:t>
            </w:r>
            <w:r>
              <w:rPr>
                <w:rFonts w:hint="eastAsia" w:ascii="宋体" w:hAnsi="宋体" w:eastAsia="宋体"/>
                <w:b w:val="0"/>
                <w:color w:val="auto"/>
                <w:sz w:val="24"/>
                <w:szCs w:val="24"/>
                <w:highlight w:val="none"/>
                <w:u w:val="none"/>
                <w:lang w:val="en-US" w:eastAsia="zh-CN"/>
              </w:rPr>
              <w:t>2）</w:t>
            </w:r>
            <w:r>
              <w:rPr>
                <w:rFonts w:hint="eastAsia" w:ascii="宋体" w:hAnsi="宋体" w:eastAsia="宋体"/>
                <w:b w:val="0"/>
                <w:color w:val="auto"/>
                <w:sz w:val="24"/>
                <w:szCs w:val="24"/>
                <w:highlight w:val="none"/>
                <w:u w:val="none"/>
              </w:rPr>
              <w:t>残疾人福利性单位声明函；</w:t>
            </w:r>
            <w:r>
              <w:rPr>
                <w:rFonts w:hint="eastAsia" w:ascii="宋体" w:hAnsi="宋体" w:eastAsia="宋体"/>
                <w:b w:val="0"/>
                <w:i/>
                <w:iCs/>
                <w:color w:val="auto"/>
                <w:sz w:val="24"/>
                <w:szCs w:val="24"/>
                <w:highlight w:val="none"/>
                <w:u w:val="none"/>
              </w:rPr>
              <w:t>（如有）</w:t>
            </w:r>
          </w:p>
          <w:p w14:paraId="7BB4B78B">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b w:val="0"/>
                <w:color w:val="auto"/>
                <w:sz w:val="24"/>
                <w:szCs w:val="24"/>
                <w:highlight w:val="none"/>
                <w:u w:val="none"/>
                <w:lang w:eastAsia="zh-CN"/>
              </w:rPr>
              <w:t>（</w:t>
            </w:r>
            <w:r>
              <w:rPr>
                <w:rFonts w:hint="eastAsia"/>
                <w:b w:val="0"/>
                <w:color w:val="auto"/>
                <w:sz w:val="24"/>
                <w:szCs w:val="24"/>
                <w:highlight w:val="none"/>
                <w:u w:val="none"/>
                <w:lang w:val="en-US" w:eastAsia="zh-CN"/>
              </w:rPr>
              <w:t>3</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中标</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成交</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供应商的评审总得分</w:t>
            </w:r>
          </w:p>
        </w:tc>
      </w:tr>
      <w:tr w14:paraId="4A78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E18099B">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2</w:t>
            </w:r>
            <w:r>
              <w:rPr>
                <w:rFonts w:hint="eastAsia"/>
                <w:bCs/>
                <w:color w:val="auto"/>
                <w:kern w:val="2"/>
                <w:sz w:val="24"/>
                <w:szCs w:val="24"/>
                <w:highlight w:val="none"/>
                <w:lang w:val="en-US" w:eastAsia="zh-CN"/>
              </w:rPr>
              <w:t>3</w:t>
            </w:r>
            <w:r>
              <w:rPr>
                <w:bCs/>
                <w:color w:val="auto"/>
                <w:kern w:val="2"/>
                <w:sz w:val="24"/>
                <w:szCs w:val="24"/>
                <w:highlight w:val="none"/>
              </w:rPr>
              <w:t>.1</w:t>
            </w:r>
          </w:p>
        </w:tc>
        <w:tc>
          <w:tcPr>
            <w:tcW w:w="977" w:type="pct"/>
            <w:vAlign w:val="center"/>
          </w:tcPr>
          <w:p w14:paraId="79320ADE">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成交通知书发出的形式</w:t>
            </w:r>
          </w:p>
        </w:tc>
        <w:tc>
          <w:tcPr>
            <w:tcW w:w="3556" w:type="pct"/>
            <w:vAlign w:val="center"/>
          </w:tcPr>
          <w:p w14:paraId="3357E10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 xml:space="preserve">□书面 </w:t>
            </w:r>
            <w:r>
              <w:rPr>
                <w:b w:val="0"/>
                <w:color w:val="auto"/>
                <w:sz w:val="24"/>
                <w:szCs w:val="24"/>
                <w:highlight w:val="none"/>
              </w:rPr>
              <w:t xml:space="preserve">    </w:t>
            </w:r>
            <w:r>
              <w:rPr>
                <w:rFonts w:hint="eastAsia"/>
                <w:b w:val="0"/>
                <w:bCs w:val="0"/>
                <w:color w:val="auto"/>
                <w:sz w:val="24"/>
                <w:szCs w:val="24"/>
                <w:highlight w:val="none"/>
              </w:rPr>
              <w:sym w:font="Wingdings" w:char="00FE"/>
            </w:r>
            <w:r>
              <w:rPr>
                <w:rFonts w:hint="eastAsia"/>
                <w:b w:val="0"/>
                <w:color w:val="auto"/>
                <w:sz w:val="24"/>
                <w:szCs w:val="24"/>
                <w:highlight w:val="none"/>
              </w:rPr>
              <w:t>数据电文</w:t>
            </w:r>
          </w:p>
        </w:tc>
      </w:tr>
      <w:tr w14:paraId="6F4D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2A03E1E">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w:t>
            </w:r>
          </w:p>
        </w:tc>
        <w:tc>
          <w:tcPr>
            <w:tcW w:w="977" w:type="pct"/>
            <w:vAlign w:val="center"/>
          </w:tcPr>
          <w:p w14:paraId="6BDCE23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告知磋商结果的形式</w:t>
            </w:r>
          </w:p>
        </w:tc>
        <w:tc>
          <w:tcPr>
            <w:tcW w:w="3556" w:type="pct"/>
            <w:vAlign w:val="center"/>
          </w:tcPr>
          <w:p w14:paraId="0A0EB0E2">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2DF7A4B4">
            <w:pPr>
              <w:pStyle w:val="68"/>
              <w:widowControl w:val="0"/>
              <w:spacing w:before="0" w:beforeAutospacing="0" w:after="0" w:afterAutospacing="0" w:line="360" w:lineRule="auto"/>
              <w:jc w:val="both"/>
              <w:rPr>
                <w:rFonts w:hint="eastAsia"/>
                <w:b w:val="0"/>
                <w:color w:val="auto"/>
                <w:sz w:val="24"/>
                <w:szCs w:val="24"/>
                <w:highlight w:val="none"/>
              </w:rPr>
            </w:pPr>
            <w:r>
              <w:rPr>
                <w:rFonts w:hint="eastAsia"/>
                <w:b w:val="0"/>
                <w:color w:val="auto"/>
                <w:sz w:val="24"/>
                <w:szCs w:val="24"/>
                <w:highlight w:val="none"/>
              </w:rPr>
              <w:t>□磋商现场告知</w:t>
            </w:r>
          </w:p>
        </w:tc>
      </w:tr>
      <w:tr w14:paraId="3665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11602A1">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25</w:t>
            </w:r>
            <w:r>
              <w:rPr>
                <w:bCs/>
                <w:color w:val="auto"/>
                <w:kern w:val="2"/>
                <w:sz w:val="24"/>
                <w:szCs w:val="24"/>
                <w:highlight w:val="none"/>
              </w:rPr>
              <w:t>.1</w:t>
            </w:r>
          </w:p>
        </w:tc>
        <w:tc>
          <w:tcPr>
            <w:tcW w:w="977" w:type="pct"/>
            <w:vAlign w:val="center"/>
          </w:tcPr>
          <w:p w14:paraId="29F461C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履约保证金</w:t>
            </w:r>
          </w:p>
        </w:tc>
        <w:tc>
          <w:tcPr>
            <w:tcW w:w="3556" w:type="pct"/>
          </w:tcPr>
          <w:p w14:paraId="53B46F91">
            <w:pPr>
              <w:spacing w:line="360" w:lineRule="auto"/>
              <w:rPr>
                <w:bCs/>
                <w:color w:val="auto"/>
                <w:sz w:val="24"/>
                <w:szCs w:val="24"/>
                <w:highlight w:val="none"/>
              </w:rPr>
            </w:pPr>
            <w:r>
              <w:rPr>
                <w:rFonts w:hint="eastAsia"/>
                <w:bCs/>
                <w:color w:val="auto"/>
                <w:sz w:val="24"/>
                <w:szCs w:val="24"/>
                <w:highlight w:val="none"/>
              </w:rPr>
              <w:t>（1）金额：合同价的</w:t>
            </w:r>
            <w:r>
              <w:rPr>
                <w:rFonts w:hint="eastAsia"/>
                <w:bCs/>
                <w:color w:val="auto"/>
                <w:sz w:val="24"/>
                <w:szCs w:val="24"/>
                <w:highlight w:val="none"/>
                <w:u w:val="single"/>
                <w:lang w:val="en-US" w:eastAsia="zh-CN"/>
              </w:rPr>
              <w:t>10</w:t>
            </w:r>
            <w:r>
              <w:rPr>
                <w:bCs/>
                <w:color w:val="auto"/>
                <w:sz w:val="24"/>
                <w:szCs w:val="24"/>
                <w:highlight w:val="none"/>
              </w:rPr>
              <w:t>%</w:t>
            </w:r>
          </w:p>
          <w:p w14:paraId="70B9835F">
            <w:pPr>
              <w:spacing w:line="360" w:lineRule="auto"/>
              <w:rPr>
                <w:bCs/>
                <w:color w:val="auto"/>
                <w:sz w:val="24"/>
                <w:szCs w:val="24"/>
                <w:highlight w:val="none"/>
              </w:rPr>
            </w:pPr>
            <w:r>
              <w:rPr>
                <w:rFonts w:hint="eastAsia"/>
                <w:bCs/>
                <w:color w:val="auto"/>
                <w:sz w:val="24"/>
                <w:szCs w:val="24"/>
                <w:highlight w:val="none"/>
              </w:rPr>
              <w:t>（2）支付方式：</w:t>
            </w:r>
          </w:p>
          <w:p w14:paraId="561F9DAA">
            <w:pPr>
              <w:spacing w:line="360" w:lineRule="auto"/>
              <w:rPr>
                <w:bCs/>
                <w:color w:val="auto"/>
                <w:sz w:val="24"/>
                <w:szCs w:val="24"/>
                <w:highlight w:val="none"/>
              </w:rPr>
            </w:pPr>
            <w:r>
              <w:rPr>
                <w:rFonts w:hint="eastAsia"/>
                <w:bCs/>
                <w:color w:val="auto"/>
                <w:sz w:val="24"/>
                <w:szCs w:val="24"/>
                <w:highlight w:val="none"/>
              </w:rPr>
              <w:sym w:font="Wingdings" w:char="00FE"/>
            </w:r>
            <w:r>
              <w:rPr>
                <w:bCs/>
                <w:color w:val="auto"/>
                <w:sz w:val="24"/>
                <w:szCs w:val="24"/>
                <w:highlight w:val="none"/>
              </w:rPr>
              <w:t>转账/电汇</w:t>
            </w:r>
            <w:r>
              <w:rPr>
                <w:rFonts w:hint="eastAsia"/>
                <w:bCs/>
                <w:color w:val="auto"/>
                <w:sz w:val="24"/>
                <w:szCs w:val="24"/>
                <w:highlight w:val="none"/>
              </w:rPr>
              <w:t xml:space="preserve"> </w:t>
            </w:r>
            <w:r>
              <w:rPr>
                <w:rFonts w:hint="eastAsia"/>
                <w:bCs/>
                <w:color w:val="auto"/>
                <w:sz w:val="24"/>
                <w:szCs w:val="24"/>
                <w:highlight w:val="none"/>
              </w:rPr>
              <w:sym w:font="Wingdings" w:char="00FE"/>
            </w:r>
            <w:r>
              <w:rPr>
                <w:bCs/>
                <w:color w:val="auto"/>
                <w:sz w:val="24"/>
                <w:szCs w:val="24"/>
                <w:highlight w:val="none"/>
              </w:rPr>
              <w:t xml:space="preserve">支票 </w:t>
            </w:r>
            <w:r>
              <w:rPr>
                <w:rFonts w:hint="eastAsia"/>
                <w:bCs/>
                <w:color w:val="auto"/>
                <w:sz w:val="24"/>
                <w:szCs w:val="24"/>
                <w:highlight w:val="none"/>
              </w:rPr>
              <w:sym w:font="Wingdings" w:char="00FE"/>
            </w:r>
            <w:r>
              <w:rPr>
                <w:bCs/>
                <w:color w:val="auto"/>
                <w:sz w:val="24"/>
                <w:szCs w:val="24"/>
                <w:highlight w:val="none"/>
              </w:rPr>
              <w:t>汇票</w:t>
            </w:r>
            <w:r>
              <w:rPr>
                <w:rFonts w:hint="eastAsia"/>
                <w:bCs/>
                <w:color w:val="auto"/>
                <w:sz w:val="24"/>
                <w:szCs w:val="24"/>
                <w:highlight w:val="none"/>
              </w:rPr>
              <w:t xml:space="preserve"> </w:t>
            </w:r>
            <w:r>
              <w:rPr>
                <w:rFonts w:hint="eastAsia"/>
                <w:bCs/>
                <w:color w:val="auto"/>
                <w:sz w:val="24"/>
                <w:szCs w:val="24"/>
                <w:highlight w:val="none"/>
              </w:rPr>
              <w:sym w:font="Wingdings" w:char="00FE"/>
            </w:r>
            <w:r>
              <w:rPr>
                <w:rFonts w:hint="eastAsia"/>
                <w:bCs/>
                <w:color w:val="auto"/>
                <w:sz w:val="24"/>
                <w:szCs w:val="24"/>
                <w:highlight w:val="none"/>
              </w:rPr>
              <w:t xml:space="preserve">本票 </w:t>
            </w:r>
            <w:r>
              <w:rPr>
                <w:rFonts w:hint="eastAsia"/>
                <w:bCs/>
                <w:color w:val="auto"/>
                <w:sz w:val="24"/>
                <w:szCs w:val="24"/>
                <w:highlight w:val="none"/>
              </w:rPr>
              <w:sym w:font="Wingdings" w:char="00FE"/>
            </w:r>
            <w:r>
              <w:rPr>
                <w:bCs/>
                <w:color w:val="auto"/>
                <w:sz w:val="24"/>
                <w:szCs w:val="24"/>
                <w:highlight w:val="none"/>
              </w:rPr>
              <w:t>保</w:t>
            </w:r>
            <w:r>
              <w:rPr>
                <w:rFonts w:hint="eastAsia"/>
                <w:bCs/>
                <w:color w:val="auto"/>
                <w:sz w:val="24"/>
                <w:szCs w:val="24"/>
                <w:highlight w:val="none"/>
              </w:rPr>
              <w:t xml:space="preserve">险 </w:t>
            </w:r>
            <w:r>
              <w:rPr>
                <w:rFonts w:hint="eastAsia"/>
                <w:bCs/>
                <w:color w:val="auto"/>
                <w:sz w:val="24"/>
                <w:szCs w:val="24"/>
                <w:highlight w:val="none"/>
              </w:rPr>
              <w:sym w:font="Wingdings" w:char="00FE"/>
            </w:r>
            <w:r>
              <w:rPr>
                <w:rFonts w:hint="eastAsia"/>
                <w:bCs/>
                <w:color w:val="auto"/>
                <w:sz w:val="24"/>
                <w:szCs w:val="24"/>
                <w:highlight w:val="none"/>
              </w:rPr>
              <w:t>保</w:t>
            </w:r>
            <w:r>
              <w:rPr>
                <w:bCs/>
                <w:color w:val="auto"/>
                <w:sz w:val="24"/>
                <w:szCs w:val="24"/>
                <w:highlight w:val="none"/>
              </w:rPr>
              <w:t>函</w:t>
            </w:r>
          </w:p>
          <w:p w14:paraId="0B5D3F9C">
            <w:pPr>
              <w:spacing w:line="360" w:lineRule="auto"/>
              <w:rPr>
                <w:rFonts w:hint="default"/>
                <w:b/>
                <w:color w:val="auto"/>
                <w:sz w:val="24"/>
                <w:szCs w:val="24"/>
                <w:highlight w:val="none"/>
                <w:u w:val="single"/>
                <w:lang w:val="en-US" w:eastAsia="zh-CN"/>
              </w:rPr>
            </w:pPr>
            <w:r>
              <w:rPr>
                <w:rFonts w:hint="eastAsia" w:ascii="宋体" w:hAnsi="宋体" w:eastAsia="宋体"/>
                <w:bCs/>
                <w:color w:val="auto"/>
                <w:kern w:val="0"/>
                <w:sz w:val="24"/>
                <w:szCs w:val="24"/>
                <w:highlight w:val="none"/>
              </w:rPr>
              <w:t>（3）收取单位：</w:t>
            </w:r>
            <w:r>
              <w:rPr>
                <w:rFonts w:hint="eastAsia" w:cs="宋体"/>
                <w:bCs/>
                <w:color w:val="auto"/>
                <w:kern w:val="2"/>
                <w:sz w:val="24"/>
                <w:szCs w:val="24"/>
                <w:highlight w:val="none"/>
                <w:u w:val="single"/>
                <w:lang w:val="en-US" w:eastAsia="zh-CN"/>
              </w:rPr>
              <w:t>各包合同甲方</w:t>
            </w:r>
          </w:p>
          <w:p w14:paraId="5F2AA9AD">
            <w:pPr>
              <w:spacing w:line="360" w:lineRule="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（4）收取账号：</w:t>
            </w:r>
            <w:r>
              <w:rPr>
                <w:rFonts w:hint="eastAsia" w:ascii="宋体" w:hAnsi="宋体" w:eastAsia="宋体"/>
                <w:bCs/>
                <w:color w:val="auto"/>
                <w:kern w:val="0"/>
                <w:sz w:val="24"/>
                <w:szCs w:val="24"/>
                <w:highlight w:val="none"/>
                <w:u w:val="single"/>
              </w:rPr>
              <w:t>成交后提供</w:t>
            </w:r>
          </w:p>
          <w:p w14:paraId="348F58E9">
            <w:pPr>
              <w:spacing w:line="360" w:lineRule="auto"/>
              <w:rPr>
                <w:rFonts w:hint="eastAsia" w:ascii="Times New Roman" w:hAnsi="Times New Roman" w:eastAsia="宋体" w:cs="Times New Roman"/>
                <w:color w:val="auto"/>
                <w:sz w:val="24"/>
                <w:szCs w:val="24"/>
                <w:highlight w:val="none"/>
                <w:u w:val="single"/>
                <w:lang w:eastAsia="zh-CN"/>
              </w:rPr>
            </w:pPr>
            <w:r>
              <w:rPr>
                <w:rFonts w:hint="eastAsia" w:ascii="宋体" w:hAnsi="宋体" w:eastAsia="宋体"/>
                <w:bCs/>
                <w:color w:val="auto"/>
                <w:kern w:val="0"/>
                <w:sz w:val="24"/>
                <w:szCs w:val="24"/>
                <w:highlight w:val="none"/>
              </w:rPr>
              <w:t>（5）</w:t>
            </w:r>
            <w:r>
              <w:rPr>
                <w:rFonts w:hint="eastAsia" w:ascii="宋体" w:hAnsi="宋体" w:eastAsia="宋体"/>
                <w:color w:val="auto"/>
                <w:sz w:val="24"/>
                <w:szCs w:val="24"/>
                <w:highlight w:val="none"/>
              </w:rPr>
              <w:t>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ascii="Times New Roman" w:hAnsi="Times New Roman" w:cs="Times New Roman"/>
                <w:color w:val="auto"/>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60FCC1C4">
            <w:pPr>
              <w:spacing w:line="360" w:lineRule="auto"/>
              <w:rPr>
                <w:rFonts w:ascii="宋体" w:hAnsi="宋体" w:eastAsia="宋体"/>
                <w:color w:val="auto"/>
                <w:sz w:val="24"/>
                <w:szCs w:val="24"/>
                <w:highlight w:val="none"/>
              </w:rPr>
            </w:pPr>
            <w:r>
              <w:rPr>
                <w:rFonts w:hint="eastAsia" w:ascii="宋体" w:hAnsi="宋体" w:eastAsia="宋体" w:cs="宋体"/>
                <w:b/>
                <w:color w:val="auto"/>
                <w:sz w:val="24"/>
                <w:szCs w:val="24"/>
                <w:highlight w:val="none"/>
              </w:rPr>
              <w:t>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不履行合同，履约保证金不予退还；如果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未能按合同约定全面履行义务，合同</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有权从履约保证金中取得补偿或赔偿，同时不影响</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要求</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承担合同约定的超过履约保证金的违约责任的权利。</w:t>
            </w:r>
          </w:p>
          <w:p w14:paraId="4E04771F">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3CAC5A34">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490C79F4">
            <w:pPr>
              <w:pStyle w:val="68"/>
              <w:widowControl w:val="0"/>
              <w:spacing w:before="0" w:beforeAutospacing="0" w:after="0" w:afterAutospacing="0" w:line="360" w:lineRule="auto"/>
              <w:jc w:val="both"/>
              <w:rPr>
                <w:color w:val="auto"/>
                <w:sz w:val="24"/>
                <w:szCs w:val="24"/>
                <w:highlight w:val="none"/>
              </w:rPr>
            </w:pPr>
            <w:r>
              <w:rPr>
                <w:rFonts w:hint="eastAsia" w:ascii="宋体" w:hAnsi="宋体" w:eastAsia="宋体"/>
                <w:bCs w:val="0"/>
                <w:color w:val="auto"/>
                <w:sz w:val="24"/>
                <w:szCs w:val="24"/>
                <w:highlight w:val="none"/>
              </w:rPr>
              <w:t>（2）以担保函、保证保险形式缴纳履约保证金的，受益人和收取单位须为</w:t>
            </w:r>
            <w:r>
              <w:rPr>
                <w:rFonts w:hint="eastAsia"/>
                <w:bCs w:val="0"/>
                <w:color w:val="auto"/>
                <w:sz w:val="24"/>
                <w:szCs w:val="24"/>
                <w:highlight w:val="none"/>
                <w:lang w:eastAsia="zh-CN"/>
              </w:rPr>
              <w:t>合同甲方</w:t>
            </w:r>
            <w:r>
              <w:rPr>
                <w:rFonts w:hint="eastAsia" w:ascii="宋体" w:hAnsi="宋体" w:eastAsia="宋体"/>
                <w:bCs w:val="0"/>
                <w:color w:val="auto"/>
                <w:sz w:val="24"/>
                <w:szCs w:val="24"/>
                <w:highlight w:val="none"/>
              </w:rPr>
              <w:t>。</w:t>
            </w:r>
          </w:p>
        </w:tc>
      </w:tr>
      <w:tr w14:paraId="1CD3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816" w:type="dxa"/>
            <w:vAlign w:val="center"/>
          </w:tcPr>
          <w:p w14:paraId="05013C9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26.1</w:t>
            </w:r>
          </w:p>
        </w:tc>
        <w:tc>
          <w:tcPr>
            <w:tcW w:w="977" w:type="pct"/>
            <w:vAlign w:val="center"/>
          </w:tcPr>
          <w:p w14:paraId="6DC78053">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lang w:val="en-US" w:eastAsia="zh-CN"/>
              </w:rPr>
              <w:t>代理费用</w:t>
            </w:r>
          </w:p>
        </w:tc>
        <w:tc>
          <w:tcPr>
            <w:tcW w:w="3556" w:type="pct"/>
            <w:vAlign w:val="center"/>
          </w:tcPr>
          <w:p w14:paraId="78C93276">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55B2DD09">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034D7564">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bookmarkStart w:id="44" w:name="OLE_LINK2"/>
            <w:r>
              <w:rPr>
                <w:rFonts w:hint="eastAsia"/>
                <w:bCs/>
                <w:color w:val="auto"/>
                <w:sz w:val="24"/>
                <w:szCs w:val="24"/>
                <w:highlight w:val="none"/>
                <w:lang w:val="en-US" w:eastAsia="zh-CN"/>
              </w:rPr>
              <w:t>项目代理费分包支付，各包</w:t>
            </w:r>
            <w:r>
              <w:rPr>
                <w:rFonts w:hint="eastAsia" w:ascii="宋体" w:hAnsi="宋体" w:eastAsia="宋体"/>
                <w:bCs/>
                <w:color w:val="auto"/>
                <w:sz w:val="24"/>
                <w:szCs w:val="24"/>
                <w:highlight w:val="none"/>
                <w:lang w:val="en-US" w:eastAsia="zh-CN"/>
              </w:rPr>
              <w:t>代理服务费</w:t>
            </w:r>
            <w:bookmarkEnd w:id="44"/>
            <w:r>
              <w:rPr>
                <w:rFonts w:hint="eastAsia" w:ascii="宋体" w:hAnsi="宋体" w:eastAsia="宋体"/>
                <w:bCs/>
                <w:color w:val="auto"/>
                <w:sz w:val="24"/>
                <w:szCs w:val="24"/>
                <w:highlight w:val="none"/>
                <w:lang w:val="en-US" w:eastAsia="zh-CN"/>
              </w:rPr>
              <w:t>参照《招标代理服务收费管理暂行办法》（计价格[2002]1980号）的标准收取，由各包成交供应商支付。包含在各包成交供应商投标报价的单价与合价中，不单独列项。</w:t>
            </w:r>
          </w:p>
          <w:p w14:paraId="702C0F7F">
            <w:pPr>
              <w:numPr>
                <w:ilvl w:val="0"/>
                <w:numId w:val="0"/>
              </w:numPr>
              <w:spacing w:line="360" w:lineRule="auto"/>
              <w:rPr>
                <w:rFonts w:hint="eastAsia" w:eastAsia="宋体"/>
                <w:bCs/>
                <w:color w:val="auto"/>
                <w:sz w:val="24"/>
                <w:szCs w:val="24"/>
                <w:highlight w:val="none"/>
                <w:lang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tc>
      </w:tr>
      <w:tr w14:paraId="3E7D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4E5CA78">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4"/>
                <w:highlight w:val="none"/>
                <w:lang w:val="en-US" w:eastAsia="zh-CN" w:bidi="ar-SA"/>
              </w:rPr>
            </w:pPr>
            <w:r>
              <w:rPr>
                <w:rFonts w:hint="eastAsia"/>
                <w:bCs/>
                <w:color w:val="auto"/>
                <w:kern w:val="2"/>
                <w:sz w:val="24"/>
                <w:szCs w:val="24"/>
                <w:highlight w:val="none"/>
                <w:lang w:val="en-US" w:eastAsia="zh-CN"/>
              </w:rPr>
              <w:t>27.1</w:t>
            </w:r>
          </w:p>
        </w:tc>
        <w:tc>
          <w:tcPr>
            <w:tcW w:w="977" w:type="pct"/>
            <w:vAlign w:val="center"/>
          </w:tcPr>
          <w:p w14:paraId="14D3378D">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b w:val="0"/>
                <w:color w:val="auto"/>
                <w:sz w:val="24"/>
                <w:szCs w:val="24"/>
                <w:highlight w:val="none"/>
                <w:lang w:val="en-US" w:eastAsia="zh-CN"/>
              </w:rPr>
              <w:t>签订合同和合同公告时间</w:t>
            </w:r>
          </w:p>
        </w:tc>
        <w:tc>
          <w:tcPr>
            <w:tcW w:w="3556" w:type="pct"/>
            <w:vAlign w:val="center"/>
          </w:tcPr>
          <w:p w14:paraId="7CF14580">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00F3C476">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49D4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64C1046">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sz w:val="24"/>
                <w:szCs w:val="24"/>
                <w:highlight w:val="none"/>
                <w:lang w:val="en-US" w:eastAsia="zh-CN"/>
              </w:rPr>
            </w:pPr>
            <w:r>
              <w:rPr>
                <w:rFonts w:hint="eastAsia"/>
                <w:bCs/>
                <w:color w:val="auto"/>
                <w:kern w:val="2"/>
                <w:sz w:val="24"/>
                <w:szCs w:val="24"/>
                <w:highlight w:val="none"/>
                <w:lang w:val="en-US" w:eastAsia="zh-CN"/>
              </w:rPr>
              <w:t>29.3</w:t>
            </w:r>
          </w:p>
        </w:tc>
        <w:tc>
          <w:tcPr>
            <w:tcW w:w="977" w:type="pct"/>
            <w:vAlign w:val="center"/>
          </w:tcPr>
          <w:p w14:paraId="5043AF83">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质疑函递交方式、接收部门、联系电话和通讯地址</w:t>
            </w:r>
          </w:p>
        </w:tc>
        <w:tc>
          <w:tcPr>
            <w:tcW w:w="3556" w:type="pct"/>
            <w:vAlign w:val="center"/>
          </w:tcPr>
          <w:p w14:paraId="3C591085">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递交方式：“徽采云”电子交易系统</w:t>
            </w:r>
          </w:p>
          <w:p w14:paraId="19AD49B4">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接收部门：安徽省淮河河道管理局</w:t>
            </w:r>
          </w:p>
          <w:p w14:paraId="1FA0B053">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ascii="宋体" w:hAnsi="宋体" w:eastAsia="宋体"/>
                <w:b w:val="0"/>
                <w:color w:val="auto"/>
                <w:sz w:val="24"/>
                <w:szCs w:val="24"/>
                <w:highlight w:val="none"/>
              </w:rPr>
              <w:t>联系电话：</w:t>
            </w:r>
            <w:r>
              <w:rPr>
                <w:rFonts w:hint="eastAsia" w:ascii="宋体" w:hAnsi="宋体" w:eastAsia="宋体"/>
                <w:b w:val="0"/>
                <w:color w:val="auto"/>
                <w:sz w:val="24"/>
                <w:szCs w:val="24"/>
                <w:highlight w:val="none"/>
              </w:rPr>
              <w:t>0552-3918027</w:t>
            </w:r>
          </w:p>
          <w:p w14:paraId="14A3C921">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通讯地址：安徽省蚌埠市解放一路116号</w:t>
            </w:r>
          </w:p>
        </w:tc>
      </w:tr>
      <w:tr w14:paraId="53B7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49E3240">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rPr>
              <w:t>3</w:t>
            </w:r>
            <w:r>
              <w:rPr>
                <w:rFonts w:hint="eastAsia"/>
                <w:bCs/>
                <w:color w:val="auto"/>
                <w:kern w:val="2"/>
                <w:sz w:val="24"/>
                <w:szCs w:val="24"/>
                <w:highlight w:val="none"/>
                <w:lang w:val="en-US" w:eastAsia="zh-CN"/>
              </w:rPr>
              <w:t>0</w:t>
            </w:r>
          </w:p>
        </w:tc>
        <w:tc>
          <w:tcPr>
            <w:tcW w:w="977" w:type="pct"/>
            <w:vAlign w:val="center"/>
          </w:tcPr>
          <w:p w14:paraId="3A31FE6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其他内容</w:t>
            </w:r>
          </w:p>
        </w:tc>
        <w:tc>
          <w:tcPr>
            <w:tcW w:w="3556" w:type="pct"/>
            <w:vAlign w:val="center"/>
          </w:tcPr>
          <w:p w14:paraId="0BC66FE3">
            <w:pPr>
              <w:pStyle w:val="68"/>
              <w:widowControl w:val="0"/>
              <w:spacing w:before="0" w:beforeAutospacing="0" w:after="0" w:afterAutospacing="0" w:line="360" w:lineRule="auto"/>
              <w:jc w:val="both"/>
              <w:rPr>
                <w:b w:val="0"/>
                <w:color w:val="auto"/>
                <w:sz w:val="24"/>
                <w:szCs w:val="24"/>
                <w:highlight w:val="none"/>
              </w:rPr>
            </w:pPr>
          </w:p>
        </w:tc>
      </w:tr>
      <w:tr w14:paraId="685C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0A4D439">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1</w:t>
            </w:r>
          </w:p>
        </w:tc>
        <w:tc>
          <w:tcPr>
            <w:tcW w:w="977" w:type="pct"/>
            <w:vAlign w:val="center"/>
          </w:tcPr>
          <w:p w14:paraId="69DCB7C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承包方式</w:t>
            </w:r>
          </w:p>
        </w:tc>
        <w:tc>
          <w:tcPr>
            <w:tcW w:w="3556" w:type="pct"/>
            <w:vAlign w:val="center"/>
          </w:tcPr>
          <w:p w14:paraId="466939B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sym w:font="Wingdings 2" w:char="0052"/>
            </w:r>
            <w:r>
              <w:rPr>
                <w:rFonts w:hint="eastAsia"/>
                <w:b w:val="0"/>
                <w:color w:val="auto"/>
                <w:sz w:val="24"/>
                <w:szCs w:val="24"/>
                <w:highlight w:val="none"/>
              </w:rPr>
              <w:t xml:space="preserve">施工总承包  </w:t>
            </w:r>
            <w:r>
              <w:rPr>
                <w:rFonts w:hint="eastAsia"/>
                <w:b w:val="0"/>
                <w:color w:val="auto"/>
                <w:sz w:val="24"/>
                <w:szCs w:val="24"/>
                <w:highlight w:val="none"/>
              </w:rPr>
              <w:sym w:font="Wingdings 2" w:char="00A3"/>
            </w:r>
            <w:r>
              <w:rPr>
                <w:rFonts w:hint="eastAsia"/>
                <w:b w:val="0"/>
                <w:color w:val="auto"/>
                <w:sz w:val="24"/>
                <w:szCs w:val="24"/>
                <w:highlight w:val="none"/>
              </w:rPr>
              <w:t>专业承包</w:t>
            </w:r>
          </w:p>
        </w:tc>
      </w:tr>
      <w:tr w14:paraId="07F4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D3CE009">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66CDD6C3">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计价方式</w:t>
            </w:r>
          </w:p>
        </w:tc>
        <w:tc>
          <w:tcPr>
            <w:tcW w:w="3556" w:type="pct"/>
            <w:vAlign w:val="center"/>
          </w:tcPr>
          <w:p w14:paraId="0EA2441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□工程量清单综合单价报价法</w:t>
            </w:r>
          </w:p>
          <w:p w14:paraId="4B461B8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lang w:eastAsia="zh-CN"/>
              </w:rPr>
              <w:t>☑</w:t>
            </w:r>
            <w:r>
              <w:rPr>
                <w:rFonts w:hint="eastAsia"/>
                <w:b w:val="0"/>
                <w:color w:val="auto"/>
                <w:sz w:val="24"/>
                <w:szCs w:val="24"/>
                <w:highlight w:val="none"/>
              </w:rPr>
              <w:t>全费用综合单价报价法</w:t>
            </w:r>
          </w:p>
        </w:tc>
      </w:tr>
      <w:tr w14:paraId="0F08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FE24490">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3</w:t>
            </w:r>
          </w:p>
        </w:tc>
        <w:tc>
          <w:tcPr>
            <w:tcW w:w="977" w:type="pct"/>
            <w:vAlign w:val="center"/>
          </w:tcPr>
          <w:p w14:paraId="7B3F8C6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计划</w:t>
            </w:r>
            <w:r>
              <w:rPr>
                <w:b w:val="0"/>
                <w:color w:val="auto"/>
                <w:sz w:val="24"/>
                <w:szCs w:val="24"/>
                <w:highlight w:val="none"/>
              </w:rPr>
              <w:t>工期</w:t>
            </w:r>
          </w:p>
        </w:tc>
        <w:tc>
          <w:tcPr>
            <w:tcW w:w="3556" w:type="pct"/>
            <w:vAlign w:val="center"/>
          </w:tcPr>
          <w:p w14:paraId="6CF1345F">
            <w:pPr>
              <w:spacing w:line="360" w:lineRule="auto"/>
              <w:rPr>
                <w:rFonts w:hint="default" w:eastAsia="宋体"/>
                <w:color w:val="auto"/>
                <w:sz w:val="24"/>
                <w:szCs w:val="24"/>
                <w:highlight w:val="none"/>
                <w:u w:val="single"/>
                <w:lang w:val="en-US" w:eastAsia="zh-CN"/>
              </w:rPr>
            </w:pPr>
            <w:r>
              <w:rPr>
                <w:rFonts w:hint="eastAsia"/>
                <w:b w:val="0"/>
                <w:color w:val="auto"/>
                <w:sz w:val="24"/>
                <w:szCs w:val="24"/>
                <w:highlight w:val="none"/>
              </w:rPr>
              <w:t>计划</w:t>
            </w:r>
            <w:r>
              <w:rPr>
                <w:b w:val="0"/>
                <w:color w:val="auto"/>
                <w:sz w:val="24"/>
                <w:szCs w:val="24"/>
                <w:highlight w:val="none"/>
              </w:rPr>
              <w:t>工期：</w:t>
            </w:r>
            <w:r>
              <w:rPr>
                <w:rFonts w:hint="eastAsia"/>
                <w:color w:val="auto"/>
                <w:sz w:val="24"/>
                <w:szCs w:val="24"/>
                <w:highlight w:val="none"/>
                <w:lang w:val="en-US" w:eastAsia="zh-CN"/>
              </w:rPr>
              <w:t>详见磋商公告</w:t>
            </w:r>
          </w:p>
          <w:p w14:paraId="4BDD855B">
            <w:pPr>
              <w:pStyle w:val="68"/>
              <w:widowControl w:val="0"/>
              <w:spacing w:before="0" w:beforeAutospacing="0" w:after="0" w:afterAutospacing="0" w:line="360" w:lineRule="auto"/>
              <w:jc w:val="both"/>
              <w:rPr>
                <w:b w:val="0"/>
                <w:color w:val="auto"/>
                <w:sz w:val="24"/>
                <w:szCs w:val="24"/>
                <w:highlight w:val="none"/>
              </w:rPr>
            </w:pPr>
            <w:r>
              <w:rPr>
                <w:b w:val="0"/>
                <w:color w:val="auto"/>
                <w:sz w:val="24"/>
                <w:szCs w:val="24"/>
                <w:highlight w:val="none"/>
              </w:rPr>
              <w:t>计划开工日期：</w:t>
            </w:r>
            <w:r>
              <w:rPr>
                <w:rFonts w:hint="eastAsia"/>
                <w:b w:val="0"/>
                <w:color w:val="auto"/>
                <w:sz w:val="24"/>
                <w:szCs w:val="24"/>
                <w:highlight w:val="none"/>
                <w:u w:val="single"/>
              </w:rPr>
              <w:t>/</w:t>
            </w:r>
            <w:r>
              <w:rPr>
                <w:rFonts w:hint="eastAsia"/>
                <w:b w:val="0"/>
                <w:color w:val="auto"/>
                <w:sz w:val="24"/>
                <w:szCs w:val="24"/>
                <w:highlight w:val="none"/>
              </w:rPr>
              <w:t>，</w:t>
            </w:r>
            <w:bookmarkStart w:id="45" w:name="EB2a2e1a22d449405a860670c095486ab8"/>
            <w:r>
              <w:rPr>
                <w:rFonts w:hint="eastAsia"/>
                <w:b w:val="0"/>
                <w:color w:val="auto"/>
                <w:sz w:val="24"/>
                <w:szCs w:val="24"/>
                <w:highlight w:val="none"/>
              </w:rPr>
              <w:t>具体开工时间以开工令为准。</w:t>
            </w:r>
            <w:bookmarkEnd w:id="45"/>
          </w:p>
        </w:tc>
      </w:tr>
      <w:tr w14:paraId="246C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8204BA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3BA94C8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质量标准要求</w:t>
            </w:r>
          </w:p>
        </w:tc>
        <w:tc>
          <w:tcPr>
            <w:tcW w:w="3556" w:type="pct"/>
            <w:vAlign w:val="center"/>
          </w:tcPr>
          <w:p w14:paraId="3C926C43">
            <w:pPr>
              <w:pStyle w:val="95"/>
              <w:tabs>
                <w:tab w:val="left" w:pos="1152"/>
              </w:tabs>
              <w:spacing w:before="0" w:beforeAutospacing="0" w:after="0" w:afterAutospacing="0" w:line="360" w:lineRule="auto"/>
              <w:rPr>
                <w:b/>
                <w:color w:val="auto"/>
                <w:sz w:val="24"/>
                <w:szCs w:val="24"/>
                <w:highlight w:val="none"/>
              </w:rPr>
            </w:pPr>
            <w:r>
              <w:rPr>
                <w:rFonts w:hint="eastAsia" w:cs="@仿宋_GB2312"/>
                <w:bCs/>
                <w:color w:val="auto"/>
                <w:sz w:val="24"/>
                <w:szCs w:val="24"/>
                <w:highlight w:val="none"/>
              </w:rPr>
              <w:t>质量标准：合格</w:t>
            </w:r>
          </w:p>
        </w:tc>
      </w:tr>
      <w:tr w14:paraId="44E7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0C7E978">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5</w:t>
            </w:r>
          </w:p>
        </w:tc>
        <w:tc>
          <w:tcPr>
            <w:tcW w:w="977" w:type="pct"/>
            <w:vAlign w:val="center"/>
          </w:tcPr>
          <w:p w14:paraId="2072403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安全文明要求</w:t>
            </w:r>
          </w:p>
        </w:tc>
        <w:tc>
          <w:tcPr>
            <w:tcW w:w="3556" w:type="pct"/>
            <w:vAlign w:val="center"/>
          </w:tcPr>
          <w:p w14:paraId="335EB3E1">
            <w:pPr>
              <w:pStyle w:val="68"/>
              <w:widowControl w:val="0"/>
              <w:spacing w:before="0" w:beforeAutospacing="0" w:after="0" w:afterAutospacing="0" w:line="360" w:lineRule="auto"/>
              <w:jc w:val="both"/>
              <w:rPr>
                <w:b w:val="0"/>
                <w:bCs w:val="0"/>
                <w:color w:val="auto"/>
                <w:sz w:val="24"/>
                <w:szCs w:val="24"/>
                <w:highlight w:val="none"/>
              </w:rPr>
            </w:pPr>
            <w:r>
              <w:rPr>
                <w:rFonts w:hint="eastAsia"/>
                <w:b w:val="0"/>
                <w:bCs w:val="0"/>
                <w:color w:val="auto"/>
                <w:sz w:val="24"/>
                <w:szCs w:val="24"/>
                <w:highlight w:val="none"/>
              </w:rPr>
              <w:t>必须确保安全文明施工，符合国家和项目所在地现行相关规定</w:t>
            </w:r>
          </w:p>
        </w:tc>
      </w:tr>
      <w:tr w14:paraId="5BBB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F5AE166">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6</w:t>
            </w:r>
          </w:p>
        </w:tc>
        <w:tc>
          <w:tcPr>
            <w:tcW w:w="977" w:type="pct"/>
            <w:vAlign w:val="center"/>
          </w:tcPr>
          <w:p w14:paraId="01588BE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总包及分包规定</w:t>
            </w:r>
          </w:p>
        </w:tc>
        <w:tc>
          <w:tcPr>
            <w:tcW w:w="3556" w:type="pct"/>
            <w:vAlign w:val="center"/>
          </w:tcPr>
          <w:p w14:paraId="4F03C57F">
            <w:pPr>
              <w:spacing w:line="360" w:lineRule="auto"/>
              <w:rPr>
                <w:rFonts w:ascii="Calibri" w:hAnsi="Calibri" w:cs="Times New Roman"/>
                <w:b w:val="0"/>
                <w:bCs w:val="0"/>
                <w:color w:val="auto"/>
                <w:kern w:val="2"/>
                <w:sz w:val="24"/>
                <w:szCs w:val="24"/>
                <w:highlight w:val="none"/>
              </w:rPr>
            </w:pPr>
            <w:r>
              <w:rPr>
                <w:rFonts w:hint="eastAsia" w:ascii="Calibri" w:hAnsi="Calibri" w:cs="Times New Roman"/>
                <w:b w:val="0"/>
                <w:bCs w:val="0"/>
                <w:color w:val="auto"/>
                <w:kern w:val="2"/>
                <w:sz w:val="24"/>
                <w:szCs w:val="24"/>
                <w:highlight w:val="none"/>
              </w:rPr>
              <w:t>供应商不得在成交后将工程转包给其它施工单位。</w:t>
            </w:r>
          </w:p>
          <w:p w14:paraId="41FF9399">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分包情况</w:t>
            </w:r>
          </w:p>
          <w:p w14:paraId="44EB8579">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□允许专业分包，</w:t>
            </w:r>
            <w:r>
              <w:rPr>
                <w:rFonts w:hint="eastAsia" w:ascii="Calibri" w:hAnsi="Calibri" w:cs="Times New Roman"/>
                <w:b w:val="0"/>
                <w:bCs w:val="0"/>
                <w:color w:val="auto"/>
                <w:kern w:val="2"/>
                <w:sz w:val="24"/>
                <w:szCs w:val="24"/>
                <w:highlight w:val="none"/>
              </w:rPr>
              <w:t>分包项目、内容及分包商须经采购人同意和认可</w:t>
            </w:r>
          </w:p>
          <w:p w14:paraId="27B70A79">
            <w:pPr>
              <w:pStyle w:val="68"/>
              <w:widowControl w:val="0"/>
              <w:spacing w:before="0" w:beforeAutospacing="0" w:after="0" w:afterAutospacing="0" w:line="360" w:lineRule="auto"/>
              <w:jc w:val="both"/>
              <w:rPr>
                <w:b w:val="0"/>
                <w:bCs w:val="0"/>
                <w:color w:val="auto"/>
                <w:sz w:val="24"/>
                <w:szCs w:val="24"/>
                <w:highlight w:val="none"/>
              </w:rPr>
            </w:pPr>
            <w:r>
              <w:rPr>
                <w:rFonts w:hint="eastAsia" w:cs="Times New Roman"/>
                <w:b w:val="0"/>
                <w:bCs w:val="0"/>
                <w:color w:val="auto"/>
                <w:kern w:val="2"/>
                <w:sz w:val="24"/>
                <w:szCs w:val="24"/>
                <w:highlight w:val="none"/>
              </w:rPr>
              <w:sym w:font="Wingdings 2" w:char="0052"/>
            </w:r>
            <w:r>
              <w:rPr>
                <w:rFonts w:hint="eastAsia" w:cs="Times New Roman"/>
                <w:b w:val="0"/>
                <w:bCs w:val="0"/>
                <w:color w:val="auto"/>
                <w:kern w:val="2"/>
                <w:sz w:val="24"/>
                <w:szCs w:val="24"/>
                <w:highlight w:val="none"/>
              </w:rPr>
              <w:t>不允许</w:t>
            </w:r>
          </w:p>
        </w:tc>
      </w:tr>
      <w:tr w14:paraId="38DA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15759A3">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7</w:t>
            </w:r>
          </w:p>
        </w:tc>
        <w:tc>
          <w:tcPr>
            <w:tcW w:w="977" w:type="pct"/>
            <w:vAlign w:val="center"/>
          </w:tcPr>
          <w:p w14:paraId="4CC538B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现场条件</w:t>
            </w:r>
          </w:p>
        </w:tc>
        <w:tc>
          <w:tcPr>
            <w:tcW w:w="3556" w:type="pct"/>
            <w:vAlign w:val="center"/>
          </w:tcPr>
          <w:p w14:paraId="44099205">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具备开工条件</w:t>
            </w:r>
          </w:p>
        </w:tc>
      </w:tr>
      <w:tr w14:paraId="6869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0A126CF">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8</w:t>
            </w:r>
          </w:p>
        </w:tc>
        <w:tc>
          <w:tcPr>
            <w:tcW w:w="977" w:type="pct"/>
            <w:vAlign w:val="center"/>
          </w:tcPr>
          <w:p w14:paraId="138562EA">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采购人提供的资料</w:t>
            </w:r>
          </w:p>
        </w:tc>
        <w:tc>
          <w:tcPr>
            <w:tcW w:w="3556" w:type="pct"/>
            <w:vAlign w:val="center"/>
          </w:tcPr>
          <w:p w14:paraId="1D68E3FB">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磋商文件</w:t>
            </w:r>
          </w:p>
          <w:p w14:paraId="6CFE847B">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工程量清单</w:t>
            </w:r>
          </w:p>
          <w:p w14:paraId="7F0B0896">
            <w:pPr>
              <w:adjustRightInd w:val="0"/>
              <w:snapToGrid w:val="0"/>
              <w:spacing w:line="360" w:lineRule="auto"/>
              <w:jc w:val="left"/>
              <w:rPr>
                <w:bCs/>
                <w:color w:val="auto"/>
                <w:sz w:val="24"/>
                <w:szCs w:val="24"/>
                <w:highlight w:val="none"/>
              </w:rPr>
            </w:pPr>
            <w:r>
              <w:rPr>
                <w:rFonts w:hint="eastAsia"/>
                <w:bCs/>
                <w:color w:val="auto"/>
                <w:sz w:val="24"/>
                <w:szCs w:val="24"/>
                <w:highlight w:val="none"/>
              </w:rPr>
              <w:t>□最高投标限价</w:t>
            </w:r>
          </w:p>
          <w:p w14:paraId="7D3014A7">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电子版图纸</w:t>
            </w:r>
          </w:p>
          <w:p w14:paraId="32607E4B">
            <w:pPr>
              <w:adjustRightInd w:val="0"/>
              <w:snapToGrid w:val="0"/>
              <w:spacing w:line="360" w:lineRule="auto"/>
              <w:jc w:val="left"/>
              <w:rPr>
                <w:bCs/>
                <w:color w:val="auto"/>
                <w:sz w:val="24"/>
                <w:szCs w:val="24"/>
                <w:highlight w:val="none"/>
              </w:rPr>
            </w:pPr>
            <w:r>
              <w:rPr>
                <w:rFonts w:hint="eastAsia"/>
                <w:bCs/>
                <w:color w:val="auto"/>
                <w:sz w:val="24"/>
                <w:szCs w:val="24"/>
                <w:highlight w:val="none"/>
              </w:rPr>
              <w:t>获得方式：</w:t>
            </w:r>
          </w:p>
          <w:p w14:paraId="5E23CFA1">
            <w:pPr>
              <w:pStyle w:val="68"/>
              <w:widowControl w:val="0"/>
              <w:spacing w:before="0" w:beforeAutospacing="0" w:after="0" w:afterAutospacing="0" w:line="360" w:lineRule="auto"/>
              <w:jc w:val="both"/>
              <w:rPr>
                <w:b w:val="0"/>
                <w:color w:val="auto"/>
                <w:sz w:val="24"/>
                <w:szCs w:val="24"/>
                <w:highlight w:val="none"/>
              </w:rPr>
            </w:pPr>
            <w:r>
              <w:rPr>
                <w:rFonts w:hint="eastAsia"/>
                <w:color w:val="auto"/>
                <w:sz w:val="24"/>
                <w:szCs w:val="24"/>
                <w:highlight w:val="none"/>
              </w:rPr>
              <w:t>上述资料请供应商在获取磋商文件后，自行登录电子交易系统下载本项目附件。</w:t>
            </w:r>
          </w:p>
        </w:tc>
      </w:tr>
      <w:tr w14:paraId="3FA4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BBD26D3">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lang w:val="en-US" w:eastAsia="zh-CN"/>
              </w:rPr>
              <w:t>30</w:t>
            </w:r>
            <w:r>
              <w:rPr>
                <w:bCs/>
                <w:color w:val="auto"/>
                <w:kern w:val="2"/>
                <w:sz w:val="24"/>
                <w:szCs w:val="24"/>
                <w:highlight w:val="none"/>
              </w:rPr>
              <w:t>.</w:t>
            </w:r>
            <w:r>
              <w:rPr>
                <w:rFonts w:hint="eastAsia"/>
                <w:bCs/>
                <w:color w:val="auto"/>
                <w:kern w:val="2"/>
                <w:sz w:val="24"/>
                <w:szCs w:val="24"/>
                <w:highlight w:val="none"/>
                <w:lang w:val="en-US" w:eastAsia="zh-CN"/>
              </w:rPr>
              <w:t>9</w:t>
            </w:r>
          </w:p>
        </w:tc>
        <w:tc>
          <w:tcPr>
            <w:tcW w:w="977" w:type="pct"/>
            <w:shd w:val="clear" w:color="auto" w:fill="auto"/>
            <w:vAlign w:val="center"/>
          </w:tcPr>
          <w:p w14:paraId="5499DC3E">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工程量清单和最高投标限价编制费</w:t>
            </w:r>
          </w:p>
        </w:tc>
        <w:tc>
          <w:tcPr>
            <w:tcW w:w="3556" w:type="pct"/>
            <w:shd w:val="clear" w:color="auto" w:fill="auto"/>
            <w:vAlign w:val="center"/>
          </w:tcPr>
          <w:p w14:paraId="6610EA68">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08FC1882">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79BA22D9">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r>
              <w:rPr>
                <w:rFonts w:hint="eastAsia"/>
                <w:bCs/>
                <w:color w:val="auto"/>
                <w:sz w:val="24"/>
                <w:szCs w:val="24"/>
                <w:highlight w:val="none"/>
                <w:lang w:val="en-US" w:eastAsia="zh-CN"/>
              </w:rPr>
              <w:t>项目造价费分包支付，各包造价</w:t>
            </w:r>
            <w:r>
              <w:rPr>
                <w:rFonts w:hint="eastAsia" w:ascii="宋体" w:hAnsi="宋体" w:eastAsia="宋体"/>
                <w:bCs/>
                <w:color w:val="auto"/>
                <w:sz w:val="24"/>
                <w:szCs w:val="24"/>
                <w:highlight w:val="none"/>
                <w:lang w:val="en-US" w:eastAsia="zh-CN"/>
              </w:rPr>
              <w:t>费用参照皖价服86号文的标准收取。由各包成交供应商支付。包含在各包成交供应商投标报价的单价与合价中，不单独列项。</w:t>
            </w:r>
          </w:p>
          <w:p w14:paraId="7DA914E8">
            <w:pPr>
              <w:numPr>
                <w:ilvl w:val="0"/>
                <w:numId w:val="0"/>
              </w:numPr>
              <w:spacing w:line="360" w:lineRule="auto"/>
              <w:rPr>
                <w:rFonts w:hint="eastAsia" w:eastAsia="宋体"/>
                <w:b w:val="0"/>
                <w:color w:val="auto"/>
                <w:sz w:val="24"/>
                <w:szCs w:val="24"/>
                <w:highlight w:val="none"/>
                <w:lang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tc>
      </w:tr>
      <w:tr w14:paraId="2A62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D3E452C">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.1</w:t>
            </w:r>
            <w:r>
              <w:rPr>
                <w:rFonts w:hint="eastAsia"/>
                <w:bCs/>
                <w:color w:val="auto"/>
                <w:kern w:val="2"/>
                <w:sz w:val="24"/>
                <w:szCs w:val="24"/>
                <w:highlight w:val="none"/>
                <w:lang w:val="en-US" w:eastAsia="zh-CN"/>
              </w:rPr>
              <w:t>0</w:t>
            </w:r>
          </w:p>
        </w:tc>
        <w:tc>
          <w:tcPr>
            <w:tcW w:w="977" w:type="pct"/>
            <w:vAlign w:val="center"/>
          </w:tcPr>
          <w:p w14:paraId="5EE2E559">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其他补充说明</w:t>
            </w:r>
          </w:p>
        </w:tc>
        <w:tc>
          <w:tcPr>
            <w:tcW w:w="3556" w:type="pct"/>
            <w:vAlign w:val="center"/>
          </w:tcPr>
          <w:p w14:paraId="18073E62">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1、解释权：</w:t>
            </w:r>
          </w:p>
          <w:p w14:paraId="2246D2F4">
            <w:pPr>
              <w:numPr>
                <w:ilvl w:val="0"/>
                <w:numId w:val="0"/>
              </w:num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文件的各个组成文件应互为解释，互为说明；</w:t>
            </w:r>
          </w:p>
          <w:p w14:paraId="2D35B24C">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0EA67BB6">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711BD8BA">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文件中有特别规定外，仅适用于</w:t>
            </w:r>
            <w:r>
              <w:rPr>
                <w:rFonts w:hint="eastAsia" w:ascii="宋体" w:hAnsi="宋体" w:eastAsia="宋体"/>
                <w:bCs/>
                <w:color w:val="auto"/>
                <w:sz w:val="24"/>
                <w:szCs w:val="24"/>
                <w:highlight w:val="none"/>
              </w:rPr>
              <w:t>磋商及响应文件提交</w:t>
            </w:r>
            <w:r>
              <w:rPr>
                <w:rFonts w:ascii="宋体" w:hAnsi="宋体" w:eastAsia="宋体"/>
                <w:bCs/>
                <w:color w:val="auto"/>
                <w:sz w:val="24"/>
                <w:szCs w:val="24"/>
                <w:highlight w:val="none"/>
              </w:rPr>
              <w:t>阶段的规定，按</w:t>
            </w:r>
            <w:r>
              <w:rPr>
                <w:rFonts w:hint="eastAsia" w:ascii="宋体" w:hAnsi="宋体" w:eastAsia="宋体"/>
                <w:bCs/>
                <w:color w:val="auto"/>
                <w:sz w:val="24"/>
                <w:szCs w:val="24"/>
                <w:highlight w:val="none"/>
              </w:rPr>
              <w:t>竞争性磋商</w:t>
            </w:r>
            <w:r>
              <w:rPr>
                <w:rFonts w:ascii="宋体" w:hAnsi="宋体" w:eastAsia="宋体"/>
                <w:bCs/>
                <w:color w:val="auto"/>
                <w:sz w:val="24"/>
                <w:szCs w:val="24"/>
                <w:highlight w:val="none"/>
              </w:rPr>
              <w:t>公告、</w:t>
            </w:r>
            <w:r>
              <w:rPr>
                <w:rFonts w:hint="eastAsia" w:ascii="宋体" w:hAnsi="宋体" w:eastAsia="宋体"/>
                <w:bCs/>
                <w:color w:val="auto"/>
                <w:sz w:val="24"/>
                <w:szCs w:val="24"/>
                <w:highlight w:val="none"/>
              </w:rPr>
              <w:t>磋商邀请、供应商</w:t>
            </w:r>
            <w:r>
              <w:rPr>
                <w:rFonts w:ascii="宋体" w:hAnsi="宋体" w:eastAsia="宋体"/>
                <w:bCs/>
                <w:color w:val="auto"/>
                <w:sz w:val="24"/>
                <w:szCs w:val="24"/>
                <w:highlight w:val="none"/>
              </w:rPr>
              <w:t>须知、评</w:t>
            </w:r>
            <w:r>
              <w:rPr>
                <w:rFonts w:hint="eastAsia" w:ascii="宋体" w:hAnsi="宋体" w:eastAsia="宋体"/>
                <w:bCs/>
                <w:color w:val="auto"/>
                <w:sz w:val="24"/>
                <w:szCs w:val="24"/>
                <w:highlight w:val="none"/>
              </w:rPr>
              <w:t>审方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响应</w:t>
            </w:r>
            <w:r>
              <w:rPr>
                <w:rFonts w:ascii="宋体" w:hAnsi="宋体" w:eastAsia="宋体"/>
                <w:bCs/>
                <w:color w:val="auto"/>
                <w:sz w:val="24"/>
                <w:szCs w:val="24"/>
                <w:highlight w:val="none"/>
              </w:rPr>
              <w:t>文件格式的先后顺序解释；</w:t>
            </w:r>
          </w:p>
          <w:p w14:paraId="127CF435">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（5）</w:t>
            </w:r>
            <w:r>
              <w:rPr>
                <w:rFonts w:ascii="宋体" w:hAnsi="宋体" w:eastAsia="宋体"/>
                <w:b w:val="0"/>
                <w:color w:val="auto"/>
                <w:sz w:val="24"/>
                <w:szCs w:val="24"/>
                <w:highlight w:val="none"/>
              </w:rPr>
              <w:t>按本款前述规定仍不能形成结论的，由</w:t>
            </w:r>
            <w:r>
              <w:rPr>
                <w:rFonts w:hint="eastAsia" w:ascii="宋体" w:hAnsi="宋体" w:eastAsia="宋体"/>
                <w:b w:val="0"/>
                <w:color w:val="auto"/>
                <w:sz w:val="24"/>
                <w:szCs w:val="24"/>
                <w:highlight w:val="none"/>
              </w:rPr>
              <w:t>采购</w:t>
            </w:r>
            <w:r>
              <w:rPr>
                <w:rFonts w:ascii="宋体" w:hAnsi="宋体" w:eastAsia="宋体"/>
                <w:b w:val="0"/>
                <w:color w:val="auto"/>
                <w:sz w:val="24"/>
                <w:szCs w:val="24"/>
                <w:highlight w:val="none"/>
              </w:rPr>
              <w:t>人负责解释。</w:t>
            </w:r>
          </w:p>
          <w:p w14:paraId="54F586B5">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cs="宋体"/>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宋体" w:hAnsi="宋体" w:eastAsia="宋体" w:cs="宋体"/>
                <w:b w:val="0"/>
                <w:bCs/>
                <w:color w:val="auto"/>
                <w:sz w:val="24"/>
                <w:szCs w:val="24"/>
                <w:highlight w:val="none"/>
                <w:lang w:val="en-US" w:eastAsia="zh-CN" w:bidi="ar-SA"/>
              </w:rPr>
              <w:br w:type="textWrapping"/>
            </w:r>
            <w:r>
              <w:rPr>
                <w:rFonts w:hint="eastAsia" w:ascii="宋体" w:hAnsi="宋体" w:eastAsia="宋体" w:cs="宋体"/>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244D72E2">
      <w:pPr>
        <w:spacing w:line="360" w:lineRule="auto"/>
        <w:jc w:val="center"/>
        <w:outlineLvl w:val="1"/>
        <w:rPr>
          <w:rFonts w:ascii="宋体" w:hAnsi="宋体" w:eastAsia="宋体"/>
          <w:b/>
          <w:color w:val="auto"/>
          <w:sz w:val="24"/>
          <w:szCs w:val="24"/>
          <w:highlight w:val="none"/>
        </w:rPr>
      </w:pPr>
      <w:r>
        <w:rPr>
          <w:rFonts w:ascii="宋体" w:hAnsi="宋体" w:eastAsia="宋体"/>
          <w:b/>
          <w:color w:val="auto"/>
          <w:sz w:val="24"/>
          <w:szCs w:val="24"/>
          <w:highlight w:val="none"/>
        </w:rPr>
        <w:br w:type="page"/>
      </w:r>
      <w:bookmarkStart w:id="46" w:name="_Toc26858"/>
      <w:bookmarkStart w:id="47" w:name="_Toc18784"/>
      <w:r>
        <w:rPr>
          <w:rFonts w:hint="eastAsia" w:ascii="宋体" w:hAnsi="宋体" w:eastAsia="宋体"/>
          <w:b/>
          <w:color w:val="auto"/>
          <w:sz w:val="24"/>
          <w:szCs w:val="24"/>
          <w:highlight w:val="none"/>
        </w:rPr>
        <w:t>二、供应商</w:t>
      </w:r>
      <w:r>
        <w:rPr>
          <w:rFonts w:ascii="宋体" w:hAnsi="宋体" w:eastAsia="宋体"/>
          <w:b/>
          <w:color w:val="auto"/>
          <w:sz w:val="24"/>
          <w:szCs w:val="24"/>
          <w:highlight w:val="none"/>
        </w:rPr>
        <w:t>须知</w:t>
      </w:r>
      <w:r>
        <w:rPr>
          <w:rFonts w:hint="eastAsia" w:ascii="宋体" w:hAnsi="宋体" w:eastAsia="宋体"/>
          <w:b/>
          <w:color w:val="auto"/>
          <w:sz w:val="24"/>
          <w:szCs w:val="24"/>
          <w:highlight w:val="none"/>
        </w:rPr>
        <w:t>正文</w:t>
      </w:r>
      <w:bookmarkEnd w:id="46"/>
      <w:bookmarkEnd w:id="47"/>
    </w:p>
    <w:p w14:paraId="7181BC51">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采购人、采购代理机构及供应商</w:t>
      </w:r>
    </w:p>
    <w:p w14:paraId="39681A7E">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.1采购人：是指依法开展政府采购活动的国家机关、事业单位、团体组织。</w:t>
      </w:r>
    </w:p>
    <w:p w14:paraId="090A508F">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.3政府采购监督管理部门：</w:t>
      </w:r>
      <w:r>
        <w:rPr>
          <w:rFonts w:hint="eastAsia"/>
          <w:color w:val="auto"/>
          <w:sz w:val="24"/>
          <w:szCs w:val="24"/>
          <w:highlight w:val="none"/>
        </w:rPr>
        <w:t>各级人民政府指定的有关部门依法履行与政府采购活动有关的监督管理职责。</w:t>
      </w:r>
    </w:p>
    <w:p w14:paraId="18542F94">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rPr>
        <w:t>供应商</w:t>
      </w:r>
      <w:r>
        <w:rPr>
          <w:color w:val="auto"/>
          <w:sz w:val="24"/>
          <w:szCs w:val="24"/>
          <w:highlight w:val="none"/>
        </w:rPr>
        <w:t>：是指向采购人提供货物、工程或者服务的法人、</w:t>
      </w:r>
      <w:r>
        <w:rPr>
          <w:rFonts w:hint="eastAsia"/>
          <w:color w:val="auto"/>
          <w:sz w:val="24"/>
          <w:szCs w:val="24"/>
          <w:highlight w:val="none"/>
          <w:lang w:val="en-US" w:eastAsia="zh-CN"/>
        </w:rPr>
        <w:t>其他</w:t>
      </w:r>
      <w:r>
        <w:rPr>
          <w:color w:val="auto"/>
          <w:sz w:val="24"/>
          <w:szCs w:val="24"/>
          <w:highlight w:val="none"/>
        </w:rPr>
        <w:t>组织或者自然人。</w:t>
      </w:r>
      <w:r>
        <w:rPr>
          <w:rFonts w:hint="eastAsia"/>
          <w:color w:val="auto"/>
          <w:sz w:val="24"/>
          <w:szCs w:val="24"/>
          <w:highlight w:val="none"/>
        </w:rPr>
        <w:t>分支机构不得参加政府采购活动，但银行、保险、石油石化、电力、电信等特殊行业除外。</w:t>
      </w:r>
      <w:r>
        <w:rPr>
          <w:color w:val="auto"/>
          <w:sz w:val="24"/>
          <w:szCs w:val="24"/>
          <w:highlight w:val="none"/>
        </w:rPr>
        <w:t>本项目的</w:t>
      </w:r>
      <w:r>
        <w:rPr>
          <w:rFonts w:hint="eastAsia"/>
          <w:color w:val="auto"/>
          <w:sz w:val="24"/>
          <w:szCs w:val="24"/>
          <w:highlight w:val="none"/>
        </w:rPr>
        <w:t>供应商</w:t>
      </w:r>
      <w:r>
        <w:rPr>
          <w:color w:val="auto"/>
          <w:sz w:val="24"/>
          <w:szCs w:val="24"/>
          <w:highlight w:val="none"/>
        </w:rPr>
        <w:t>须满足以下条件：</w:t>
      </w:r>
    </w:p>
    <w:p w14:paraId="7C5E739A">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1</w:t>
      </w:r>
      <w:r>
        <w:rPr>
          <w:color w:val="auto"/>
          <w:sz w:val="24"/>
          <w:szCs w:val="24"/>
          <w:highlight w:val="none"/>
        </w:rPr>
        <w:t>具备《中华人民共和国政府采购法》第二十二条关于供应商条件的规定，遵守本项目采购人本级和上级财政部门政府采购的有关规定。</w:t>
      </w:r>
    </w:p>
    <w:p w14:paraId="013A7537">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2</w:t>
      </w:r>
      <w:r>
        <w:rPr>
          <w:color w:val="auto"/>
          <w:sz w:val="24"/>
          <w:szCs w:val="24"/>
          <w:highlight w:val="none"/>
        </w:rPr>
        <w:t>以采购代理机构认可的方式获得了本项目的</w:t>
      </w:r>
      <w:r>
        <w:rPr>
          <w:rFonts w:hint="eastAsia"/>
          <w:color w:val="auto"/>
          <w:sz w:val="24"/>
          <w:szCs w:val="24"/>
          <w:highlight w:val="none"/>
        </w:rPr>
        <w:t>磋商</w:t>
      </w:r>
      <w:r>
        <w:rPr>
          <w:color w:val="auto"/>
          <w:sz w:val="24"/>
          <w:szCs w:val="24"/>
          <w:highlight w:val="none"/>
        </w:rPr>
        <w:t>文件。</w:t>
      </w:r>
    </w:p>
    <w:p w14:paraId="36A64243">
      <w:pPr>
        <w:spacing w:line="360" w:lineRule="auto"/>
        <w:ind w:firstLine="435"/>
        <w:rPr>
          <w:color w:val="auto"/>
          <w:sz w:val="24"/>
          <w:szCs w:val="24"/>
          <w:highlight w:val="none"/>
        </w:rPr>
      </w:pPr>
      <w:r>
        <w:rPr>
          <w:rFonts w:hint="eastAsia"/>
          <w:bCs/>
          <w:color w:val="auto"/>
          <w:sz w:val="24"/>
          <w:szCs w:val="24"/>
          <w:highlight w:val="none"/>
          <w:lang w:val="en-US" w:eastAsia="zh-CN"/>
        </w:rPr>
        <w:t>1</w:t>
      </w:r>
      <w:r>
        <w:rPr>
          <w:bCs/>
          <w:color w:val="auto"/>
          <w:sz w:val="24"/>
          <w:szCs w:val="24"/>
          <w:highlight w:val="none"/>
        </w:rPr>
        <w:t>.5</w:t>
      </w:r>
      <w:r>
        <w:rPr>
          <w:rFonts w:hint="eastAsia"/>
          <w:bCs/>
          <w:color w:val="auto"/>
          <w:sz w:val="24"/>
          <w:szCs w:val="24"/>
          <w:highlight w:val="none"/>
        </w:rPr>
        <w:t>若竞争性磋商公告</w:t>
      </w:r>
      <w:r>
        <w:rPr>
          <w:bCs/>
          <w:color w:val="auto"/>
          <w:sz w:val="24"/>
          <w:szCs w:val="24"/>
          <w:highlight w:val="none"/>
        </w:rPr>
        <w:t>中允许联合体</w:t>
      </w:r>
      <w:r>
        <w:rPr>
          <w:rFonts w:hint="eastAsia"/>
          <w:bCs/>
          <w:color w:val="auto"/>
          <w:sz w:val="24"/>
          <w:szCs w:val="24"/>
          <w:highlight w:val="none"/>
        </w:rPr>
        <w:t>参加磋商</w:t>
      </w:r>
      <w:r>
        <w:rPr>
          <w:bCs/>
          <w:color w:val="auto"/>
          <w:sz w:val="24"/>
          <w:szCs w:val="24"/>
          <w:highlight w:val="none"/>
        </w:rPr>
        <w:t>，对联合体规定如下：</w:t>
      </w:r>
    </w:p>
    <w:p w14:paraId="6E8A3C7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.1</w:t>
      </w:r>
      <w:r>
        <w:rPr>
          <w:rFonts w:hint="eastAsia"/>
          <w:color w:val="auto"/>
          <w:sz w:val="24"/>
          <w:szCs w:val="24"/>
          <w:highlight w:val="none"/>
        </w:rPr>
        <w:t>两个以上供应商可以组成一个磋商联合体，以一个供应商的身份磋商</w:t>
      </w:r>
      <w:r>
        <w:rPr>
          <w:color w:val="auto"/>
          <w:sz w:val="24"/>
          <w:szCs w:val="24"/>
          <w:highlight w:val="none"/>
        </w:rPr>
        <w:t>。</w:t>
      </w:r>
      <w:r>
        <w:rPr>
          <w:b w:val="0"/>
          <w:color w:val="auto"/>
          <w:sz w:val="24"/>
          <w:szCs w:val="24"/>
          <w:highlight w:val="none"/>
        </w:rPr>
        <w:t>联合体参加磋商的，</w:t>
      </w:r>
      <w:r>
        <w:rPr>
          <w:rFonts w:hint="eastAsia"/>
          <w:b w:val="0"/>
          <w:color w:val="auto"/>
          <w:sz w:val="24"/>
          <w:szCs w:val="24"/>
          <w:highlight w:val="none"/>
        </w:rPr>
        <w:t>磋商文件获取</w:t>
      </w:r>
      <w:r>
        <w:rPr>
          <w:b w:val="0"/>
          <w:color w:val="auto"/>
          <w:sz w:val="24"/>
          <w:szCs w:val="24"/>
          <w:highlight w:val="none"/>
        </w:rPr>
        <w:t>手续由联合体</w:t>
      </w:r>
      <w:r>
        <w:rPr>
          <w:rFonts w:hint="eastAsia"/>
          <w:b w:val="0"/>
          <w:color w:val="auto"/>
          <w:sz w:val="24"/>
          <w:szCs w:val="24"/>
          <w:highlight w:val="none"/>
        </w:rPr>
        <w:t>中</w:t>
      </w:r>
      <w:r>
        <w:rPr>
          <w:b w:val="0"/>
          <w:color w:val="auto"/>
          <w:sz w:val="24"/>
          <w:szCs w:val="24"/>
          <w:highlight w:val="none"/>
        </w:rPr>
        <w:t>任一</w:t>
      </w:r>
      <w:r>
        <w:rPr>
          <w:rFonts w:hint="eastAsia"/>
          <w:b w:val="0"/>
          <w:color w:val="auto"/>
          <w:sz w:val="24"/>
          <w:szCs w:val="24"/>
          <w:highlight w:val="none"/>
        </w:rPr>
        <w:t>成员单位</w:t>
      </w:r>
      <w:r>
        <w:rPr>
          <w:b w:val="0"/>
          <w:color w:val="auto"/>
          <w:sz w:val="24"/>
          <w:szCs w:val="24"/>
          <w:highlight w:val="none"/>
        </w:rPr>
        <w:t>办理均可。</w:t>
      </w:r>
    </w:p>
    <w:p w14:paraId="1820108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.2联合体各方均应符合《中华人民共和国政府采购法》第二十二条规定的条件。</w:t>
      </w:r>
    </w:p>
    <w:p w14:paraId="07A6637E">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.3采购人根据采购项目对</w:t>
      </w:r>
      <w:r>
        <w:rPr>
          <w:rFonts w:hint="eastAsia"/>
          <w:color w:val="auto"/>
          <w:sz w:val="24"/>
          <w:szCs w:val="24"/>
          <w:highlight w:val="none"/>
        </w:rPr>
        <w:t>供应商</w:t>
      </w:r>
      <w:r>
        <w:rPr>
          <w:color w:val="auto"/>
          <w:sz w:val="24"/>
          <w:szCs w:val="24"/>
          <w:highlight w:val="none"/>
        </w:rPr>
        <w:t>的特殊要求，联合体中至少应当有一方符合相关规定。</w:t>
      </w:r>
    </w:p>
    <w:p w14:paraId="4120D264">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.4联合体各方应签订</w:t>
      </w:r>
      <w:r>
        <w:rPr>
          <w:rFonts w:hint="eastAsia"/>
          <w:color w:val="auto"/>
          <w:sz w:val="24"/>
          <w:szCs w:val="24"/>
          <w:highlight w:val="none"/>
        </w:rPr>
        <w:t>联合协议</w:t>
      </w:r>
      <w:r>
        <w:rPr>
          <w:color w:val="auto"/>
          <w:sz w:val="24"/>
          <w:szCs w:val="24"/>
          <w:highlight w:val="none"/>
        </w:rPr>
        <w:t>，明确约定联合体各方承担的工作和相应的责任，并将</w:t>
      </w:r>
      <w:r>
        <w:rPr>
          <w:rFonts w:hint="eastAsia"/>
          <w:color w:val="auto"/>
          <w:sz w:val="24"/>
          <w:szCs w:val="24"/>
          <w:highlight w:val="none"/>
        </w:rPr>
        <w:t>联合协议</w:t>
      </w:r>
      <w:r>
        <w:rPr>
          <w:color w:val="auto"/>
          <w:sz w:val="24"/>
          <w:szCs w:val="24"/>
          <w:highlight w:val="none"/>
        </w:rPr>
        <w:t>作为</w:t>
      </w:r>
      <w:r>
        <w:rPr>
          <w:rFonts w:hint="eastAsia"/>
          <w:color w:val="auto"/>
          <w:sz w:val="24"/>
          <w:szCs w:val="24"/>
          <w:highlight w:val="none"/>
        </w:rPr>
        <w:t>响应</w:t>
      </w:r>
      <w:r>
        <w:rPr>
          <w:color w:val="auto"/>
          <w:sz w:val="24"/>
          <w:szCs w:val="24"/>
          <w:highlight w:val="none"/>
        </w:rPr>
        <w:t>文件</w:t>
      </w:r>
      <w:r>
        <w:rPr>
          <w:rFonts w:hint="eastAsia"/>
          <w:color w:val="auto"/>
          <w:sz w:val="24"/>
          <w:szCs w:val="24"/>
          <w:highlight w:val="none"/>
        </w:rPr>
        <w:t>的</w:t>
      </w:r>
      <w:r>
        <w:rPr>
          <w:color w:val="auto"/>
          <w:sz w:val="24"/>
          <w:szCs w:val="24"/>
          <w:highlight w:val="none"/>
        </w:rPr>
        <w:t>一部分提交。</w:t>
      </w:r>
    </w:p>
    <w:p w14:paraId="47C52FE5">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.5大中型企业、其他自然人、法人或者非法人组织与小型、微型企业组成联合体共同参加</w:t>
      </w:r>
      <w:r>
        <w:rPr>
          <w:rFonts w:hint="eastAsia"/>
          <w:color w:val="auto"/>
          <w:sz w:val="24"/>
          <w:szCs w:val="24"/>
          <w:highlight w:val="none"/>
        </w:rPr>
        <w:t>磋商</w:t>
      </w:r>
      <w:r>
        <w:rPr>
          <w:color w:val="auto"/>
          <w:sz w:val="24"/>
          <w:szCs w:val="24"/>
          <w:highlight w:val="none"/>
        </w:rPr>
        <w:t>，</w:t>
      </w:r>
      <w:r>
        <w:rPr>
          <w:rFonts w:hint="eastAsia"/>
          <w:color w:val="auto"/>
          <w:sz w:val="24"/>
          <w:szCs w:val="24"/>
          <w:highlight w:val="none"/>
        </w:rPr>
        <w:t>联合协议中</w:t>
      </w:r>
      <w:r>
        <w:rPr>
          <w:color w:val="auto"/>
          <w:sz w:val="24"/>
          <w:szCs w:val="24"/>
          <w:highlight w:val="none"/>
        </w:rPr>
        <w:t>应写明小型、微型企业的协议合同金额占到</w:t>
      </w:r>
      <w:r>
        <w:rPr>
          <w:rFonts w:hint="eastAsia"/>
          <w:color w:val="auto"/>
          <w:sz w:val="24"/>
          <w:szCs w:val="24"/>
          <w:highlight w:val="none"/>
        </w:rPr>
        <w:t>联合协议合同</w:t>
      </w:r>
      <w:r>
        <w:rPr>
          <w:color w:val="auto"/>
          <w:sz w:val="24"/>
          <w:szCs w:val="24"/>
          <w:highlight w:val="none"/>
        </w:rPr>
        <w:t>总金额的比例。</w:t>
      </w:r>
    </w:p>
    <w:p w14:paraId="312F1CD4">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.5.6</w:t>
      </w:r>
      <w:r>
        <w:rPr>
          <w:rFonts w:hint="eastAsia"/>
          <w:color w:val="auto"/>
          <w:sz w:val="24"/>
          <w:szCs w:val="24"/>
          <w:highlight w:val="none"/>
        </w:rPr>
        <w:t>联合体中有同类资质的供应商按照联合体分工承担相同工作的，</w:t>
      </w:r>
      <w:r>
        <w:rPr>
          <w:color w:val="auto"/>
          <w:sz w:val="24"/>
          <w:szCs w:val="24"/>
          <w:highlight w:val="none"/>
        </w:rPr>
        <w:t>应当按照</w:t>
      </w:r>
      <w:r>
        <w:rPr>
          <w:rFonts w:hint="eastAsia"/>
          <w:color w:val="auto"/>
          <w:sz w:val="24"/>
          <w:szCs w:val="24"/>
          <w:highlight w:val="none"/>
        </w:rPr>
        <w:t>资质等级较低的供应商确定资质等级。</w:t>
      </w:r>
    </w:p>
    <w:p w14:paraId="5A7A8849">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.7以联合体形式参加政府采购活动的，联合体各方不得再单独参加或者与其他供应商另外组成联合体参加本项目</w:t>
      </w:r>
      <w:r>
        <w:rPr>
          <w:rFonts w:hint="eastAsia"/>
          <w:color w:val="auto"/>
          <w:sz w:val="24"/>
          <w:szCs w:val="24"/>
          <w:highlight w:val="none"/>
        </w:rPr>
        <w:t>磋商</w:t>
      </w:r>
      <w:r>
        <w:rPr>
          <w:color w:val="auto"/>
          <w:sz w:val="24"/>
          <w:szCs w:val="24"/>
          <w:highlight w:val="none"/>
        </w:rPr>
        <w:t>，否则相关</w:t>
      </w:r>
      <w:r>
        <w:rPr>
          <w:rFonts w:hint="eastAsia"/>
          <w:color w:val="auto"/>
          <w:sz w:val="24"/>
          <w:szCs w:val="24"/>
          <w:highlight w:val="none"/>
        </w:rPr>
        <w:t>响应文件将被认定为</w:t>
      </w:r>
      <w:r>
        <w:rPr>
          <w:rFonts w:hint="eastAsia"/>
          <w:b/>
          <w:color w:val="auto"/>
          <w:sz w:val="24"/>
          <w:szCs w:val="24"/>
          <w:highlight w:val="none"/>
        </w:rPr>
        <w:t>响应无效</w:t>
      </w:r>
      <w:r>
        <w:rPr>
          <w:color w:val="auto"/>
          <w:sz w:val="24"/>
          <w:szCs w:val="24"/>
          <w:highlight w:val="none"/>
        </w:rPr>
        <w:t>。</w:t>
      </w:r>
    </w:p>
    <w:p w14:paraId="507CBB52">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.8对联合体参加磋商的其他资格要求见</w:t>
      </w:r>
      <w:r>
        <w:rPr>
          <w:rFonts w:hint="eastAsia" w:ascii="宋体" w:hAnsi="宋体" w:eastAsia="宋体"/>
          <w:color w:val="auto"/>
          <w:sz w:val="24"/>
          <w:szCs w:val="24"/>
          <w:highlight w:val="none"/>
          <w:lang w:val="en-US" w:eastAsia="zh-CN"/>
        </w:rPr>
        <w:t>申请人的</w:t>
      </w:r>
      <w:r>
        <w:rPr>
          <w:rFonts w:hint="eastAsia" w:ascii="宋体" w:hAnsi="宋体" w:eastAsia="宋体"/>
          <w:color w:val="auto"/>
          <w:sz w:val="24"/>
          <w:szCs w:val="24"/>
          <w:highlight w:val="none"/>
        </w:rPr>
        <w:t>资格</w:t>
      </w:r>
      <w:r>
        <w:rPr>
          <w:rFonts w:hint="eastAsia" w:ascii="宋体" w:hAnsi="宋体" w:eastAsia="宋体"/>
          <w:color w:val="auto"/>
          <w:sz w:val="24"/>
          <w:szCs w:val="24"/>
          <w:highlight w:val="none"/>
          <w:lang w:val="en-US" w:eastAsia="zh-CN"/>
        </w:rPr>
        <w:t>要求</w:t>
      </w:r>
      <w:r>
        <w:rPr>
          <w:color w:val="auto"/>
          <w:sz w:val="24"/>
          <w:szCs w:val="24"/>
          <w:highlight w:val="none"/>
        </w:rPr>
        <w:t>。</w:t>
      </w:r>
    </w:p>
    <w:p w14:paraId="5934EE19">
      <w:pPr>
        <w:spacing w:line="360" w:lineRule="auto"/>
        <w:ind w:firstLine="437"/>
        <w:outlineLvl w:val="2"/>
        <w:rPr>
          <w:rFonts w:hint="default"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资金</w:t>
      </w:r>
      <w:r>
        <w:rPr>
          <w:rFonts w:hint="eastAsia" w:ascii="宋体" w:hAnsi="宋体" w:eastAsia="宋体"/>
          <w:b/>
          <w:color w:val="auto"/>
          <w:sz w:val="24"/>
          <w:szCs w:val="24"/>
          <w:highlight w:val="none"/>
          <w:lang w:val="en-US" w:eastAsia="zh-CN"/>
        </w:rPr>
        <w:t>落实情况</w:t>
      </w:r>
    </w:p>
    <w:p w14:paraId="272CB35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.1本项目的采购人已获得足以支付本次磋商后所签订的合同项下的资金。</w:t>
      </w:r>
    </w:p>
    <w:p w14:paraId="777EC8ED">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磋商费用</w:t>
      </w:r>
    </w:p>
    <w:p w14:paraId="28120724">
      <w:pPr>
        <w:spacing w:line="360" w:lineRule="auto"/>
        <w:ind w:firstLine="437"/>
        <w:rPr>
          <w:color w:val="auto"/>
          <w:sz w:val="24"/>
          <w:szCs w:val="24"/>
          <w:highlight w:val="none"/>
        </w:rPr>
      </w:pPr>
      <w:r>
        <w:rPr>
          <w:rFonts w:hint="eastAsia"/>
          <w:color w:val="auto"/>
          <w:sz w:val="24"/>
          <w:szCs w:val="24"/>
          <w:highlight w:val="none"/>
        </w:rPr>
        <w:t>不论磋商的结果如何，供应商应承担其所有与准备和参加磋商有关的费用。</w:t>
      </w:r>
    </w:p>
    <w:p w14:paraId="09FAF0FF">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适用法律</w:t>
      </w:r>
    </w:p>
    <w:p w14:paraId="7942CBA8">
      <w:pPr>
        <w:spacing w:line="360" w:lineRule="auto"/>
        <w:ind w:firstLine="435"/>
        <w:rPr>
          <w:rFonts w:ascii="宋体" w:hAnsi="宋体" w:eastAsia="宋体"/>
          <w:color w:val="auto"/>
          <w:sz w:val="24"/>
          <w:szCs w:val="24"/>
          <w:highlight w:val="none"/>
        </w:rPr>
      </w:pPr>
      <w:r>
        <w:rPr>
          <w:rFonts w:hint="eastAsia"/>
          <w:color w:val="auto"/>
          <w:sz w:val="24"/>
          <w:szCs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39E189B9">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5</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磋商文件构成</w:t>
      </w:r>
    </w:p>
    <w:p w14:paraId="6855AA09">
      <w:pPr>
        <w:spacing w:line="360" w:lineRule="auto"/>
        <w:ind w:firstLine="435"/>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.1磋商文件包括下列内容：</w:t>
      </w:r>
    </w:p>
    <w:p w14:paraId="09759392">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第一章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p>
    <w:p w14:paraId="13407C70">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须知</w:t>
      </w:r>
    </w:p>
    <w:p w14:paraId="6E109453">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第三章</w:t>
      </w:r>
      <w:r>
        <w:rPr>
          <w:rFonts w:ascii="宋体" w:hAnsi="宋体" w:eastAsia="宋体"/>
          <w:color w:val="auto"/>
          <w:sz w:val="24"/>
          <w:szCs w:val="24"/>
          <w:highlight w:val="none"/>
        </w:rPr>
        <w:t xml:space="preserve">  采购需求</w:t>
      </w:r>
    </w:p>
    <w:p w14:paraId="3FD8C8DD">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第四章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评审方法</w:t>
      </w:r>
      <w:r>
        <w:rPr>
          <w:rFonts w:ascii="宋体" w:hAnsi="宋体" w:eastAsia="宋体"/>
          <w:color w:val="auto"/>
          <w:sz w:val="24"/>
          <w:szCs w:val="24"/>
          <w:highlight w:val="none"/>
        </w:rPr>
        <w:t>和标准</w:t>
      </w:r>
    </w:p>
    <w:p w14:paraId="0B31C254">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第五章</w:t>
      </w:r>
      <w:r>
        <w:rPr>
          <w:rFonts w:ascii="宋体" w:hAnsi="宋体" w:eastAsia="宋体"/>
          <w:color w:val="auto"/>
          <w:sz w:val="24"/>
          <w:szCs w:val="24"/>
          <w:highlight w:val="none"/>
        </w:rPr>
        <w:t xml:space="preserve">  政府采购合同</w:t>
      </w:r>
    </w:p>
    <w:p w14:paraId="7511F778">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第六章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文件格式</w:t>
      </w:r>
    </w:p>
    <w:p w14:paraId="575CD521">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章</w:t>
      </w:r>
      <w:r>
        <w:rPr>
          <w:rFonts w:ascii="宋体" w:hAnsi="宋体" w:eastAsia="宋体"/>
          <w:color w:val="auto"/>
          <w:sz w:val="24"/>
          <w:szCs w:val="24"/>
          <w:highlight w:val="none"/>
        </w:rPr>
        <w:t xml:space="preserve">  政府采购供应商</w:t>
      </w:r>
      <w:r>
        <w:rPr>
          <w:rFonts w:hint="eastAsia" w:ascii="宋体" w:hAnsi="宋体" w:eastAsia="宋体"/>
          <w:color w:val="auto"/>
          <w:sz w:val="24"/>
          <w:szCs w:val="24"/>
          <w:highlight w:val="none"/>
        </w:rPr>
        <w:t>询问函和</w:t>
      </w:r>
      <w:r>
        <w:rPr>
          <w:rFonts w:ascii="宋体" w:hAnsi="宋体" w:eastAsia="宋体"/>
          <w:color w:val="auto"/>
          <w:sz w:val="24"/>
          <w:szCs w:val="24"/>
          <w:highlight w:val="none"/>
        </w:rPr>
        <w:t>质疑函范本</w:t>
      </w:r>
    </w:p>
    <w:p w14:paraId="04FECA6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现场</w:t>
      </w:r>
      <w:r>
        <w:rPr>
          <w:rFonts w:hint="eastAsia" w:ascii="宋体" w:hAnsi="宋体" w:eastAsia="宋体"/>
          <w:color w:val="auto"/>
          <w:sz w:val="24"/>
          <w:szCs w:val="24"/>
          <w:highlight w:val="none"/>
        </w:rPr>
        <w:t>考察</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标前答疑会</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及相关事项见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6C7314E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应认真阅读</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文件所有的事项、格式、条款和技术规范等。</w:t>
      </w:r>
    </w:p>
    <w:p w14:paraId="09401E15">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6</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磋商文件的澄清与修改</w:t>
      </w:r>
    </w:p>
    <w:p w14:paraId="4FFFBCC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1供应商</w:t>
      </w:r>
      <w:r>
        <w:rPr>
          <w:rFonts w:ascii="宋体" w:hAnsi="宋体" w:eastAsia="宋体"/>
          <w:color w:val="auto"/>
          <w:sz w:val="24"/>
          <w:szCs w:val="24"/>
          <w:highlight w:val="none"/>
        </w:rPr>
        <w:t>如对</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文件内容有疑问，必须在</w:t>
      </w:r>
      <w:r>
        <w:rPr>
          <w:color w:val="auto"/>
          <w:sz w:val="24"/>
          <w:szCs w:val="24"/>
          <w:highlight w:val="none"/>
          <w:u w:val="single"/>
        </w:rPr>
        <w:t>供应商须知前附表</w:t>
      </w:r>
      <w:r>
        <w:rPr>
          <w:rFonts w:ascii="宋体" w:hAnsi="宋体" w:eastAsia="宋体"/>
          <w:color w:val="auto"/>
          <w:sz w:val="24"/>
          <w:szCs w:val="24"/>
          <w:highlight w:val="none"/>
        </w:rPr>
        <w:t>规定的</w:t>
      </w:r>
      <w:r>
        <w:rPr>
          <w:rFonts w:hint="eastAsia" w:ascii="宋体" w:hAnsi="宋体" w:eastAsia="宋体"/>
          <w:color w:val="auto"/>
          <w:sz w:val="24"/>
          <w:szCs w:val="24"/>
          <w:highlight w:val="none"/>
        </w:rPr>
        <w:t>网上询问</w:t>
      </w:r>
      <w:r>
        <w:rPr>
          <w:rFonts w:ascii="宋体" w:hAnsi="宋体" w:eastAsia="宋体"/>
          <w:color w:val="auto"/>
          <w:sz w:val="24"/>
          <w:szCs w:val="24"/>
          <w:highlight w:val="none"/>
        </w:rPr>
        <w:t>截止时间前以网上提问形式</w:t>
      </w:r>
      <w:r>
        <w:rPr>
          <w:rFonts w:hint="eastAsia" w:ascii="宋体" w:hAnsi="宋体" w:eastAsia="宋体"/>
          <w:color w:val="auto"/>
          <w:sz w:val="24"/>
          <w:szCs w:val="24"/>
          <w:highlight w:val="none"/>
        </w:rPr>
        <w:t>（电子交易系统）</w:t>
      </w:r>
      <w:r>
        <w:rPr>
          <w:rFonts w:ascii="宋体" w:hAnsi="宋体" w:eastAsia="宋体"/>
          <w:color w:val="auto"/>
          <w:sz w:val="24"/>
          <w:szCs w:val="24"/>
          <w:highlight w:val="none"/>
        </w:rPr>
        <w:t>提交给采购代理机构。</w:t>
      </w:r>
    </w:p>
    <w:p w14:paraId="386015D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2采购人可主动地或在</w:t>
      </w:r>
      <w:r>
        <w:rPr>
          <w:rFonts w:hint="eastAsia" w:ascii="宋体" w:hAnsi="宋体" w:eastAsia="宋体"/>
          <w:color w:val="auto"/>
          <w:sz w:val="24"/>
          <w:szCs w:val="24"/>
          <w:highlight w:val="none"/>
          <w:lang w:val="en-US" w:eastAsia="zh-CN"/>
        </w:rPr>
        <w:t>答复供应商</w:t>
      </w:r>
      <w:r>
        <w:rPr>
          <w:rFonts w:hint="eastAsia" w:ascii="宋体" w:hAnsi="宋体" w:eastAsia="宋体"/>
          <w:color w:val="auto"/>
          <w:sz w:val="24"/>
          <w:szCs w:val="24"/>
          <w:highlight w:val="none"/>
        </w:rPr>
        <w:t>提出的</w:t>
      </w:r>
      <w:r>
        <w:rPr>
          <w:rFonts w:hint="eastAsia" w:ascii="宋体" w:hAnsi="宋体" w:eastAsia="宋体"/>
          <w:color w:val="auto"/>
          <w:sz w:val="24"/>
          <w:szCs w:val="24"/>
          <w:highlight w:val="none"/>
          <w:lang w:val="en-US" w:eastAsia="zh-CN"/>
        </w:rPr>
        <w:t>询问</w:t>
      </w:r>
      <w:r>
        <w:rPr>
          <w:rFonts w:hint="eastAsia" w:ascii="宋体" w:hAnsi="宋体" w:eastAsia="宋体"/>
          <w:color w:val="auto"/>
          <w:sz w:val="24"/>
          <w:szCs w:val="24"/>
          <w:highlight w:val="none"/>
        </w:rPr>
        <w:t>时对</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文件进行澄清与修改。</w:t>
      </w:r>
      <w:r>
        <w:rPr>
          <w:rFonts w:ascii="宋体" w:hAnsi="宋体" w:eastAsia="宋体"/>
          <w:color w:val="auto"/>
          <w:sz w:val="24"/>
          <w:szCs w:val="24"/>
          <w:highlight w:val="none"/>
        </w:rPr>
        <w:t>采购代理机构将</w:t>
      </w:r>
      <w:r>
        <w:rPr>
          <w:rFonts w:hint="eastAsia" w:ascii="宋体" w:hAnsi="宋体" w:eastAsia="宋体"/>
          <w:color w:val="auto"/>
          <w:sz w:val="24"/>
          <w:szCs w:val="24"/>
          <w:highlight w:val="none"/>
        </w:rPr>
        <w:t>在</w:t>
      </w:r>
      <w:bookmarkStart w:id="48" w:name="_Hlk16458572"/>
      <w:r>
        <w:rPr>
          <w:rFonts w:hint="eastAsia"/>
          <w:color w:val="auto"/>
          <w:sz w:val="24"/>
          <w:szCs w:val="24"/>
          <w:highlight w:val="none"/>
        </w:rPr>
        <w:t>安徽省政府采购网</w:t>
      </w:r>
      <w:bookmarkEnd w:id="48"/>
      <w:r>
        <w:rPr>
          <w:rFonts w:hint="eastAsia" w:ascii="宋体" w:hAnsi="宋体" w:eastAsia="宋体"/>
          <w:color w:val="auto"/>
          <w:sz w:val="24"/>
          <w:szCs w:val="24"/>
          <w:highlight w:val="none"/>
        </w:rPr>
        <w:t>发布更正公告的方式澄清或者修改磋商文件，更正公告的</w:t>
      </w:r>
      <w:r>
        <w:rPr>
          <w:rFonts w:ascii="宋体" w:hAnsi="宋体" w:eastAsia="宋体"/>
          <w:color w:val="auto"/>
          <w:sz w:val="24"/>
          <w:szCs w:val="24"/>
          <w:highlight w:val="none"/>
        </w:rPr>
        <w:t>内容</w:t>
      </w:r>
      <w:r>
        <w:rPr>
          <w:rFonts w:hint="eastAsia" w:ascii="宋体" w:hAnsi="宋体" w:eastAsia="宋体"/>
          <w:color w:val="auto"/>
          <w:sz w:val="24"/>
          <w:szCs w:val="24"/>
          <w:highlight w:val="none"/>
        </w:rPr>
        <w:t>作</w:t>
      </w:r>
      <w:r>
        <w:rPr>
          <w:rFonts w:ascii="宋体" w:hAnsi="宋体" w:eastAsia="宋体"/>
          <w:color w:val="auto"/>
          <w:sz w:val="24"/>
          <w:szCs w:val="24"/>
          <w:highlight w:val="none"/>
        </w:rPr>
        <w:t>为</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的</w:t>
      </w:r>
      <w:r>
        <w:rPr>
          <w:rFonts w:ascii="宋体" w:hAnsi="宋体" w:eastAsia="宋体"/>
          <w:color w:val="auto"/>
          <w:sz w:val="24"/>
          <w:szCs w:val="24"/>
          <w:highlight w:val="none"/>
        </w:rPr>
        <w:t>组成部分，对</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起约束作用</w:t>
      </w:r>
      <w:r>
        <w:rPr>
          <w:rFonts w:hint="eastAsia" w:ascii="宋体" w:hAnsi="宋体" w:eastAsia="宋体"/>
          <w:color w:val="auto"/>
          <w:sz w:val="24"/>
          <w:szCs w:val="24"/>
          <w:highlight w:val="none"/>
        </w:rPr>
        <w:t>。供应商应主动上网查询。采购代理机构不承担供应商未及时关注相关信息引发的相关责任。</w:t>
      </w:r>
    </w:p>
    <w:p w14:paraId="10E2F9D0">
      <w:pPr>
        <w:spacing w:line="360" w:lineRule="auto"/>
        <w:ind w:firstLine="435"/>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7941FDA9">
      <w:pPr>
        <w:spacing w:line="360" w:lineRule="auto"/>
        <w:ind w:firstLine="435"/>
        <w:rPr>
          <w:rFonts w:ascii="宋体" w:hAnsi="宋体" w:eastAsia="宋体"/>
          <w:iCs/>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对于</w:t>
      </w:r>
      <w:r>
        <w:rPr>
          <w:color w:val="auto"/>
          <w:sz w:val="24"/>
          <w:szCs w:val="24"/>
          <w:highlight w:val="none"/>
        </w:rPr>
        <w:t>没有</w:t>
      </w:r>
      <w:r>
        <w:rPr>
          <w:rFonts w:ascii="宋体" w:hAnsi="宋体" w:eastAsia="宋体"/>
          <w:color w:val="auto"/>
          <w:sz w:val="24"/>
          <w:szCs w:val="24"/>
          <w:highlight w:val="none"/>
        </w:rPr>
        <w:t>提出</w:t>
      </w:r>
      <w:r>
        <w:rPr>
          <w:rFonts w:hint="eastAsia" w:ascii="宋体" w:hAnsi="宋体" w:eastAsia="宋体"/>
          <w:color w:val="auto"/>
          <w:sz w:val="24"/>
          <w:szCs w:val="24"/>
          <w:highlight w:val="none"/>
        </w:rPr>
        <w:t>询问</w:t>
      </w:r>
      <w:r>
        <w:rPr>
          <w:rFonts w:ascii="宋体" w:hAnsi="宋体" w:eastAsia="宋体"/>
          <w:color w:val="auto"/>
          <w:sz w:val="24"/>
          <w:szCs w:val="24"/>
          <w:highlight w:val="none"/>
        </w:rPr>
        <w:t>又参与了</w:t>
      </w:r>
      <w:r>
        <w:rPr>
          <w:rFonts w:hint="eastAsia" w:ascii="宋体" w:hAnsi="宋体" w:eastAsia="宋体"/>
          <w:color w:val="auto"/>
          <w:sz w:val="24"/>
          <w:szCs w:val="24"/>
          <w:highlight w:val="none"/>
        </w:rPr>
        <w:t>本</w:t>
      </w:r>
      <w:r>
        <w:rPr>
          <w:rFonts w:ascii="宋体" w:hAnsi="宋体" w:eastAsia="宋体"/>
          <w:color w:val="auto"/>
          <w:sz w:val="24"/>
          <w:szCs w:val="24"/>
          <w:highlight w:val="none"/>
        </w:rPr>
        <w:t>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的</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将被视为完全认同</w:t>
      </w:r>
      <w:r>
        <w:rPr>
          <w:rFonts w:hint="eastAsia" w:ascii="宋体" w:hAnsi="宋体" w:eastAsia="宋体"/>
          <w:color w:val="auto"/>
          <w:sz w:val="24"/>
          <w:szCs w:val="24"/>
          <w:highlight w:val="none"/>
        </w:rPr>
        <w:t>本磋商</w:t>
      </w:r>
      <w:r>
        <w:rPr>
          <w:rFonts w:ascii="宋体" w:hAnsi="宋体" w:eastAsia="宋体"/>
          <w:color w:val="auto"/>
          <w:sz w:val="24"/>
          <w:szCs w:val="24"/>
          <w:highlight w:val="none"/>
        </w:rPr>
        <w:t>文件（含</w:t>
      </w:r>
      <w:r>
        <w:rPr>
          <w:rFonts w:hint="eastAsia" w:ascii="宋体" w:hAnsi="宋体" w:eastAsia="宋体"/>
          <w:color w:val="auto"/>
          <w:sz w:val="24"/>
          <w:szCs w:val="24"/>
          <w:highlight w:val="none"/>
        </w:rPr>
        <w:t>更正公告的</w:t>
      </w:r>
      <w:r>
        <w:rPr>
          <w:rFonts w:ascii="宋体" w:hAnsi="宋体" w:eastAsia="宋体"/>
          <w:color w:val="auto"/>
          <w:sz w:val="24"/>
          <w:szCs w:val="24"/>
          <w:highlight w:val="none"/>
        </w:rPr>
        <w:t>内容）</w:t>
      </w:r>
      <w:r>
        <w:rPr>
          <w:rFonts w:hint="eastAsia" w:ascii="宋体" w:hAnsi="宋体" w:eastAsia="宋体"/>
          <w:i/>
          <w:color w:val="auto"/>
          <w:sz w:val="24"/>
          <w:szCs w:val="24"/>
          <w:highlight w:val="none"/>
        </w:rPr>
        <w:t>。</w:t>
      </w:r>
    </w:p>
    <w:p w14:paraId="3139D4F4">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7</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磋商范围及响应文件中标准和计量单位的使用</w:t>
      </w:r>
    </w:p>
    <w:p w14:paraId="3D5FAB8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.1项目有分包的，供应商可</w:t>
      </w:r>
      <w:r>
        <w:rPr>
          <w:rFonts w:hint="eastAsia" w:ascii="宋体" w:hAnsi="宋体" w:eastAsia="宋体"/>
          <w:color w:val="auto"/>
          <w:sz w:val="24"/>
          <w:szCs w:val="24"/>
          <w:highlight w:val="none"/>
        </w:rPr>
        <w:t>参与</w:t>
      </w:r>
      <w:r>
        <w:rPr>
          <w:rFonts w:ascii="宋体" w:hAnsi="宋体" w:eastAsia="宋体"/>
          <w:color w:val="auto"/>
          <w:sz w:val="24"/>
          <w:szCs w:val="24"/>
          <w:highlight w:val="none"/>
        </w:rPr>
        <w:t>其中某一个或</w:t>
      </w:r>
      <w:r>
        <w:rPr>
          <w:rFonts w:hint="eastAsia" w:ascii="宋体" w:hAnsi="宋体" w:eastAsia="宋体"/>
          <w:color w:val="auto"/>
          <w:sz w:val="24"/>
          <w:szCs w:val="24"/>
          <w:highlight w:val="none"/>
        </w:rPr>
        <w:t>多</w:t>
      </w:r>
      <w:r>
        <w:rPr>
          <w:rFonts w:ascii="宋体" w:hAnsi="宋体" w:eastAsia="宋体"/>
          <w:color w:val="auto"/>
          <w:sz w:val="24"/>
          <w:szCs w:val="24"/>
          <w:highlight w:val="none"/>
        </w:rPr>
        <w:t>个分包</w:t>
      </w:r>
      <w:r>
        <w:rPr>
          <w:rFonts w:hint="eastAsia" w:ascii="宋体" w:hAnsi="宋体" w:eastAsia="宋体"/>
          <w:color w:val="auto"/>
          <w:sz w:val="24"/>
          <w:szCs w:val="24"/>
          <w:highlight w:val="none"/>
        </w:rPr>
        <w:t>的磋商</w:t>
      </w:r>
      <w:r>
        <w:rPr>
          <w:rFonts w:ascii="宋体" w:hAnsi="宋体" w:eastAsia="宋体"/>
          <w:color w:val="auto"/>
          <w:sz w:val="24"/>
          <w:szCs w:val="24"/>
          <w:highlight w:val="none"/>
        </w:rPr>
        <w:t>，</w:t>
      </w:r>
      <w:r>
        <w:rPr>
          <w:rFonts w:hint="eastAsia" w:ascii="宋体" w:hAnsi="宋体" w:eastAsia="宋体"/>
          <w:color w:val="auto"/>
          <w:sz w:val="24"/>
          <w:szCs w:val="24"/>
          <w:highlight w:val="none"/>
        </w:rPr>
        <w:t>成交包数详见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中规定。</w:t>
      </w:r>
    </w:p>
    <w:p w14:paraId="20844A5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无论磋商文件中是否要求，供应商所</w:t>
      </w:r>
      <w:r>
        <w:rPr>
          <w:rFonts w:hint="eastAsia" w:ascii="宋体" w:hAnsi="宋体" w:eastAsia="宋体"/>
          <w:color w:val="auto"/>
          <w:sz w:val="24"/>
          <w:szCs w:val="24"/>
          <w:highlight w:val="none"/>
        </w:rPr>
        <w:t>承担</w:t>
      </w:r>
      <w:r>
        <w:rPr>
          <w:rFonts w:ascii="宋体" w:hAnsi="宋体" w:eastAsia="宋体"/>
          <w:color w:val="auto"/>
          <w:sz w:val="24"/>
          <w:szCs w:val="24"/>
          <w:highlight w:val="none"/>
        </w:rPr>
        <w:t>工程及伴随的货物和</w:t>
      </w:r>
      <w:r>
        <w:rPr>
          <w:rFonts w:hint="eastAsia" w:ascii="宋体" w:hAnsi="宋体" w:eastAsia="宋体"/>
          <w:color w:val="auto"/>
          <w:sz w:val="24"/>
          <w:szCs w:val="24"/>
          <w:highlight w:val="none"/>
        </w:rPr>
        <w:t>服务</w:t>
      </w:r>
      <w:r>
        <w:rPr>
          <w:rFonts w:ascii="宋体" w:hAnsi="宋体" w:eastAsia="宋体"/>
          <w:color w:val="auto"/>
          <w:sz w:val="24"/>
          <w:szCs w:val="24"/>
          <w:highlight w:val="none"/>
        </w:rPr>
        <w:t>均应符合国家强制性标准。</w:t>
      </w:r>
    </w:p>
    <w:p w14:paraId="3D28E46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3</w:t>
      </w:r>
      <w:r>
        <w:rPr>
          <w:rFonts w:ascii="宋体" w:hAnsi="宋体" w:eastAsia="宋体"/>
          <w:color w:val="auto"/>
          <w:sz w:val="24"/>
          <w:szCs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28B0DE5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除磋商文件中有特殊要求外，响应文件中所使用的计量单位，应采用中华人民共和国法定计量单位。</w:t>
      </w:r>
    </w:p>
    <w:p w14:paraId="5D9D40A4">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响应文件构成</w:t>
      </w:r>
    </w:p>
    <w:p w14:paraId="277E0561">
      <w:pPr>
        <w:spacing w:line="360" w:lineRule="auto"/>
        <w:ind w:firstLine="437"/>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.1供应商应完整地按磋商文件提供的响应文件格式及要求编写响应文件，具体内容详见第六章响应文件格式的相关内容。</w:t>
      </w:r>
    </w:p>
    <w:p w14:paraId="3EF1BDE8">
      <w:pPr>
        <w:spacing w:line="360" w:lineRule="auto"/>
        <w:ind w:firstLine="435"/>
        <w:rPr>
          <w:rFonts w:ascii="宋体" w:hAnsi="宋体" w:eastAsia="宋体"/>
          <w:color w:val="auto"/>
          <w:sz w:val="24"/>
          <w:szCs w:val="24"/>
          <w:highlight w:val="none"/>
        </w:rPr>
      </w:pPr>
      <w:r>
        <w:rPr>
          <w:rFonts w:hint="eastAsia"/>
          <w:color w:val="auto"/>
          <w:sz w:val="24"/>
          <w:szCs w:val="24"/>
          <w:highlight w:val="none"/>
          <w:lang w:val="en-US" w:eastAsia="zh-CN"/>
        </w:rPr>
        <w:t>8.2</w:t>
      </w:r>
      <w:r>
        <w:rPr>
          <w:rFonts w:hint="eastAsia"/>
          <w:color w:val="auto"/>
          <w:sz w:val="24"/>
          <w:szCs w:val="24"/>
          <w:highlight w:val="none"/>
        </w:rPr>
        <w:t>供应商应提交磋商文件要求的证明文件，证明其响应内容符合磋商文件规定。该证明文件是响应文件的一部分</w:t>
      </w:r>
      <w:r>
        <w:rPr>
          <w:rFonts w:ascii="宋体" w:hAnsi="宋体" w:eastAsia="宋体"/>
          <w:color w:val="auto"/>
          <w:sz w:val="24"/>
          <w:szCs w:val="24"/>
          <w:highlight w:val="none"/>
        </w:rPr>
        <w:t>。证明文件</w:t>
      </w:r>
      <w:r>
        <w:rPr>
          <w:rFonts w:hint="eastAsia" w:ascii="宋体" w:hAnsi="宋体" w:eastAsia="宋体"/>
          <w:color w:val="auto"/>
          <w:sz w:val="24"/>
          <w:szCs w:val="24"/>
          <w:highlight w:val="none"/>
          <w:lang w:val="en-US" w:eastAsia="zh-CN"/>
        </w:rPr>
        <w:t>形式</w:t>
      </w:r>
      <w:r>
        <w:rPr>
          <w:rFonts w:ascii="宋体" w:hAnsi="宋体" w:eastAsia="宋体"/>
          <w:color w:val="auto"/>
          <w:sz w:val="24"/>
          <w:szCs w:val="24"/>
          <w:highlight w:val="none"/>
        </w:rPr>
        <w:t>可以是文字资料、图纸和数据</w:t>
      </w:r>
      <w:bookmarkStart w:id="49" w:name="_Hlk11703583"/>
      <w:r>
        <w:rPr>
          <w:rFonts w:hint="eastAsia" w:ascii="宋体" w:hAnsi="宋体" w:eastAsia="宋体"/>
          <w:color w:val="auto"/>
          <w:sz w:val="24"/>
          <w:szCs w:val="24"/>
          <w:highlight w:val="none"/>
        </w:rPr>
        <w:t>。</w:t>
      </w:r>
      <w:bookmarkEnd w:id="49"/>
    </w:p>
    <w:p w14:paraId="7A39BA4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为保证</w:t>
      </w:r>
      <w:r>
        <w:rPr>
          <w:color w:val="auto"/>
          <w:sz w:val="24"/>
          <w:szCs w:val="24"/>
          <w:highlight w:val="none"/>
        </w:rPr>
        <w:t>公平</w:t>
      </w:r>
      <w:r>
        <w:rPr>
          <w:rFonts w:ascii="宋体" w:hAnsi="宋体" w:eastAsia="宋体"/>
          <w:color w:val="auto"/>
          <w:sz w:val="24"/>
          <w:szCs w:val="24"/>
          <w:highlight w:val="none"/>
        </w:rPr>
        <w:t>公正，除非磋商文件另有规定或说明，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对同一项目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时，不得同时提供</w:t>
      </w:r>
      <w:r>
        <w:rPr>
          <w:rFonts w:hint="eastAsia" w:ascii="宋体" w:hAnsi="宋体" w:eastAsia="宋体"/>
          <w:color w:val="auto"/>
          <w:sz w:val="24"/>
          <w:szCs w:val="24"/>
          <w:highlight w:val="none"/>
        </w:rPr>
        <w:t>备选磋商</w:t>
      </w:r>
      <w:r>
        <w:rPr>
          <w:rFonts w:ascii="宋体" w:hAnsi="宋体" w:eastAsia="宋体"/>
          <w:color w:val="auto"/>
          <w:sz w:val="24"/>
          <w:szCs w:val="24"/>
          <w:highlight w:val="none"/>
        </w:rPr>
        <w:t>方案。</w:t>
      </w:r>
    </w:p>
    <w:p w14:paraId="3BFD3F70">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报价</w:t>
      </w:r>
    </w:p>
    <w:p w14:paraId="6425BC2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.1</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的报价应当包括满足本次</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全部</w:t>
      </w:r>
      <w:r>
        <w:rPr>
          <w:rFonts w:hint="eastAsia" w:ascii="宋体" w:hAnsi="宋体" w:eastAsia="宋体"/>
          <w:color w:val="auto"/>
          <w:sz w:val="24"/>
          <w:szCs w:val="24"/>
          <w:highlight w:val="none"/>
        </w:rPr>
        <w:t>内容。所有报价均应以人民币报价，供应商的磋商报价应遵守《中华人民共和国价格法》。</w:t>
      </w:r>
    </w:p>
    <w:p w14:paraId="3FE3583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最后报价均不得高于磋商文件（公告）列明的项目预算</w:t>
      </w:r>
      <w:r>
        <w:rPr>
          <w:rFonts w:hint="eastAsia" w:ascii="宋体" w:hAnsi="宋体" w:eastAsia="宋体"/>
          <w:color w:val="auto"/>
          <w:sz w:val="24"/>
          <w:szCs w:val="24"/>
          <w:highlight w:val="none"/>
        </w:rPr>
        <w:t>、最高投标限价</w:t>
      </w:r>
      <w:r>
        <w:rPr>
          <w:rFonts w:ascii="宋体" w:hAnsi="宋体" w:eastAsia="宋体"/>
          <w:color w:val="auto"/>
          <w:sz w:val="24"/>
          <w:szCs w:val="24"/>
          <w:highlight w:val="none"/>
        </w:rPr>
        <w:t>，否则其响应文件将被认定为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26DE641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在合同履行过程中是固定不变的，不得以任何理由予以变更。任何包含价格调整要求的</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，其</w:t>
      </w:r>
      <w:r>
        <w:rPr>
          <w:rFonts w:hint="eastAsia" w:ascii="宋体" w:hAnsi="宋体" w:eastAsia="宋体"/>
          <w:color w:val="auto"/>
          <w:sz w:val="24"/>
          <w:szCs w:val="24"/>
          <w:highlight w:val="none"/>
        </w:rPr>
        <w:t>响应文件将被认定为</w:t>
      </w:r>
      <w:r>
        <w:rPr>
          <w:rFonts w:hint="eastAsia" w:ascii="宋体" w:hAnsi="宋体" w:eastAsia="宋体"/>
          <w:b/>
          <w:color w:val="auto"/>
          <w:sz w:val="24"/>
          <w:szCs w:val="24"/>
          <w:highlight w:val="none"/>
        </w:rPr>
        <w:t>响应无效</w:t>
      </w:r>
      <w:r>
        <w:rPr>
          <w:rFonts w:ascii="宋体" w:hAnsi="宋体" w:eastAsia="宋体"/>
          <w:color w:val="auto"/>
          <w:sz w:val="24"/>
          <w:szCs w:val="24"/>
          <w:highlight w:val="none"/>
        </w:rPr>
        <w:t>。</w:t>
      </w:r>
    </w:p>
    <w:p w14:paraId="7B0E00A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采购人不接受具有附加条件的报价。</w:t>
      </w:r>
    </w:p>
    <w:p w14:paraId="7BAAA5AC">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10</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磋商保证金</w:t>
      </w:r>
    </w:p>
    <w:p w14:paraId="0CC1C57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10</w:t>
      </w:r>
      <w:r>
        <w:rPr>
          <w:rFonts w:ascii="宋体" w:hAnsi="宋体" w:eastAsia="宋体"/>
          <w:color w:val="auto"/>
          <w:sz w:val="24"/>
          <w:szCs w:val="24"/>
          <w:highlight w:val="none"/>
        </w:rPr>
        <w:t>.1本项目不收取磋商保证金。</w:t>
      </w:r>
    </w:p>
    <w:p w14:paraId="7811D90D">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磋商有效期</w:t>
      </w:r>
    </w:p>
    <w:p w14:paraId="7AD0EB35">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.1磋商有效期为从响应文件提交截止之日算起的日历天数，磋商有效期详见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327680D8">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.2在磋商有效期内，供应商的磋商保持有效，供应商不得要求撤销或修改其响应文件。磋商有效期不满足要求的响应，其响应文件将被认定为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2A89366D">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2CC50215">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响应文件的提交、修改与撤回</w:t>
      </w:r>
    </w:p>
    <w:p w14:paraId="44451B5F">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.1供应商应当在</w:t>
      </w:r>
      <w:r>
        <w:rPr>
          <w:rFonts w:hint="eastAsia" w:ascii="宋体" w:hAnsi="宋体" w:eastAsia="宋体"/>
          <w:color w:val="auto"/>
          <w:sz w:val="24"/>
          <w:szCs w:val="24"/>
          <w:highlight w:val="none"/>
          <w:lang w:val="en-US" w:eastAsia="zh-CN"/>
        </w:rPr>
        <w:t>竞争性磋商公告</w:t>
      </w:r>
      <w:r>
        <w:rPr>
          <w:rFonts w:hint="eastAsia" w:ascii="宋体" w:hAnsi="宋体" w:eastAsia="宋体"/>
          <w:color w:val="auto"/>
          <w:sz w:val="24"/>
          <w:szCs w:val="24"/>
          <w:highlight w:val="none"/>
        </w:rPr>
        <w:t>规定的响应文件提交截止时间前</w:t>
      </w:r>
      <w:r>
        <w:rPr>
          <w:rFonts w:ascii="宋体" w:hAnsi="宋体" w:eastAsia="宋体"/>
          <w:color w:val="auto"/>
          <w:sz w:val="24"/>
          <w:szCs w:val="24"/>
          <w:highlight w:val="none"/>
        </w:rPr>
        <w:t>，将加密的</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在电子交易系统</w:t>
      </w:r>
      <w:r>
        <w:rPr>
          <w:rFonts w:ascii="宋体" w:hAnsi="宋体" w:eastAsia="宋体"/>
          <w:color w:val="auto"/>
          <w:sz w:val="24"/>
          <w:szCs w:val="24"/>
          <w:highlight w:val="none"/>
        </w:rPr>
        <w:t>上传。</w:t>
      </w:r>
    </w:p>
    <w:p w14:paraId="5CAFE0AD">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58BFA736">
      <w:pPr>
        <w:spacing w:line="360" w:lineRule="auto"/>
        <w:ind w:firstLine="435"/>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供应商应在</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规定的解密时间前对</w:t>
      </w:r>
      <w:r>
        <w:rPr>
          <w:rFonts w:hint="eastAsia" w:ascii="宋体" w:hAnsi="宋体" w:eastAsia="宋体"/>
          <w:color w:val="auto"/>
          <w:sz w:val="24"/>
          <w:szCs w:val="24"/>
          <w:highlight w:val="none"/>
          <w:lang w:val="en-US" w:eastAsia="zh-CN"/>
        </w:rPr>
        <w:t>其</w:t>
      </w:r>
      <w:r>
        <w:rPr>
          <w:rFonts w:hint="eastAsia" w:ascii="宋体" w:hAnsi="宋体" w:eastAsia="宋体"/>
          <w:color w:val="auto"/>
          <w:sz w:val="24"/>
          <w:szCs w:val="24"/>
          <w:highlight w:val="none"/>
        </w:rPr>
        <w:t>响应文件进行解密</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未在规定时间内进行解密的，</w:t>
      </w:r>
      <w:r>
        <w:rPr>
          <w:rFonts w:hint="eastAsia" w:ascii="宋体" w:hAnsi="宋体" w:eastAsia="宋体"/>
          <w:b/>
          <w:color w:val="auto"/>
          <w:sz w:val="24"/>
          <w:szCs w:val="24"/>
          <w:highlight w:val="none"/>
        </w:rPr>
        <w:t>响应无效</w:t>
      </w:r>
      <w:r>
        <w:rPr>
          <w:rFonts w:hint="eastAsia" w:ascii="宋体" w:hAnsi="宋体" w:eastAsia="宋体"/>
          <w:b/>
          <w:color w:val="auto"/>
          <w:sz w:val="24"/>
          <w:szCs w:val="24"/>
          <w:highlight w:val="none"/>
          <w:lang w:eastAsia="zh-CN"/>
        </w:rPr>
        <w:t>。</w:t>
      </w:r>
    </w:p>
    <w:p w14:paraId="13AB5B88">
      <w:pPr>
        <w:spacing w:line="360" w:lineRule="auto"/>
        <w:ind w:firstLine="435"/>
        <w:rPr>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.4在响应文件提交截止时间之后，供应商不得对其响应文件做任何修改。</w:t>
      </w:r>
      <w:r>
        <w:rPr>
          <w:rFonts w:hint="eastAsia"/>
          <w:color w:val="auto"/>
          <w:sz w:val="24"/>
          <w:szCs w:val="24"/>
          <w:highlight w:val="none"/>
        </w:rPr>
        <w:t>但属于磋商小组在评审中发现的计算错误并进行核实的修改、按照磋商文件的变动情况和磋商小组的要求重新提交响应文件的，不在此列。</w:t>
      </w:r>
    </w:p>
    <w:p w14:paraId="0C2EE36D">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磋商小组</w:t>
      </w:r>
    </w:p>
    <w:p w14:paraId="3FC1A3B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.1本项目将依法组建磋商小组，磋商小组成员由3人以上单数组成，磋商小组及其成员应当依照政府采购的有关规定履行相关职责和义务。</w:t>
      </w:r>
    </w:p>
    <w:p w14:paraId="292E529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.2磋商小组依法对响应文件进行评审，并根据磋商文件规定的程序、评定成交的标准等事项与实质性响应磋商文件要求的供应商进行磋商。</w:t>
      </w:r>
    </w:p>
    <w:p w14:paraId="19BD500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.3磋商小组应当从质量和服务均能满足磋商文件实质性响应要求的供应商中，按照评审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和标准推荐</w:t>
      </w:r>
      <w:r>
        <w:rPr>
          <w:rFonts w:ascii="宋体" w:hAnsi="宋体" w:eastAsia="宋体"/>
          <w:color w:val="auto"/>
          <w:sz w:val="24"/>
          <w:szCs w:val="24"/>
          <w:highlight w:val="none"/>
        </w:rPr>
        <w:t>成交候选供应商，并编写</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报告。</w:t>
      </w:r>
    </w:p>
    <w:p w14:paraId="735DA7AE">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.响应文件的评审与磋商</w:t>
      </w:r>
    </w:p>
    <w:p w14:paraId="654F29F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1采购人和采购代理机构将在</w:t>
      </w:r>
      <w:r>
        <w:rPr>
          <w:rFonts w:hint="eastAsia" w:ascii="宋体" w:hAnsi="宋体" w:eastAsia="宋体" w:cs="@仿宋_GB2312"/>
          <w:color w:val="auto"/>
          <w:kern w:val="2"/>
          <w:sz w:val="24"/>
          <w:szCs w:val="24"/>
          <w:highlight w:val="none"/>
          <w:u w:val="none"/>
          <w:lang w:val="en-US" w:eastAsia="zh-CN"/>
        </w:rPr>
        <w:t>竞争性磋商公告</w:t>
      </w:r>
      <w:r>
        <w:rPr>
          <w:rFonts w:hint="eastAsia" w:ascii="宋体" w:hAnsi="宋体" w:eastAsia="宋体"/>
          <w:color w:val="auto"/>
          <w:sz w:val="24"/>
          <w:szCs w:val="24"/>
          <w:highlight w:val="none"/>
        </w:rPr>
        <w:t>规定的时间和地点组织磋商。</w:t>
      </w:r>
    </w:p>
    <w:p w14:paraId="335276F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.2竞争性磋商活动采用综合评分法评审。</w:t>
      </w:r>
    </w:p>
    <w:p w14:paraId="6C8F86F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综合评分法，是指响应文件满足磋商文件全部实质性要求且按评审因素的量化指标评审得分最高的供应商为成交候选供应商的评审方法。</w:t>
      </w:r>
    </w:p>
    <w:p w14:paraId="767887E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.3磋商小组将按照磋商文件规定的</w:t>
      </w:r>
      <w:r>
        <w:rPr>
          <w:rFonts w:ascii="宋体" w:hAnsi="宋体" w:eastAsia="宋体"/>
          <w:color w:val="auto"/>
          <w:sz w:val="24"/>
          <w:szCs w:val="24"/>
          <w:highlight w:val="none"/>
        </w:rPr>
        <w:t>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和标准对供应商独立进行评审。评审程序如下：</w:t>
      </w:r>
    </w:p>
    <w:p w14:paraId="186C333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.3.1</w:t>
      </w:r>
      <w:r>
        <w:rPr>
          <w:rFonts w:hint="eastAsia" w:ascii="宋体" w:hAnsi="宋体" w:eastAsia="宋体"/>
          <w:b/>
          <w:color w:val="auto"/>
          <w:sz w:val="24"/>
          <w:szCs w:val="24"/>
          <w:highlight w:val="none"/>
        </w:rPr>
        <w:t>初审</w:t>
      </w:r>
      <w:r>
        <w:rPr>
          <w:rFonts w:hint="eastAsia" w:ascii="宋体" w:hAnsi="宋体" w:eastAsia="宋体"/>
          <w:color w:val="auto"/>
          <w:sz w:val="24"/>
          <w:szCs w:val="24"/>
          <w:highlight w:val="none"/>
        </w:rPr>
        <w:t>。磋商小组对供应商必须满足和实质性响应的内容进行评审，供应商未实质性响应磋商文件要求导致响应无效的，磋商小组将以书面询标的方式告知有关供应商。</w:t>
      </w:r>
    </w:p>
    <w:p w14:paraId="23A0FC7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4C747F9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2AF3A9D1">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01A9AD5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.3.2</w:t>
      </w:r>
      <w:r>
        <w:rPr>
          <w:rFonts w:hint="eastAsia" w:ascii="宋体" w:hAnsi="宋体" w:eastAsia="宋体"/>
          <w:b/>
          <w:color w:val="auto"/>
          <w:sz w:val="24"/>
          <w:szCs w:val="24"/>
          <w:highlight w:val="none"/>
        </w:rPr>
        <w:t>磋商</w:t>
      </w:r>
      <w:r>
        <w:rPr>
          <w:rFonts w:hint="eastAsia" w:ascii="宋体" w:hAnsi="宋体" w:eastAsia="宋体"/>
          <w:color w:val="auto"/>
          <w:sz w:val="24"/>
          <w:szCs w:val="24"/>
          <w:highlight w:val="none"/>
        </w:rPr>
        <w:t>。初审合格后，磋商小组将按网上加密电子响应文件提交顺序集中与单一供应商分别进行磋商，并给予所有参加磋商的供应商平等的磋商机会。</w:t>
      </w:r>
    </w:p>
    <w:p w14:paraId="0034047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.3.3</w:t>
      </w:r>
      <w:r>
        <w:rPr>
          <w:rFonts w:ascii="宋体" w:hAnsi="宋体" w:eastAsia="宋体"/>
          <w:b/>
          <w:color w:val="auto"/>
          <w:sz w:val="24"/>
          <w:szCs w:val="24"/>
          <w:highlight w:val="none"/>
        </w:rPr>
        <w:t>报价</w:t>
      </w:r>
      <w:r>
        <w:rPr>
          <w:rFonts w:hint="eastAsia" w:ascii="宋体" w:hAnsi="宋体" w:eastAsia="宋体"/>
          <w:color w:val="auto"/>
          <w:sz w:val="24"/>
          <w:szCs w:val="24"/>
          <w:highlight w:val="none"/>
        </w:rPr>
        <w:t>。</w:t>
      </w:r>
      <w:r>
        <w:rPr>
          <w:rFonts w:ascii="宋体" w:hAnsi="宋体" w:eastAsia="宋体"/>
          <w:color w:val="auto"/>
          <w:sz w:val="24"/>
          <w:szCs w:val="24"/>
          <w:highlight w:val="none"/>
        </w:rPr>
        <w:t>磋商结束后，磋商小组应当要求所有</w:t>
      </w:r>
      <w:r>
        <w:rPr>
          <w:rFonts w:hint="eastAsia" w:ascii="宋体" w:hAnsi="宋体" w:eastAsia="宋体"/>
          <w:color w:val="auto"/>
          <w:sz w:val="24"/>
          <w:szCs w:val="24"/>
          <w:highlight w:val="none"/>
        </w:rPr>
        <w:t>实质性响应</w:t>
      </w:r>
      <w:r>
        <w:rPr>
          <w:rFonts w:ascii="宋体" w:hAnsi="宋体" w:eastAsia="宋体"/>
          <w:color w:val="auto"/>
          <w:sz w:val="24"/>
          <w:szCs w:val="24"/>
          <w:highlight w:val="none"/>
        </w:rPr>
        <w:t>的供应商在规定时间内提交最后报价</w:t>
      </w:r>
      <w:r>
        <w:rPr>
          <w:rFonts w:hint="eastAsia"/>
          <w:color w:val="auto"/>
          <w:sz w:val="24"/>
          <w:szCs w:val="24"/>
          <w:highlight w:val="none"/>
        </w:rPr>
        <w:t>。</w:t>
      </w:r>
    </w:p>
    <w:p w14:paraId="38BCC7A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.3.4</w:t>
      </w:r>
      <w:r>
        <w:rPr>
          <w:rFonts w:hint="eastAsia" w:ascii="宋体" w:hAnsi="宋体" w:eastAsia="宋体"/>
          <w:b/>
          <w:color w:val="auto"/>
          <w:sz w:val="24"/>
          <w:szCs w:val="24"/>
          <w:highlight w:val="none"/>
        </w:rPr>
        <w:t>综合评分</w:t>
      </w:r>
      <w:r>
        <w:rPr>
          <w:rFonts w:hint="eastAsia" w:ascii="宋体" w:hAnsi="宋体" w:eastAsia="宋体"/>
          <w:color w:val="auto"/>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1A10CC2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.4相关说明。</w:t>
      </w:r>
    </w:p>
    <w:p w14:paraId="365C773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 xml:space="preserve">.4.1为保证磋商活动顺利进行，供应商可派相关技术人员进行网上答疑； </w:t>
      </w:r>
    </w:p>
    <w:p w14:paraId="5EF732D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.4.2磋</w:t>
      </w:r>
      <w:r>
        <w:rPr>
          <w:rFonts w:ascii="宋体" w:hAnsi="宋体" w:eastAsia="宋体"/>
          <w:color w:val="auto"/>
          <w:sz w:val="24"/>
          <w:szCs w:val="24"/>
          <w:highlight w:val="none"/>
        </w:rPr>
        <w:t>商小组根据与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磋商情况可能实质性变动</w:t>
      </w:r>
      <w:r>
        <w:rPr>
          <w:rFonts w:hint="eastAsia" w:ascii="宋体" w:hAnsi="宋体" w:eastAsia="宋体"/>
          <w:color w:val="auto"/>
          <w:sz w:val="24"/>
          <w:szCs w:val="24"/>
          <w:highlight w:val="none"/>
        </w:rPr>
        <w:t>磋商文件</w:t>
      </w:r>
      <w:r>
        <w:rPr>
          <w:rFonts w:ascii="宋体" w:hAnsi="宋体" w:eastAsia="宋体"/>
          <w:color w:val="auto"/>
          <w:sz w:val="24"/>
          <w:szCs w:val="24"/>
          <w:highlight w:val="none"/>
        </w:rPr>
        <w:t>的内容，包括采购需求中的技术、服务要求以及合同草案条款。磋商文件有实质性变动的，</w:t>
      </w:r>
      <w:r>
        <w:rPr>
          <w:rFonts w:hint="eastAsia" w:ascii="宋体" w:hAnsi="宋体" w:eastAsia="宋体"/>
          <w:color w:val="auto"/>
          <w:sz w:val="24"/>
          <w:szCs w:val="24"/>
          <w:highlight w:val="none"/>
        </w:rPr>
        <w:t>经采购人代表确认作为磋商文件的有效组成部分，</w:t>
      </w:r>
      <w:r>
        <w:rPr>
          <w:rFonts w:ascii="宋体" w:hAnsi="宋体" w:eastAsia="宋体"/>
          <w:color w:val="auto"/>
          <w:sz w:val="24"/>
          <w:szCs w:val="24"/>
          <w:highlight w:val="none"/>
        </w:rPr>
        <w:t>磋商小组</w:t>
      </w:r>
      <w:r>
        <w:rPr>
          <w:rFonts w:hint="eastAsia" w:ascii="宋体" w:hAnsi="宋体" w:eastAsia="宋体"/>
          <w:color w:val="auto"/>
          <w:sz w:val="24"/>
          <w:szCs w:val="24"/>
          <w:highlight w:val="none"/>
        </w:rPr>
        <w:t>将</w:t>
      </w:r>
      <w:r>
        <w:rPr>
          <w:rFonts w:ascii="宋体" w:hAnsi="宋体" w:eastAsia="宋体"/>
          <w:color w:val="auto"/>
          <w:sz w:val="24"/>
          <w:szCs w:val="24"/>
          <w:highlight w:val="none"/>
        </w:rPr>
        <w:t>以书面形式通知所有参加磋商的供应商。</w:t>
      </w:r>
    </w:p>
    <w:p w14:paraId="4030AC7D">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宋体" w:hAnsi="宋体" w:eastAsia="宋体"/>
          <w:b/>
          <w:color w:val="auto"/>
          <w:sz w:val="24"/>
          <w:szCs w:val="24"/>
          <w:highlight w:val="none"/>
        </w:rPr>
        <w:t>响应无效。</w:t>
      </w:r>
    </w:p>
    <w:p w14:paraId="1BB4848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.4.4</w:t>
      </w:r>
      <w:r>
        <w:rPr>
          <w:rFonts w:ascii="宋体" w:hAnsi="宋体" w:eastAsia="宋体"/>
          <w:color w:val="auto"/>
          <w:sz w:val="24"/>
          <w:szCs w:val="24"/>
          <w:highlight w:val="none"/>
        </w:rPr>
        <w:t>无论何种原因，即使供应商</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时携带了证书材料的原件，但响应文件中未提供与之内容完全一致的</w:t>
      </w:r>
      <w:r>
        <w:rPr>
          <w:rFonts w:hint="eastAsia" w:ascii="宋体" w:hAnsi="宋体" w:eastAsia="宋体"/>
          <w:color w:val="auto"/>
          <w:sz w:val="24"/>
          <w:szCs w:val="24"/>
          <w:highlight w:val="none"/>
        </w:rPr>
        <w:t>扫描件</w:t>
      </w:r>
      <w:r>
        <w:rPr>
          <w:rFonts w:ascii="宋体" w:hAnsi="宋体" w:eastAsia="宋体"/>
          <w:color w:val="auto"/>
          <w:sz w:val="24"/>
          <w:szCs w:val="24"/>
          <w:highlight w:val="none"/>
        </w:rPr>
        <w:t>的，</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小组可以视同其未提供。</w:t>
      </w:r>
    </w:p>
    <w:p w14:paraId="2AD2AD4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.4.5磋商</w:t>
      </w:r>
      <w:r>
        <w:rPr>
          <w:rFonts w:ascii="宋体" w:hAnsi="宋体" w:eastAsia="宋体"/>
          <w:color w:val="auto"/>
          <w:sz w:val="24"/>
          <w:szCs w:val="24"/>
          <w:highlight w:val="none"/>
        </w:rPr>
        <w:t>小组决定响应文件的响应性及符合性只根据响应文件本身的内容，而不寻求其他外部证据。</w:t>
      </w:r>
    </w:p>
    <w:p w14:paraId="5272192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5</w:t>
      </w:r>
      <w:r>
        <w:rPr>
          <w:rFonts w:ascii="宋体" w:hAnsi="宋体" w:eastAsia="宋体"/>
          <w:color w:val="auto"/>
          <w:sz w:val="24"/>
          <w:szCs w:val="24"/>
          <w:highlight w:val="none"/>
        </w:rPr>
        <w:t>供应商</w:t>
      </w:r>
      <w:r>
        <w:rPr>
          <w:rFonts w:hint="eastAsia" w:ascii="宋体" w:hAnsi="宋体" w:eastAsia="宋体"/>
          <w:color w:val="auto"/>
          <w:sz w:val="24"/>
          <w:szCs w:val="24"/>
          <w:highlight w:val="none"/>
        </w:rPr>
        <w:t>授权</w:t>
      </w:r>
      <w:r>
        <w:rPr>
          <w:rFonts w:ascii="宋体" w:hAnsi="宋体" w:eastAsia="宋体"/>
          <w:color w:val="auto"/>
          <w:sz w:val="24"/>
          <w:szCs w:val="24"/>
          <w:highlight w:val="none"/>
        </w:rPr>
        <w:t>代表对</w:t>
      </w:r>
      <w:r>
        <w:rPr>
          <w:rFonts w:hint="eastAsia" w:ascii="宋体" w:hAnsi="宋体" w:eastAsia="宋体"/>
          <w:color w:val="auto"/>
          <w:sz w:val="24"/>
          <w:szCs w:val="24"/>
          <w:highlight w:val="none"/>
        </w:rPr>
        <w:t>磋商过程</w:t>
      </w:r>
      <w:r>
        <w:rPr>
          <w:rFonts w:ascii="宋体" w:hAnsi="宋体" w:eastAsia="宋体"/>
          <w:color w:val="auto"/>
          <w:sz w:val="24"/>
          <w:szCs w:val="24"/>
          <w:highlight w:val="none"/>
        </w:rPr>
        <w:t>有疑义，以及认为采购人、采购代理机构相关工作人员有需要回避的情形的，应当场提出询问或者回避申请</w:t>
      </w:r>
      <w:r>
        <w:rPr>
          <w:rFonts w:hint="eastAsia" w:ascii="宋体" w:hAnsi="宋体" w:eastAsia="宋体"/>
          <w:color w:val="auto"/>
          <w:sz w:val="24"/>
          <w:szCs w:val="24"/>
          <w:highlight w:val="none"/>
        </w:rPr>
        <w:t>，并说明理由。</w:t>
      </w:r>
      <w:r>
        <w:rPr>
          <w:rFonts w:ascii="宋体" w:hAnsi="宋体" w:eastAsia="宋体"/>
          <w:color w:val="auto"/>
          <w:sz w:val="24"/>
          <w:szCs w:val="24"/>
          <w:highlight w:val="none"/>
        </w:rPr>
        <w:t xml:space="preserve"> </w:t>
      </w:r>
    </w:p>
    <w:p w14:paraId="33CCB2FE">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15</w:t>
      </w:r>
      <w:r>
        <w:rPr>
          <w:rFonts w:ascii="宋体" w:hAnsi="宋体" w:eastAsia="宋体"/>
          <w:b/>
          <w:color w:val="auto"/>
          <w:sz w:val="24"/>
          <w:szCs w:val="24"/>
          <w:highlight w:val="none"/>
        </w:rPr>
        <w:t>.终止竞争性磋商</w:t>
      </w:r>
    </w:p>
    <w:p w14:paraId="568A560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.1出现下列情况之一时，采购人和采购代理机构有权宣布终止竞争性磋商采购，并将理由通知所有供应商：</w:t>
      </w:r>
    </w:p>
    <w:p w14:paraId="6BDD6F7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（1）有效供应商数量不足，导致本次磋商缺乏竞争的；</w:t>
      </w:r>
    </w:p>
    <w:p w14:paraId="727EE39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（2）出现影响采购公正的违法、违规行为的；</w:t>
      </w:r>
    </w:p>
    <w:p w14:paraId="51F2902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（3）因重大变故，采购任务取消的；</w:t>
      </w:r>
    </w:p>
    <w:p w14:paraId="51D9B5E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（4）政府采购法律法规规定的其他情形。</w:t>
      </w:r>
    </w:p>
    <w:p w14:paraId="77F413B3">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16</w:t>
      </w:r>
      <w:r>
        <w:rPr>
          <w:rFonts w:ascii="宋体" w:hAnsi="宋体" w:eastAsia="宋体"/>
          <w:b/>
          <w:color w:val="auto"/>
          <w:sz w:val="24"/>
          <w:szCs w:val="24"/>
          <w:highlight w:val="none"/>
        </w:rPr>
        <w:t>.响应文件的澄清、说明或</w:t>
      </w:r>
      <w:r>
        <w:rPr>
          <w:rFonts w:hint="eastAsia" w:ascii="宋体" w:hAnsi="宋体" w:eastAsia="宋体"/>
          <w:b/>
          <w:color w:val="auto"/>
          <w:sz w:val="24"/>
          <w:szCs w:val="24"/>
          <w:highlight w:val="none"/>
        </w:rPr>
        <w:t>更正</w:t>
      </w:r>
    </w:p>
    <w:p w14:paraId="3B7DE271">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CA485F3">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szCs w:val="24"/>
          <w:highlight w:val="none"/>
          <w:lang w:eastAsia="zh-CN"/>
        </w:rPr>
        <w:t>（</w:t>
      </w:r>
      <w:r>
        <w:rPr>
          <w:rFonts w:hint="eastAsia"/>
          <w:color w:val="auto"/>
          <w:sz w:val="24"/>
          <w:szCs w:val="24"/>
          <w:highlight w:val="none"/>
          <w:lang w:val="en-US" w:eastAsia="zh-CN"/>
        </w:rPr>
        <w:t>电子签章</w:t>
      </w:r>
      <w:r>
        <w:rPr>
          <w:rFonts w:hint="eastAsia"/>
          <w:color w:val="auto"/>
          <w:sz w:val="24"/>
          <w:szCs w:val="24"/>
          <w:highlight w:val="none"/>
          <w:lang w:eastAsia="zh-CN"/>
        </w:rPr>
        <w:t>）</w:t>
      </w:r>
      <w:r>
        <w:rPr>
          <w:rFonts w:hint="eastAsia"/>
          <w:color w:val="auto"/>
          <w:sz w:val="24"/>
          <w:szCs w:val="24"/>
          <w:highlight w:val="none"/>
        </w:rPr>
        <w:t>。</w:t>
      </w:r>
    </w:p>
    <w:p w14:paraId="77918B50">
      <w:pPr>
        <w:spacing w:line="360" w:lineRule="auto"/>
        <w:ind w:firstLine="435"/>
        <w:rPr>
          <w:color w:val="auto"/>
          <w:sz w:val="24"/>
          <w:szCs w:val="24"/>
          <w:highlight w:val="none"/>
        </w:rPr>
      </w:pPr>
      <w:r>
        <w:rPr>
          <w:rFonts w:hint="eastAsia"/>
          <w:b/>
          <w:color w:val="auto"/>
          <w:sz w:val="24"/>
          <w:szCs w:val="24"/>
          <w:highlight w:val="none"/>
        </w:rPr>
        <w:t>如有询标，授权代表（或法定代表人）可通过远程登录的方式接受网上询标，也可凭本人有效身份证明参加询标。因授权代表联系不上</w:t>
      </w:r>
      <w:r>
        <w:rPr>
          <w:rFonts w:hint="eastAsia"/>
          <w:b/>
          <w:bCs/>
          <w:color w:val="auto"/>
          <w:sz w:val="24"/>
          <w:szCs w:val="24"/>
          <w:highlight w:val="none"/>
        </w:rPr>
        <w:t>、没有及时登录系统等情形</w:t>
      </w:r>
      <w:r>
        <w:rPr>
          <w:rFonts w:hint="eastAsia"/>
          <w:b/>
          <w:color w:val="auto"/>
          <w:sz w:val="24"/>
          <w:szCs w:val="24"/>
          <w:highlight w:val="none"/>
        </w:rPr>
        <w:t>而无法接受磋商小组询标的，供应商自行承担相关风险。</w:t>
      </w:r>
    </w:p>
    <w:p w14:paraId="4030AC6F">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17</w:t>
      </w:r>
      <w:r>
        <w:rPr>
          <w:rFonts w:ascii="宋体" w:hAnsi="宋体" w:eastAsia="宋体"/>
          <w:b/>
          <w:color w:val="auto"/>
          <w:sz w:val="24"/>
          <w:szCs w:val="24"/>
          <w:highlight w:val="none"/>
        </w:rPr>
        <w:t>.最后报价</w:t>
      </w:r>
    </w:p>
    <w:p w14:paraId="5849D3F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.1</w:t>
      </w:r>
      <w:r>
        <w:rPr>
          <w:rFonts w:ascii="宋体" w:hAnsi="宋体" w:eastAsia="宋体"/>
          <w:color w:val="auto"/>
          <w:sz w:val="24"/>
          <w:szCs w:val="24"/>
          <w:highlight w:val="none"/>
        </w:rPr>
        <w:t>磋商并不限定只进行二轮报价，如果磋商小组认为有必要，可以要求供应商进行多轮报价。</w:t>
      </w:r>
    </w:p>
    <w:p w14:paraId="093A76E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.2</w:t>
      </w:r>
      <w:r>
        <w:rPr>
          <w:rFonts w:ascii="宋体" w:hAnsi="宋体" w:eastAsia="宋体"/>
          <w:color w:val="auto"/>
          <w:sz w:val="24"/>
          <w:szCs w:val="24"/>
          <w:highlight w:val="none"/>
        </w:rPr>
        <w:t>在磋商内容不做实质性变更或重大调整的前提下，供应商下轮报价不得高于上一轮报价</w:t>
      </w:r>
      <w:r>
        <w:rPr>
          <w:rFonts w:hint="eastAsia" w:ascii="宋体" w:hAnsi="宋体" w:eastAsia="宋体"/>
          <w:color w:val="auto"/>
          <w:sz w:val="24"/>
          <w:szCs w:val="24"/>
          <w:highlight w:val="none"/>
        </w:rPr>
        <w:t>。</w:t>
      </w:r>
    </w:p>
    <w:p w14:paraId="17357C6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.3</w:t>
      </w:r>
      <w:r>
        <w:rPr>
          <w:rFonts w:ascii="宋体" w:hAnsi="宋体" w:eastAsia="宋体"/>
          <w:color w:val="auto"/>
          <w:sz w:val="24"/>
          <w:szCs w:val="24"/>
          <w:highlight w:val="none"/>
        </w:rPr>
        <w:t>最后报价是供应商响应文件的有效组成部分，最后报价也是签订合同的依据。</w:t>
      </w:r>
    </w:p>
    <w:p w14:paraId="534263BC">
      <w:pPr>
        <w:spacing w:line="360" w:lineRule="auto"/>
        <w:ind w:firstLine="435"/>
        <w:rPr>
          <w:rFonts w:ascii="宋体" w:hAnsi="宋体" w:eastAsia="宋体"/>
          <w:color w:val="auto"/>
          <w:sz w:val="24"/>
          <w:szCs w:val="24"/>
          <w:highlight w:val="none"/>
        </w:rPr>
      </w:pPr>
      <w:bookmarkStart w:id="50" w:name="_Hlk60607655"/>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根据《政府采购促进中小企业发展管理办法》（财库〔</w:t>
      </w:r>
      <w:r>
        <w:rPr>
          <w:rFonts w:ascii="宋体" w:hAnsi="宋体" w:eastAsia="宋体"/>
          <w:color w:val="auto"/>
          <w:sz w:val="24"/>
          <w:szCs w:val="24"/>
          <w:highlight w:val="none"/>
        </w:rPr>
        <w:t>2020〕46号</w:t>
      </w:r>
      <w:r>
        <w:rPr>
          <w:rFonts w:hint="eastAsia" w:ascii="宋体" w:hAnsi="宋体" w:eastAsia="宋体"/>
          <w:color w:val="auto"/>
          <w:sz w:val="24"/>
          <w:szCs w:val="24"/>
          <w:highlight w:val="none"/>
        </w:rPr>
        <w:t>）、《三部门联合发布关于促进残疾人就业政府采购政策的通知》（财库〔2017〕141号）和《</w:t>
      </w:r>
      <w:r>
        <w:rPr>
          <w:rFonts w:ascii="宋体" w:hAnsi="宋体" w:eastAsia="宋体"/>
          <w:color w:val="auto"/>
          <w:sz w:val="24"/>
          <w:szCs w:val="24"/>
          <w:highlight w:val="none"/>
        </w:rPr>
        <w:t>财政部司法部关于政府采购支持监狱企业发展有关问题的通知</w:t>
      </w:r>
      <w:r>
        <w:rPr>
          <w:rFonts w:hint="eastAsia" w:ascii="宋体" w:hAnsi="宋体" w:eastAsia="宋体"/>
          <w:color w:val="auto"/>
          <w:sz w:val="24"/>
          <w:szCs w:val="24"/>
          <w:highlight w:val="none"/>
        </w:rPr>
        <w:t>》（财库〔2014〕68号）的规定，对满足价格扣除条件且在响应文件中提交了</w:t>
      </w:r>
      <w:r>
        <w:rPr>
          <w:rFonts w:ascii="宋体" w:hAnsi="宋体" w:eastAsia="宋体"/>
          <w:color w:val="auto"/>
          <w:sz w:val="24"/>
          <w:szCs w:val="24"/>
          <w:highlight w:val="none"/>
        </w:rPr>
        <w:t>《中小企业声明函》</w:t>
      </w:r>
      <w:r>
        <w:rPr>
          <w:rFonts w:hint="eastAsia" w:ascii="宋体" w:hAnsi="宋体" w:eastAsia="宋体"/>
          <w:color w:val="auto"/>
          <w:sz w:val="24"/>
          <w:szCs w:val="24"/>
          <w:highlight w:val="none"/>
        </w:rPr>
        <w:t>、</w:t>
      </w:r>
      <w:r>
        <w:rPr>
          <w:rFonts w:ascii="宋体" w:hAnsi="宋体" w:eastAsia="宋体"/>
          <w:color w:val="auto"/>
          <w:sz w:val="24"/>
          <w:szCs w:val="24"/>
          <w:highlight w:val="none"/>
        </w:rPr>
        <w:t>《残疾人福利性单位声明函》</w:t>
      </w:r>
      <w:r>
        <w:rPr>
          <w:rFonts w:hint="eastAsia" w:ascii="宋体" w:hAnsi="宋体" w:eastAsia="宋体"/>
          <w:color w:val="auto"/>
          <w:sz w:val="24"/>
          <w:szCs w:val="24"/>
          <w:highlight w:val="none"/>
        </w:rPr>
        <w:t>或省级以上监狱管理局、戒毒管理局（含新疆生产建设兵团）出具的属于监狱企业的证明文件的供应商，其最后报价按照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中规定的标准扣除后的价格参与评审。对于同时属于小微企业、监狱企业或残疾人福利性单位的，不重复进行最后报价扣除。</w:t>
      </w:r>
    </w:p>
    <w:p w14:paraId="0FEE6A0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szCs w:val="24"/>
          <w:highlight w:val="none"/>
        </w:rPr>
        <w:t>30%以上的，可给予联合体或者大中型企业的</w:t>
      </w:r>
      <w:r>
        <w:rPr>
          <w:rFonts w:hint="eastAsia" w:ascii="宋体" w:hAnsi="宋体" w:eastAsia="宋体"/>
          <w:color w:val="auto"/>
          <w:sz w:val="24"/>
          <w:szCs w:val="24"/>
          <w:highlight w:val="none"/>
        </w:rPr>
        <w:t>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w:t>
      </w:r>
      <w:r>
        <w:rPr>
          <w:rFonts w:ascii="宋体" w:hAnsi="宋体" w:eastAsia="宋体"/>
          <w:color w:val="auto"/>
          <w:sz w:val="24"/>
          <w:szCs w:val="24"/>
          <w:highlight w:val="none"/>
        </w:rPr>
        <w:t>。</w:t>
      </w:r>
      <w:r>
        <w:rPr>
          <w:rFonts w:hint="eastAsia" w:ascii="宋体" w:hAnsi="宋体" w:eastAsia="宋体"/>
          <w:color w:val="auto"/>
          <w:sz w:val="24"/>
          <w:szCs w:val="24"/>
          <w:highlight w:val="none"/>
        </w:rPr>
        <w:t>组成联合体或者接受分包的小微企业与联合体内其他企业、分包企业之间存在直接控股、管理关系的，不享受价格扣除优惠政策。</w:t>
      </w:r>
    </w:p>
    <w:p w14:paraId="26D53D1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以联合体形式参加政府采购活动，联合体各方均为中小企业的，联合体视同中小企业。其中，联合体各方均为小微企业的，联合体视同小微企业。</w:t>
      </w:r>
      <w:bookmarkEnd w:id="50"/>
    </w:p>
    <w:p w14:paraId="328816A6">
      <w:pPr>
        <w:spacing w:line="360" w:lineRule="auto"/>
        <w:ind w:firstLine="435"/>
        <w:rPr>
          <w:rFonts w:cs="@仿宋_GB2312"/>
          <w:color w:val="auto"/>
          <w:kern w:val="2"/>
          <w:sz w:val="24"/>
          <w:szCs w:val="24"/>
          <w:highlight w:val="none"/>
        </w:rPr>
      </w:pPr>
      <w:r>
        <w:rPr>
          <w:rFonts w:hint="eastAsia" w:cs="@仿宋_GB2312"/>
          <w:color w:val="auto"/>
          <w:kern w:val="2"/>
          <w:sz w:val="24"/>
          <w:szCs w:val="24"/>
          <w:highlight w:val="none"/>
          <w:lang w:val="en-US" w:eastAsia="zh-CN"/>
        </w:rPr>
        <w:t>17</w:t>
      </w:r>
      <w:r>
        <w:rPr>
          <w:rFonts w:hint="eastAsia" w:cs="@仿宋_GB2312"/>
          <w:color w:val="auto"/>
          <w:kern w:val="2"/>
          <w:sz w:val="24"/>
          <w:szCs w:val="24"/>
          <w:highlight w:val="none"/>
        </w:rPr>
        <w:t>.</w:t>
      </w:r>
      <w:r>
        <w:rPr>
          <w:rFonts w:hint="eastAsia" w:cs="@仿宋_GB2312"/>
          <w:color w:val="auto"/>
          <w:kern w:val="2"/>
          <w:sz w:val="24"/>
          <w:szCs w:val="24"/>
          <w:highlight w:val="none"/>
          <w:lang w:val="en-US" w:eastAsia="zh-CN"/>
        </w:rPr>
        <w:t>5</w:t>
      </w:r>
      <w:r>
        <w:rPr>
          <w:rFonts w:hint="eastAsia" w:cs="@仿宋_GB2312"/>
          <w:color w:val="auto"/>
          <w:kern w:val="2"/>
          <w:sz w:val="24"/>
          <w:szCs w:val="24"/>
          <w:highlight w:val="none"/>
        </w:rPr>
        <w:t>供应商应当按照企业定额或项目所在地最新建设工程计价依据以及材料市场价格信息等，结合自身实力、施工经验、现场环境以及磋商文件的要求自主报价。</w:t>
      </w:r>
    </w:p>
    <w:p w14:paraId="1D75B1CA">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6</w:t>
      </w:r>
      <w:r>
        <w:rPr>
          <w:rFonts w:hint="eastAsia" w:ascii="宋体" w:hAnsi="宋体" w:eastAsia="宋体" w:cs="@仿宋_GB2312"/>
          <w:color w:val="auto"/>
          <w:kern w:val="2"/>
          <w:sz w:val="24"/>
          <w:szCs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42202149">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7</w:t>
      </w:r>
      <w:r>
        <w:rPr>
          <w:rFonts w:hint="eastAsia" w:ascii="宋体" w:hAnsi="宋体" w:eastAsia="宋体" w:cs="@仿宋_GB2312"/>
          <w:color w:val="auto"/>
          <w:kern w:val="2"/>
          <w:sz w:val="24"/>
          <w:szCs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7B8890B9">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8</w:t>
      </w:r>
      <w:r>
        <w:rPr>
          <w:rFonts w:hint="eastAsia" w:ascii="宋体" w:hAnsi="宋体" w:eastAsia="宋体" w:cs="@仿宋_GB2312"/>
          <w:color w:val="auto"/>
          <w:kern w:val="2"/>
          <w:sz w:val="24"/>
          <w:szCs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2E340007">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工程造价的确定与控制</w:t>
      </w:r>
    </w:p>
    <w:p w14:paraId="542346C2">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.1本工程确定成交供应商后，工程总造价在磋商范围内包定，除经批准的设计变更、经济签证外，其它工程造价增减均不予签证计价。</w:t>
      </w:r>
    </w:p>
    <w:p w14:paraId="2CCAD5BF">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2B109B26">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07F21D7A">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0B4EDECA">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17.10</w:t>
      </w:r>
      <w:r>
        <w:rPr>
          <w:rFonts w:hint="eastAsia" w:ascii="宋体" w:hAnsi="宋体" w:eastAsia="宋体" w:cs="@仿宋_GB2312"/>
          <w:color w:val="auto"/>
          <w:kern w:val="2"/>
          <w:sz w:val="24"/>
          <w:szCs w:val="24"/>
          <w:highlight w:val="none"/>
        </w:rPr>
        <w:t>成交供应商在工程量清单报价书中所报的综合单价一律不予调整。</w:t>
      </w:r>
    </w:p>
    <w:p w14:paraId="5AEFD828">
      <w:pPr>
        <w:spacing w:line="360" w:lineRule="auto"/>
        <w:ind w:firstLine="435"/>
        <w:rPr>
          <w:rFonts w:ascii="宋体" w:hAnsi="宋体" w:eastAsia="宋体"/>
          <w:color w:val="auto"/>
          <w:sz w:val="24"/>
          <w:szCs w:val="24"/>
          <w:highlight w:val="none"/>
        </w:rPr>
      </w:pPr>
      <w:r>
        <w:rPr>
          <w:rFonts w:hint="eastAsia" w:ascii="宋体" w:hAnsi="宋体" w:eastAsia="宋体" w:cs="@仿宋_GB2312"/>
          <w:color w:val="auto"/>
          <w:kern w:val="2"/>
          <w:sz w:val="24"/>
          <w:szCs w:val="24"/>
          <w:highlight w:val="none"/>
          <w:lang w:val="en-US" w:eastAsia="zh-CN"/>
        </w:rPr>
        <w:t>17.11</w:t>
      </w:r>
      <w:r>
        <w:rPr>
          <w:rFonts w:hint="eastAsia" w:ascii="宋体" w:hAnsi="宋体" w:eastAsia="宋体" w:cs="@仿宋_GB2312"/>
          <w:color w:val="auto"/>
          <w:kern w:val="2"/>
          <w:sz w:val="24"/>
          <w:szCs w:val="24"/>
          <w:highlight w:val="none"/>
        </w:rPr>
        <w:t>本工程不接受恶意不平衡报价，不保证最低价成交。</w:t>
      </w:r>
    </w:p>
    <w:p w14:paraId="60AD068B">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成交候选供应商的推荐原则及标准</w:t>
      </w:r>
    </w:p>
    <w:p w14:paraId="21304D2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18</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w:t>
      </w:r>
      <w:r>
        <w:rPr>
          <w:rFonts w:ascii="宋体" w:hAnsi="宋体" w:eastAsia="宋体"/>
          <w:color w:val="auto"/>
          <w:sz w:val="24"/>
          <w:szCs w:val="24"/>
          <w:highlight w:val="none"/>
        </w:rPr>
        <w:t>依据本项目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文件所约定的</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方法</w:t>
      </w:r>
      <w:r>
        <w:rPr>
          <w:rFonts w:hint="eastAsia" w:ascii="宋体" w:hAnsi="宋体" w:eastAsia="宋体"/>
          <w:color w:val="auto"/>
          <w:sz w:val="24"/>
          <w:szCs w:val="24"/>
          <w:highlight w:val="none"/>
        </w:rPr>
        <w:t>和标准</w:t>
      </w:r>
      <w:r>
        <w:rPr>
          <w:rFonts w:ascii="宋体" w:hAnsi="宋体" w:eastAsia="宋体"/>
          <w:color w:val="auto"/>
          <w:sz w:val="24"/>
          <w:szCs w:val="24"/>
          <w:highlight w:val="none"/>
        </w:rPr>
        <w:t>，</w:t>
      </w:r>
      <w:r>
        <w:rPr>
          <w:rFonts w:hint="eastAsia" w:ascii="宋体" w:hAnsi="宋体" w:eastAsia="宋体"/>
          <w:color w:val="auto"/>
          <w:sz w:val="24"/>
          <w:szCs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06EFA633">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确定成交候选供应商和成交供应商</w:t>
      </w:r>
    </w:p>
    <w:p w14:paraId="71C50EBE">
      <w:pPr>
        <w:spacing w:line="360" w:lineRule="auto"/>
        <w:ind w:firstLine="470" w:firstLineChars="196"/>
        <w:rPr>
          <w:color w:val="auto"/>
          <w:sz w:val="24"/>
          <w:szCs w:val="24"/>
          <w:highlight w:val="none"/>
        </w:rPr>
      </w:pPr>
      <w:r>
        <w:rPr>
          <w:rFonts w:hint="eastAsia"/>
          <w:color w:val="auto"/>
          <w:sz w:val="24"/>
          <w:szCs w:val="24"/>
          <w:highlight w:val="none"/>
          <w:lang w:val="en-US" w:eastAsia="zh-CN"/>
        </w:rPr>
        <w:t>19</w:t>
      </w:r>
      <w:r>
        <w:rPr>
          <w:rFonts w:hint="eastAsia"/>
          <w:color w:val="auto"/>
          <w:sz w:val="24"/>
          <w:szCs w:val="24"/>
          <w:highlight w:val="none"/>
        </w:rPr>
        <w:t>.1磋商小组根据综合评分的结果和</w:t>
      </w:r>
      <w:r>
        <w:rPr>
          <w:rFonts w:hint="eastAsia" w:ascii="宋体" w:hAnsi="宋体" w:eastAsia="宋体"/>
          <w:color w:val="auto"/>
          <w:sz w:val="24"/>
          <w:szCs w:val="24"/>
          <w:highlight w:val="none"/>
          <w:u w:val="single"/>
        </w:rPr>
        <w:t>供应商</w:t>
      </w:r>
      <w:r>
        <w:rPr>
          <w:rFonts w:ascii="宋体" w:hAnsi="宋体" w:eastAsia="宋体"/>
          <w:color w:val="auto"/>
          <w:sz w:val="24"/>
          <w:szCs w:val="24"/>
          <w:highlight w:val="none"/>
          <w:u w:val="single"/>
        </w:rPr>
        <w:t>须知前附表</w:t>
      </w:r>
      <w:r>
        <w:rPr>
          <w:rFonts w:ascii="宋体" w:hAnsi="宋体" w:eastAsia="宋体"/>
          <w:color w:val="auto"/>
          <w:sz w:val="24"/>
          <w:szCs w:val="24"/>
          <w:highlight w:val="none"/>
        </w:rPr>
        <w:t>中规定</w:t>
      </w:r>
      <w:r>
        <w:rPr>
          <w:rFonts w:hint="eastAsia"/>
          <w:color w:val="auto"/>
          <w:sz w:val="24"/>
          <w:szCs w:val="24"/>
          <w:highlight w:val="none"/>
        </w:rPr>
        <w:t>确定成交候选供应商，并标明排列顺序。</w:t>
      </w:r>
      <w:r>
        <w:rPr>
          <w:rFonts w:hint="eastAsia" w:ascii="宋体" w:hAnsi="宋体" w:eastAsia="宋体"/>
          <w:color w:val="auto"/>
          <w:sz w:val="24"/>
          <w:szCs w:val="24"/>
          <w:highlight w:val="none"/>
        </w:rPr>
        <w:t>按</w:t>
      </w:r>
      <w:r>
        <w:rPr>
          <w:rFonts w:hint="eastAsia" w:ascii="宋体" w:hAnsi="宋体" w:eastAsia="宋体"/>
          <w:color w:val="auto"/>
          <w:sz w:val="24"/>
          <w:szCs w:val="24"/>
          <w:highlight w:val="none"/>
          <w:u w:val="single"/>
          <w:lang w:val="en-US" w:eastAsia="zh-CN"/>
        </w:rPr>
        <w:t>供应商</w:t>
      </w:r>
      <w:r>
        <w:rPr>
          <w:rFonts w:ascii="宋体" w:hAnsi="宋体" w:eastAsia="宋体"/>
          <w:color w:val="auto"/>
          <w:sz w:val="24"/>
          <w:szCs w:val="24"/>
          <w:highlight w:val="none"/>
          <w:u w:val="single"/>
        </w:rPr>
        <w:t>须知前附表</w:t>
      </w:r>
      <w:r>
        <w:rPr>
          <w:rFonts w:hint="eastAsia" w:ascii="宋体" w:hAnsi="宋体" w:eastAsia="宋体"/>
          <w:color w:val="auto"/>
          <w:sz w:val="24"/>
          <w:szCs w:val="24"/>
          <w:highlight w:val="none"/>
        </w:rPr>
        <w:t>中规定，</w:t>
      </w:r>
      <w:r>
        <w:rPr>
          <w:rFonts w:ascii="宋体" w:hAnsi="宋体" w:eastAsia="宋体"/>
          <w:color w:val="auto"/>
          <w:sz w:val="24"/>
          <w:szCs w:val="24"/>
          <w:highlight w:val="none"/>
        </w:rPr>
        <w:t>由</w:t>
      </w:r>
      <w:r>
        <w:rPr>
          <w:rFonts w:hint="eastAsia" w:ascii="宋体" w:hAnsi="宋体" w:eastAsia="宋体"/>
          <w:color w:val="auto"/>
          <w:sz w:val="24"/>
          <w:szCs w:val="24"/>
          <w:highlight w:val="none"/>
          <w:lang w:val="en-US" w:eastAsia="zh-CN"/>
        </w:rPr>
        <w:t>磋商小组</w:t>
      </w:r>
      <w:r>
        <w:rPr>
          <w:rFonts w:ascii="宋体" w:hAnsi="宋体" w:eastAsia="宋体"/>
          <w:color w:val="auto"/>
          <w:sz w:val="24"/>
          <w:szCs w:val="24"/>
          <w:highlight w:val="none"/>
        </w:rPr>
        <w:t>或采购人确定</w:t>
      </w:r>
      <w:r>
        <w:rPr>
          <w:rFonts w:hint="eastAsia" w:ascii="宋体" w:hAnsi="宋体" w:eastAsia="宋体"/>
          <w:color w:val="auto"/>
          <w:sz w:val="24"/>
          <w:szCs w:val="24"/>
          <w:highlight w:val="none"/>
          <w:lang w:val="en-US" w:eastAsia="zh-CN"/>
        </w:rPr>
        <w:t>成交供应商</w:t>
      </w:r>
      <w:r>
        <w:rPr>
          <w:rFonts w:ascii="宋体" w:hAnsi="宋体" w:eastAsia="宋体"/>
          <w:color w:val="auto"/>
          <w:sz w:val="24"/>
          <w:szCs w:val="24"/>
          <w:highlight w:val="none"/>
        </w:rPr>
        <w:t>。</w:t>
      </w:r>
    </w:p>
    <w:p w14:paraId="0A9CB44F">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20</w:t>
      </w:r>
      <w:r>
        <w:rPr>
          <w:rFonts w:ascii="宋体" w:hAnsi="宋体" w:eastAsia="宋体"/>
          <w:b/>
          <w:color w:val="auto"/>
          <w:sz w:val="24"/>
          <w:szCs w:val="24"/>
          <w:highlight w:val="none"/>
        </w:rPr>
        <w:t>.编写评审报告</w:t>
      </w:r>
    </w:p>
    <w:p w14:paraId="5622ECA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20</w:t>
      </w:r>
      <w:r>
        <w:rPr>
          <w:rFonts w:hint="eastAsia" w:ascii="宋体" w:hAnsi="宋体" w:eastAsia="宋体"/>
          <w:color w:val="auto"/>
          <w:sz w:val="24"/>
          <w:szCs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1805B028">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保密要求</w:t>
      </w:r>
    </w:p>
    <w:p w14:paraId="47243CE3">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.1评审将在严格保密的情况下进行。</w:t>
      </w:r>
    </w:p>
    <w:p w14:paraId="3A93502F">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.2有关人员</w:t>
      </w:r>
      <w:r>
        <w:rPr>
          <w:color w:val="auto"/>
          <w:sz w:val="24"/>
          <w:szCs w:val="24"/>
          <w:highlight w:val="none"/>
        </w:rPr>
        <w:t>应当</w:t>
      </w:r>
      <w:r>
        <w:rPr>
          <w:rFonts w:hint="eastAsia"/>
          <w:color w:val="auto"/>
          <w:sz w:val="24"/>
          <w:szCs w:val="24"/>
          <w:highlight w:val="none"/>
        </w:rPr>
        <w:t>遵</w:t>
      </w:r>
      <w:r>
        <w:rPr>
          <w:color w:val="auto"/>
          <w:sz w:val="24"/>
          <w:szCs w:val="24"/>
          <w:highlight w:val="none"/>
        </w:rPr>
        <w:t>守</w:t>
      </w:r>
      <w:r>
        <w:rPr>
          <w:rFonts w:hint="eastAsia"/>
          <w:color w:val="auto"/>
          <w:sz w:val="24"/>
          <w:szCs w:val="24"/>
          <w:highlight w:val="none"/>
        </w:rPr>
        <w:t>评审</w:t>
      </w:r>
      <w:r>
        <w:rPr>
          <w:color w:val="auto"/>
          <w:sz w:val="24"/>
          <w:szCs w:val="24"/>
          <w:highlight w:val="none"/>
        </w:rPr>
        <w:t>工作纪律，不得</w:t>
      </w:r>
      <w:r>
        <w:rPr>
          <w:rFonts w:hint="eastAsia"/>
          <w:color w:val="auto"/>
          <w:sz w:val="24"/>
          <w:szCs w:val="24"/>
          <w:highlight w:val="none"/>
        </w:rPr>
        <w:t>泄露评审文件</w:t>
      </w:r>
      <w:r>
        <w:rPr>
          <w:color w:val="auto"/>
          <w:sz w:val="24"/>
          <w:szCs w:val="24"/>
          <w:highlight w:val="none"/>
        </w:rPr>
        <w:t>、</w:t>
      </w:r>
      <w:r>
        <w:rPr>
          <w:rFonts w:hint="eastAsia"/>
          <w:color w:val="auto"/>
          <w:sz w:val="24"/>
          <w:szCs w:val="24"/>
          <w:highlight w:val="none"/>
        </w:rPr>
        <w:t>评审</w:t>
      </w:r>
      <w:r>
        <w:rPr>
          <w:color w:val="auto"/>
          <w:sz w:val="24"/>
          <w:szCs w:val="24"/>
          <w:highlight w:val="none"/>
        </w:rPr>
        <w:t>情况和</w:t>
      </w:r>
      <w:r>
        <w:rPr>
          <w:rFonts w:hint="eastAsia"/>
          <w:color w:val="auto"/>
          <w:sz w:val="24"/>
          <w:szCs w:val="24"/>
          <w:highlight w:val="none"/>
        </w:rPr>
        <w:t>评审</w:t>
      </w:r>
      <w:r>
        <w:rPr>
          <w:color w:val="auto"/>
          <w:sz w:val="24"/>
          <w:szCs w:val="24"/>
          <w:highlight w:val="none"/>
        </w:rPr>
        <w:t>中获悉的</w:t>
      </w:r>
      <w:r>
        <w:rPr>
          <w:rFonts w:hint="eastAsia"/>
          <w:color w:val="auto"/>
          <w:sz w:val="24"/>
          <w:szCs w:val="24"/>
          <w:highlight w:val="none"/>
        </w:rPr>
        <w:t>国家秘密、</w:t>
      </w:r>
      <w:r>
        <w:rPr>
          <w:color w:val="auto"/>
          <w:sz w:val="24"/>
          <w:szCs w:val="24"/>
          <w:highlight w:val="none"/>
        </w:rPr>
        <w:t>商业秘密。</w:t>
      </w:r>
    </w:p>
    <w:p w14:paraId="070042AB">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.成交结果公告</w:t>
      </w:r>
    </w:p>
    <w:p w14:paraId="55C54073">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.1为体现“公开、公平、公正”的原则，磋商结束后，</w:t>
      </w:r>
      <w:r>
        <w:rPr>
          <w:rFonts w:hint="eastAsia" w:ascii="宋体" w:hAnsi="宋体" w:eastAsia="宋体"/>
          <w:color w:val="auto"/>
          <w:sz w:val="24"/>
          <w:szCs w:val="24"/>
          <w:highlight w:val="none"/>
        </w:rPr>
        <w:t>采购代理机构将</w:t>
      </w:r>
      <w:r>
        <w:rPr>
          <w:rFonts w:hint="eastAsia"/>
          <w:color w:val="auto"/>
          <w:sz w:val="24"/>
          <w:szCs w:val="24"/>
          <w:highlight w:val="none"/>
        </w:rPr>
        <w:t>在安徽省政府采购网（www.ccgp-anhui.gov.cn）上</w:t>
      </w:r>
      <w:r>
        <w:rPr>
          <w:rFonts w:ascii="宋体" w:hAnsi="宋体" w:eastAsia="宋体"/>
          <w:color w:val="auto"/>
          <w:sz w:val="24"/>
          <w:szCs w:val="24"/>
          <w:highlight w:val="none"/>
        </w:rPr>
        <w:t>发布成交结果公告。</w:t>
      </w:r>
    </w:p>
    <w:p w14:paraId="1212BD6F">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中约定进行公告的内容。</w:t>
      </w:r>
    </w:p>
    <w:p w14:paraId="27DC4C7C">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23</w:t>
      </w:r>
      <w:r>
        <w:rPr>
          <w:b/>
          <w:color w:val="auto"/>
          <w:sz w:val="24"/>
          <w:szCs w:val="24"/>
          <w:highlight w:val="none"/>
        </w:rPr>
        <w:t>.成交通知书</w:t>
      </w:r>
    </w:p>
    <w:p w14:paraId="662542D4">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.1采购代理机构发布成交结果公告的同时</w:t>
      </w:r>
      <w:r>
        <w:rPr>
          <w:rFonts w:ascii="宋体" w:hAnsi="宋体" w:eastAsia="宋体"/>
          <w:color w:val="auto"/>
          <w:sz w:val="24"/>
          <w:szCs w:val="24"/>
          <w:highlight w:val="none"/>
        </w:rPr>
        <w:t>以</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w:t>
      </w:r>
      <w:r>
        <w:rPr>
          <w:rFonts w:ascii="宋体" w:hAnsi="宋体" w:eastAsia="宋体"/>
          <w:color w:val="auto"/>
          <w:sz w:val="24"/>
          <w:szCs w:val="24"/>
          <w:highlight w:val="none"/>
        </w:rPr>
        <w:t>形式</w:t>
      </w:r>
      <w:r>
        <w:rPr>
          <w:color w:val="auto"/>
          <w:sz w:val="24"/>
          <w:szCs w:val="24"/>
          <w:highlight w:val="none"/>
        </w:rPr>
        <w:t>向成交供应商发出成交通知书。</w:t>
      </w:r>
    </w:p>
    <w:p w14:paraId="21C50CA8">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.2成交通知书对采购人和成交供应商具有同等法律效力。成交通知书发出以后，采购人改变成交结果或者成交供应商放弃成交资格，应当承担相应的法律责任。</w:t>
      </w:r>
    </w:p>
    <w:p w14:paraId="7261BA31">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.3成交通知书是合同的组成部分。</w:t>
      </w:r>
    </w:p>
    <w:p w14:paraId="2EFFDB05">
      <w:pPr>
        <w:spacing w:line="360" w:lineRule="auto"/>
        <w:ind w:firstLine="437"/>
        <w:outlineLvl w:val="2"/>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eastAsia="zh-CN"/>
        </w:rPr>
        <w:t>4</w:t>
      </w:r>
      <w:r>
        <w:rPr>
          <w:b/>
          <w:color w:val="auto"/>
          <w:sz w:val="24"/>
          <w:szCs w:val="24"/>
          <w:highlight w:val="none"/>
        </w:rPr>
        <w:t>.告知</w:t>
      </w:r>
      <w:r>
        <w:rPr>
          <w:rFonts w:hint="eastAsia" w:ascii="宋体" w:hAnsi="宋体" w:eastAsia="宋体"/>
          <w:b/>
          <w:color w:val="auto"/>
          <w:sz w:val="24"/>
          <w:szCs w:val="24"/>
          <w:highlight w:val="none"/>
        </w:rPr>
        <w:t>磋商</w:t>
      </w:r>
      <w:r>
        <w:rPr>
          <w:b/>
          <w:color w:val="auto"/>
          <w:sz w:val="24"/>
          <w:szCs w:val="24"/>
          <w:highlight w:val="none"/>
        </w:rPr>
        <w:t>结果</w:t>
      </w:r>
    </w:p>
    <w:p w14:paraId="5F1B5C60">
      <w:pPr>
        <w:spacing w:line="360" w:lineRule="auto"/>
        <w:ind w:firstLine="435"/>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.1在公告</w:t>
      </w:r>
      <w:r>
        <w:rPr>
          <w:rFonts w:hint="eastAsia"/>
          <w:color w:val="auto"/>
          <w:sz w:val="24"/>
          <w:szCs w:val="24"/>
          <w:highlight w:val="none"/>
        </w:rPr>
        <w:t>成交</w:t>
      </w:r>
      <w:r>
        <w:rPr>
          <w:color w:val="auto"/>
          <w:sz w:val="24"/>
          <w:szCs w:val="24"/>
          <w:highlight w:val="none"/>
        </w:rPr>
        <w:t>结果的同时，采购代理机构同时以</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规定的形式告知未</w:t>
      </w:r>
      <w:r>
        <w:rPr>
          <w:rFonts w:hint="eastAsia"/>
          <w:color w:val="auto"/>
          <w:sz w:val="24"/>
          <w:szCs w:val="24"/>
          <w:highlight w:val="none"/>
        </w:rPr>
        <w:t>成交供应商</w:t>
      </w:r>
      <w:r>
        <w:rPr>
          <w:color w:val="auto"/>
          <w:sz w:val="24"/>
          <w:szCs w:val="24"/>
          <w:highlight w:val="none"/>
        </w:rPr>
        <w:t>本人的评审得分和排序。</w:t>
      </w:r>
    </w:p>
    <w:p w14:paraId="05E89290">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w:t>
      </w:r>
      <w:r>
        <w:rPr>
          <w:rFonts w:hint="eastAsia"/>
          <w:color w:val="auto"/>
          <w:sz w:val="24"/>
          <w:szCs w:val="24"/>
          <w:highlight w:val="none"/>
        </w:rPr>
        <w:t>2</w:t>
      </w:r>
      <w:r>
        <w:rPr>
          <w:color w:val="auto"/>
          <w:sz w:val="24"/>
          <w:szCs w:val="24"/>
          <w:highlight w:val="none"/>
        </w:rPr>
        <w:t>采购代理机构对未成交的供应商不做未成交原因的解释。</w:t>
      </w:r>
    </w:p>
    <w:p w14:paraId="7411C3F4">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25</w:t>
      </w:r>
      <w:r>
        <w:rPr>
          <w:b/>
          <w:color w:val="auto"/>
          <w:sz w:val="24"/>
          <w:szCs w:val="24"/>
          <w:highlight w:val="none"/>
        </w:rPr>
        <w:t>.履约</w:t>
      </w:r>
      <w:r>
        <w:rPr>
          <w:rFonts w:ascii="宋体" w:hAnsi="宋体" w:eastAsia="宋体"/>
          <w:b/>
          <w:color w:val="auto"/>
          <w:sz w:val="24"/>
          <w:szCs w:val="24"/>
          <w:highlight w:val="none"/>
        </w:rPr>
        <w:t>保证金</w:t>
      </w:r>
    </w:p>
    <w:p w14:paraId="6D6D8262">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.1成交供应商应按照</w:t>
      </w:r>
      <w:r>
        <w:rPr>
          <w:color w:val="auto"/>
          <w:sz w:val="24"/>
          <w:szCs w:val="24"/>
          <w:highlight w:val="none"/>
          <w:u w:val="single"/>
        </w:rPr>
        <w:t>供应商须知前附表</w:t>
      </w:r>
      <w:r>
        <w:rPr>
          <w:color w:val="auto"/>
          <w:sz w:val="24"/>
          <w:szCs w:val="24"/>
          <w:highlight w:val="none"/>
        </w:rPr>
        <w:t>规定</w:t>
      </w:r>
      <w:r>
        <w:rPr>
          <w:rFonts w:hint="eastAsia"/>
          <w:color w:val="auto"/>
          <w:sz w:val="24"/>
          <w:szCs w:val="24"/>
          <w:highlight w:val="none"/>
        </w:rPr>
        <w:t>缴纳</w:t>
      </w:r>
      <w:r>
        <w:rPr>
          <w:color w:val="auto"/>
          <w:sz w:val="24"/>
          <w:szCs w:val="24"/>
          <w:highlight w:val="none"/>
        </w:rPr>
        <w:t>履约保证金。</w:t>
      </w:r>
    </w:p>
    <w:p w14:paraId="575A5F8A">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.2如果成交供应商没有按照上述履约保证金的规定执行，将视为放弃成交资格。在此情况下，采购人可确定下一成交候选供应商为成交供应商，也可以重新开展采购活动。</w:t>
      </w:r>
    </w:p>
    <w:p w14:paraId="31048954">
      <w:pPr>
        <w:spacing w:line="360" w:lineRule="auto"/>
        <w:ind w:firstLine="437"/>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26</w:t>
      </w:r>
      <w:r>
        <w:rPr>
          <w:b/>
          <w:color w:val="auto"/>
          <w:sz w:val="24"/>
          <w:szCs w:val="24"/>
          <w:highlight w:val="none"/>
        </w:rPr>
        <w:t>.</w:t>
      </w:r>
      <w:r>
        <w:rPr>
          <w:rFonts w:hint="eastAsia"/>
          <w:b/>
          <w:color w:val="auto"/>
          <w:sz w:val="24"/>
          <w:szCs w:val="24"/>
          <w:highlight w:val="none"/>
          <w:lang w:val="en-US" w:eastAsia="zh-CN"/>
        </w:rPr>
        <w:t>代理费用</w:t>
      </w:r>
    </w:p>
    <w:p w14:paraId="0051F2A5">
      <w:pPr>
        <w:spacing w:line="360" w:lineRule="auto"/>
        <w:ind w:firstLine="435"/>
        <w:rPr>
          <w:color w:val="auto"/>
          <w:sz w:val="24"/>
          <w:szCs w:val="24"/>
          <w:highlight w:val="none"/>
        </w:rPr>
      </w:pPr>
      <w:r>
        <w:rPr>
          <w:rFonts w:hint="eastAsia"/>
          <w:color w:val="auto"/>
          <w:sz w:val="24"/>
          <w:szCs w:val="24"/>
          <w:highlight w:val="none"/>
          <w:lang w:val="en-US" w:eastAsia="zh-CN"/>
        </w:rPr>
        <w:t>26</w:t>
      </w:r>
      <w:r>
        <w:rPr>
          <w:color w:val="auto"/>
          <w:sz w:val="24"/>
          <w:szCs w:val="24"/>
          <w:highlight w:val="none"/>
        </w:rPr>
        <w:t>.1本项目</w:t>
      </w:r>
      <w:r>
        <w:rPr>
          <w:rFonts w:hint="eastAsia"/>
          <w:color w:val="auto"/>
          <w:sz w:val="24"/>
          <w:szCs w:val="24"/>
          <w:highlight w:val="none"/>
          <w:lang w:val="en-US" w:eastAsia="zh-CN"/>
        </w:rPr>
        <w:t>代理费用</w:t>
      </w:r>
      <w:r>
        <w:rPr>
          <w:color w:val="auto"/>
          <w:sz w:val="24"/>
          <w:szCs w:val="24"/>
          <w:highlight w:val="none"/>
        </w:rPr>
        <w:t>的收取按</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的规定执行。</w:t>
      </w:r>
    </w:p>
    <w:p w14:paraId="124B2162">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27</w:t>
      </w:r>
      <w:r>
        <w:rPr>
          <w:b/>
          <w:color w:val="auto"/>
          <w:sz w:val="24"/>
          <w:szCs w:val="24"/>
          <w:highlight w:val="none"/>
        </w:rPr>
        <w:t>.签订</w:t>
      </w:r>
      <w:r>
        <w:rPr>
          <w:rFonts w:ascii="宋体" w:hAnsi="宋体" w:eastAsia="宋体"/>
          <w:b/>
          <w:color w:val="auto"/>
          <w:sz w:val="24"/>
          <w:szCs w:val="24"/>
          <w:highlight w:val="none"/>
        </w:rPr>
        <w:t>合同</w:t>
      </w:r>
    </w:p>
    <w:p w14:paraId="5A16C9F0">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20D2F4CE">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.2磋商文件、成交供应商的响应文件及其澄清文件等，均为签订合同的依据。</w:t>
      </w:r>
    </w:p>
    <w:p w14:paraId="7AE4BDB9">
      <w:pPr>
        <w:spacing w:line="360" w:lineRule="auto"/>
        <w:ind w:firstLine="470" w:firstLineChars="196"/>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szCs w:val="24"/>
          <w:highlight w:val="none"/>
        </w:rPr>
        <w:t>成交供应商拒绝签订政府采购合同的不得参加对该项目重新开展的采购活动。</w:t>
      </w:r>
    </w:p>
    <w:p w14:paraId="3FBA0CEF">
      <w:pPr>
        <w:spacing w:line="360" w:lineRule="auto"/>
        <w:ind w:firstLine="470" w:firstLineChars="196"/>
        <w:rPr>
          <w:color w:val="auto"/>
          <w:sz w:val="24"/>
          <w:szCs w:val="24"/>
          <w:highlight w:val="none"/>
        </w:rPr>
      </w:pPr>
      <w:bookmarkStart w:id="51" w:name="_Hlk60264926"/>
      <w:r>
        <w:rPr>
          <w:rFonts w:hint="eastAsia"/>
          <w:color w:val="auto"/>
          <w:sz w:val="24"/>
          <w:szCs w:val="24"/>
          <w:highlight w:val="none"/>
          <w:lang w:val="en-US" w:eastAsia="zh-CN"/>
        </w:rPr>
        <w:t>27.4</w:t>
      </w:r>
      <w:r>
        <w:rPr>
          <w:rFonts w:hint="eastAsia"/>
          <w:color w:val="auto"/>
          <w:sz w:val="24"/>
          <w:szCs w:val="24"/>
          <w:highlight w:val="none"/>
        </w:rPr>
        <w:t>依据《政府采购促进中小企业发展管理办法》（财库〔</w:t>
      </w:r>
      <w:r>
        <w:rPr>
          <w:color w:val="auto"/>
          <w:sz w:val="24"/>
          <w:szCs w:val="24"/>
          <w:highlight w:val="none"/>
        </w:rPr>
        <w:t>2020〕46号</w:t>
      </w:r>
      <w:r>
        <w:rPr>
          <w:rFonts w:hint="eastAsia"/>
          <w:color w:val="auto"/>
          <w:sz w:val="24"/>
          <w:szCs w:val="24"/>
          <w:highlight w:val="none"/>
        </w:rPr>
        <w:t>）规定享受扶持政策获得政府采购合同的，小微企业不得将合同分包给大中型企业，中型企业不得将合同分包给大型企业。</w:t>
      </w:r>
      <w:bookmarkEnd w:id="51"/>
    </w:p>
    <w:p w14:paraId="2DBC6145">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28</w:t>
      </w:r>
      <w:r>
        <w:rPr>
          <w:b/>
          <w:color w:val="auto"/>
          <w:sz w:val="24"/>
          <w:szCs w:val="24"/>
          <w:highlight w:val="none"/>
        </w:rPr>
        <w:t>.廉洁</w:t>
      </w:r>
      <w:r>
        <w:rPr>
          <w:rFonts w:ascii="宋体" w:hAnsi="宋体" w:eastAsia="宋体"/>
          <w:b/>
          <w:color w:val="auto"/>
          <w:sz w:val="24"/>
          <w:szCs w:val="24"/>
          <w:highlight w:val="none"/>
        </w:rPr>
        <w:t>自律</w:t>
      </w:r>
      <w:r>
        <w:rPr>
          <w:b/>
          <w:color w:val="auto"/>
          <w:sz w:val="24"/>
          <w:szCs w:val="24"/>
          <w:highlight w:val="none"/>
        </w:rPr>
        <w:t>规定</w:t>
      </w:r>
    </w:p>
    <w:p w14:paraId="7AE98305">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.1采购代理机构工作人员不得以不正当手段获取政府采购代理业务，不得与采购人、供应商恶意串通。</w:t>
      </w:r>
    </w:p>
    <w:p w14:paraId="445A7302">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.2采购代理机构工作人员不得接受采购人或者供应商组织的宴请、旅游、娱乐，不得收受礼品、现金、有价证券等，不得向采购人或者供应商报销应当由个人承担的费用。</w:t>
      </w:r>
    </w:p>
    <w:p w14:paraId="5390F1AF">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29</w:t>
      </w:r>
      <w:r>
        <w:rPr>
          <w:b/>
          <w:color w:val="auto"/>
          <w:sz w:val="24"/>
          <w:szCs w:val="24"/>
          <w:highlight w:val="none"/>
        </w:rPr>
        <w:t>.质疑的提出与接收</w:t>
      </w:r>
    </w:p>
    <w:p w14:paraId="0E0D922B">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635D11E1">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5450591A">
      <w:pPr>
        <w:spacing w:line="360" w:lineRule="auto"/>
        <w:ind w:firstLine="435"/>
        <w:rPr>
          <w:rFonts w:hint="eastAsia"/>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采购代理机构质疑函接收部门、联系电话和通讯地址，见</w:t>
      </w:r>
      <w:r>
        <w:rPr>
          <w:rFonts w:hint="eastAsia"/>
          <w:color w:val="auto"/>
          <w:sz w:val="24"/>
          <w:szCs w:val="24"/>
          <w:highlight w:val="none"/>
          <w:u w:val="single"/>
        </w:rPr>
        <w:t>供应商须知前附表</w:t>
      </w:r>
      <w:r>
        <w:rPr>
          <w:rFonts w:hint="eastAsia"/>
          <w:color w:val="auto"/>
          <w:sz w:val="24"/>
          <w:szCs w:val="24"/>
          <w:highlight w:val="none"/>
        </w:rPr>
        <w:t>。</w:t>
      </w:r>
    </w:p>
    <w:p w14:paraId="6E1531EC">
      <w:pPr>
        <w:spacing w:line="360" w:lineRule="auto"/>
        <w:ind w:firstLine="435"/>
        <w:rPr>
          <w:color w:val="auto"/>
          <w:sz w:val="24"/>
          <w:szCs w:val="24"/>
          <w:highlight w:val="none"/>
        </w:rPr>
      </w:pPr>
      <w:r>
        <w:rPr>
          <w:rFonts w:hint="eastAsia" w:ascii="宋体" w:hAnsi="宋体" w:eastAsia="宋体"/>
          <w:color w:val="auto"/>
          <w:sz w:val="24"/>
          <w:szCs w:val="24"/>
          <w:highlight w:val="none"/>
          <w:lang w:val="en-US" w:eastAsia="zh-CN"/>
        </w:rPr>
        <w:t>注：上述条款中所要求的书面形式包含通过电子交易系统递交方式。</w:t>
      </w:r>
    </w:p>
    <w:p w14:paraId="7072CCC7">
      <w:pPr>
        <w:spacing w:line="360" w:lineRule="auto"/>
        <w:ind w:firstLine="437"/>
        <w:outlineLvl w:val="2"/>
        <w:rPr>
          <w:b/>
          <w:color w:val="auto"/>
          <w:sz w:val="24"/>
          <w:szCs w:val="24"/>
          <w:highlight w:val="none"/>
        </w:rPr>
      </w:pPr>
      <w:r>
        <w:rPr>
          <w:b/>
          <w:color w:val="auto"/>
          <w:sz w:val="24"/>
          <w:szCs w:val="24"/>
          <w:highlight w:val="none"/>
        </w:rPr>
        <w:t>3</w:t>
      </w:r>
      <w:r>
        <w:rPr>
          <w:rFonts w:hint="eastAsia"/>
          <w:b/>
          <w:color w:val="auto"/>
          <w:sz w:val="24"/>
          <w:szCs w:val="24"/>
          <w:highlight w:val="none"/>
          <w:lang w:val="en-US" w:eastAsia="zh-CN"/>
        </w:rPr>
        <w:t>0</w:t>
      </w:r>
      <w:r>
        <w:rPr>
          <w:b/>
          <w:color w:val="auto"/>
          <w:sz w:val="24"/>
          <w:szCs w:val="24"/>
          <w:highlight w:val="none"/>
        </w:rPr>
        <w:t>.需要补充的其他内容</w:t>
      </w:r>
    </w:p>
    <w:p w14:paraId="70832C4C">
      <w:pPr>
        <w:spacing w:line="360" w:lineRule="auto"/>
        <w:ind w:firstLine="435"/>
        <w:rPr>
          <w:color w:val="auto"/>
          <w:sz w:val="24"/>
          <w:szCs w:val="24"/>
          <w:highlight w:val="none"/>
        </w:rPr>
      </w:pPr>
      <w:r>
        <w:rPr>
          <w:rFonts w:hint="eastAsia"/>
          <w:color w:val="auto"/>
          <w:sz w:val="24"/>
          <w:szCs w:val="24"/>
          <w:highlight w:val="none"/>
        </w:rPr>
        <w:t>需要补充的其他内容，见</w:t>
      </w:r>
      <w:r>
        <w:rPr>
          <w:rFonts w:hint="eastAsia"/>
          <w:color w:val="auto"/>
          <w:sz w:val="24"/>
          <w:szCs w:val="24"/>
          <w:highlight w:val="none"/>
          <w:u w:val="single"/>
        </w:rPr>
        <w:t>供应商须知前附表</w:t>
      </w:r>
      <w:r>
        <w:rPr>
          <w:rFonts w:hint="eastAsia"/>
          <w:color w:val="auto"/>
          <w:sz w:val="24"/>
          <w:szCs w:val="24"/>
          <w:highlight w:val="none"/>
        </w:rPr>
        <w:t>。</w:t>
      </w:r>
    </w:p>
    <w:p w14:paraId="783D6389">
      <w:pPr>
        <w:widowControl/>
        <w:jc w:val="left"/>
        <w:rPr>
          <w:rFonts w:ascii="宋体" w:hAnsi="宋体" w:eastAsia="宋体"/>
          <w:b/>
          <w:color w:val="auto"/>
          <w:sz w:val="24"/>
          <w:szCs w:val="24"/>
          <w:highlight w:val="none"/>
        </w:rPr>
      </w:pPr>
      <w:r>
        <w:rPr>
          <w:rFonts w:ascii="宋体" w:hAnsi="宋体" w:eastAsia="宋体"/>
          <w:color w:val="auto"/>
          <w:sz w:val="24"/>
          <w:szCs w:val="24"/>
          <w:highlight w:val="none"/>
        </w:rPr>
        <w:br w:type="page"/>
      </w:r>
    </w:p>
    <w:p w14:paraId="414E7BE3">
      <w:pPr>
        <w:spacing w:line="360" w:lineRule="auto"/>
        <w:jc w:val="center"/>
        <w:outlineLvl w:val="0"/>
        <w:rPr>
          <w:rFonts w:ascii="宋体" w:hAnsi="宋体" w:eastAsia="宋体"/>
          <w:b/>
          <w:color w:val="auto"/>
          <w:sz w:val="24"/>
          <w:szCs w:val="24"/>
          <w:highlight w:val="none"/>
        </w:rPr>
      </w:pPr>
      <w:bookmarkStart w:id="52" w:name="_Toc30873"/>
      <w:r>
        <w:rPr>
          <w:rFonts w:hint="eastAsia" w:ascii="宋体" w:hAnsi="宋体" w:eastAsia="宋体"/>
          <w:b/>
          <w:color w:val="auto"/>
          <w:sz w:val="24"/>
          <w:szCs w:val="24"/>
          <w:highlight w:val="none"/>
        </w:rPr>
        <w:t>第三章  采购需求</w:t>
      </w:r>
      <w:bookmarkEnd w:id="52"/>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408"/>
        <w:gridCol w:w="6935"/>
      </w:tblGrid>
      <w:tr w14:paraId="108C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F17A6CC">
            <w:pPr>
              <w:spacing w:line="360" w:lineRule="auto"/>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序号</w:t>
            </w:r>
          </w:p>
        </w:tc>
        <w:tc>
          <w:tcPr>
            <w:tcW w:w="749" w:type="pct"/>
            <w:vAlign w:val="center"/>
          </w:tcPr>
          <w:p w14:paraId="4B48E381">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内容</w:t>
            </w:r>
          </w:p>
        </w:tc>
        <w:tc>
          <w:tcPr>
            <w:tcW w:w="3688" w:type="pct"/>
            <w:vAlign w:val="center"/>
          </w:tcPr>
          <w:p w14:paraId="591E989D">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说明和要求</w:t>
            </w:r>
          </w:p>
        </w:tc>
      </w:tr>
      <w:tr w14:paraId="2FCF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CB3EEEC">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749" w:type="pct"/>
            <w:vAlign w:val="center"/>
          </w:tcPr>
          <w:p w14:paraId="00F7615B">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人员到岗及履约要求</w:t>
            </w:r>
          </w:p>
        </w:tc>
        <w:tc>
          <w:tcPr>
            <w:tcW w:w="3688" w:type="pct"/>
            <w:vAlign w:val="center"/>
          </w:tcPr>
          <w:p w14:paraId="2E539E40">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（1）供应商一旦成交，磋商时所报的本项目的项目经理</w:t>
            </w:r>
            <w:r>
              <w:rPr>
                <w:rFonts w:hint="eastAsia" w:cs="宋体"/>
                <w:bCs/>
                <w:color w:val="auto"/>
                <w:kern w:val="2"/>
                <w:sz w:val="24"/>
                <w:szCs w:val="24"/>
                <w:highlight w:val="none"/>
              </w:rPr>
              <w:t>每月在施工现场的时间：驻场时间每月不少于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22</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天，每天在岗工作时间不得少于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8</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小时</w:t>
            </w:r>
            <w:r>
              <w:rPr>
                <w:rFonts w:hint="eastAsia" w:ascii="宋体" w:hAnsi="宋体" w:eastAsia="宋体" w:cs="@仿宋_GB2312"/>
                <w:color w:val="auto"/>
                <w:kern w:val="2"/>
                <w:sz w:val="24"/>
                <w:szCs w:val="24"/>
                <w:highlight w:val="none"/>
              </w:rPr>
              <w:t>，否则采购人有权终止合同。由此造成的损失，成交供应商自行承担并赔偿可能给采购人造成的损失。</w:t>
            </w:r>
          </w:p>
          <w:p w14:paraId="4C1E3E7F">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5C7E0002">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（3）成交供应商未能按照承诺到岗尽职的，采购人将视情况严重程度对其作出相应处理，给予警告并发出整改通知。如仍未及时整改，采购人有权责令其停工整改、直至终止合同，引进新的</w:t>
            </w:r>
            <w:r>
              <w:rPr>
                <w:rFonts w:hint="eastAsia" w:cs="@仿宋_GB2312"/>
                <w:color w:val="auto"/>
                <w:kern w:val="2"/>
                <w:sz w:val="24"/>
                <w:szCs w:val="24"/>
                <w:highlight w:val="none"/>
                <w:lang w:eastAsia="zh-CN"/>
              </w:rPr>
              <w:t>乙方</w:t>
            </w:r>
            <w:r>
              <w:rPr>
                <w:rFonts w:hint="eastAsia" w:ascii="宋体" w:hAnsi="宋体" w:eastAsia="宋体" w:cs="@仿宋_GB2312"/>
                <w:color w:val="auto"/>
                <w:kern w:val="2"/>
                <w:sz w:val="24"/>
                <w:szCs w:val="24"/>
                <w:highlight w:val="none"/>
              </w:rPr>
              <w:t>。采购人还将停止支付工程款项，扣留任何未付的工程进度款项补偿建设单位的有关损失或工期延误的损失，并就此向</w:t>
            </w:r>
            <w:r>
              <w:rPr>
                <w:rFonts w:hint="eastAsia" w:cs="@仿宋_GB2312"/>
                <w:color w:val="auto"/>
                <w:kern w:val="2"/>
                <w:sz w:val="24"/>
                <w:szCs w:val="24"/>
                <w:highlight w:val="none"/>
                <w:lang w:val="en-US" w:eastAsia="zh-CN"/>
              </w:rPr>
              <w:t>供应商</w:t>
            </w:r>
            <w:r>
              <w:rPr>
                <w:rFonts w:hint="eastAsia" w:ascii="宋体" w:hAnsi="宋体" w:eastAsia="宋体" w:cs="@仿宋_GB2312"/>
                <w:color w:val="auto"/>
                <w:kern w:val="2"/>
                <w:sz w:val="24"/>
                <w:szCs w:val="24"/>
                <w:highlight w:val="none"/>
              </w:rPr>
              <w:t>索赔。</w:t>
            </w:r>
          </w:p>
        </w:tc>
      </w:tr>
      <w:tr w14:paraId="52AF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9026F5C">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749" w:type="pct"/>
            <w:vAlign w:val="center"/>
          </w:tcPr>
          <w:p w14:paraId="1771B4F8">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材料要求</w:t>
            </w:r>
          </w:p>
        </w:tc>
        <w:tc>
          <w:tcPr>
            <w:tcW w:w="3688" w:type="pct"/>
            <w:vAlign w:val="center"/>
          </w:tcPr>
          <w:p w14:paraId="3E977BA8">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质量合格，满足国家和行业规范标准。</w:t>
            </w:r>
          </w:p>
          <w:p w14:paraId="18A8F874">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注：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6516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903E0A2">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3</w:t>
            </w:r>
          </w:p>
        </w:tc>
        <w:tc>
          <w:tcPr>
            <w:tcW w:w="749" w:type="pct"/>
            <w:vAlign w:val="center"/>
          </w:tcPr>
          <w:p w14:paraId="0B904405">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报价须知</w:t>
            </w:r>
          </w:p>
        </w:tc>
        <w:tc>
          <w:tcPr>
            <w:tcW w:w="3688" w:type="pct"/>
            <w:vAlign w:val="center"/>
          </w:tcPr>
          <w:p w14:paraId="51A462CC">
            <w:pPr>
              <w:pStyle w:val="68"/>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宋体" w:hAnsi="宋体" w:eastAsia="宋体" w:cs="@仿宋_GB2312"/>
                <w:color w:val="auto"/>
                <w:kern w:val="2"/>
                <w:sz w:val="24"/>
                <w:szCs w:val="24"/>
                <w:highlight w:val="none"/>
              </w:rPr>
            </w:pPr>
            <w:r>
              <w:rPr>
                <w:rFonts w:hint="eastAsia" w:cs="@仿宋_GB2312"/>
                <w:bCs/>
                <w:color w:val="auto"/>
                <w:kern w:val="2"/>
                <w:sz w:val="24"/>
                <w:szCs w:val="24"/>
                <w:highlight w:val="none"/>
                <w:lang w:eastAsia="zh-CN"/>
              </w:rPr>
              <w:t>（</w:t>
            </w:r>
            <w:r>
              <w:rPr>
                <w:rFonts w:hint="eastAsia" w:cs="@仿宋_GB2312"/>
                <w:bCs/>
                <w:color w:val="auto"/>
                <w:kern w:val="2"/>
                <w:sz w:val="24"/>
                <w:szCs w:val="24"/>
                <w:highlight w:val="none"/>
                <w:lang w:val="en-US" w:eastAsia="zh-CN"/>
              </w:rPr>
              <w:t>1）</w:t>
            </w:r>
            <w:r>
              <w:rPr>
                <w:rFonts w:ascii="宋体" w:hAnsi="宋体" w:eastAsia="宋体" w:cs="@仿宋_GB2312"/>
                <w:bCs/>
                <w:color w:val="auto"/>
                <w:kern w:val="2"/>
                <w:sz w:val="24"/>
                <w:szCs w:val="24"/>
                <w:highlight w:val="none"/>
              </w:rPr>
              <w:t>供应商最后报价不得高于磋商文件（公告）列明的</w:t>
            </w:r>
            <w:r>
              <w:rPr>
                <w:rFonts w:hint="eastAsia" w:cs="@仿宋_GB2312"/>
                <w:bCs/>
                <w:color w:val="auto"/>
                <w:kern w:val="2"/>
                <w:sz w:val="24"/>
                <w:szCs w:val="24"/>
                <w:highlight w:val="none"/>
                <w:lang w:val="en-US" w:eastAsia="zh-CN"/>
              </w:rPr>
              <w:t>各包别</w:t>
            </w:r>
            <w:r>
              <w:rPr>
                <w:rFonts w:ascii="宋体" w:hAnsi="宋体" w:eastAsia="宋体" w:cs="@仿宋_GB2312"/>
                <w:bCs/>
                <w:color w:val="auto"/>
                <w:kern w:val="2"/>
                <w:sz w:val="24"/>
                <w:szCs w:val="24"/>
                <w:highlight w:val="none"/>
              </w:rPr>
              <w:t>预算</w:t>
            </w:r>
            <w:r>
              <w:rPr>
                <w:rFonts w:hint="eastAsia" w:ascii="宋体" w:hAnsi="宋体" w:eastAsia="宋体" w:cs="@仿宋_GB2312"/>
                <w:bCs/>
                <w:color w:val="auto"/>
                <w:kern w:val="2"/>
                <w:sz w:val="24"/>
                <w:szCs w:val="24"/>
                <w:highlight w:val="none"/>
                <w:lang w:val="en-US" w:eastAsia="zh-CN"/>
              </w:rPr>
              <w:t>金额</w:t>
            </w:r>
            <w:r>
              <w:rPr>
                <w:rFonts w:hint="eastAsia" w:ascii="宋体" w:hAnsi="宋体" w:eastAsia="宋体" w:cs="@仿宋_GB2312"/>
                <w:bCs/>
                <w:color w:val="auto"/>
                <w:kern w:val="2"/>
                <w:sz w:val="24"/>
                <w:szCs w:val="24"/>
                <w:highlight w:val="none"/>
              </w:rPr>
              <w:t>、最高限价</w:t>
            </w:r>
            <w:r>
              <w:rPr>
                <w:rFonts w:hint="eastAsia" w:cs="@仿宋_GB2312"/>
                <w:bCs/>
                <w:color w:val="auto"/>
                <w:kern w:val="2"/>
                <w:sz w:val="24"/>
                <w:szCs w:val="24"/>
                <w:highlight w:val="none"/>
                <w:lang w:val="en-US" w:eastAsia="zh-CN"/>
              </w:rPr>
              <w:t>及分项限价</w:t>
            </w:r>
            <w:r>
              <w:rPr>
                <w:rFonts w:hint="eastAsia" w:cs="宋体"/>
                <w:b/>
                <w:color w:val="auto"/>
                <w:kern w:val="2"/>
                <w:sz w:val="24"/>
                <w:szCs w:val="24"/>
                <w:highlight w:val="none"/>
                <w:lang w:eastAsia="zh-CN"/>
              </w:rPr>
              <w:t>，</w:t>
            </w:r>
            <w:r>
              <w:rPr>
                <w:rFonts w:ascii="宋体" w:hAnsi="宋体" w:eastAsia="宋体" w:cs="@仿宋_GB2312"/>
                <w:bCs/>
                <w:color w:val="auto"/>
                <w:kern w:val="2"/>
                <w:sz w:val="24"/>
                <w:szCs w:val="24"/>
                <w:highlight w:val="none"/>
              </w:rPr>
              <w:t>否则其响应文件将被认定为</w:t>
            </w:r>
            <w:r>
              <w:rPr>
                <w:rFonts w:ascii="宋体" w:hAnsi="宋体" w:eastAsia="宋体" w:cs="@仿宋_GB2312"/>
                <w:b/>
                <w:color w:val="auto"/>
                <w:kern w:val="2"/>
                <w:sz w:val="24"/>
                <w:szCs w:val="24"/>
                <w:highlight w:val="none"/>
              </w:rPr>
              <w:t>响应无效</w:t>
            </w:r>
            <w:r>
              <w:rPr>
                <w:rFonts w:hint="eastAsia" w:ascii="宋体" w:hAnsi="宋体" w:eastAsia="宋体" w:cs="@仿宋_GB2312"/>
                <w:color w:val="auto"/>
                <w:kern w:val="2"/>
                <w:sz w:val="24"/>
                <w:szCs w:val="24"/>
                <w:highlight w:val="none"/>
              </w:rPr>
              <w:t>。</w:t>
            </w:r>
          </w:p>
          <w:p w14:paraId="5FD72826">
            <w:pPr>
              <w:pStyle w:val="68"/>
              <w:widowControl w:val="0"/>
              <w:spacing w:before="0" w:beforeAutospacing="0" w:after="0" w:afterAutospacing="0" w:line="360" w:lineRule="auto"/>
              <w:jc w:val="both"/>
              <w:rPr>
                <w:rFonts w:hint="eastAsia" w:ascii="宋体" w:hAnsi="宋体" w:cs="@仿宋_GB2312" w:eastAsiaTheme="minorEastAsia"/>
                <w:color w:val="auto"/>
                <w:kern w:val="2"/>
                <w:sz w:val="24"/>
                <w:szCs w:val="24"/>
                <w:highlight w:val="none"/>
                <w:lang w:eastAsia="zh-CN"/>
              </w:rPr>
            </w:pPr>
            <w:r>
              <w:rPr>
                <w:rFonts w:hint="eastAsia" w:ascii="宋体" w:hAnsi="宋体" w:eastAsia="宋体" w:cs="@仿宋_GB2312"/>
                <w:color w:val="auto"/>
                <w:kern w:val="2"/>
                <w:sz w:val="24"/>
                <w:szCs w:val="24"/>
                <w:highlight w:val="none"/>
              </w:rPr>
              <w:t>（</w:t>
            </w:r>
            <w:r>
              <w:rPr>
                <w:rFonts w:hint="eastAsia" w:ascii="宋体" w:hAnsi="宋体" w:eastAsia="宋体" w:cs="@仿宋_GB2312"/>
                <w:bCs/>
                <w:color w:val="auto"/>
                <w:kern w:val="2"/>
                <w:sz w:val="24"/>
                <w:szCs w:val="24"/>
                <w:highlight w:val="none"/>
              </w:rPr>
              <w:t>2）安全生产费用</w:t>
            </w:r>
            <w:r>
              <w:rPr>
                <w:rFonts w:hint="eastAsia" w:ascii="宋体" w:hAnsi="宋体" w:eastAsia="宋体" w:cs="@仿宋_GB2312"/>
                <w:bCs/>
                <w:color w:val="auto"/>
                <w:kern w:val="2"/>
                <w:sz w:val="24"/>
                <w:szCs w:val="24"/>
                <w:highlight w:val="none"/>
                <w:lang w:eastAsia="zh-CN"/>
              </w:rPr>
              <w:t>：不低于</w:t>
            </w:r>
            <w:r>
              <w:rPr>
                <w:rFonts w:ascii="宋体" w:hAnsi="宋体" w:eastAsia="宋体" w:cs="@仿宋_GB2312"/>
                <w:bCs/>
                <w:color w:val="auto"/>
                <w:kern w:val="2"/>
                <w:sz w:val="24"/>
                <w:szCs w:val="24"/>
                <w:highlight w:val="none"/>
              </w:rPr>
              <w:t>列明的</w:t>
            </w:r>
            <w:r>
              <w:rPr>
                <w:rFonts w:hint="eastAsia" w:cs="@仿宋_GB2312"/>
                <w:bCs/>
                <w:color w:val="auto"/>
                <w:kern w:val="2"/>
                <w:sz w:val="24"/>
                <w:szCs w:val="24"/>
                <w:highlight w:val="none"/>
                <w:lang w:val="en-US" w:eastAsia="zh-CN"/>
              </w:rPr>
              <w:t>各包别</w:t>
            </w:r>
            <w:r>
              <w:rPr>
                <w:rFonts w:hint="eastAsia" w:ascii="宋体" w:hAnsi="宋体" w:eastAsia="宋体" w:cs="@仿宋_GB2312"/>
                <w:bCs/>
                <w:color w:val="auto"/>
                <w:kern w:val="2"/>
                <w:sz w:val="24"/>
                <w:szCs w:val="24"/>
                <w:highlight w:val="none"/>
              </w:rPr>
              <w:t>最高限价</w:t>
            </w:r>
            <w:r>
              <w:rPr>
                <w:rFonts w:hint="eastAsia" w:ascii="宋体" w:hAnsi="宋体" w:eastAsia="宋体" w:cs="@仿宋_GB2312"/>
                <w:bCs/>
                <w:color w:val="auto"/>
                <w:kern w:val="2"/>
                <w:sz w:val="24"/>
                <w:szCs w:val="24"/>
                <w:highlight w:val="none"/>
                <w:lang w:eastAsia="zh-CN"/>
              </w:rPr>
              <w:t>的2.5%，否则其响应文件将被认定为响应无效。</w:t>
            </w:r>
            <w:r>
              <w:rPr>
                <w:rFonts w:hint="eastAsia" w:cs="@仿宋_GB2312" w:asciiTheme="minorEastAsia" w:hAnsiTheme="minorEastAsia" w:eastAsiaTheme="minorEastAsia"/>
                <w:color w:val="auto"/>
                <w:kern w:val="2"/>
                <w:sz w:val="24"/>
                <w:highlight w:val="none"/>
              </w:rPr>
              <w:t>专款专用，开工前报具体的措施方案，经合同甲方审核同意后实施，据实结算</w:t>
            </w:r>
            <w:r>
              <w:rPr>
                <w:rFonts w:hint="eastAsia" w:cs="@仿宋_GB2312" w:asciiTheme="minorEastAsia" w:hAnsiTheme="minorEastAsia" w:eastAsiaTheme="minorEastAsia"/>
                <w:color w:val="auto"/>
                <w:kern w:val="2"/>
                <w:sz w:val="24"/>
                <w:highlight w:val="none"/>
                <w:lang w:eastAsia="zh-CN"/>
              </w:rPr>
              <w:t>。</w:t>
            </w:r>
          </w:p>
          <w:p w14:paraId="33419136">
            <w:pPr>
              <w:numPr>
                <w:ilvl w:val="0"/>
                <w:numId w:val="0"/>
              </w:numPr>
              <w:spacing w:line="360" w:lineRule="auto"/>
              <w:rPr>
                <w:rFonts w:hint="eastAsia" w:eastAsia="@微软简标宋"/>
                <w:color w:val="auto"/>
                <w:kern w:val="2"/>
                <w:sz w:val="24"/>
                <w:szCs w:val="24"/>
                <w:highlight w:val="none"/>
                <w:lang w:eastAsia="zh-CN"/>
              </w:rPr>
            </w:pPr>
            <w:r>
              <w:rPr>
                <w:rFonts w:hint="eastAsia" w:cs="Times New Roman"/>
                <w:color w:val="auto"/>
                <w:kern w:val="2"/>
                <w:sz w:val="24"/>
                <w:szCs w:val="24"/>
                <w:highlight w:val="none"/>
                <w:lang w:eastAsia="zh-CN"/>
              </w:rPr>
              <w:t>（</w:t>
            </w:r>
            <w:r>
              <w:rPr>
                <w:rFonts w:hint="eastAsia" w:cs="Times New Roman"/>
                <w:color w:val="auto"/>
                <w:kern w:val="2"/>
                <w:sz w:val="24"/>
                <w:szCs w:val="24"/>
                <w:highlight w:val="none"/>
                <w:lang w:val="en-US" w:eastAsia="zh-CN"/>
              </w:rPr>
              <w:t>3）</w:t>
            </w:r>
            <w:r>
              <w:rPr>
                <w:rFonts w:hint="eastAsia" w:cs="Times New Roman"/>
                <w:color w:val="auto"/>
                <w:kern w:val="2"/>
                <w:sz w:val="24"/>
                <w:szCs w:val="24"/>
                <w:highlight w:val="none"/>
              </w:rPr>
              <w:t>除</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文件另有规定外,</w:t>
            </w:r>
            <w:r>
              <w:rPr>
                <w:rFonts w:hint="eastAsia" w:cs="Times New Roman"/>
                <w:color w:val="auto"/>
                <w:kern w:val="2"/>
                <w:sz w:val="24"/>
                <w:szCs w:val="24"/>
                <w:highlight w:val="none"/>
                <w:lang w:val="en-US" w:eastAsia="zh-CN"/>
              </w:rPr>
              <w:t>供应商</w:t>
            </w:r>
            <w:r>
              <w:rPr>
                <w:rFonts w:hint="eastAsia" w:cs="Times New Roman"/>
                <w:color w:val="auto"/>
                <w:kern w:val="2"/>
                <w:sz w:val="24"/>
                <w:szCs w:val="24"/>
                <w:highlight w:val="none"/>
              </w:rPr>
              <w:t>不得随意增加、删除或涂改</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文件工程量清单中的任何内容</w:t>
            </w:r>
            <w:r>
              <w:rPr>
                <w:rFonts w:hint="eastAsia" w:cs="宋体"/>
                <w:b/>
                <w:color w:val="auto"/>
                <w:kern w:val="2"/>
                <w:sz w:val="24"/>
                <w:szCs w:val="24"/>
                <w:highlight w:val="none"/>
                <w:lang w:eastAsia="zh-CN"/>
              </w:rPr>
              <w:t>，</w:t>
            </w:r>
            <w:r>
              <w:rPr>
                <w:rFonts w:ascii="宋体" w:hAnsi="宋体" w:eastAsia="宋体" w:cs="@仿宋_GB2312"/>
                <w:bCs/>
                <w:color w:val="auto"/>
                <w:kern w:val="2"/>
                <w:sz w:val="24"/>
                <w:szCs w:val="24"/>
                <w:highlight w:val="none"/>
              </w:rPr>
              <w:t>否则其响应文件将被认定为</w:t>
            </w:r>
            <w:r>
              <w:rPr>
                <w:rFonts w:ascii="宋体" w:hAnsi="宋体" w:eastAsia="宋体" w:cs="@仿宋_GB2312"/>
                <w:b/>
                <w:color w:val="auto"/>
                <w:kern w:val="2"/>
                <w:sz w:val="24"/>
                <w:szCs w:val="24"/>
                <w:highlight w:val="none"/>
              </w:rPr>
              <w:t>响应无效</w:t>
            </w:r>
            <w:r>
              <w:rPr>
                <w:rFonts w:hint="eastAsia" w:ascii="宋体" w:hAnsi="宋体" w:eastAsia="宋体" w:cs="@仿宋_GB2312"/>
                <w:color w:val="auto"/>
                <w:kern w:val="2"/>
                <w:sz w:val="24"/>
                <w:szCs w:val="24"/>
                <w:highlight w:val="none"/>
              </w:rPr>
              <w:t>。</w:t>
            </w:r>
          </w:p>
        </w:tc>
      </w:tr>
      <w:tr w14:paraId="49BE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51158F0">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749" w:type="pct"/>
            <w:vAlign w:val="center"/>
          </w:tcPr>
          <w:p w14:paraId="4F9ACBA7">
            <w:pPr>
              <w:spacing w:line="360" w:lineRule="auto"/>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项目经理</w:t>
            </w:r>
          </w:p>
        </w:tc>
        <w:tc>
          <w:tcPr>
            <w:tcW w:w="3688" w:type="pct"/>
            <w:vAlign w:val="center"/>
          </w:tcPr>
          <w:p w14:paraId="3BB644A3">
            <w:pPr>
              <w:spacing w:line="360" w:lineRule="auto"/>
              <w:rPr>
                <w:rFonts w:hint="default"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（1）项目经理资质要求：供应商拟委任的项目经理须具有符合资质要求的注册建造师证书和有效的安全生产考核合格证（B证），注册单位必须是供应商本单位</w:t>
            </w:r>
            <w:r>
              <w:rPr>
                <w:rFonts w:hint="eastAsia" w:cs="@仿宋_GB2312"/>
                <w:b/>
                <w:bCs/>
                <w:color w:val="auto"/>
                <w:kern w:val="2"/>
                <w:sz w:val="24"/>
                <w:szCs w:val="24"/>
                <w:highlight w:val="none"/>
                <w:lang w:val="en-US" w:eastAsia="zh-CN"/>
              </w:rPr>
              <w:t>。</w:t>
            </w:r>
          </w:p>
          <w:p w14:paraId="33547F4E">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（2）项目经理社保：提供供应商为其缴纳的2024年9月至今任意一个月社保证明扫描件。</w:t>
            </w:r>
          </w:p>
          <w:p w14:paraId="3E6EDAD2">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（3）项目经理不得同时担任两个及以上建设工程施工项目负责人，以下情形除外：</w:t>
            </w:r>
          </w:p>
          <w:p w14:paraId="0EBA28C6">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①法定情形； </w:t>
            </w:r>
          </w:p>
          <w:p w14:paraId="79345AEB">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②虽在其他项目上担任项目经理岗位，但本项目成交后能够从该项目撤离，全面履约。</w:t>
            </w:r>
          </w:p>
          <w:p w14:paraId="46E2FF82">
            <w:pPr>
              <w:spacing w:line="360" w:lineRule="auto"/>
              <w:rPr>
                <w:rFonts w:hint="eastAsia" w:cs="Times New Roman"/>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（4）成交后若项目经理在其他项目上担任项目经理岗位，导致该项目经理无法进场履约的，采购人可取消其成交资格。供应商因此原因被取消成交资格的，视为无正当理由放弃成交资格。</w:t>
            </w:r>
          </w:p>
        </w:tc>
      </w:tr>
      <w:tr w14:paraId="535B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4E9A371">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5</w:t>
            </w:r>
          </w:p>
        </w:tc>
        <w:tc>
          <w:tcPr>
            <w:tcW w:w="749" w:type="pct"/>
            <w:vAlign w:val="center"/>
          </w:tcPr>
          <w:p w14:paraId="63810964">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重要说明</w:t>
            </w:r>
          </w:p>
        </w:tc>
        <w:tc>
          <w:tcPr>
            <w:tcW w:w="3688" w:type="pct"/>
            <w:vAlign w:val="center"/>
          </w:tcPr>
          <w:p w14:paraId="4BE90472">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（1）本项目的磋商文件、工程量清单、澄清、修改、补充等相关资料均通过电子服务系统发布，请供应商自行从网上下载，供应商应当及时查看有无相关澄清、修改、补充等内容。</w:t>
            </w:r>
          </w:p>
          <w:p w14:paraId="5B45F98B">
            <w:pPr>
              <w:spacing w:line="360" w:lineRule="auto"/>
              <w:rPr>
                <w:rFonts w:hint="eastAsia" w:ascii="宋体" w:hAnsi="宋体" w:eastAsia="宋体" w:cs="@仿宋_GB2312"/>
                <w:color w:val="auto"/>
                <w:kern w:val="2"/>
                <w:sz w:val="24"/>
                <w:szCs w:val="24"/>
                <w:highlight w:val="none"/>
                <w:lang w:val="en-US" w:eastAsia="zh-CN"/>
              </w:rPr>
            </w:pPr>
            <w:r>
              <w:rPr>
                <w:rFonts w:hint="eastAsia" w:eastAsia="宋体" w:cs="Times New Roman"/>
                <w:b/>
                <w:bCs/>
                <w:color w:val="auto"/>
                <w:kern w:val="2"/>
                <w:sz w:val="24"/>
                <w:szCs w:val="24"/>
                <w:highlight w:val="none"/>
              </w:rPr>
              <w:t>（</w:t>
            </w:r>
            <w:r>
              <w:rPr>
                <w:rFonts w:hint="eastAsia" w:cs="Times New Roman"/>
                <w:b/>
                <w:bCs/>
                <w:color w:val="auto"/>
                <w:kern w:val="2"/>
                <w:sz w:val="24"/>
                <w:szCs w:val="24"/>
                <w:highlight w:val="none"/>
                <w:lang w:val="en-US" w:eastAsia="zh-CN"/>
              </w:rPr>
              <w:t>2</w:t>
            </w:r>
            <w:r>
              <w:rPr>
                <w:rFonts w:hint="eastAsia" w:eastAsia="宋体" w:cs="Times New Roman"/>
                <w:b/>
                <w:bCs/>
                <w:color w:val="auto"/>
                <w:kern w:val="2"/>
                <w:sz w:val="24"/>
                <w:szCs w:val="24"/>
                <w:highlight w:val="none"/>
              </w:rPr>
              <w:t>）</w:t>
            </w:r>
            <w:r>
              <w:rPr>
                <w:rFonts w:hint="eastAsia" w:ascii="宋体" w:hAnsi="宋体" w:eastAsia="宋体" w:cs="@仿宋_GB2312"/>
                <w:b/>
                <w:bCs/>
                <w:color w:val="auto"/>
                <w:kern w:val="2"/>
                <w:sz w:val="24"/>
                <w:szCs w:val="24"/>
                <w:highlight w:val="none"/>
              </w:rPr>
              <w:t>供应商在工程实施过程中用工行为，必须严格执行国家及地方政府的有关规定，依法签订劳动合同，并按规定及时足额支付工资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合同履约期间，作业人员突发疾病、意外等造成的人员伤亡及财产损失均由</w:t>
            </w:r>
            <w:r>
              <w:rPr>
                <w:rFonts w:hint="eastAsia" w:cs="@仿宋_GB2312"/>
                <w:b/>
                <w:bCs/>
                <w:color w:val="auto"/>
                <w:kern w:val="2"/>
                <w:sz w:val="24"/>
                <w:szCs w:val="24"/>
                <w:highlight w:val="none"/>
                <w:lang w:val="en-US" w:eastAsia="zh-CN"/>
              </w:rPr>
              <w:t>供应商</w:t>
            </w:r>
            <w:r>
              <w:rPr>
                <w:rFonts w:hint="eastAsia" w:ascii="宋体" w:hAnsi="宋体" w:eastAsia="宋体" w:cs="@仿宋_GB2312"/>
                <w:b/>
                <w:bCs/>
                <w:color w:val="auto"/>
                <w:kern w:val="2"/>
                <w:sz w:val="24"/>
                <w:szCs w:val="24"/>
                <w:highlight w:val="none"/>
              </w:rPr>
              <w:t>负责</w:t>
            </w:r>
            <w:r>
              <w:rPr>
                <w:rFonts w:hint="eastAsia" w:cs="@仿宋_GB2312"/>
                <w:b/>
                <w:bCs/>
                <w:color w:val="auto"/>
                <w:kern w:val="2"/>
                <w:sz w:val="24"/>
                <w:szCs w:val="24"/>
                <w:highlight w:val="none"/>
                <w:lang w:eastAsia="zh-CN"/>
              </w:rPr>
              <w:t>。</w:t>
            </w:r>
          </w:p>
        </w:tc>
      </w:tr>
      <w:tr w14:paraId="3C25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B17BD20">
            <w:pPr>
              <w:spacing w:line="360" w:lineRule="auto"/>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6</w:t>
            </w:r>
          </w:p>
        </w:tc>
        <w:tc>
          <w:tcPr>
            <w:tcW w:w="749" w:type="pct"/>
            <w:vAlign w:val="center"/>
          </w:tcPr>
          <w:p w14:paraId="28698807">
            <w:pPr>
              <w:pStyle w:val="68"/>
              <w:widowControl w:val="0"/>
              <w:spacing w:before="0" w:beforeAutospacing="0" w:after="0" w:afterAutospacing="0" w:line="360" w:lineRule="auto"/>
              <w:rPr>
                <w:rFonts w:ascii="宋体" w:hAnsi="宋体" w:eastAsia="宋体" w:cs="@仿宋_GB2312"/>
                <w:color w:val="auto"/>
                <w:kern w:val="2"/>
                <w:sz w:val="24"/>
                <w:szCs w:val="24"/>
                <w:highlight w:val="none"/>
                <w:shd w:val="clear" w:color="auto" w:fill="auto"/>
              </w:rPr>
            </w:pPr>
            <w:r>
              <w:rPr>
                <w:rFonts w:hint="eastAsia" w:ascii="Calibri" w:hAnsi="Calibri" w:eastAsia="宋体"/>
                <w:b w:val="0"/>
                <w:color w:val="auto"/>
                <w:kern w:val="2"/>
                <w:sz w:val="24"/>
                <w:szCs w:val="24"/>
                <w:highlight w:val="none"/>
                <w:shd w:val="clear" w:color="auto" w:fill="auto"/>
              </w:rPr>
              <w:t>本项目采购标的名称及所属行业</w:t>
            </w:r>
          </w:p>
        </w:tc>
        <w:tc>
          <w:tcPr>
            <w:tcW w:w="3688" w:type="pct"/>
            <w:vAlign w:val="center"/>
          </w:tcPr>
          <w:p w14:paraId="67495043">
            <w:pPr>
              <w:shd w:val="clear"/>
              <w:spacing w:line="360" w:lineRule="auto"/>
              <w:jc w:val="left"/>
              <w:rPr>
                <w:rFonts w:hint="eastAsia" w:ascii="宋体" w:hAnsi="宋体" w:eastAsia="宋体"/>
                <w:color w:val="auto"/>
                <w:kern w:val="2"/>
                <w:sz w:val="24"/>
                <w:szCs w:val="24"/>
                <w:highlight w:val="none"/>
                <w:shd w:val="clear" w:color="auto" w:fill="auto"/>
                <w:lang w:eastAsia="zh-CN"/>
              </w:rPr>
            </w:pPr>
            <w:r>
              <w:rPr>
                <w:rFonts w:hint="eastAsia" w:ascii="宋体" w:hAnsi="宋体" w:eastAsia="宋体"/>
                <w:color w:val="auto"/>
                <w:kern w:val="2"/>
                <w:sz w:val="24"/>
                <w:szCs w:val="24"/>
                <w:highlight w:val="none"/>
                <w:shd w:val="clear" w:color="auto" w:fill="auto"/>
              </w:rPr>
              <w:t>标的名称：</w:t>
            </w:r>
            <w:r>
              <w:rPr>
                <w:rFonts w:hint="eastAsia"/>
                <w:color w:val="auto"/>
                <w:kern w:val="2"/>
                <w:sz w:val="24"/>
                <w:szCs w:val="24"/>
                <w:highlight w:val="none"/>
                <w:shd w:val="clear" w:color="auto" w:fill="auto"/>
                <w:lang w:eastAsia="zh-CN"/>
              </w:rPr>
              <w:t>2025年省淮河局基层管理所维修改造（第1包潘集基层管理所维修改造）</w:t>
            </w:r>
          </w:p>
          <w:p w14:paraId="36914127">
            <w:pPr>
              <w:shd w:val="clear"/>
              <w:rPr>
                <w:rFonts w:hint="eastAsia" w:ascii="Calibri" w:hAnsi="Calibri" w:eastAsia="宋体"/>
                <w:color w:val="auto"/>
                <w:kern w:val="2"/>
                <w:sz w:val="24"/>
                <w:szCs w:val="24"/>
                <w:highlight w:val="none"/>
                <w:shd w:val="clear" w:color="auto" w:fill="auto"/>
                <w:lang w:val="en-US" w:eastAsia="zh-CN"/>
              </w:rPr>
            </w:pPr>
            <w:r>
              <w:rPr>
                <w:rFonts w:hint="eastAsia" w:ascii="宋体" w:hAnsi="宋体" w:eastAsia="宋体"/>
                <w:color w:val="auto"/>
                <w:kern w:val="2"/>
                <w:sz w:val="24"/>
                <w:szCs w:val="24"/>
                <w:highlight w:val="none"/>
                <w:shd w:val="clear" w:color="auto" w:fill="auto"/>
              </w:rPr>
              <w:t>所属行业：</w:t>
            </w:r>
            <w:r>
              <w:rPr>
                <w:rFonts w:hint="eastAsia" w:ascii="宋体" w:hAnsi="宋体" w:eastAsia="宋体"/>
                <w:color w:val="auto"/>
                <w:kern w:val="2"/>
                <w:sz w:val="24"/>
                <w:szCs w:val="24"/>
                <w:highlight w:val="none"/>
                <w:shd w:val="clear" w:color="auto" w:fill="auto"/>
                <w:lang w:val="en-US" w:eastAsia="zh-CN"/>
              </w:rPr>
              <w:t>建筑业</w:t>
            </w:r>
          </w:p>
        </w:tc>
      </w:tr>
      <w:tr w14:paraId="5D04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562" w:type="pct"/>
            <w:vAlign w:val="center"/>
          </w:tcPr>
          <w:p w14:paraId="13C955A3">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7</w:t>
            </w:r>
          </w:p>
        </w:tc>
        <w:tc>
          <w:tcPr>
            <w:tcW w:w="749" w:type="pct"/>
            <w:vAlign w:val="center"/>
          </w:tcPr>
          <w:p w14:paraId="33BA0609">
            <w:pPr>
              <w:keepNext w:val="0"/>
              <w:keepLines w:val="0"/>
              <w:widowControl/>
              <w:suppressLineNumbers w:val="0"/>
              <w:jc w:val="left"/>
              <w:rPr>
                <w:rFonts w:hint="eastAsia" w:ascii="Calibri" w:hAnsi="Calibri" w:eastAsia="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rPr>
              <w:t>社保证明材料（如有）</w:t>
            </w:r>
          </w:p>
        </w:tc>
        <w:tc>
          <w:tcPr>
            <w:tcW w:w="3688" w:type="pct"/>
            <w:vAlign w:val="center"/>
          </w:tcPr>
          <w:p w14:paraId="1C9A29B9">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本项目采购文件中要求提供的社保证明材料为下述形式之 </w:t>
            </w:r>
          </w:p>
          <w:p w14:paraId="56B906B0">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一：</w:t>
            </w:r>
          </w:p>
          <w:p w14:paraId="4918ED10">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（1）社保局官方网站查询的缴费记录截图；</w:t>
            </w:r>
          </w:p>
          <w:p w14:paraId="053CE88A">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（2）社保局的书面证明材料；</w:t>
            </w:r>
          </w:p>
          <w:p w14:paraId="441060BA">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（3）经供应商委托的第三方人力资源服务机构或与供应商 </w:t>
            </w:r>
          </w:p>
          <w:p w14:paraId="133D0BA6">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有直接隶属关系的机构可以代缴社保，但须提供有关证明 </w:t>
            </w:r>
          </w:p>
          <w:p w14:paraId="43F80827">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材料并经磋商小组确认。</w:t>
            </w:r>
          </w:p>
          <w:p w14:paraId="352AC932">
            <w:pPr>
              <w:numPr>
                <w:ilvl w:val="0"/>
                <w:numId w:val="3"/>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参与投标的院校，社保证明可以用以下任意一种：</w:t>
            </w:r>
          </w:p>
          <w:p w14:paraId="671445A9">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①加盖供应商公章的教师证（须为本单位人员）；</w:t>
            </w:r>
          </w:p>
          <w:p w14:paraId="394AE33D">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②医保证明材料。</w:t>
            </w:r>
          </w:p>
          <w:p w14:paraId="0D4CBB8E">
            <w:pPr>
              <w:numPr>
                <w:ilvl w:val="0"/>
                <w:numId w:val="3"/>
              </w:numPr>
              <w:spacing w:line="360" w:lineRule="auto"/>
              <w:ind w:left="0" w:leftChars="0" w:firstLine="0" w:firstLineChars="0"/>
              <w:rPr>
                <w:rFonts w:hint="eastAsia"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其他经磋商小组认可的证明材料</w:t>
            </w:r>
            <w:r>
              <w:rPr>
                <w:rFonts w:hint="eastAsia" w:cs="@仿宋_GB2312"/>
                <w:color w:val="auto"/>
                <w:kern w:val="2"/>
                <w:sz w:val="24"/>
                <w:szCs w:val="24"/>
                <w:highlight w:val="none"/>
                <w:lang w:val="en-US" w:eastAsia="zh-CN"/>
              </w:rPr>
              <w:t>。</w:t>
            </w:r>
          </w:p>
          <w:p w14:paraId="2E8980BA">
            <w:pPr>
              <w:numPr>
                <w:ilvl w:val="0"/>
                <w:numId w:val="0"/>
              </w:numPr>
              <w:spacing w:line="360" w:lineRule="auto"/>
              <w:ind w:leftChars="0"/>
              <w:rPr>
                <w:rFonts w:hint="default" w:ascii="宋体" w:hAnsi="宋体" w:eastAsia="宋体"/>
                <w:color w:val="auto"/>
                <w:kern w:val="2"/>
                <w:sz w:val="24"/>
                <w:szCs w:val="24"/>
                <w:highlight w:val="none"/>
                <w:lang w:val="en-US"/>
              </w:rPr>
            </w:pPr>
            <w:r>
              <w:rPr>
                <w:rFonts w:hint="eastAsia" w:ascii="宋体" w:hAnsi="宋体" w:eastAsia="宋体" w:cs="@仿宋_GB2312"/>
                <w:color w:val="auto"/>
                <w:kern w:val="2"/>
                <w:sz w:val="24"/>
                <w:szCs w:val="24"/>
                <w:highlight w:val="none"/>
                <w:lang w:val="en-US" w:eastAsia="zh-CN"/>
              </w:rPr>
              <w:t>（6）法定代表人参与项目的，无需提供社保证明材料，提供身份证明材料即可。</w:t>
            </w:r>
          </w:p>
        </w:tc>
      </w:tr>
    </w:tbl>
    <w:p w14:paraId="45F623A5">
      <w:pPr>
        <w:numPr>
          <w:ilvl w:val="0"/>
          <w:numId w:val="0"/>
        </w:numPr>
        <w:autoSpaceDE w:val="0"/>
        <w:autoSpaceDN w:val="0"/>
        <w:adjustRightInd w:val="0"/>
        <w:spacing w:line="480" w:lineRule="exact"/>
        <w:jc w:val="left"/>
        <w:outlineLvl w:val="9"/>
        <w:rPr>
          <w:rFonts w:hint="eastAsia" w:ascii="宋体" w:hAnsi="宋体" w:eastAsia="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一、</w:t>
      </w:r>
      <w:r>
        <w:rPr>
          <w:rFonts w:hint="eastAsia" w:ascii="宋体" w:hAnsi="宋体" w:eastAsia="宋体"/>
          <w:b/>
          <w:bCs/>
          <w:color w:val="auto"/>
          <w:sz w:val="24"/>
          <w:szCs w:val="24"/>
          <w:highlight w:val="none"/>
          <w:lang w:val="en-US" w:eastAsia="zh-CN"/>
        </w:rPr>
        <w:t>工程量清单：</w:t>
      </w:r>
      <w:r>
        <w:rPr>
          <w:rFonts w:hint="eastAsia" w:ascii="Times New Roman" w:hAnsi="Times New Roman" w:eastAsia="宋体" w:cs="Times New Roman"/>
          <w:b/>
          <w:bCs/>
          <w:color w:val="auto"/>
          <w:sz w:val="24"/>
          <w:szCs w:val="24"/>
          <w:highlight w:val="none"/>
          <w:lang w:val="en-US" w:eastAsia="zh-CN"/>
        </w:rPr>
        <w:t>详见附件</w:t>
      </w:r>
    </w:p>
    <w:p w14:paraId="0AB5FBC5">
      <w:pPr>
        <w:numPr>
          <w:ilvl w:val="0"/>
          <w:numId w:val="0"/>
        </w:num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1.工程量清单说明</w:t>
      </w:r>
    </w:p>
    <w:p w14:paraId="57952BA4">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（1）本工程量清单是根据磋商文件中包括的、有合同约束力的技术条款以及有关工程量清单的国家标准、行业标准、合同条款中约定的工程量计算规则编制。</w:t>
      </w:r>
    </w:p>
    <w:p w14:paraId="2A0A3BC4">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（2）本工程量清单应与磋商文件中的</w:t>
      </w:r>
      <w:r>
        <w:rPr>
          <w:rFonts w:hint="default" w:ascii="Times New Roman" w:hAnsi="Times New Roman" w:cs="Times New Roman"/>
          <w:color w:val="auto"/>
          <w:sz w:val="24"/>
          <w:szCs w:val="24"/>
          <w:highlight w:val="none"/>
          <w:lang w:val="en-US" w:eastAsia="zh-CN"/>
        </w:rPr>
        <w:t>磋商</w:t>
      </w:r>
      <w:r>
        <w:rPr>
          <w:rFonts w:hint="default" w:ascii="Times New Roman" w:hAnsi="Times New Roman" w:cs="Times New Roman"/>
          <w:color w:val="auto"/>
          <w:sz w:val="24"/>
          <w:szCs w:val="24"/>
          <w:highlight w:val="none"/>
        </w:rPr>
        <w:t>须知、合同条款及图纸等一起阅读和理解。</w:t>
      </w:r>
    </w:p>
    <w:p w14:paraId="1DD53E82">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2.投标报价说明</w:t>
      </w:r>
    </w:p>
    <w:p w14:paraId="11FE4B22">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（1）工程量清单中的每一子目须填入单价或价格，且只允许有一个报价。</w:t>
      </w:r>
    </w:p>
    <w:p w14:paraId="65EA2803">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工程量清单中标价的单价或金额，应包括所需人工费、施工机械使用费、材料费、其他（运杂费、质检费、安装费、缺陷修复费、保险费，以及合同明示或暗示的风险、责任和义务等），以及管理费、利润等。</w:t>
      </w:r>
    </w:p>
    <w:p w14:paraId="122C9AC7">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（3）工程量清单中供应商没有填入单价或价格的子目，其费用视为已分摊在工程量清单中其他相关子目的单价或价格之中。</w:t>
      </w:r>
    </w:p>
    <w:p w14:paraId="356CBD64">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）投标总价应按工程报价汇总表合计金额填写，</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对投标报价的任何优惠均应反映在相应清单项目的综合单价中。</w:t>
      </w:r>
    </w:p>
    <w:p w14:paraId="45EDC560">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）金额（价格）均应以人民币表示；如果投标报价汇总表的投标总价与报价函填报的投标总价不一致，应当以报价函中填写的大写金额为准。</w:t>
      </w:r>
    </w:p>
    <w:p w14:paraId="37C782D5">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3.其他说明</w:t>
      </w:r>
    </w:p>
    <w:p w14:paraId="61B00771">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可先到工地踏勘以充分了解工地位置、情况、道路、储存空间、装卸限制及任何其他足以影响承包价的情况，任何因忽视或误解工地情况而导致的索赔或工期延长申请将不被批准。</w:t>
      </w:r>
    </w:p>
    <w:p w14:paraId="515759C5">
      <w:pPr>
        <w:spacing w:line="360" w:lineRule="auto"/>
        <w:ind w:firstLine="480" w:firstLineChars="200"/>
        <w:outlineLvl w:val="9"/>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（2）因市场变化及法律、法规、规章和政策发</w:t>
      </w:r>
      <w:r>
        <w:rPr>
          <w:rFonts w:hint="default" w:ascii="Times New Roman" w:hAnsi="Times New Roman" w:eastAsia="宋体" w:cs="Times New Roman"/>
          <w:color w:val="auto"/>
          <w:sz w:val="24"/>
          <w:szCs w:val="24"/>
          <w:highlight w:val="none"/>
        </w:rPr>
        <w:t>生变化等一切可能影响工程造价的因素及其经济风险均已包含在综合单价中，</w:t>
      </w:r>
      <w:r>
        <w:rPr>
          <w:rFonts w:hint="eastAsia" w:ascii="Times New Roman" w:hAnsi="Times New Roman" w:eastAsia="宋体" w:cs="Times New Roman"/>
          <w:color w:val="auto"/>
          <w:sz w:val="24"/>
          <w:szCs w:val="24"/>
          <w:highlight w:val="none"/>
          <w:lang w:val="en-US" w:eastAsia="zh-CN"/>
        </w:rPr>
        <w:t>除合同约定外</w:t>
      </w:r>
      <w:r>
        <w:rPr>
          <w:rFonts w:hint="default" w:ascii="Times New Roman" w:hAnsi="Times New Roman" w:eastAsia="宋体" w:cs="Times New Roman"/>
          <w:color w:val="auto"/>
          <w:sz w:val="24"/>
          <w:szCs w:val="24"/>
          <w:highlight w:val="none"/>
        </w:rPr>
        <w:t>合同综合单价不予调整。</w:t>
      </w:r>
    </w:p>
    <w:p w14:paraId="225166A2">
      <w:pPr>
        <w:spacing w:line="360" w:lineRule="auto"/>
        <w:ind w:firstLine="480" w:firstLineChars="200"/>
        <w:outlineLvl w:val="9"/>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（3）与其他工程施工单位发生交叉作业而增加的费用包含在报价内</w:t>
      </w:r>
      <w:r>
        <w:rPr>
          <w:rFonts w:hint="eastAsia" w:ascii="Times New Roman" w:hAnsi="Times New Roman" w:cs="Times New Roman"/>
          <w:color w:val="auto"/>
          <w:sz w:val="24"/>
          <w:szCs w:val="24"/>
          <w:highlight w:val="none"/>
          <w:lang w:eastAsia="zh-CN"/>
        </w:rPr>
        <w:t>。</w:t>
      </w:r>
    </w:p>
    <w:p w14:paraId="212B1977">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（4）由于前期不可预见，而新增加的施工内容，经相关部门出具设计变更及处理方案后，方可调整相应费用。</w:t>
      </w:r>
    </w:p>
    <w:p w14:paraId="0ECC431D">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（5）因天气、地形、施工环境等条件发生变化，采取临时措施工程增加的费用或场地内可见障碍物清除的费用包含在报价内。</w:t>
      </w:r>
    </w:p>
    <w:p w14:paraId="681B5C35">
      <w:pPr>
        <w:pStyle w:val="19"/>
        <w:keepNext w:val="0"/>
        <w:keepLines w:val="0"/>
        <w:pageBreakBefore w:val="0"/>
        <w:widowControl/>
        <w:kinsoku/>
        <w:wordWrap/>
        <w:overflowPunct/>
        <w:topLinePunct w:val="0"/>
        <w:autoSpaceDE/>
        <w:autoSpaceDN/>
        <w:bidi w:val="0"/>
        <w:adjustRightInd w:val="0"/>
        <w:snapToGrid w:val="0"/>
        <w:spacing w:before="0" w:after="0" w:line="560" w:lineRule="exact"/>
        <w:jc w:val="left"/>
        <w:textAlignment w:val="auto"/>
        <w:rPr>
          <w:rFonts w:ascii="宋体" w:hAnsi="宋体" w:eastAsia="宋体" w:cs="宋体"/>
          <w:b/>
          <w:bCs/>
          <w:color w:val="auto"/>
          <w:sz w:val="24"/>
          <w:szCs w:val="24"/>
          <w:highlight w:val="none"/>
        </w:rPr>
      </w:pPr>
      <w:bookmarkStart w:id="53" w:name="_Toc11353"/>
      <w:r>
        <w:rPr>
          <w:rFonts w:hint="eastAsia" w:ascii="宋体" w:hAnsi="宋体" w:eastAsia="宋体" w:cs="宋体"/>
          <w:b/>
          <w:bCs/>
          <w:color w:val="auto"/>
          <w:sz w:val="24"/>
          <w:szCs w:val="24"/>
          <w:highlight w:val="none"/>
          <w:lang w:val="en-US" w:eastAsia="zh-CN"/>
        </w:rPr>
        <w:t>注：</w:t>
      </w:r>
      <w:r>
        <w:rPr>
          <w:rFonts w:ascii="宋体" w:hAnsi="宋体" w:eastAsia="宋体" w:cs="宋体"/>
          <w:b/>
          <w:bCs/>
          <w:color w:val="auto"/>
          <w:sz w:val="24"/>
          <w:szCs w:val="24"/>
          <w:highlight w:val="none"/>
        </w:rPr>
        <w:t>其他技术要求详见工程量清单项目特征描述、图纸等。主要材料等进场时需经管理单位审核同意后方可进场施工。</w:t>
      </w:r>
    </w:p>
    <w:p w14:paraId="21D565AD">
      <w:pPr>
        <w:rPr>
          <w:rFonts w:hint="eastAsia" w:ascii="宋体" w:hAnsi="宋体" w:eastAsia="宋体"/>
          <w:b/>
          <w:color w:val="auto"/>
          <w:sz w:val="24"/>
          <w:szCs w:val="24"/>
          <w:highlight w:val="none"/>
        </w:rPr>
      </w:pPr>
    </w:p>
    <w:p w14:paraId="660283A1">
      <w:pPr>
        <w:numPr>
          <w:ilvl w:val="0"/>
          <w:numId w:val="0"/>
        </w:numPr>
        <w:autoSpaceDE w:val="0"/>
        <w:autoSpaceDN w:val="0"/>
        <w:adjustRightInd w:val="0"/>
        <w:spacing w:line="480" w:lineRule="exact"/>
        <w:jc w:val="center"/>
        <w:outlineLvl w:val="9"/>
        <w:rPr>
          <w:rFonts w:hint="eastAsia" w:ascii="宋体" w:hAnsi="宋体" w:eastAsia="宋体"/>
          <w:b/>
          <w:color w:val="auto"/>
          <w:sz w:val="24"/>
          <w:szCs w:val="24"/>
          <w:highlight w:val="none"/>
        </w:rPr>
      </w:pPr>
    </w:p>
    <w:p w14:paraId="3EF17930">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0FD5903F">
      <w:pPr>
        <w:numPr>
          <w:ilvl w:val="0"/>
          <w:numId w:val="0"/>
        </w:numPr>
        <w:autoSpaceDE w:val="0"/>
        <w:autoSpaceDN w:val="0"/>
        <w:adjustRightInd w:val="0"/>
        <w:spacing w:line="480" w:lineRule="exact"/>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第四章  评审方法和标准</w:t>
      </w:r>
      <w:bookmarkEnd w:id="53"/>
    </w:p>
    <w:p w14:paraId="186C2304">
      <w:pPr>
        <w:spacing w:line="360" w:lineRule="auto"/>
        <w:ind w:firstLine="437"/>
        <w:outlineLvl w:val="1"/>
        <w:rPr>
          <w:rFonts w:ascii="宋体" w:hAnsi="宋体" w:eastAsia="宋体"/>
          <w:b/>
          <w:color w:val="auto"/>
          <w:sz w:val="24"/>
          <w:szCs w:val="24"/>
          <w:highlight w:val="none"/>
        </w:rPr>
      </w:pPr>
      <w:bookmarkStart w:id="54" w:name="_Toc31533"/>
      <w:bookmarkStart w:id="55" w:name="_Toc3679"/>
      <w:r>
        <w:rPr>
          <w:rFonts w:hint="eastAsia" w:ascii="宋体" w:hAnsi="宋体" w:eastAsia="宋体"/>
          <w:b/>
          <w:color w:val="auto"/>
          <w:sz w:val="24"/>
          <w:szCs w:val="24"/>
          <w:highlight w:val="none"/>
        </w:rPr>
        <w:t>一、总则</w:t>
      </w:r>
      <w:bookmarkEnd w:id="54"/>
      <w:bookmarkEnd w:id="55"/>
    </w:p>
    <w:p w14:paraId="37771CF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本项目将按照磋商文件第二章供应商须知的相关要求</w:t>
      </w:r>
      <w:r>
        <w:rPr>
          <w:rFonts w:ascii="宋体" w:hAnsi="宋体" w:eastAsia="宋体"/>
          <w:color w:val="auto"/>
          <w:sz w:val="24"/>
          <w:szCs w:val="24"/>
          <w:highlight w:val="none"/>
        </w:rPr>
        <w:t>及本章的规定</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w:t>
      </w:r>
    </w:p>
    <w:p w14:paraId="23271909">
      <w:pPr>
        <w:spacing w:line="360" w:lineRule="auto"/>
        <w:ind w:firstLine="437"/>
        <w:outlineLvl w:val="1"/>
        <w:rPr>
          <w:rFonts w:ascii="宋体" w:hAnsi="宋体" w:eastAsia="宋体"/>
          <w:b/>
          <w:color w:val="auto"/>
          <w:sz w:val="24"/>
          <w:szCs w:val="24"/>
          <w:highlight w:val="none"/>
        </w:rPr>
      </w:pPr>
      <w:bookmarkStart w:id="56" w:name="_Toc16232"/>
      <w:bookmarkStart w:id="57" w:name="_Toc13405"/>
      <w:r>
        <w:rPr>
          <w:rFonts w:hint="eastAsia" w:ascii="宋体" w:hAnsi="宋体" w:eastAsia="宋体"/>
          <w:b/>
          <w:color w:val="auto"/>
          <w:sz w:val="24"/>
          <w:szCs w:val="24"/>
          <w:highlight w:val="none"/>
        </w:rPr>
        <w:t>二、评审方法</w:t>
      </w:r>
      <w:bookmarkEnd w:id="56"/>
      <w:bookmarkEnd w:id="57"/>
    </w:p>
    <w:p w14:paraId="42F90CE4">
      <w:pPr>
        <w:spacing w:line="360" w:lineRule="auto"/>
        <w:ind w:firstLine="435"/>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2.1初审</w:t>
      </w:r>
    </w:p>
    <w:p w14:paraId="4649431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磋商小组对供应商的响应文件进行初审，以确定其是否满足磋商文件的实质性要求。初审表如下：</w:t>
      </w:r>
    </w:p>
    <w:tbl>
      <w:tblPr>
        <w:tblStyle w:val="55"/>
        <w:tblW w:w="55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92"/>
        <w:gridCol w:w="4270"/>
        <w:gridCol w:w="3836"/>
      </w:tblGrid>
      <w:tr w14:paraId="4721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B9B4393">
            <w:pPr>
              <w:adjustRightInd w:val="0"/>
              <w:snapToGrid w:val="0"/>
              <w:spacing w:line="240" w:lineRule="auto"/>
              <w:ind w:right="-10"/>
              <w:jc w:val="center"/>
              <w:rPr>
                <w:rFonts w:hint="eastAsia" w:ascii="Calibri" w:hAnsi="Calibri" w:cs="Times New Roman"/>
                <w:b/>
                <w:color w:val="auto"/>
                <w:kern w:val="2"/>
                <w:sz w:val="24"/>
                <w:szCs w:val="24"/>
                <w:highlight w:val="none"/>
              </w:rPr>
            </w:pPr>
            <w:r>
              <w:rPr>
                <w:rFonts w:hint="eastAsia" w:ascii="Calibri" w:hAnsi="Calibri" w:cs="Times New Roman"/>
                <w:b/>
                <w:color w:val="auto"/>
                <w:kern w:val="2"/>
                <w:sz w:val="24"/>
                <w:szCs w:val="24"/>
                <w:highlight w:val="none"/>
              </w:rPr>
              <w:t>初审表</w:t>
            </w:r>
          </w:p>
        </w:tc>
      </w:tr>
      <w:tr w14:paraId="579C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69" w:type="pct"/>
            <w:tcBorders>
              <w:bottom w:val="single" w:color="auto" w:sz="4" w:space="0"/>
            </w:tcBorders>
            <w:vAlign w:val="center"/>
          </w:tcPr>
          <w:p w14:paraId="6E903644">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序号</w:t>
            </w:r>
          </w:p>
        </w:tc>
        <w:tc>
          <w:tcPr>
            <w:tcW w:w="720" w:type="pct"/>
            <w:tcBorders>
              <w:bottom w:val="single" w:color="auto" w:sz="4" w:space="0"/>
            </w:tcBorders>
            <w:vAlign w:val="center"/>
          </w:tcPr>
          <w:p w14:paraId="295CDB7C">
            <w:pPr>
              <w:pStyle w:val="69"/>
              <w:pBdr>
                <w:bottom w:val="none" w:color="auto" w:sz="0" w:space="0"/>
              </w:pBdr>
              <w:tabs>
                <w:tab w:val="clear" w:pos="4153"/>
                <w:tab w:val="clear" w:pos="8306"/>
              </w:tabs>
              <w:snapToGrid w:val="0"/>
              <w:spacing w:line="240" w:lineRule="auto"/>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 w:val="24"/>
                <w:szCs w:val="24"/>
                <w:highlight w:val="none"/>
                <w:lang w:val="en-US" w:eastAsia="zh-CN"/>
              </w:rPr>
              <w:t>审查因素</w:t>
            </w:r>
          </w:p>
        </w:tc>
        <w:tc>
          <w:tcPr>
            <w:tcW w:w="2060" w:type="pct"/>
            <w:tcBorders>
              <w:bottom w:val="single" w:color="auto" w:sz="4" w:space="0"/>
            </w:tcBorders>
            <w:vAlign w:val="center"/>
          </w:tcPr>
          <w:p w14:paraId="01EB6FAF">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lang w:val="en-US" w:eastAsia="zh-CN"/>
              </w:rPr>
              <w:t>审查内容</w:t>
            </w:r>
          </w:p>
        </w:tc>
        <w:tc>
          <w:tcPr>
            <w:tcW w:w="1850" w:type="pct"/>
            <w:tcBorders>
              <w:bottom w:val="single" w:color="auto" w:sz="4" w:space="0"/>
            </w:tcBorders>
            <w:vAlign w:val="center"/>
          </w:tcPr>
          <w:p w14:paraId="2CE0F527">
            <w:pPr>
              <w:adjustRightInd w:val="0"/>
              <w:snapToGrid w:val="0"/>
              <w:spacing w:line="240" w:lineRule="auto"/>
              <w:ind w:right="-10" w:rightChars="0"/>
              <w:jc w:val="center"/>
              <w:rPr>
                <w:rFonts w:hint="eastAsia"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格式要求</w:t>
            </w:r>
          </w:p>
        </w:tc>
      </w:tr>
      <w:tr w14:paraId="7E38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69" w:type="pct"/>
            <w:tcBorders>
              <w:bottom w:val="single" w:color="auto" w:sz="4" w:space="0"/>
            </w:tcBorders>
            <w:vAlign w:val="center"/>
          </w:tcPr>
          <w:p w14:paraId="3AF5023E">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rPr>
              <w:t>1</w:t>
            </w:r>
          </w:p>
        </w:tc>
        <w:tc>
          <w:tcPr>
            <w:tcW w:w="720" w:type="pct"/>
            <w:tcBorders>
              <w:bottom w:val="single" w:color="auto" w:sz="4" w:space="0"/>
            </w:tcBorders>
            <w:vAlign w:val="center"/>
          </w:tcPr>
          <w:p w14:paraId="31471546">
            <w:pPr>
              <w:spacing w:after="50" w:line="240" w:lineRule="auto"/>
              <w:ind w:right="-10" w:rightChars="0"/>
              <w:jc w:val="center"/>
              <w:rPr>
                <w:rFonts w:ascii="Calibri" w:hAnsi="Calibri" w:cs="Times New Roman"/>
                <w:color w:val="auto"/>
                <w:kern w:val="2"/>
                <w:sz w:val="24"/>
                <w:szCs w:val="24"/>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060" w:type="pct"/>
            <w:tcBorders>
              <w:bottom w:val="single" w:color="auto" w:sz="4" w:space="0"/>
            </w:tcBorders>
            <w:vAlign w:val="center"/>
          </w:tcPr>
          <w:p w14:paraId="1DF1B569">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25EC9556">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005BFB49">
            <w:pPr>
              <w:spacing w:after="50" w:line="240" w:lineRule="auto"/>
              <w:ind w:right="-10" w:rightChars="0"/>
              <w:jc w:val="left"/>
              <w:rPr>
                <w:rFonts w:hint="eastAsia" w:ascii="Calibri" w:hAnsi="Calibri" w:eastAsia="宋体" w:cs="Times New Roman"/>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tc>
        <w:tc>
          <w:tcPr>
            <w:tcW w:w="1850" w:type="pct"/>
            <w:tcBorders>
              <w:bottom w:val="single" w:color="auto" w:sz="4" w:space="0"/>
            </w:tcBorders>
            <w:vAlign w:val="center"/>
          </w:tcPr>
          <w:p w14:paraId="7109DC6B">
            <w:pPr>
              <w:spacing w:line="240" w:lineRule="auto"/>
              <w:jc w:val="left"/>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64FB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369" w:type="pct"/>
            <w:vAlign w:val="center"/>
          </w:tcPr>
          <w:p w14:paraId="77F88BB7">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2</w:t>
            </w:r>
          </w:p>
        </w:tc>
        <w:tc>
          <w:tcPr>
            <w:tcW w:w="720" w:type="pct"/>
            <w:vAlign w:val="center"/>
          </w:tcPr>
          <w:p w14:paraId="25E7EEBF">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供应商资格声明书</w:t>
            </w:r>
          </w:p>
        </w:tc>
        <w:tc>
          <w:tcPr>
            <w:tcW w:w="2060" w:type="pct"/>
            <w:vAlign w:val="center"/>
          </w:tcPr>
          <w:p w14:paraId="48D92CC2">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cs="宋体"/>
                <w:color w:val="auto"/>
                <w:sz w:val="24"/>
                <w:szCs w:val="24"/>
                <w:highlight w:val="none"/>
                <w:lang w:val="en-US" w:eastAsia="zh-CN"/>
              </w:rPr>
              <w:t>磋商</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850" w:type="pct"/>
            <w:vAlign w:val="center"/>
          </w:tcPr>
          <w:p w14:paraId="379DFE72">
            <w:pPr>
              <w:spacing w:line="240" w:lineRule="auto"/>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16F7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69" w:type="pct"/>
            <w:vAlign w:val="center"/>
          </w:tcPr>
          <w:p w14:paraId="05BFD309">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3</w:t>
            </w:r>
          </w:p>
        </w:tc>
        <w:tc>
          <w:tcPr>
            <w:tcW w:w="720" w:type="pct"/>
            <w:vAlign w:val="center"/>
          </w:tcPr>
          <w:p w14:paraId="5259AA2E">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060" w:type="pct"/>
            <w:vAlign w:val="center"/>
          </w:tcPr>
          <w:p w14:paraId="66BD2421">
            <w:pPr>
              <w:spacing w:after="50" w:line="240" w:lineRule="auto"/>
              <w:ind w:right="-10" w:rightChars="0"/>
              <w:jc w:val="left"/>
              <w:rPr>
                <w:rFonts w:ascii="Calibri" w:hAnsi="Calibri" w:cs="Times New Roman"/>
                <w:color w:val="auto"/>
                <w:kern w:val="2"/>
                <w:sz w:val="24"/>
                <w:szCs w:val="24"/>
                <w:highlight w:val="none"/>
              </w:rPr>
            </w:pP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olor w:val="auto"/>
                <w:sz w:val="24"/>
                <w:szCs w:val="24"/>
                <w:highlight w:val="none"/>
              </w:rPr>
              <w:t>的不良信用记录情形</w:t>
            </w:r>
          </w:p>
        </w:tc>
        <w:tc>
          <w:tcPr>
            <w:tcW w:w="1850" w:type="pct"/>
            <w:vAlign w:val="center"/>
          </w:tcPr>
          <w:p w14:paraId="6952FFBF">
            <w:pPr>
              <w:spacing w:line="240" w:lineRule="auto"/>
              <w:jc w:val="left"/>
              <w:rPr>
                <w:rFonts w:hint="eastAsia" w:cs="Times New Roman"/>
                <w:color w:val="auto"/>
                <w:kern w:val="2"/>
                <w:sz w:val="24"/>
                <w:szCs w:val="24"/>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691F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restart"/>
            <w:vAlign w:val="center"/>
          </w:tcPr>
          <w:p w14:paraId="72D33315">
            <w:pPr>
              <w:adjustRightInd w:val="0"/>
              <w:snapToGrid w:val="0"/>
              <w:spacing w:line="240" w:lineRule="auto"/>
              <w:ind w:right="-10" w:rightChars="0"/>
              <w:jc w:val="center"/>
              <w:rPr>
                <w:rFonts w:cs="Times New Roman"/>
                <w:color w:val="auto"/>
                <w:kern w:val="2"/>
                <w:sz w:val="24"/>
                <w:szCs w:val="24"/>
                <w:highlight w:val="none"/>
              </w:rPr>
            </w:pPr>
            <w:r>
              <w:rPr>
                <w:rFonts w:hint="eastAsia"/>
                <w:color w:val="auto"/>
                <w:sz w:val="24"/>
                <w:szCs w:val="24"/>
                <w:highlight w:val="none"/>
                <w:lang w:val="en-US" w:eastAsia="zh-CN"/>
              </w:rPr>
              <w:t>4</w:t>
            </w:r>
          </w:p>
        </w:tc>
        <w:tc>
          <w:tcPr>
            <w:tcW w:w="720" w:type="pct"/>
            <w:vMerge w:val="restart"/>
            <w:vAlign w:val="center"/>
          </w:tcPr>
          <w:p w14:paraId="684EDFAB">
            <w:pPr>
              <w:spacing w:after="50" w:line="240" w:lineRule="auto"/>
              <w:ind w:right="-10" w:rightChars="0"/>
              <w:jc w:val="both"/>
              <w:rPr>
                <w:rFonts w:ascii="Calibri" w:hAnsi="Calibri" w:cs="Times New Roman"/>
                <w:color w:val="auto"/>
                <w:kern w:val="2"/>
                <w:sz w:val="24"/>
                <w:szCs w:val="24"/>
                <w:highlight w:val="none"/>
              </w:rPr>
            </w:pPr>
            <w:r>
              <w:rPr>
                <w:rFonts w:ascii="宋体" w:hAnsi="宋体" w:eastAsia="宋体" w:cs="宋体"/>
                <w:color w:val="auto"/>
                <w:spacing w:val="10"/>
                <w:sz w:val="24"/>
                <w:szCs w:val="24"/>
                <w:highlight w:val="none"/>
              </w:rPr>
              <w:t>其他</w:t>
            </w:r>
            <w:r>
              <w:rPr>
                <w:rFonts w:hint="eastAsia" w:ascii="宋体" w:hAnsi="宋体" w:eastAsia="宋体"/>
                <w:color w:val="auto"/>
                <w:sz w:val="24"/>
                <w:szCs w:val="24"/>
                <w:highlight w:val="none"/>
              </w:rPr>
              <w:t>特</w:t>
            </w:r>
            <w:r>
              <w:rPr>
                <w:rFonts w:ascii="宋体" w:hAnsi="宋体" w:eastAsia="宋体" w:cs="宋体"/>
                <w:color w:val="auto"/>
                <w:spacing w:val="10"/>
                <w:sz w:val="24"/>
                <w:szCs w:val="24"/>
                <w:highlight w:val="none"/>
              </w:rPr>
              <w:t>定资格要求</w:t>
            </w:r>
          </w:p>
        </w:tc>
        <w:tc>
          <w:tcPr>
            <w:tcW w:w="2060" w:type="pct"/>
            <w:vAlign w:val="center"/>
          </w:tcPr>
          <w:p w14:paraId="6606BE77">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b/>
                <w:bCs/>
                <w:color w:val="auto"/>
                <w:sz w:val="24"/>
                <w:szCs w:val="24"/>
                <w:highlight w:val="none"/>
              </w:rPr>
              <w:t>资质证书</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提供满足供应商资格中本项目的特定资格要求的资质证书扫描件。</w:t>
            </w:r>
          </w:p>
        </w:tc>
        <w:tc>
          <w:tcPr>
            <w:tcW w:w="1850" w:type="pct"/>
            <w:vMerge w:val="restart"/>
            <w:vAlign w:val="center"/>
          </w:tcPr>
          <w:p w14:paraId="471E6313">
            <w:pPr>
              <w:spacing w:after="50" w:line="240" w:lineRule="auto"/>
              <w:ind w:right="-10" w:rightChars="0"/>
              <w:jc w:val="both"/>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5037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continue"/>
            <w:vAlign w:val="center"/>
          </w:tcPr>
          <w:p w14:paraId="6212C727">
            <w:pPr>
              <w:spacing w:after="50" w:line="240" w:lineRule="auto"/>
              <w:ind w:right="-10" w:rightChars="0"/>
              <w:jc w:val="both"/>
              <w:rPr>
                <w:color w:val="auto"/>
                <w:sz w:val="24"/>
                <w:szCs w:val="24"/>
                <w:highlight w:val="none"/>
              </w:rPr>
            </w:pPr>
          </w:p>
        </w:tc>
        <w:tc>
          <w:tcPr>
            <w:tcW w:w="720" w:type="pct"/>
            <w:vMerge w:val="continue"/>
            <w:vAlign w:val="center"/>
          </w:tcPr>
          <w:p w14:paraId="2CEAA414">
            <w:pPr>
              <w:spacing w:after="50" w:line="240" w:lineRule="auto"/>
              <w:ind w:right="-10" w:rightChars="0"/>
              <w:jc w:val="both"/>
              <w:rPr>
                <w:color w:val="auto"/>
                <w:sz w:val="24"/>
                <w:szCs w:val="24"/>
                <w:highlight w:val="none"/>
              </w:rPr>
            </w:pPr>
          </w:p>
        </w:tc>
        <w:tc>
          <w:tcPr>
            <w:tcW w:w="2060" w:type="pct"/>
            <w:vAlign w:val="center"/>
          </w:tcPr>
          <w:p w14:paraId="481A592D">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b/>
                <w:bCs/>
                <w:color w:val="auto"/>
                <w:sz w:val="24"/>
                <w:szCs w:val="24"/>
                <w:highlight w:val="none"/>
              </w:rPr>
              <w:t>安全生产许可证</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提供有效的安全生产许可证扫描件。</w:t>
            </w:r>
          </w:p>
        </w:tc>
        <w:tc>
          <w:tcPr>
            <w:tcW w:w="1850" w:type="pct"/>
            <w:vMerge w:val="continue"/>
            <w:vAlign w:val="center"/>
          </w:tcPr>
          <w:p w14:paraId="57647302">
            <w:pPr>
              <w:spacing w:after="50" w:line="240" w:lineRule="auto"/>
              <w:ind w:right="-10" w:rightChars="0"/>
              <w:jc w:val="both"/>
              <w:rPr>
                <w:rFonts w:ascii="宋体" w:hAnsi="宋体" w:eastAsia="宋体" w:cs="宋体"/>
                <w:color w:val="auto"/>
                <w:spacing w:val="10"/>
                <w:sz w:val="24"/>
                <w:szCs w:val="24"/>
                <w:highlight w:val="none"/>
              </w:rPr>
            </w:pPr>
          </w:p>
        </w:tc>
      </w:tr>
      <w:tr w14:paraId="2676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14:paraId="6E44797F">
            <w:pPr>
              <w:spacing w:after="50" w:line="240" w:lineRule="auto"/>
              <w:ind w:right="-10" w:rightChars="0"/>
              <w:jc w:val="both"/>
              <w:rPr>
                <w:rFonts w:ascii="宋体" w:hAnsi="宋体" w:eastAsia="宋体" w:cs="宋体"/>
                <w:color w:val="auto"/>
                <w:spacing w:val="10"/>
                <w:sz w:val="24"/>
                <w:szCs w:val="24"/>
                <w:highlight w:val="none"/>
              </w:rPr>
            </w:pPr>
          </w:p>
        </w:tc>
        <w:tc>
          <w:tcPr>
            <w:tcW w:w="720" w:type="pct"/>
            <w:vMerge w:val="continue"/>
            <w:vAlign w:val="center"/>
          </w:tcPr>
          <w:p w14:paraId="48AE806B">
            <w:pPr>
              <w:spacing w:after="50" w:line="240" w:lineRule="auto"/>
              <w:ind w:right="-10" w:rightChars="0"/>
              <w:jc w:val="both"/>
              <w:rPr>
                <w:rFonts w:ascii="宋体" w:hAnsi="宋体" w:eastAsia="宋体" w:cs="宋体"/>
                <w:color w:val="auto"/>
                <w:spacing w:val="10"/>
                <w:sz w:val="24"/>
                <w:szCs w:val="24"/>
                <w:highlight w:val="none"/>
              </w:rPr>
            </w:pPr>
          </w:p>
        </w:tc>
        <w:tc>
          <w:tcPr>
            <w:tcW w:w="2060" w:type="pct"/>
            <w:vAlign w:val="center"/>
          </w:tcPr>
          <w:p w14:paraId="72502FF1">
            <w:pPr>
              <w:spacing w:after="50" w:line="240" w:lineRule="auto"/>
              <w:ind w:right="-10" w:righ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项目经理：</w:t>
            </w:r>
          </w:p>
          <w:p w14:paraId="42AB9B3D">
            <w:pPr>
              <w:spacing w:after="50" w:line="240" w:lineRule="auto"/>
              <w:ind w:right="-10" w:rightChars="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提供符合资质要求的注册建造师证书和有效的安全生产考核合格证（B证），注册单位必须是供应商本单位；</w:t>
            </w:r>
          </w:p>
          <w:p w14:paraId="294DC06C">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提供项目经理承诺，格式后附。</w:t>
            </w:r>
          </w:p>
        </w:tc>
        <w:tc>
          <w:tcPr>
            <w:tcW w:w="1850" w:type="pct"/>
            <w:vMerge w:val="continue"/>
            <w:vAlign w:val="center"/>
          </w:tcPr>
          <w:p w14:paraId="7134B528">
            <w:pPr>
              <w:spacing w:after="50" w:line="240" w:lineRule="auto"/>
              <w:ind w:right="-10" w:rightChars="0"/>
              <w:jc w:val="both"/>
              <w:rPr>
                <w:rFonts w:ascii="宋体" w:hAnsi="宋体" w:eastAsia="宋体" w:cs="宋体"/>
                <w:color w:val="auto"/>
                <w:spacing w:val="10"/>
                <w:sz w:val="24"/>
                <w:szCs w:val="24"/>
                <w:highlight w:val="none"/>
              </w:rPr>
            </w:pPr>
          </w:p>
        </w:tc>
      </w:tr>
      <w:tr w14:paraId="292B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33FFE430">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5</w:t>
            </w:r>
          </w:p>
        </w:tc>
        <w:tc>
          <w:tcPr>
            <w:tcW w:w="720" w:type="pct"/>
            <w:vAlign w:val="center"/>
          </w:tcPr>
          <w:p w14:paraId="4CD3A2EA">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rPr>
              <w:t>授权书</w:t>
            </w:r>
          </w:p>
        </w:tc>
        <w:tc>
          <w:tcPr>
            <w:tcW w:w="2060" w:type="pct"/>
            <w:vAlign w:val="center"/>
          </w:tcPr>
          <w:p w14:paraId="5F9B13EB">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50" w:type="pct"/>
            <w:vAlign w:val="center"/>
          </w:tcPr>
          <w:p w14:paraId="29FB9643">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6F7A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775A2C43">
            <w:pPr>
              <w:adjustRightInd w:val="0"/>
              <w:snapToGrid w:val="0"/>
              <w:spacing w:line="240" w:lineRule="auto"/>
              <w:ind w:right="-10" w:rightChars="0"/>
              <w:jc w:val="center"/>
              <w:rPr>
                <w:rFonts w:hint="default" w:cs="Times New Roman"/>
                <w:color w:val="auto"/>
                <w:kern w:val="2"/>
                <w:sz w:val="24"/>
                <w:szCs w:val="24"/>
                <w:highlight w:val="none"/>
                <w:lang w:val="en-US" w:eastAsia="zh-CN"/>
              </w:rPr>
            </w:pPr>
            <w:r>
              <w:rPr>
                <w:rFonts w:hint="eastAsia" w:cs="Times New Roman"/>
                <w:color w:val="auto"/>
                <w:kern w:val="2"/>
                <w:sz w:val="24"/>
                <w:szCs w:val="24"/>
                <w:highlight w:val="none"/>
                <w:lang w:val="en-US" w:eastAsia="zh-CN"/>
              </w:rPr>
              <w:t>6</w:t>
            </w:r>
          </w:p>
        </w:tc>
        <w:tc>
          <w:tcPr>
            <w:tcW w:w="720" w:type="pct"/>
            <w:vAlign w:val="center"/>
          </w:tcPr>
          <w:p w14:paraId="6D9E6CF1">
            <w:pPr>
              <w:adjustRightInd w:val="0"/>
              <w:snapToGrid w:val="0"/>
              <w:spacing w:line="240" w:lineRule="auto"/>
              <w:ind w:right="-10" w:rightChars="0"/>
              <w:jc w:val="center"/>
              <w:rPr>
                <w:rFonts w:hint="default" w:eastAsia="宋体" w:cs="Times New Roman"/>
                <w:color w:val="auto"/>
                <w:kern w:val="2"/>
                <w:sz w:val="24"/>
                <w:szCs w:val="24"/>
                <w:highlight w:val="none"/>
                <w:lang w:val="en-US" w:eastAsia="zh-CN"/>
              </w:rPr>
            </w:pPr>
            <w:r>
              <w:rPr>
                <w:rFonts w:hint="eastAsia" w:cs="Times New Roman"/>
                <w:color w:val="auto"/>
                <w:kern w:val="2"/>
                <w:sz w:val="24"/>
                <w:szCs w:val="24"/>
                <w:highlight w:val="none"/>
                <w:lang w:val="en-US" w:eastAsia="zh-CN"/>
              </w:rPr>
              <w:t>中小企业声明函</w:t>
            </w:r>
          </w:p>
        </w:tc>
        <w:tc>
          <w:tcPr>
            <w:tcW w:w="2060" w:type="pct"/>
            <w:shd w:val="clear" w:color="auto" w:fill="auto"/>
            <w:vAlign w:val="center"/>
          </w:tcPr>
          <w:p w14:paraId="0D7FBEDC">
            <w:pPr>
              <w:adjustRightInd w:val="0"/>
              <w:snapToGrid w:val="0"/>
              <w:spacing w:line="240" w:lineRule="auto"/>
              <w:ind w:right="-10" w:rightChars="0"/>
              <w:jc w:val="left"/>
              <w:rPr>
                <w:rFonts w:hint="eastAsia" w:ascii="Calibri" w:hAnsi="Calibri" w:eastAsia="宋体" w:cs="Times New Roman"/>
                <w:color w:val="auto"/>
                <w:kern w:val="2"/>
                <w:sz w:val="24"/>
                <w:szCs w:val="24"/>
                <w:highlight w:val="none"/>
                <w:lang w:val="en-US" w:eastAsia="zh-CN" w:bidi="ar-SA"/>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50" w:type="pct"/>
            <w:vAlign w:val="center"/>
          </w:tcPr>
          <w:p w14:paraId="78EE7918">
            <w:pPr>
              <w:adjustRightInd w:val="0"/>
              <w:snapToGrid w:val="0"/>
              <w:spacing w:line="240" w:lineRule="auto"/>
              <w:ind w:right="-10" w:rightChars="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3E59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642FA204">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7</w:t>
            </w:r>
          </w:p>
        </w:tc>
        <w:tc>
          <w:tcPr>
            <w:tcW w:w="720" w:type="pct"/>
            <w:vAlign w:val="center"/>
          </w:tcPr>
          <w:p w14:paraId="71A161F3">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响应函</w:t>
            </w:r>
          </w:p>
        </w:tc>
        <w:tc>
          <w:tcPr>
            <w:tcW w:w="2060" w:type="pct"/>
            <w:vAlign w:val="center"/>
          </w:tcPr>
          <w:p w14:paraId="47FCC895">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50" w:type="pct"/>
            <w:vAlign w:val="center"/>
          </w:tcPr>
          <w:p w14:paraId="416E52BF">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6C0C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69" w:type="pct"/>
            <w:vAlign w:val="center"/>
          </w:tcPr>
          <w:p w14:paraId="58328E7B">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olor w:val="auto"/>
                <w:sz w:val="24"/>
                <w:szCs w:val="24"/>
                <w:highlight w:val="none"/>
                <w:lang w:val="en-US" w:eastAsia="zh-CN"/>
              </w:rPr>
              <w:t>8</w:t>
            </w:r>
          </w:p>
        </w:tc>
        <w:tc>
          <w:tcPr>
            <w:tcW w:w="720" w:type="pct"/>
            <w:vAlign w:val="center"/>
          </w:tcPr>
          <w:p w14:paraId="04C095FF">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报价</w:t>
            </w:r>
          </w:p>
        </w:tc>
        <w:tc>
          <w:tcPr>
            <w:tcW w:w="2060" w:type="pct"/>
            <w:vAlign w:val="center"/>
          </w:tcPr>
          <w:p w14:paraId="45947B6C">
            <w:pPr>
              <w:spacing w:after="50" w:line="240" w:lineRule="auto"/>
              <w:ind w:right="-10" w:rightChars="0"/>
              <w:jc w:val="both"/>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50" w:type="pct"/>
            <w:vAlign w:val="center"/>
          </w:tcPr>
          <w:p w14:paraId="3F071654">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6378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69" w:type="pct"/>
            <w:vAlign w:val="center"/>
          </w:tcPr>
          <w:p w14:paraId="03B43B0E">
            <w:pPr>
              <w:adjustRightInd w:val="0"/>
              <w:snapToGrid w:val="0"/>
              <w:spacing w:line="240" w:lineRule="auto"/>
              <w:ind w:right="-10" w:rightChars="0"/>
              <w:jc w:val="center"/>
              <w:rPr>
                <w:rFonts w:hint="default" w:cs="Times New Roman"/>
                <w:color w:val="auto"/>
                <w:kern w:val="2"/>
                <w:sz w:val="24"/>
                <w:szCs w:val="24"/>
                <w:highlight w:val="none"/>
                <w:lang w:val="en-US"/>
              </w:rPr>
            </w:pPr>
            <w:r>
              <w:rPr>
                <w:rFonts w:hint="eastAsia" w:cs="Times New Roman"/>
                <w:color w:val="auto"/>
                <w:kern w:val="2"/>
                <w:sz w:val="24"/>
                <w:szCs w:val="24"/>
                <w:highlight w:val="none"/>
                <w:lang w:val="en-US" w:eastAsia="zh-CN"/>
              </w:rPr>
              <w:t>9</w:t>
            </w:r>
          </w:p>
        </w:tc>
        <w:tc>
          <w:tcPr>
            <w:tcW w:w="720" w:type="pct"/>
            <w:vAlign w:val="center"/>
          </w:tcPr>
          <w:p w14:paraId="69A32C4C">
            <w:pPr>
              <w:adjustRightInd w:val="0"/>
              <w:snapToGrid w:val="0"/>
              <w:spacing w:line="240" w:lineRule="auto"/>
              <w:ind w:right="-10" w:rightChars="0"/>
              <w:jc w:val="center"/>
              <w:rPr>
                <w:rFonts w:hint="eastAsia" w:ascii="Calibri" w:hAnsi="Calibri" w:eastAsia="宋体" w:cs="Times New Roman"/>
                <w:color w:val="auto"/>
                <w:kern w:val="2"/>
                <w:sz w:val="24"/>
                <w:szCs w:val="24"/>
                <w:highlight w:val="none"/>
                <w:lang w:val="en-US" w:eastAsia="zh-CN"/>
              </w:rPr>
            </w:pPr>
            <w:r>
              <w:rPr>
                <w:rFonts w:hint="eastAsia" w:ascii="Calibri" w:hAnsi="Calibri" w:cs="Times New Roman"/>
                <w:color w:val="auto"/>
                <w:kern w:val="2"/>
                <w:sz w:val="24"/>
                <w:szCs w:val="24"/>
                <w:highlight w:val="none"/>
                <w:lang w:val="en-US" w:eastAsia="zh-CN"/>
              </w:rPr>
              <w:t>其他</w:t>
            </w:r>
          </w:p>
        </w:tc>
        <w:tc>
          <w:tcPr>
            <w:tcW w:w="2060" w:type="pct"/>
            <w:vAlign w:val="center"/>
          </w:tcPr>
          <w:p w14:paraId="15E9F614">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50" w:type="pct"/>
            <w:vAlign w:val="center"/>
          </w:tcPr>
          <w:p w14:paraId="7777A894">
            <w:pPr>
              <w:adjustRightInd w:val="0"/>
              <w:snapToGrid w:val="0"/>
              <w:spacing w:line="240" w:lineRule="auto"/>
              <w:ind w:right="-10" w:rightChars="0"/>
              <w:jc w:val="left"/>
              <w:rPr>
                <w:rFonts w:hint="eastAsia" w:ascii="宋体" w:hAnsi="宋体" w:eastAsia="宋体"/>
                <w:color w:val="auto"/>
                <w:sz w:val="24"/>
                <w:szCs w:val="24"/>
                <w:highlight w:val="none"/>
              </w:rPr>
            </w:pPr>
          </w:p>
        </w:tc>
      </w:tr>
      <w:tr w14:paraId="52E5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149" w:type="pct"/>
            <w:gridSpan w:val="3"/>
            <w:tcBorders>
              <w:bottom w:val="single" w:color="auto" w:sz="4" w:space="0"/>
            </w:tcBorders>
            <w:vAlign w:val="center"/>
          </w:tcPr>
          <w:p w14:paraId="7CD22D21">
            <w:pPr>
              <w:adjustRightInd w:val="0"/>
              <w:snapToGrid w:val="0"/>
              <w:spacing w:line="240" w:lineRule="auto"/>
              <w:ind w:right="-1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评审指标通过标准：供应商必须通过上述全部指标。</w:t>
            </w:r>
          </w:p>
        </w:tc>
        <w:tc>
          <w:tcPr>
            <w:tcW w:w="1850" w:type="pct"/>
            <w:tcBorders>
              <w:bottom w:val="single" w:color="auto" w:sz="4" w:space="0"/>
            </w:tcBorders>
            <w:vAlign w:val="center"/>
          </w:tcPr>
          <w:p w14:paraId="7FBADE2E">
            <w:pPr>
              <w:adjustRightInd w:val="0"/>
              <w:snapToGrid w:val="0"/>
              <w:spacing w:line="240" w:lineRule="auto"/>
              <w:ind w:right="-10"/>
              <w:jc w:val="left"/>
              <w:rPr>
                <w:rFonts w:hint="eastAsia" w:ascii="Calibri" w:hAnsi="Calibri" w:cs="Times New Roman"/>
                <w:color w:val="auto"/>
                <w:kern w:val="2"/>
                <w:sz w:val="24"/>
                <w:szCs w:val="24"/>
                <w:highlight w:val="none"/>
              </w:rPr>
            </w:pPr>
          </w:p>
        </w:tc>
      </w:tr>
    </w:tbl>
    <w:p w14:paraId="1CA53AEC">
      <w:pPr>
        <w:spacing w:line="360" w:lineRule="auto"/>
        <w:ind w:firstLine="435"/>
        <w:rPr>
          <w:rFonts w:ascii="宋体" w:hAnsi="宋体" w:eastAsia="宋体"/>
          <w:color w:val="auto"/>
          <w:sz w:val="24"/>
          <w:szCs w:val="24"/>
          <w:highlight w:val="none"/>
        </w:rPr>
      </w:pPr>
      <w:r>
        <w:rPr>
          <w:rFonts w:hint="eastAsia" w:ascii="宋体" w:hAnsi="宋体" w:eastAsia="宋体"/>
          <w:b/>
          <w:bCs/>
          <w:color w:val="auto"/>
          <w:sz w:val="24"/>
          <w:szCs w:val="24"/>
          <w:highlight w:val="none"/>
        </w:rPr>
        <w:t>初审指标通过标准：</w:t>
      </w:r>
      <w:r>
        <w:rPr>
          <w:rFonts w:hint="eastAsia" w:ascii="宋体" w:hAnsi="宋体" w:eastAsia="宋体"/>
          <w:color w:val="auto"/>
          <w:sz w:val="24"/>
          <w:szCs w:val="24"/>
          <w:highlight w:val="none"/>
        </w:rPr>
        <w:t>供应商必须通过初审表中的全部评审指标。</w:t>
      </w:r>
    </w:p>
    <w:p w14:paraId="6F4E4C27">
      <w:pPr>
        <w:spacing w:line="360" w:lineRule="auto"/>
        <w:ind w:firstLine="435"/>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2.2综合评分</w:t>
      </w:r>
    </w:p>
    <w:p w14:paraId="4836193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磋商小组按照下表对</w:t>
      </w:r>
      <w:r>
        <w:rPr>
          <w:rFonts w:hint="eastAsia"/>
          <w:color w:val="auto"/>
          <w:sz w:val="24"/>
          <w:szCs w:val="24"/>
          <w:highlight w:val="none"/>
        </w:rPr>
        <w:t>进入综合评分的所有供应商的</w:t>
      </w:r>
      <w:r>
        <w:rPr>
          <w:rFonts w:hint="eastAsia" w:ascii="宋体" w:hAnsi="宋体" w:eastAsia="宋体"/>
          <w:color w:val="auto"/>
          <w:sz w:val="24"/>
          <w:szCs w:val="24"/>
          <w:highlight w:val="none"/>
        </w:rPr>
        <w:t>响应文件进行综合评分。</w:t>
      </w:r>
    </w:p>
    <w:p w14:paraId="7FAE531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.2</w:t>
      </w:r>
      <w:r>
        <w:rPr>
          <w:rFonts w:hint="eastAsia" w:ascii="宋体" w:hAnsi="宋体" w:eastAsia="宋体"/>
          <w:color w:val="auto"/>
          <w:sz w:val="24"/>
          <w:szCs w:val="24"/>
          <w:highlight w:val="none"/>
        </w:rPr>
        <w:t>本项目综合评分满分为1</w:t>
      </w:r>
      <w:r>
        <w:rPr>
          <w:rFonts w:ascii="宋体" w:hAnsi="宋体" w:eastAsia="宋体"/>
          <w:color w:val="auto"/>
          <w:sz w:val="24"/>
          <w:szCs w:val="24"/>
          <w:highlight w:val="none"/>
        </w:rPr>
        <w:t>00</w:t>
      </w:r>
      <w:r>
        <w:rPr>
          <w:rFonts w:hint="eastAsia" w:ascii="宋体" w:hAnsi="宋体" w:eastAsia="宋体"/>
          <w:color w:val="auto"/>
          <w:sz w:val="24"/>
          <w:szCs w:val="24"/>
          <w:highlight w:val="none"/>
        </w:rPr>
        <w:t>分，其中：技术资信分值占总分值的权重为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80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%，价格分值占总分值的权重为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20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%。具体评分细则如下：</w:t>
      </w:r>
    </w:p>
    <w:tbl>
      <w:tblPr>
        <w:tblStyle w:val="55"/>
        <w:tblW w:w="57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386"/>
        <w:gridCol w:w="5990"/>
        <w:gridCol w:w="1230"/>
      </w:tblGrid>
      <w:tr w14:paraId="2661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22" w:type="pct"/>
            <w:tcBorders>
              <w:top w:val="single" w:color="auto" w:sz="4" w:space="0"/>
              <w:left w:val="single" w:color="auto" w:sz="4" w:space="0"/>
              <w:bottom w:val="single" w:color="auto" w:sz="4" w:space="0"/>
              <w:right w:val="single" w:color="auto" w:sz="4" w:space="0"/>
            </w:tcBorders>
            <w:vAlign w:val="center"/>
          </w:tcPr>
          <w:p w14:paraId="1471D999">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类别</w:t>
            </w:r>
          </w:p>
        </w:tc>
        <w:tc>
          <w:tcPr>
            <w:tcW w:w="1112" w:type="pct"/>
            <w:tcBorders>
              <w:top w:val="single" w:color="auto" w:sz="4" w:space="0"/>
              <w:left w:val="single" w:color="auto" w:sz="4" w:space="0"/>
              <w:bottom w:val="single" w:color="auto" w:sz="4" w:space="0"/>
              <w:right w:val="single" w:color="auto" w:sz="4" w:space="0"/>
            </w:tcBorders>
            <w:vAlign w:val="center"/>
          </w:tcPr>
          <w:p w14:paraId="6B7ABBA9">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评分内容</w:t>
            </w:r>
          </w:p>
        </w:tc>
        <w:tc>
          <w:tcPr>
            <w:tcW w:w="2792" w:type="pct"/>
            <w:tcBorders>
              <w:top w:val="single" w:color="auto" w:sz="4" w:space="0"/>
              <w:left w:val="single" w:color="auto" w:sz="4" w:space="0"/>
              <w:bottom w:val="single" w:color="auto" w:sz="4" w:space="0"/>
              <w:right w:val="single" w:color="auto" w:sz="4" w:space="0"/>
            </w:tcBorders>
            <w:vAlign w:val="center"/>
          </w:tcPr>
          <w:p w14:paraId="3AEB8796">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评分标准</w:t>
            </w:r>
          </w:p>
        </w:tc>
        <w:tc>
          <w:tcPr>
            <w:tcW w:w="573" w:type="pct"/>
            <w:tcBorders>
              <w:top w:val="single" w:color="auto" w:sz="4" w:space="0"/>
              <w:left w:val="single" w:color="auto" w:sz="4" w:space="0"/>
              <w:bottom w:val="single" w:color="auto" w:sz="4" w:space="0"/>
              <w:right w:val="single" w:color="auto" w:sz="4" w:space="0"/>
            </w:tcBorders>
            <w:vAlign w:val="center"/>
          </w:tcPr>
          <w:p w14:paraId="2691CF57">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分值范围</w:t>
            </w:r>
          </w:p>
        </w:tc>
      </w:tr>
      <w:tr w14:paraId="6FF7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restart"/>
            <w:tcBorders>
              <w:top w:val="single" w:color="auto" w:sz="4" w:space="0"/>
              <w:left w:val="single" w:color="auto" w:sz="4" w:space="0"/>
              <w:right w:val="single" w:color="auto" w:sz="4" w:space="0"/>
            </w:tcBorders>
            <w:vAlign w:val="center"/>
          </w:tcPr>
          <w:p w14:paraId="4931B95E">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技术资信分</w:t>
            </w:r>
          </w:p>
          <w:p w14:paraId="72B4632A">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80</w:t>
            </w:r>
            <w:r>
              <w:rPr>
                <w:rFonts w:hint="eastAsia" w:ascii="宋体" w:hAnsi="宋体" w:eastAsia="宋体"/>
                <w:b/>
                <w:bCs/>
                <w:color w:val="auto"/>
                <w:sz w:val="24"/>
                <w:szCs w:val="24"/>
                <w:highlight w:val="none"/>
              </w:rPr>
              <w:t>分）</w:t>
            </w:r>
          </w:p>
        </w:tc>
        <w:tc>
          <w:tcPr>
            <w:tcW w:w="1112" w:type="pct"/>
            <w:tcBorders>
              <w:top w:val="single" w:color="auto" w:sz="4" w:space="0"/>
              <w:left w:val="single" w:color="auto" w:sz="4" w:space="0"/>
              <w:bottom w:val="single" w:color="auto" w:sz="4" w:space="0"/>
              <w:right w:val="single" w:color="auto" w:sz="4" w:space="0"/>
            </w:tcBorders>
            <w:vAlign w:val="center"/>
          </w:tcPr>
          <w:p w14:paraId="2D7436D5">
            <w:pPr>
              <w:spacing w:line="360" w:lineRule="auto"/>
              <w:jc w:val="center"/>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供应商业绩</w:t>
            </w:r>
          </w:p>
          <w:p w14:paraId="1CB679DC">
            <w:pPr>
              <w:spacing w:line="360" w:lineRule="auto"/>
              <w:jc w:val="center"/>
              <w:rPr>
                <w:rFonts w:ascii="宋体" w:hAnsi="宋体" w:eastAsia="宋体"/>
                <w:bCs/>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15</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1CA18F5C">
            <w:pPr>
              <w:widowControl/>
              <w:adjustRightInd w:val="0"/>
              <w:snapToGrid w:val="0"/>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供应商</w:t>
            </w:r>
            <w:r>
              <w:rPr>
                <w:rFonts w:hint="eastAsia" w:ascii="Times New Roman" w:hAnsi="Times New Roman"/>
                <w:bCs/>
                <w:color w:val="auto"/>
                <w:sz w:val="24"/>
                <w:szCs w:val="24"/>
                <w:highlight w:val="none"/>
              </w:rPr>
              <w:t>自2</w:t>
            </w:r>
            <w:r>
              <w:rPr>
                <w:rFonts w:hint="default" w:ascii="Times New Roman" w:hAnsi="Times New Roman"/>
                <w:bCs/>
                <w:color w:val="auto"/>
                <w:sz w:val="24"/>
                <w:szCs w:val="24"/>
                <w:highlight w:val="none"/>
                <w:lang w:val="en-US"/>
              </w:rPr>
              <w:t>022</w:t>
            </w:r>
            <w:r>
              <w:rPr>
                <w:rFonts w:hint="eastAsia" w:ascii="Times New Roman" w:hAnsi="Times New Roman"/>
                <w:bCs/>
                <w:color w:val="auto"/>
                <w:sz w:val="24"/>
                <w:szCs w:val="24"/>
                <w:highlight w:val="none"/>
              </w:rPr>
              <w:t>年1月</w:t>
            </w:r>
            <w:r>
              <w:rPr>
                <w:rFonts w:hint="eastAsia" w:ascii="Times New Roman" w:hAnsi="Times New Roman"/>
                <w:bCs/>
                <w:color w:val="auto"/>
                <w:sz w:val="24"/>
                <w:szCs w:val="24"/>
                <w:highlight w:val="none"/>
                <w:lang w:val="en-US" w:eastAsia="zh-CN"/>
              </w:rPr>
              <w:t>1</w:t>
            </w:r>
            <w:r>
              <w:rPr>
                <w:rFonts w:hint="eastAsia" w:ascii="Times New Roman" w:hAnsi="Times New Roman"/>
                <w:bCs/>
                <w:color w:val="auto"/>
                <w:sz w:val="24"/>
                <w:szCs w:val="24"/>
                <w:highlight w:val="none"/>
              </w:rPr>
              <w:t>日以来（以合同签订时间为准），每提供一个</w:t>
            </w:r>
            <w:r>
              <w:rPr>
                <w:rFonts w:hint="eastAsia" w:ascii="Times New Roman" w:hAnsi="Times New Roman"/>
                <w:bCs/>
                <w:color w:val="auto"/>
                <w:sz w:val="24"/>
                <w:szCs w:val="24"/>
                <w:highlight w:val="none"/>
                <w:lang w:val="en-US" w:eastAsia="zh-CN"/>
              </w:rPr>
              <w:t>水利工程或</w:t>
            </w:r>
            <w:r>
              <w:rPr>
                <w:rStyle w:val="271"/>
                <w:rFonts w:hint="eastAsia" w:ascii="Times New Roman" w:hAnsi="Times New Roman" w:cs="Times New Roman"/>
                <w:b w:val="0"/>
                <w:bCs w:val="0"/>
                <w:color w:val="auto"/>
                <w:sz w:val="24"/>
                <w:szCs w:val="24"/>
                <w:highlight w:val="none"/>
                <w:lang w:val="en-US" w:eastAsia="zh-CN"/>
              </w:rPr>
              <w:t>建筑工程</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Fonts w:hint="eastAsia" w:ascii="Times New Roman" w:hAnsi="Times New Roman"/>
                <w:bCs/>
                <w:color w:val="auto"/>
                <w:sz w:val="24"/>
                <w:szCs w:val="24"/>
                <w:highlight w:val="none"/>
              </w:rPr>
              <w:t>得5分，满分</w:t>
            </w:r>
            <w:r>
              <w:rPr>
                <w:rFonts w:hint="eastAsia" w:ascii="Times New Roman" w:hAnsi="Times New Roman"/>
                <w:bCs/>
                <w:color w:val="auto"/>
                <w:sz w:val="24"/>
                <w:szCs w:val="24"/>
                <w:highlight w:val="none"/>
                <w:lang w:val="en-US" w:eastAsia="zh-CN"/>
              </w:rPr>
              <w:t>15</w:t>
            </w:r>
            <w:r>
              <w:rPr>
                <w:rFonts w:hint="eastAsia" w:ascii="Times New Roman" w:hAnsi="Times New Roman"/>
                <w:bCs/>
                <w:color w:val="auto"/>
                <w:sz w:val="24"/>
                <w:szCs w:val="24"/>
                <w:highlight w:val="none"/>
              </w:rPr>
              <w:t>分；</w:t>
            </w:r>
          </w:p>
          <w:p w14:paraId="43FBC619">
            <w:pPr>
              <w:spacing w:line="240" w:lineRule="auto"/>
              <w:jc w:val="left"/>
              <w:rPr>
                <w:rFonts w:ascii="宋体" w:hAnsi="宋体" w:eastAsia="宋体"/>
                <w:bCs/>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业绩时间、项目内容等关键评审因素的，可补充提供合同甲方或行政主管部门出具的证明文件。</w:t>
            </w:r>
          </w:p>
        </w:tc>
        <w:tc>
          <w:tcPr>
            <w:tcW w:w="573" w:type="pct"/>
            <w:tcBorders>
              <w:top w:val="single" w:color="auto" w:sz="4" w:space="0"/>
              <w:left w:val="single" w:color="auto" w:sz="4" w:space="0"/>
              <w:bottom w:val="single" w:color="auto" w:sz="4" w:space="0"/>
              <w:right w:val="single" w:color="auto" w:sz="4" w:space="0"/>
            </w:tcBorders>
            <w:vAlign w:val="center"/>
          </w:tcPr>
          <w:p w14:paraId="1A6C3F40">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0-15分</w:t>
            </w:r>
          </w:p>
        </w:tc>
      </w:tr>
      <w:tr w14:paraId="0B1D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0A9EEEFF">
            <w:pPr>
              <w:spacing w:line="360" w:lineRule="auto"/>
              <w:jc w:val="center"/>
              <w:rPr>
                <w:rFonts w:hint="eastAsia" w:ascii="宋体" w:hAnsi="宋体" w:eastAsia="宋体"/>
                <w:b/>
                <w:bCs/>
                <w:color w:val="auto"/>
                <w:sz w:val="24"/>
                <w:szCs w:val="24"/>
                <w:highlight w:val="none"/>
              </w:rPr>
            </w:pPr>
          </w:p>
        </w:tc>
        <w:tc>
          <w:tcPr>
            <w:tcW w:w="1112" w:type="pct"/>
            <w:tcBorders>
              <w:top w:val="single" w:color="auto" w:sz="4" w:space="0"/>
              <w:left w:val="single" w:color="auto" w:sz="4" w:space="0"/>
              <w:bottom w:val="single" w:color="auto" w:sz="4" w:space="0"/>
              <w:right w:val="single" w:color="auto" w:sz="4" w:space="0"/>
            </w:tcBorders>
            <w:vAlign w:val="center"/>
          </w:tcPr>
          <w:p w14:paraId="2DDC93DB">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供应商认证证书</w:t>
            </w:r>
          </w:p>
          <w:p w14:paraId="442EB513">
            <w:pPr>
              <w:spacing w:line="360" w:lineRule="auto"/>
              <w:jc w:val="center"/>
              <w:rPr>
                <w:rFonts w:hint="default"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3</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3999F9C8">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供应商具有经中国国家认证认可监督管理委员会认证机构颁发的有效的下列认证的：</w:t>
            </w:r>
          </w:p>
          <w:p w14:paraId="6CE85C2C">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(1）质量管理体系认证；</w:t>
            </w:r>
          </w:p>
          <w:p w14:paraId="6F8B00C5">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(2）环境管理体系认证；</w:t>
            </w:r>
          </w:p>
          <w:p w14:paraId="192D6BBA">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(3）职业健康安全管理体系认证；</w:t>
            </w:r>
          </w:p>
          <w:p w14:paraId="10CD4062">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每提供1个得</w:t>
            </w:r>
            <w:r>
              <w:rPr>
                <w:rFonts w:hint="eastAsia" w:cs="宋体" w:asciiTheme="minorEastAsia" w:hAnsiTheme="minorEastAsia" w:eastAsiaTheme="minorEastAsia"/>
                <w:bCs/>
                <w:color w:val="auto"/>
                <w:sz w:val="24"/>
                <w:szCs w:val="24"/>
                <w:highlight w:val="none"/>
                <w:lang w:val="en-US" w:eastAsia="zh-CN"/>
              </w:rPr>
              <w:t>1</w:t>
            </w:r>
            <w:r>
              <w:rPr>
                <w:rFonts w:hint="eastAsia" w:cs="宋体" w:asciiTheme="minorEastAsia" w:hAnsiTheme="minorEastAsia" w:eastAsiaTheme="minorEastAsia"/>
                <w:bCs/>
                <w:color w:val="auto"/>
                <w:sz w:val="24"/>
                <w:szCs w:val="24"/>
                <w:highlight w:val="none"/>
              </w:rPr>
              <w:t>分，满分</w:t>
            </w:r>
            <w:r>
              <w:rPr>
                <w:rFonts w:hint="eastAsia" w:cs="宋体" w:asciiTheme="minorEastAsia" w:hAnsiTheme="minorEastAsia" w:eastAsiaTheme="minorEastAsia"/>
                <w:bCs/>
                <w:color w:val="auto"/>
                <w:sz w:val="24"/>
                <w:szCs w:val="24"/>
                <w:highlight w:val="none"/>
                <w:lang w:val="en-US" w:eastAsia="zh-CN"/>
              </w:rPr>
              <w:t>3</w:t>
            </w:r>
            <w:r>
              <w:rPr>
                <w:rFonts w:hint="eastAsia" w:cs="宋体" w:asciiTheme="minorEastAsia" w:hAnsiTheme="minorEastAsia" w:eastAsiaTheme="minorEastAsia"/>
                <w:bCs/>
                <w:color w:val="auto"/>
                <w:sz w:val="24"/>
                <w:szCs w:val="24"/>
                <w:highlight w:val="none"/>
              </w:rPr>
              <w:t>分。</w:t>
            </w:r>
          </w:p>
          <w:p w14:paraId="2E4422D5">
            <w:pPr>
              <w:spacing w:line="240" w:lineRule="auto"/>
              <w:jc w:val="left"/>
              <w:rPr>
                <w:rStyle w:val="271"/>
                <w:rFonts w:hint="eastAsia" w:ascii="Times New Roman" w:hAnsi="Times New Roman"/>
                <w:b/>
                <w:bCs/>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rPr>
              <w:t>注：响应文件中须提供以上认证证书的扫描件及中国国家认证认可监督管理委员会网站查询截图，否则不得分。</w:t>
            </w:r>
          </w:p>
        </w:tc>
        <w:tc>
          <w:tcPr>
            <w:tcW w:w="573" w:type="pct"/>
            <w:tcBorders>
              <w:top w:val="single" w:color="auto" w:sz="4" w:space="0"/>
              <w:left w:val="single" w:color="auto" w:sz="4" w:space="0"/>
              <w:bottom w:val="single" w:color="auto" w:sz="4" w:space="0"/>
              <w:right w:val="single" w:color="auto" w:sz="4" w:space="0"/>
            </w:tcBorders>
            <w:vAlign w:val="center"/>
          </w:tcPr>
          <w:p w14:paraId="7C34BBE0">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3</w:t>
            </w:r>
            <w:r>
              <w:rPr>
                <w:rFonts w:hint="eastAsia" w:ascii="宋体" w:hAnsi="宋体" w:eastAsia="宋体"/>
                <w:b/>
                <w:bCs/>
                <w:color w:val="auto"/>
                <w:sz w:val="24"/>
                <w:szCs w:val="24"/>
                <w:highlight w:val="none"/>
                <w:lang w:val="en-US" w:eastAsia="zh-CN"/>
              </w:rPr>
              <w:t>分</w:t>
            </w:r>
          </w:p>
        </w:tc>
      </w:tr>
      <w:tr w14:paraId="3E92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22" w:type="pct"/>
            <w:vMerge w:val="continue"/>
            <w:tcBorders>
              <w:left w:val="single" w:color="auto" w:sz="4" w:space="0"/>
              <w:right w:val="single" w:color="auto" w:sz="4" w:space="0"/>
            </w:tcBorders>
            <w:vAlign w:val="center"/>
          </w:tcPr>
          <w:p w14:paraId="4E3A23BC">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61C0FCBA">
            <w:pPr>
              <w:spacing w:line="360" w:lineRule="auto"/>
              <w:jc w:val="center"/>
              <w:rPr>
                <w:rStyle w:val="271"/>
                <w:rFonts w:hint="eastAsia" w:ascii="Times New Roman" w:hAnsi="Times New Roman" w:cs="Times New Roman"/>
                <w:b/>
                <w:bCs/>
                <w:color w:val="auto"/>
                <w:sz w:val="24"/>
                <w:szCs w:val="24"/>
                <w:highlight w:val="none"/>
                <w:lang w:val="en-US" w:eastAsia="zh-CN"/>
              </w:rPr>
            </w:pPr>
            <w:r>
              <w:rPr>
                <w:rStyle w:val="271"/>
                <w:rFonts w:hint="eastAsia" w:ascii="Times New Roman" w:hAnsi="Times New Roman" w:cs="Times New Roman"/>
                <w:b/>
                <w:bCs/>
                <w:color w:val="auto"/>
                <w:sz w:val="24"/>
                <w:szCs w:val="24"/>
                <w:highlight w:val="none"/>
                <w:lang w:eastAsia="zh-CN"/>
              </w:rPr>
              <w:t>项目经理</w:t>
            </w:r>
            <w:r>
              <w:rPr>
                <w:rStyle w:val="271"/>
                <w:rFonts w:hint="eastAsia" w:ascii="Times New Roman" w:hAnsi="Times New Roman" w:cs="Times New Roman"/>
                <w:b/>
                <w:bCs/>
                <w:color w:val="auto"/>
                <w:sz w:val="24"/>
                <w:szCs w:val="24"/>
                <w:highlight w:val="none"/>
                <w:lang w:val="en-US" w:eastAsia="zh-CN"/>
              </w:rPr>
              <w:t>实力</w:t>
            </w:r>
          </w:p>
          <w:p w14:paraId="51A021A8">
            <w:pPr>
              <w:spacing w:line="360" w:lineRule="auto"/>
              <w:jc w:val="center"/>
              <w:rPr>
                <w:rFonts w:hint="eastAsia" w:ascii="Times New Roman" w:hAnsi="Times New Roman"/>
                <w:b/>
                <w:color w:val="auto"/>
                <w:kern w:val="0"/>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14</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58B315C8">
            <w:pPr>
              <w:widowControl/>
              <w:adjustRightInd w:val="0"/>
              <w:snapToGrid w:val="0"/>
              <w:spacing w:line="240" w:lineRule="auto"/>
              <w:rPr>
                <w:rStyle w:val="271"/>
                <w:rFonts w:hint="eastAsia" w:ascii="Times New Roman" w:hAnsi="Times New Roman"/>
                <w:color w:val="auto"/>
                <w:sz w:val="24"/>
                <w:szCs w:val="24"/>
                <w:highlight w:val="none"/>
                <w:lang w:eastAsia="zh-CN"/>
              </w:rPr>
            </w:pPr>
            <w:r>
              <w:rPr>
                <w:rStyle w:val="271"/>
                <w:rFonts w:hint="eastAsia" w:ascii="Times New Roman" w:hAnsi="Times New Roman"/>
                <w:color w:val="auto"/>
                <w:sz w:val="24"/>
                <w:szCs w:val="24"/>
                <w:highlight w:val="none"/>
                <w:lang w:eastAsia="zh-CN"/>
              </w:rPr>
              <w:t>（</w:t>
            </w:r>
            <w:r>
              <w:rPr>
                <w:rStyle w:val="271"/>
                <w:rFonts w:hint="eastAsia" w:ascii="Times New Roman" w:hAnsi="Times New Roman"/>
                <w:color w:val="auto"/>
                <w:sz w:val="24"/>
                <w:szCs w:val="24"/>
                <w:highlight w:val="none"/>
                <w:lang w:val="en-US" w:eastAsia="zh-CN"/>
              </w:rPr>
              <w:t>1）供应商拟任</w:t>
            </w:r>
            <w:r>
              <w:rPr>
                <w:rStyle w:val="271"/>
                <w:rFonts w:hint="eastAsia" w:ascii="Times New Roman" w:hAnsi="Times New Roman"/>
                <w:color w:val="auto"/>
                <w:sz w:val="24"/>
                <w:szCs w:val="24"/>
                <w:highlight w:val="none"/>
                <w:lang w:eastAsia="zh-CN"/>
              </w:rPr>
              <w:t>项目经理</w:t>
            </w:r>
            <w:r>
              <w:rPr>
                <w:rStyle w:val="271"/>
                <w:rFonts w:hint="eastAsia" w:ascii="Times New Roman" w:hAnsi="Times New Roman"/>
                <w:color w:val="auto"/>
                <w:sz w:val="24"/>
                <w:szCs w:val="24"/>
                <w:highlight w:val="none"/>
                <w:lang w:val="en-US" w:eastAsia="zh-CN"/>
              </w:rPr>
              <w:t>每</w:t>
            </w:r>
            <w:r>
              <w:rPr>
                <w:rStyle w:val="271"/>
                <w:rFonts w:ascii="Times New Roman" w:hAnsi="Times New Roman"/>
                <w:color w:val="auto"/>
                <w:sz w:val="24"/>
                <w:szCs w:val="24"/>
                <w:highlight w:val="none"/>
              </w:rPr>
              <w:t>具有</w:t>
            </w:r>
            <w:r>
              <w:rPr>
                <w:rStyle w:val="271"/>
                <w:rFonts w:hint="eastAsia" w:ascii="Times New Roman" w:hAnsi="Times New Roman"/>
                <w:color w:val="auto"/>
                <w:sz w:val="24"/>
                <w:szCs w:val="24"/>
                <w:highlight w:val="none"/>
                <w:lang w:val="en-US" w:eastAsia="zh-CN"/>
              </w:rPr>
              <w:t>一个水利工程或</w:t>
            </w:r>
            <w:r>
              <w:rPr>
                <w:rStyle w:val="271"/>
                <w:rFonts w:hint="eastAsia" w:ascii="Times New Roman" w:hAnsi="Times New Roman" w:cs="Times New Roman"/>
                <w:b w:val="0"/>
                <w:bCs w:val="0"/>
                <w:color w:val="auto"/>
                <w:sz w:val="24"/>
                <w:szCs w:val="24"/>
                <w:highlight w:val="none"/>
                <w:lang w:val="en-US" w:eastAsia="zh-CN"/>
              </w:rPr>
              <w:t>建筑</w:t>
            </w:r>
            <w:r>
              <w:rPr>
                <w:rStyle w:val="271"/>
                <w:rFonts w:hint="eastAsia" w:ascii="Times New Roman" w:hAnsi="Times New Roman" w:eastAsia="宋体" w:cs="Times New Roman"/>
                <w:b w:val="0"/>
                <w:bCs w:val="0"/>
                <w:color w:val="auto"/>
                <w:sz w:val="24"/>
                <w:szCs w:val="24"/>
                <w:highlight w:val="none"/>
                <w:lang w:val="en-US" w:eastAsia="zh-CN"/>
              </w:rPr>
              <w:t>工程</w:t>
            </w:r>
            <w:r>
              <w:rPr>
                <w:rStyle w:val="271"/>
                <w:rFonts w:hint="default" w:ascii="Times New Roman" w:hAnsi="Times New Roman" w:eastAsia="宋体" w:cs="Times New Roman"/>
                <w:b w:val="0"/>
                <w:bCs w:val="0"/>
                <w:color w:val="auto"/>
                <w:sz w:val="24"/>
                <w:szCs w:val="24"/>
                <w:highlight w:val="none"/>
                <w:lang w:val="en-US" w:eastAsia="zh-CN"/>
              </w:rPr>
              <w:t>项目</w:t>
            </w:r>
            <w:r>
              <w:rPr>
                <w:rStyle w:val="271"/>
                <w:rFonts w:hint="eastAsia" w:ascii="Times New Roman" w:hAnsi="Times New Roman" w:eastAsia="宋体" w:cs="Times New Roman"/>
                <w:b w:val="0"/>
                <w:bCs w:val="0"/>
                <w:color w:val="auto"/>
                <w:sz w:val="24"/>
                <w:szCs w:val="24"/>
                <w:highlight w:val="none"/>
                <w:lang w:val="en-US" w:eastAsia="zh-CN"/>
              </w:rPr>
              <w:t>经理</w:t>
            </w:r>
            <w:r>
              <w:rPr>
                <w:rStyle w:val="271"/>
                <w:rFonts w:hint="eastAsia" w:ascii="Times New Roman" w:hAnsi="Times New Roman" w:cs="Times New Roman"/>
                <w:b w:val="0"/>
                <w:bCs w:val="0"/>
                <w:color w:val="auto"/>
                <w:sz w:val="24"/>
                <w:szCs w:val="24"/>
                <w:highlight w:val="none"/>
                <w:lang w:val="en-US" w:eastAsia="zh-CN"/>
              </w:rPr>
              <w:t>(或技术负责人）</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Style w:val="271"/>
                <w:rFonts w:hint="eastAsia" w:ascii="Times New Roman" w:hAnsi="Times New Roman"/>
                <w:color w:val="auto"/>
                <w:sz w:val="24"/>
                <w:szCs w:val="24"/>
                <w:highlight w:val="none"/>
                <w:lang w:val="en-US" w:eastAsia="zh-CN"/>
              </w:rPr>
              <w:t>得5</w:t>
            </w:r>
            <w:r>
              <w:rPr>
                <w:rStyle w:val="271"/>
                <w:rFonts w:ascii="Times New Roman" w:hAnsi="Times New Roman"/>
                <w:color w:val="auto"/>
                <w:sz w:val="24"/>
                <w:szCs w:val="24"/>
                <w:highlight w:val="none"/>
              </w:rPr>
              <w:t>分，最多得</w:t>
            </w:r>
            <w:r>
              <w:rPr>
                <w:rStyle w:val="271"/>
                <w:rFonts w:hint="eastAsia" w:ascii="Times New Roman" w:hAnsi="Times New Roman"/>
                <w:color w:val="auto"/>
                <w:sz w:val="24"/>
                <w:szCs w:val="24"/>
                <w:highlight w:val="none"/>
                <w:lang w:val="en-US" w:eastAsia="zh-CN"/>
              </w:rPr>
              <w:t>10</w:t>
            </w:r>
            <w:r>
              <w:rPr>
                <w:rStyle w:val="271"/>
                <w:rFonts w:ascii="Times New Roman" w:hAnsi="Times New Roman"/>
                <w:color w:val="auto"/>
                <w:sz w:val="24"/>
                <w:szCs w:val="24"/>
                <w:highlight w:val="none"/>
              </w:rPr>
              <w:t>分</w:t>
            </w:r>
            <w:r>
              <w:rPr>
                <w:rStyle w:val="271"/>
                <w:rFonts w:hint="eastAsia" w:ascii="Times New Roman" w:hAnsi="Times New Roman"/>
                <w:color w:val="auto"/>
                <w:sz w:val="24"/>
                <w:szCs w:val="24"/>
                <w:highlight w:val="none"/>
                <w:lang w:eastAsia="zh-CN"/>
              </w:rPr>
              <w:t>。</w:t>
            </w:r>
          </w:p>
          <w:p w14:paraId="330F2F08">
            <w:pPr>
              <w:spacing w:line="240" w:lineRule="auto"/>
              <w:jc w:val="left"/>
              <w:rPr>
                <w:rFonts w:ascii="宋体" w:hAnsi="宋体" w:eastAsia="宋体"/>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项目内容、项目经理姓名等关键评审因素的，可补充提供合同甲方或行政主管部门出具的证明文件。</w:t>
            </w:r>
          </w:p>
        </w:tc>
        <w:tc>
          <w:tcPr>
            <w:tcW w:w="573" w:type="pct"/>
            <w:tcBorders>
              <w:top w:val="single" w:color="auto" w:sz="4" w:space="0"/>
              <w:left w:val="single" w:color="auto" w:sz="4" w:space="0"/>
              <w:right w:val="single" w:color="auto" w:sz="4" w:space="0"/>
            </w:tcBorders>
            <w:vAlign w:val="center"/>
          </w:tcPr>
          <w:p w14:paraId="7BCC91C3">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w:t>
            </w:r>
            <w:r>
              <w:rPr>
                <w:rFonts w:hint="eastAsia"/>
                <w:b/>
                <w:bCs/>
                <w:color w:val="auto"/>
                <w:sz w:val="24"/>
                <w:szCs w:val="24"/>
                <w:highlight w:val="none"/>
                <w:lang w:val="en-US" w:eastAsia="zh-CN"/>
              </w:rPr>
              <w:t>0</w:t>
            </w:r>
            <w:r>
              <w:rPr>
                <w:rFonts w:hint="eastAsia" w:ascii="宋体" w:hAnsi="宋体" w:eastAsia="宋体"/>
                <w:b/>
                <w:bCs/>
                <w:color w:val="auto"/>
                <w:sz w:val="24"/>
                <w:szCs w:val="24"/>
                <w:highlight w:val="none"/>
                <w:lang w:val="en-US" w:eastAsia="zh-CN"/>
              </w:rPr>
              <w:t>分</w:t>
            </w:r>
          </w:p>
        </w:tc>
      </w:tr>
      <w:tr w14:paraId="393E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22" w:type="pct"/>
            <w:vMerge w:val="continue"/>
            <w:tcBorders>
              <w:left w:val="single" w:color="auto" w:sz="4" w:space="0"/>
              <w:right w:val="single" w:color="auto" w:sz="4" w:space="0"/>
            </w:tcBorders>
            <w:vAlign w:val="center"/>
          </w:tcPr>
          <w:p w14:paraId="04E2BFE6">
            <w:pPr>
              <w:spacing w:line="24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1BEBEEDD">
            <w:pPr>
              <w:spacing w:line="24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10206697">
            <w:pPr>
              <w:widowControl/>
              <w:numPr>
                <w:ilvl w:val="0"/>
                <w:numId w:val="0"/>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val="en-US" w:eastAsia="zh-CN"/>
              </w:rPr>
              <w:t>项目经理</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具有水利工程或建筑工程相关专业中级技术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26CE5ED1">
            <w:pPr>
              <w:spacing w:line="240" w:lineRule="auto"/>
              <w:jc w:val="left"/>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left w:val="single" w:color="auto" w:sz="4" w:space="0"/>
              <w:bottom w:val="single" w:color="auto" w:sz="4" w:space="0"/>
              <w:right w:val="single" w:color="auto" w:sz="4" w:space="0"/>
            </w:tcBorders>
            <w:vAlign w:val="center"/>
          </w:tcPr>
          <w:p w14:paraId="36BE393E">
            <w:pPr>
              <w:spacing w:line="24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4338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522" w:type="pct"/>
            <w:vMerge w:val="continue"/>
            <w:tcBorders>
              <w:left w:val="single" w:color="auto" w:sz="4" w:space="0"/>
              <w:right w:val="single" w:color="auto" w:sz="4" w:space="0"/>
            </w:tcBorders>
            <w:vAlign w:val="center"/>
          </w:tcPr>
          <w:p w14:paraId="083D3A46">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65F07FAB">
            <w:pPr>
              <w:spacing w:line="360" w:lineRule="auto"/>
              <w:jc w:val="center"/>
              <w:rPr>
                <w:rStyle w:val="271"/>
                <w:rFonts w:hint="eastAsia" w:ascii="Times New Roman" w:hAnsi="Times New Roman" w:eastAsia="宋体" w:cs="Times New Roman"/>
                <w:b/>
                <w:bCs/>
                <w:color w:val="auto"/>
                <w:sz w:val="24"/>
                <w:szCs w:val="24"/>
                <w:highlight w:val="none"/>
              </w:rPr>
            </w:pPr>
            <w:r>
              <w:rPr>
                <w:rStyle w:val="271"/>
                <w:rFonts w:hint="eastAsia" w:ascii="Times New Roman" w:hAnsi="Times New Roman" w:cs="Times New Roman"/>
                <w:b/>
                <w:bCs/>
                <w:color w:val="auto"/>
                <w:sz w:val="24"/>
                <w:szCs w:val="24"/>
                <w:highlight w:val="none"/>
                <w:lang w:val="en-US" w:eastAsia="zh-CN"/>
              </w:rPr>
              <w:t>项目组</w:t>
            </w:r>
            <w:r>
              <w:rPr>
                <w:rStyle w:val="271"/>
                <w:rFonts w:hint="eastAsia" w:ascii="Times New Roman" w:hAnsi="Times New Roman" w:eastAsia="宋体" w:cs="Times New Roman"/>
                <w:b/>
                <w:bCs/>
                <w:color w:val="auto"/>
                <w:sz w:val="24"/>
                <w:szCs w:val="24"/>
                <w:highlight w:val="none"/>
              </w:rPr>
              <w:t>人员配置</w:t>
            </w:r>
          </w:p>
          <w:p w14:paraId="2CC79C81">
            <w:pPr>
              <w:spacing w:line="360" w:lineRule="auto"/>
              <w:jc w:val="center"/>
              <w:rPr>
                <w:rStyle w:val="271"/>
                <w:rFonts w:hint="eastAsia" w:ascii="Times New Roman" w:hAnsi="Times New Roman" w:eastAsia="宋体" w:cs="Times New Roman"/>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8</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700951C9">
            <w:pPr>
              <w:widowControl/>
              <w:numPr>
                <w:ilvl w:val="0"/>
                <w:numId w:val="4"/>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eastAsia="zh-CN"/>
              </w:rPr>
              <w:t>技术负责人</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lang w:val="en-US" w:eastAsia="zh-CN"/>
              </w:rPr>
              <w:t>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2A4CF8EA">
            <w:pPr>
              <w:widowControl/>
              <w:adjustRightInd w:val="0"/>
              <w:snapToGrid w:val="0"/>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top w:val="single" w:color="auto" w:sz="4" w:space="0"/>
              <w:left w:val="single" w:color="auto" w:sz="4" w:space="0"/>
              <w:right w:val="single" w:color="auto" w:sz="4" w:space="0"/>
            </w:tcBorders>
            <w:vAlign w:val="center"/>
          </w:tcPr>
          <w:p w14:paraId="38D2D60D">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72AC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522" w:type="pct"/>
            <w:vMerge w:val="continue"/>
            <w:tcBorders>
              <w:left w:val="single" w:color="auto" w:sz="4" w:space="0"/>
              <w:right w:val="single" w:color="auto" w:sz="4" w:space="0"/>
            </w:tcBorders>
            <w:vAlign w:val="center"/>
          </w:tcPr>
          <w:p w14:paraId="724DE0C5">
            <w:pPr>
              <w:spacing w:line="36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726E5F1B">
            <w:pPr>
              <w:spacing w:line="36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671B6269">
            <w:pPr>
              <w:widowControl/>
              <w:adjustRightInd w:val="0"/>
              <w:snapToGrid w:val="0"/>
              <w:jc w:val="left"/>
              <w:rPr>
                <w:rStyle w:val="271"/>
                <w:rFonts w:hint="eastAsia" w:ascii="Times New Roman" w:hAnsi="Times New Roman"/>
                <w:b/>
                <w:bCs/>
                <w:color w:val="auto"/>
                <w:sz w:val="24"/>
                <w:szCs w:val="24"/>
                <w:highlight w:val="none"/>
                <w:lang w:val="en-US"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lang w:val="en-US" w:eastAsia="zh-CN"/>
              </w:rPr>
              <w:t>拟投入的</w:t>
            </w:r>
            <w:r>
              <w:rPr>
                <w:rFonts w:ascii="Times New Roman" w:hAnsi="Times New Roman"/>
                <w:bCs/>
                <w:color w:val="auto"/>
                <w:sz w:val="24"/>
                <w:szCs w:val="24"/>
                <w:highlight w:val="none"/>
                <w:lang w:val="zh-CN"/>
              </w:rPr>
              <w:t>项目组成员人数组织机构设置、分工协作（包括但不限于</w:t>
            </w:r>
            <w:r>
              <w:rPr>
                <w:rFonts w:hint="eastAsia" w:ascii="Times New Roman" w:hAnsi="Times New Roman"/>
                <w:bCs/>
                <w:color w:val="auto"/>
                <w:sz w:val="24"/>
                <w:szCs w:val="24"/>
                <w:highlight w:val="none"/>
                <w:lang w:val="zh-CN"/>
              </w:rPr>
              <w:t>项目经理</w:t>
            </w:r>
            <w:r>
              <w:rPr>
                <w:rFonts w:ascii="Times New Roman" w:hAnsi="Times New Roman"/>
                <w:bCs/>
                <w:color w:val="auto"/>
                <w:sz w:val="24"/>
                <w:szCs w:val="24"/>
                <w:highlight w:val="none"/>
                <w:lang w:val="zh-CN"/>
              </w:rPr>
              <w:t>、</w:t>
            </w:r>
            <w:r>
              <w:rPr>
                <w:rFonts w:hint="eastAsia" w:ascii="Times New Roman" w:hAnsi="Times New Roman"/>
                <w:bCs/>
                <w:color w:val="auto"/>
                <w:sz w:val="24"/>
                <w:szCs w:val="24"/>
                <w:highlight w:val="none"/>
                <w:lang w:val="en-US" w:eastAsia="zh-CN"/>
              </w:rPr>
              <w:t>技术负责人、</w:t>
            </w:r>
            <w:r>
              <w:rPr>
                <w:rFonts w:ascii="Times New Roman" w:hAnsi="Times New Roman"/>
                <w:bCs/>
                <w:color w:val="auto"/>
                <w:sz w:val="24"/>
                <w:szCs w:val="24"/>
                <w:highlight w:val="none"/>
                <w:lang w:val="zh-CN"/>
              </w:rPr>
              <w:t>施工员、质检员、安全员等）：从组织结构形式、人员配备、专业匹配、职称、执业资格等进行综合评审，人员配备合理、完全符合项目需求的，得</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lang w:val="zh-CN"/>
              </w:rPr>
              <w:t>分；人员配备较合理、较符合项目需求的，得</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lang w:val="zh-CN"/>
              </w:rPr>
              <w:t>分；人员配备基本合理、基本符合项目需求的，得</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lang w:val="zh-CN"/>
              </w:rPr>
              <w:t>分；人员配备不合理、不符合项目需求的，得</w:t>
            </w:r>
            <w:r>
              <w:rPr>
                <w:rFonts w:hint="eastAsia" w:ascii="Times New Roman" w:hAnsi="Times New Roman"/>
                <w:bCs/>
                <w:color w:val="auto"/>
                <w:sz w:val="24"/>
                <w:szCs w:val="24"/>
                <w:highlight w:val="none"/>
                <w:lang w:val="en-US" w:eastAsia="zh-CN"/>
              </w:rPr>
              <w:t>1</w:t>
            </w:r>
            <w:r>
              <w:rPr>
                <w:rFonts w:ascii="Times New Roman" w:hAnsi="Times New Roman"/>
                <w:bCs/>
                <w:color w:val="auto"/>
                <w:sz w:val="24"/>
                <w:szCs w:val="24"/>
                <w:highlight w:val="none"/>
                <w:lang w:val="zh-CN"/>
              </w:rPr>
              <w:t>分；未提供的不得分。</w:t>
            </w:r>
          </w:p>
        </w:tc>
        <w:tc>
          <w:tcPr>
            <w:tcW w:w="573" w:type="pct"/>
            <w:tcBorders>
              <w:left w:val="single" w:color="auto" w:sz="4" w:space="0"/>
              <w:bottom w:val="single" w:color="auto" w:sz="4" w:space="0"/>
              <w:right w:val="single" w:color="auto" w:sz="4" w:space="0"/>
            </w:tcBorders>
            <w:vAlign w:val="center"/>
          </w:tcPr>
          <w:p w14:paraId="745D51DD">
            <w:pPr>
              <w:spacing w:line="36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2C90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522" w:type="pct"/>
            <w:vMerge w:val="continue"/>
            <w:tcBorders>
              <w:left w:val="single" w:color="auto" w:sz="4" w:space="0"/>
              <w:right w:val="single" w:color="auto" w:sz="4" w:space="0"/>
            </w:tcBorders>
            <w:vAlign w:val="center"/>
          </w:tcPr>
          <w:p w14:paraId="7B026CD3">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0024C9DD">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施工组织设计</w:t>
            </w:r>
          </w:p>
          <w:p w14:paraId="6578A894">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w:t>
            </w:r>
            <w:r>
              <w:rPr>
                <w:rFonts w:hint="eastAsia" w:ascii="宋体" w:hAnsi="宋体" w:eastAsia="宋体"/>
                <w:b/>
                <w:bCs/>
                <w:color w:val="auto"/>
                <w:sz w:val="24"/>
                <w:szCs w:val="24"/>
                <w:highlight w:val="none"/>
                <w:lang w:val="en-US" w:eastAsia="zh-CN"/>
              </w:rPr>
              <w:t>40）分</w:t>
            </w:r>
          </w:p>
        </w:tc>
        <w:tc>
          <w:tcPr>
            <w:tcW w:w="2792" w:type="pct"/>
            <w:tcBorders>
              <w:top w:val="single" w:color="auto" w:sz="4" w:space="0"/>
              <w:left w:val="single" w:color="auto" w:sz="4" w:space="0"/>
              <w:right w:val="single" w:color="auto" w:sz="4" w:space="0"/>
            </w:tcBorders>
            <w:vAlign w:val="center"/>
          </w:tcPr>
          <w:p w14:paraId="368F5810">
            <w:pPr>
              <w:topLinePunct/>
              <w:adjustRightInd w:val="0"/>
              <w:snapToGrid w:val="0"/>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lang w:val="zh-CN"/>
              </w:rPr>
              <w:t>1</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主要施工方案与技术措施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主要分部施工方法符合</w:t>
            </w:r>
            <w:r>
              <w:rPr>
                <w:rFonts w:hint="eastAsia" w:ascii="Times New Roman" w:hAnsi="Times New Roman"/>
                <w:b/>
                <w:bCs/>
                <w:color w:val="auto"/>
                <w:sz w:val="24"/>
                <w:szCs w:val="24"/>
                <w:highlight w:val="none"/>
                <w:lang w:val="en-US" w:eastAsia="zh-CN"/>
              </w:rPr>
              <w:t>现场实际情况</w:t>
            </w:r>
            <w:r>
              <w:rPr>
                <w:rFonts w:ascii="Times New Roman" w:hAnsi="Times New Roman"/>
                <w:b/>
                <w:bCs/>
                <w:color w:val="auto"/>
                <w:sz w:val="24"/>
                <w:szCs w:val="24"/>
                <w:highlight w:val="none"/>
                <w:lang w:val="zh-CN"/>
              </w:rPr>
              <w:t>，有详尽的施工技术方案，工艺先进、方法科学合理、可行，能切实指导</w:t>
            </w:r>
            <w:r>
              <w:rPr>
                <w:rFonts w:hint="eastAsia" w:ascii="Times New Roman" w:hAnsi="Times New Roman"/>
                <w:b/>
                <w:bCs/>
                <w:color w:val="auto"/>
                <w:sz w:val="24"/>
                <w:szCs w:val="24"/>
                <w:highlight w:val="none"/>
                <w:lang w:val="en-US" w:eastAsia="zh-CN"/>
              </w:rPr>
              <w:t>现场</w:t>
            </w:r>
            <w:r>
              <w:rPr>
                <w:rFonts w:ascii="Times New Roman" w:hAnsi="Times New Roman"/>
                <w:b/>
                <w:bCs/>
                <w:color w:val="auto"/>
                <w:sz w:val="24"/>
                <w:szCs w:val="24"/>
                <w:highlight w:val="none"/>
                <w:lang w:val="zh-CN"/>
              </w:rPr>
              <w:t>施工并确保安全。</w:t>
            </w:r>
          </w:p>
          <w:p w14:paraId="339F0BC5">
            <w:pPr>
              <w:numPr>
                <w:ilvl w:val="0"/>
                <w:numId w:val="0"/>
              </w:numPr>
              <w:topLinePunct/>
              <w:adjustRightInd w:val="0"/>
              <w:snapToGrid w:val="0"/>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3C0BE340">
            <w:pPr>
              <w:topLinePunct/>
              <w:adjustRightInd w:val="0"/>
              <w:snapToGrid w:val="0"/>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7E17358F">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72B58904">
            <w:pPr>
              <w:numPr>
                <w:ilvl w:val="0"/>
                <w:numId w:val="0"/>
              </w:numPr>
              <w:topLinePunct/>
              <w:adjustRightInd w:val="0"/>
              <w:snapToGrid w:val="0"/>
              <w:jc w:val="left"/>
              <w:rPr>
                <w:rFonts w:ascii="宋体" w:hAnsi="宋体" w:eastAsia="宋体"/>
                <w:color w:val="auto"/>
                <w:sz w:val="24"/>
                <w:szCs w:val="24"/>
                <w:highlight w:val="none"/>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top w:val="single" w:color="auto" w:sz="4" w:space="0"/>
              <w:left w:val="single" w:color="auto" w:sz="4" w:space="0"/>
              <w:right w:val="single" w:color="auto" w:sz="4" w:space="0"/>
            </w:tcBorders>
            <w:vAlign w:val="center"/>
          </w:tcPr>
          <w:p w14:paraId="6A8324ED">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7DB1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4645325A">
            <w:pPr>
              <w:spacing w:line="360" w:lineRule="auto"/>
              <w:jc w:val="center"/>
              <w:rPr>
                <w:color w:val="auto"/>
                <w:sz w:val="24"/>
                <w:szCs w:val="24"/>
                <w:highlight w:val="none"/>
              </w:rPr>
            </w:pPr>
          </w:p>
        </w:tc>
        <w:tc>
          <w:tcPr>
            <w:tcW w:w="1112" w:type="pct"/>
            <w:vMerge w:val="continue"/>
            <w:tcBorders>
              <w:left w:val="single" w:color="auto" w:sz="4" w:space="0"/>
              <w:right w:val="single" w:color="auto" w:sz="4" w:space="0"/>
            </w:tcBorders>
            <w:vAlign w:val="center"/>
          </w:tcPr>
          <w:p w14:paraId="714080D2">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424F89CA">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2</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施工安全保障体系</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是否健全，施工现场管理人员安全生产职责是否明确，是否针对工程特点、周边环境和施工工艺，确定危险源并制定具体的防护措施，同时体现出安全保证措施。</w:t>
            </w:r>
          </w:p>
          <w:p w14:paraId="0AE9B725">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557486DB">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4502A1F6">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49637DCE">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005C6C1C">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02CF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23CF137E">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7AD488F6">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5458854E">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lang w:val="en-US" w:eastAsia="zh-CN"/>
              </w:rPr>
              <w:t>3.</w:t>
            </w:r>
            <w:r>
              <w:rPr>
                <w:rFonts w:ascii="Times New Roman" w:hAnsi="Times New Roman"/>
                <w:b/>
                <w:bCs/>
                <w:color w:val="auto"/>
                <w:sz w:val="24"/>
                <w:szCs w:val="24"/>
                <w:highlight w:val="none"/>
                <w:lang w:val="zh-CN"/>
              </w:rPr>
              <w:t>工程进度计划与措施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在施工工艺、方法、材料采购、劳动力安排等方面有保证工程进度的具体措施且措施得当。有控制工期的施工进度计划及进度表或施工网络图，各项计划图标编制完善，安排科学合理，符合项目施工实际要求。</w:t>
            </w:r>
          </w:p>
          <w:p w14:paraId="6457074D">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69B44B80">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A8F80C4">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w:t>
            </w:r>
            <w:r>
              <w:rPr>
                <w:rFonts w:hint="eastAsia" w:ascii="Times New Roman" w:hAnsi="Times New Roman" w:eastAsia="宋体"/>
                <w:color w:val="auto"/>
                <w:sz w:val="24"/>
                <w:szCs w:val="24"/>
                <w:highlight w:val="none"/>
                <w:lang w:val="zh-CN" w:eastAsia="zh-CN"/>
              </w:rPr>
              <w:t>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5E767CD2">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64A24B3B">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5A7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522" w:type="pct"/>
            <w:vMerge w:val="continue"/>
            <w:tcBorders>
              <w:left w:val="single" w:color="auto" w:sz="4" w:space="0"/>
              <w:right w:val="single" w:color="auto" w:sz="4" w:space="0"/>
            </w:tcBorders>
            <w:vAlign w:val="center"/>
          </w:tcPr>
          <w:p w14:paraId="21DDE34F">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5B421B7E">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695D3AD2">
            <w:p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b/>
                <w:bCs/>
                <w:color w:val="auto"/>
                <w:sz w:val="24"/>
                <w:szCs w:val="24"/>
                <w:highlight w:val="none"/>
              </w:rPr>
              <w:t>4</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工程施工重点难点施工方案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对工程建设中的重点、难点是否进行分析，是否和实际情况相符，以及是否提出了有针对性的技术措施或方案。</w:t>
            </w:r>
          </w:p>
          <w:p w14:paraId="4DA25B93">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7129E6D1">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5515182">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36E475AA">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23439D98">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55C4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2" w:type="pct"/>
            <w:vMerge w:val="continue"/>
            <w:tcBorders>
              <w:left w:val="single" w:color="auto" w:sz="4" w:space="0"/>
              <w:right w:val="single" w:color="auto" w:sz="4" w:space="0"/>
            </w:tcBorders>
            <w:vAlign w:val="center"/>
          </w:tcPr>
          <w:p w14:paraId="2245280A">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3FB02553">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79B6F9AC">
            <w:pPr>
              <w:topLinePunct/>
              <w:adjustRightInd w:val="0"/>
              <w:snapToGrid w:val="0"/>
              <w:jc w:val="left"/>
              <w:rPr>
                <w:rFonts w:hint="eastAsia"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5</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施工机械班组及设备工具：</w:t>
            </w:r>
            <w:r>
              <w:rPr>
                <w:rFonts w:hint="eastAsia" w:ascii="Times New Roman" w:hAnsi="Times New Roman"/>
                <w:b/>
                <w:bCs/>
                <w:color w:val="auto"/>
                <w:sz w:val="24"/>
                <w:szCs w:val="24"/>
                <w:highlight w:val="none"/>
                <w:lang w:val="zh-CN"/>
              </w:rPr>
              <w:t>各主要施工方法符合项目实际，须有详尽的施工技术方案，工艺先进、方法科学合理、可行，能指导具体施工并确保安全。拟投入的施工材料、机械、设备、机具、劳动力有详细计划且计划周密，满足施工需要。</w:t>
            </w:r>
          </w:p>
          <w:p w14:paraId="753CB8B9">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418F312">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A20DEE1">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1803F3EE">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152C253C">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D0F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18D6A41A">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72568E7B">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150BF438">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6</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文明施工、环境保护措施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能否针对本工程项目特点制定科学、可行的现场文明施工、环境保护措施，减少施工对周边环境的影响。</w:t>
            </w:r>
          </w:p>
          <w:p w14:paraId="1454E5E9">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266062B">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96075C5">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79DE84CE">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5FD275CC">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3FAC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522" w:type="pct"/>
            <w:vMerge w:val="continue"/>
            <w:tcBorders>
              <w:left w:val="single" w:color="auto" w:sz="4" w:space="0"/>
              <w:right w:val="single" w:color="auto" w:sz="4" w:space="0"/>
            </w:tcBorders>
            <w:vAlign w:val="center"/>
          </w:tcPr>
          <w:p w14:paraId="2052CABC">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7C115485">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3E65541F">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应急工作方案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结合实际，制定紧急应急预案包括不限于列出制定应急预案、响应和恢复措施。</w:t>
            </w:r>
          </w:p>
          <w:p w14:paraId="5791E658">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50FFD3E">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716AD980">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覆盖</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全面、要点</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突出、针对性</w:t>
            </w:r>
            <w:r>
              <w:rPr>
                <w:rFonts w:hint="eastAsia" w:ascii="Times New Roman" w:hAnsi="Times New Roman" w:eastAsia="宋体"/>
                <w:color w:val="auto"/>
                <w:sz w:val="24"/>
                <w:szCs w:val="24"/>
                <w:highlight w:val="none"/>
                <w:lang w:val="zh-CN"/>
              </w:rPr>
              <w:t>不强</w:t>
            </w:r>
            <w:r>
              <w:rPr>
                <w:rFonts w:ascii="Times New Roman" w:hAnsi="Times New Roman" w:eastAsia="宋体"/>
                <w:color w:val="auto"/>
                <w:sz w:val="24"/>
                <w:szCs w:val="24"/>
                <w:highlight w:val="none"/>
                <w:lang w:val="zh-CN"/>
              </w:rPr>
              <w:t>，内容</w:t>
            </w:r>
            <w:r>
              <w:rPr>
                <w:rFonts w:hint="eastAsia" w:ascii="Times New Roman" w:hAnsi="Times New Roman" w:eastAsia="宋体"/>
                <w:color w:val="auto"/>
                <w:sz w:val="24"/>
                <w:szCs w:val="24"/>
                <w:highlight w:val="none"/>
                <w:lang w:val="zh-CN"/>
              </w:rPr>
              <w:t>不完整</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5EFDCA57">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right w:val="single" w:color="auto" w:sz="4" w:space="0"/>
            </w:tcBorders>
            <w:vAlign w:val="center"/>
          </w:tcPr>
          <w:p w14:paraId="2152DD60">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77EF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22" w:type="pct"/>
            <w:vMerge w:val="continue"/>
            <w:tcBorders>
              <w:left w:val="single" w:color="auto" w:sz="4" w:space="0"/>
              <w:right w:val="single" w:color="auto" w:sz="4" w:space="0"/>
            </w:tcBorders>
            <w:vAlign w:val="center"/>
          </w:tcPr>
          <w:p w14:paraId="700E71E0">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bottom w:val="single" w:color="auto" w:sz="4" w:space="0"/>
              <w:right w:val="single" w:color="auto" w:sz="4" w:space="0"/>
            </w:tcBorders>
            <w:vAlign w:val="center"/>
          </w:tcPr>
          <w:p w14:paraId="53D62071">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bottom w:val="single" w:color="auto" w:sz="4" w:space="0"/>
              <w:right w:val="single" w:color="auto" w:sz="4" w:space="0"/>
            </w:tcBorders>
            <w:vAlign w:val="center"/>
          </w:tcPr>
          <w:p w14:paraId="3BD07726">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8.</w:t>
            </w:r>
            <w:r>
              <w:rPr>
                <w:rFonts w:ascii="Times New Roman" w:hAnsi="Times New Roman"/>
                <w:b/>
                <w:bCs/>
                <w:color w:val="auto"/>
                <w:sz w:val="24"/>
                <w:szCs w:val="24"/>
                <w:highlight w:val="none"/>
                <w:lang w:val="zh-CN"/>
              </w:rPr>
              <w:t>合理化建议</w:t>
            </w:r>
            <w:r>
              <w:rPr>
                <w:rFonts w:hint="eastAsia" w:ascii="Times New Roman" w:hAnsi="Times New Roman"/>
                <w:b/>
                <w:bCs/>
                <w:color w:val="auto"/>
                <w:sz w:val="24"/>
                <w:szCs w:val="24"/>
                <w:highlight w:val="none"/>
                <w:lang w:val="zh-CN"/>
              </w:rPr>
              <w:t>：供应商</w:t>
            </w:r>
            <w:r>
              <w:rPr>
                <w:rFonts w:hint="eastAsia" w:ascii="Times New Roman" w:hAnsi="Times New Roman"/>
                <w:b/>
                <w:bCs/>
                <w:color w:val="auto"/>
                <w:sz w:val="24"/>
                <w:szCs w:val="24"/>
                <w:highlight w:val="none"/>
              </w:rPr>
              <w:t>针对</w:t>
            </w:r>
            <w:r>
              <w:rPr>
                <w:rFonts w:hint="eastAsia" w:ascii="Times New Roman" w:hAnsi="Times New Roman"/>
                <w:b/>
                <w:bCs/>
                <w:color w:val="auto"/>
                <w:sz w:val="24"/>
                <w:szCs w:val="24"/>
                <w:highlight w:val="none"/>
                <w:lang w:val="zh-CN"/>
              </w:rPr>
              <w:t>本项目</w:t>
            </w:r>
            <w:r>
              <w:rPr>
                <w:rFonts w:hint="eastAsia" w:ascii="Times New Roman" w:hAnsi="Times New Roman"/>
                <w:b/>
                <w:bCs/>
                <w:color w:val="auto"/>
                <w:sz w:val="24"/>
                <w:szCs w:val="24"/>
                <w:highlight w:val="none"/>
              </w:rPr>
              <w:t>提出的</w:t>
            </w:r>
            <w:r>
              <w:rPr>
                <w:rFonts w:hint="eastAsia" w:ascii="Times New Roman" w:hAnsi="Times New Roman"/>
                <w:b/>
                <w:bCs/>
                <w:color w:val="auto"/>
                <w:sz w:val="24"/>
                <w:szCs w:val="24"/>
                <w:highlight w:val="none"/>
                <w:lang w:val="zh-CN"/>
              </w:rPr>
              <w:t>合理化建议。</w:t>
            </w:r>
          </w:p>
          <w:p w14:paraId="7422EFC9">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32D94220">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4BE1C6E3">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，内容</w:t>
            </w:r>
            <w:r>
              <w:rPr>
                <w:rFonts w:hint="eastAsia" w:ascii="Times New Roman" w:hAnsi="Times New Roman"/>
                <w:color w:val="auto"/>
                <w:sz w:val="24"/>
                <w:szCs w:val="24"/>
                <w:highlight w:val="none"/>
              </w:rPr>
              <w:t>不完整</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6F6EABAA">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bottom w:val="single" w:color="auto" w:sz="4" w:space="0"/>
              <w:right w:val="single" w:color="auto" w:sz="4" w:space="0"/>
            </w:tcBorders>
            <w:vAlign w:val="center"/>
          </w:tcPr>
          <w:p w14:paraId="168F0354">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1C8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522" w:type="pct"/>
            <w:tcBorders>
              <w:left w:val="single" w:color="auto" w:sz="4" w:space="0"/>
              <w:right w:val="single" w:color="auto" w:sz="4" w:space="0"/>
            </w:tcBorders>
            <w:vAlign w:val="center"/>
          </w:tcPr>
          <w:p w14:paraId="74D48F11">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价格分</w:t>
            </w:r>
          </w:p>
          <w:p w14:paraId="7A0D9034">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20</w:t>
            </w:r>
            <w:r>
              <w:rPr>
                <w:rFonts w:hint="eastAsia" w:ascii="宋体" w:hAnsi="宋体" w:eastAsia="宋体"/>
                <w:b/>
                <w:bCs/>
                <w:color w:val="auto"/>
                <w:sz w:val="24"/>
                <w:szCs w:val="24"/>
                <w:highlight w:val="none"/>
              </w:rPr>
              <w:t>分）</w:t>
            </w:r>
          </w:p>
        </w:tc>
        <w:tc>
          <w:tcPr>
            <w:tcW w:w="4477" w:type="pct"/>
            <w:gridSpan w:val="3"/>
            <w:tcBorders>
              <w:top w:val="single" w:color="auto" w:sz="4" w:space="0"/>
              <w:left w:val="single" w:color="auto" w:sz="4" w:space="0"/>
              <w:bottom w:val="single" w:color="auto" w:sz="4" w:space="0"/>
              <w:right w:val="single" w:color="auto" w:sz="4" w:space="0"/>
            </w:tcBorders>
            <w:vAlign w:val="center"/>
          </w:tcPr>
          <w:p w14:paraId="5A55D3AF">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价格分统一采用低价优先法，即满足磋商文件要求且最后报价最低的供应商的价格为磋商基准价，其价格分为满分20分。其他供应商的价格分统一按照下列公式计算：</w:t>
            </w:r>
          </w:p>
          <w:p w14:paraId="4D1D80B7">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磋商报价得分＝（磋商基准价/最后磋商报价）×20％×100</w:t>
            </w:r>
          </w:p>
          <w:p w14:paraId="15A7CC0C">
            <w:pPr>
              <w:numPr>
                <w:ilvl w:val="0"/>
                <w:numId w:val="0"/>
              </w:numPr>
              <w:topLinePunct/>
              <w:adjustRightInd w:val="0"/>
              <w:snapToGrid w:val="0"/>
              <w:jc w:val="left"/>
              <w:rPr>
                <w:color w:val="auto"/>
                <w:sz w:val="24"/>
                <w:szCs w:val="24"/>
                <w:highlight w:val="none"/>
              </w:rPr>
            </w:pPr>
            <w:r>
              <w:rPr>
                <w:rFonts w:hint="default" w:ascii="Times New Roman" w:hAnsi="Times New Roman" w:eastAsia="宋体"/>
                <w:i/>
                <w:iCs/>
                <w:color w:val="auto"/>
                <w:sz w:val="24"/>
                <w:szCs w:val="24"/>
                <w:highlight w:val="none"/>
                <w:lang w:val="en-US" w:eastAsia="zh-CN"/>
              </w:rPr>
              <w:t>评分分值计算保留小数点后二位，小数点后第三位“四舍五入”。</w:t>
            </w:r>
          </w:p>
        </w:tc>
      </w:tr>
    </w:tbl>
    <w:p w14:paraId="306D8E5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.3</w:t>
      </w:r>
      <w:r>
        <w:rPr>
          <w:rFonts w:hint="eastAsia" w:ascii="宋体" w:hAnsi="宋体" w:eastAsia="宋体"/>
          <w:color w:val="auto"/>
          <w:sz w:val="24"/>
          <w:szCs w:val="24"/>
          <w:highlight w:val="none"/>
        </w:rPr>
        <w:t>分值汇总</w:t>
      </w:r>
    </w:p>
    <w:p w14:paraId="14551D4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284CF8A0">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2）将每个供应商的技术资信分加上根据上述标准计算出的价格分，即为该供应商的综合总得分。</w:t>
      </w:r>
    </w:p>
    <w:p w14:paraId="23FFE842">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lang w:val="en-US" w:eastAsia="zh-CN"/>
        </w:rPr>
        <w:t>注：1.</w:t>
      </w:r>
      <w:r>
        <w:rPr>
          <w:rFonts w:hint="eastAsia" w:cs="宋体"/>
          <w:b/>
          <w:bCs/>
          <w:color w:val="auto"/>
          <w:sz w:val="24"/>
          <w:szCs w:val="24"/>
          <w:highlight w:val="none"/>
        </w:rPr>
        <w:t>评审顺序：第1包→</w:t>
      </w:r>
      <w:r>
        <w:rPr>
          <w:rFonts w:hint="eastAsia" w:cs="宋体"/>
          <w:b/>
          <w:bCs/>
          <w:color w:val="auto"/>
          <w:sz w:val="24"/>
          <w:szCs w:val="24"/>
          <w:highlight w:val="none"/>
          <w:lang w:eastAsia="zh-CN"/>
        </w:rPr>
        <w:t>第</w:t>
      </w:r>
      <w:r>
        <w:rPr>
          <w:rFonts w:hint="eastAsia" w:cs="宋体"/>
          <w:b/>
          <w:bCs/>
          <w:color w:val="auto"/>
          <w:sz w:val="24"/>
          <w:szCs w:val="24"/>
          <w:highlight w:val="none"/>
          <w:lang w:val="en-US" w:eastAsia="zh-CN"/>
        </w:rPr>
        <w:t>2</w:t>
      </w:r>
      <w:r>
        <w:rPr>
          <w:rFonts w:hint="eastAsia" w:cs="宋体"/>
          <w:b/>
          <w:bCs/>
          <w:color w:val="auto"/>
          <w:sz w:val="24"/>
          <w:szCs w:val="24"/>
          <w:highlight w:val="none"/>
          <w:lang w:eastAsia="zh-CN"/>
        </w:rPr>
        <w:t>包</w:t>
      </w:r>
      <w:r>
        <w:rPr>
          <w:rFonts w:hint="eastAsia" w:cs="宋体"/>
          <w:b/>
          <w:bCs/>
          <w:color w:val="auto"/>
          <w:sz w:val="24"/>
          <w:szCs w:val="24"/>
          <w:highlight w:val="none"/>
        </w:rPr>
        <w:t>→第3包→第4包→第5包→第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787731F8">
      <w:pPr>
        <w:numPr>
          <w:ilvl w:val="0"/>
          <w:numId w:val="0"/>
        </w:numPr>
        <w:adjustRightInd w:val="0"/>
        <w:snapToGrid w:val="0"/>
        <w:spacing w:line="560" w:lineRule="exact"/>
        <w:jc w:val="left"/>
        <w:rPr>
          <w:rFonts w:hint="eastAsia" w:cs="宋体"/>
          <w:b/>
          <w:bCs/>
          <w:color w:val="auto"/>
          <w:sz w:val="24"/>
          <w:szCs w:val="24"/>
          <w:highlight w:val="none"/>
        </w:rPr>
      </w:pPr>
      <w:r>
        <w:rPr>
          <w:rFonts w:hint="eastAsia" w:cs="宋体"/>
          <w:b/>
          <w:bCs/>
          <w:color w:val="auto"/>
          <w:sz w:val="24"/>
          <w:szCs w:val="24"/>
          <w:highlight w:val="none"/>
          <w:lang w:val="en-US" w:eastAsia="zh-CN"/>
        </w:rPr>
        <w:t>2.</w:t>
      </w:r>
      <w:r>
        <w:rPr>
          <w:rFonts w:hint="eastAsia" w:cs="宋体"/>
          <w:b/>
          <w:bCs/>
          <w:color w:val="auto"/>
          <w:sz w:val="24"/>
          <w:szCs w:val="24"/>
          <w:highlight w:val="none"/>
        </w:rPr>
        <w:t>推荐成交候选人的先后顺序：按照评审顺序进行推荐，即第1包→</w:t>
      </w:r>
      <w:r>
        <w:rPr>
          <w:rFonts w:hint="eastAsia" w:cs="宋体"/>
          <w:b/>
          <w:bCs/>
          <w:color w:val="auto"/>
          <w:sz w:val="24"/>
          <w:szCs w:val="24"/>
          <w:highlight w:val="none"/>
          <w:lang w:eastAsia="zh-CN"/>
        </w:rPr>
        <w:t>第</w:t>
      </w:r>
      <w:r>
        <w:rPr>
          <w:rFonts w:hint="eastAsia" w:cs="宋体"/>
          <w:b/>
          <w:bCs/>
          <w:color w:val="auto"/>
          <w:sz w:val="24"/>
          <w:szCs w:val="24"/>
          <w:highlight w:val="none"/>
          <w:lang w:val="en-US" w:eastAsia="zh-CN"/>
        </w:rPr>
        <w:t>2</w:t>
      </w:r>
      <w:r>
        <w:rPr>
          <w:rFonts w:hint="eastAsia" w:cs="宋体"/>
          <w:b/>
          <w:bCs/>
          <w:color w:val="auto"/>
          <w:sz w:val="24"/>
          <w:szCs w:val="24"/>
          <w:highlight w:val="none"/>
          <w:lang w:eastAsia="zh-CN"/>
        </w:rPr>
        <w:t>包</w:t>
      </w:r>
      <w:r>
        <w:rPr>
          <w:rFonts w:hint="eastAsia" w:cs="宋体"/>
          <w:b/>
          <w:bCs/>
          <w:color w:val="auto"/>
          <w:sz w:val="24"/>
          <w:szCs w:val="24"/>
          <w:highlight w:val="none"/>
        </w:rPr>
        <w:t>→第3包→第4包→第5包→第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71ABAEBE">
      <w:pPr>
        <w:numPr>
          <w:ilvl w:val="0"/>
          <w:numId w:val="0"/>
        </w:numPr>
        <w:adjustRightInd w:val="0"/>
        <w:snapToGrid w:val="0"/>
        <w:spacing w:line="560" w:lineRule="exact"/>
        <w:jc w:val="left"/>
        <w:rPr>
          <w:rFonts w:hint="default" w:eastAsia="宋体" w:cs="宋体"/>
          <w:b/>
          <w:bCs/>
          <w:color w:val="auto"/>
          <w:sz w:val="24"/>
          <w:szCs w:val="24"/>
          <w:highlight w:val="none"/>
          <w:lang w:val="en-US" w:eastAsia="zh-CN"/>
        </w:rPr>
      </w:pPr>
      <w:r>
        <w:rPr>
          <w:rFonts w:hint="eastAsia" w:cs="宋体"/>
          <w:b/>
          <w:bCs/>
          <w:color w:val="auto"/>
          <w:sz w:val="24"/>
          <w:szCs w:val="24"/>
          <w:highlight w:val="none"/>
          <w:lang w:val="en-US" w:eastAsia="zh-CN"/>
        </w:rPr>
        <w:t>3.</w:t>
      </w:r>
      <w:r>
        <w:rPr>
          <w:rFonts w:cs="宋体"/>
          <w:b/>
          <w:bCs/>
          <w:color w:val="auto"/>
          <w:sz w:val="24"/>
          <w:szCs w:val="24"/>
          <w:highlight w:val="none"/>
        </w:rPr>
        <w:t>响应文件中使用相同项目经理及主要施工管理人员（包括但不限于项目副经理、技术负责人、安全员、质检员等）进行投标的，最多只能中1个</w:t>
      </w:r>
      <w:r>
        <w:rPr>
          <w:rFonts w:hint="eastAsia" w:cs="宋体"/>
          <w:b/>
          <w:bCs/>
          <w:color w:val="auto"/>
          <w:sz w:val="24"/>
          <w:szCs w:val="24"/>
          <w:highlight w:val="none"/>
          <w:lang w:val="en-US" w:eastAsia="zh-CN"/>
        </w:rPr>
        <w:t>包别</w:t>
      </w:r>
      <w:r>
        <w:rPr>
          <w:rFonts w:cs="宋体"/>
          <w:b/>
          <w:bCs/>
          <w:color w:val="auto"/>
          <w:sz w:val="24"/>
          <w:szCs w:val="24"/>
          <w:highlight w:val="none"/>
        </w:rPr>
        <w:t>（响应文件中须提供主要施工管理人员表）</w:t>
      </w:r>
      <w:r>
        <w:rPr>
          <w:rFonts w:hint="eastAsia" w:cs="宋体"/>
          <w:b/>
          <w:bCs/>
          <w:color w:val="auto"/>
          <w:sz w:val="24"/>
          <w:szCs w:val="24"/>
          <w:highlight w:val="none"/>
          <w:lang w:val="en-US" w:eastAsia="zh-CN"/>
        </w:rPr>
        <w:t>,已在前面包别被推荐为成交候选供应商第一名的后续包别不再推荐为成交候选供应商。</w:t>
      </w:r>
    </w:p>
    <w:p w14:paraId="1C98660F">
      <w:pPr>
        <w:pStyle w:val="19"/>
        <w:rPr>
          <w:color w:val="auto"/>
          <w:highlight w:val="none"/>
        </w:rPr>
      </w:pPr>
    </w:p>
    <w:p w14:paraId="6A6F6E75">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254F5C97">
      <w:pPr>
        <w:spacing w:line="360" w:lineRule="auto"/>
        <w:jc w:val="center"/>
        <w:outlineLvl w:val="0"/>
        <w:rPr>
          <w:rFonts w:ascii="宋体" w:hAnsi="宋体" w:eastAsia="宋体"/>
          <w:b/>
          <w:color w:val="auto"/>
          <w:sz w:val="24"/>
          <w:szCs w:val="24"/>
          <w:highlight w:val="none"/>
        </w:rPr>
      </w:pPr>
      <w:bookmarkStart w:id="58" w:name="_Toc31277"/>
      <w:r>
        <w:rPr>
          <w:rFonts w:hint="eastAsia" w:ascii="宋体" w:hAnsi="宋体" w:eastAsia="宋体"/>
          <w:b/>
          <w:color w:val="auto"/>
          <w:sz w:val="24"/>
          <w:szCs w:val="24"/>
          <w:highlight w:val="none"/>
        </w:rPr>
        <w:t xml:space="preserve">第五章  </w:t>
      </w:r>
      <w:r>
        <w:rPr>
          <w:rFonts w:ascii="宋体" w:hAnsi="宋体" w:eastAsia="宋体"/>
          <w:b/>
          <w:color w:val="auto"/>
          <w:sz w:val="24"/>
          <w:szCs w:val="24"/>
          <w:highlight w:val="none"/>
        </w:rPr>
        <w:t>政府采购合同</w:t>
      </w:r>
      <w:bookmarkEnd w:id="58"/>
    </w:p>
    <w:p w14:paraId="439EBA31">
      <w:pPr>
        <w:keepNext/>
        <w:keepLines/>
        <w:snapToGrid w:val="0"/>
        <w:spacing w:before="312" w:beforeLines="100" w:after="312" w:afterLines="100" w:line="360" w:lineRule="auto"/>
        <w:jc w:val="center"/>
        <w:outlineLvl w:val="1"/>
        <w:rPr>
          <w:rFonts w:cs="宋体"/>
          <w:b/>
          <w:bCs/>
          <w:color w:val="auto"/>
          <w:sz w:val="24"/>
          <w:szCs w:val="24"/>
          <w:highlight w:val="none"/>
        </w:rPr>
      </w:pPr>
      <w:bookmarkStart w:id="59" w:name="_Toc28799376"/>
      <w:bookmarkStart w:id="60" w:name="_Toc9907"/>
      <w:bookmarkStart w:id="61" w:name="_Toc130919120"/>
      <w:r>
        <w:rPr>
          <w:rFonts w:hint="eastAsia" w:cs="宋体"/>
          <w:b/>
          <w:bCs/>
          <w:color w:val="auto"/>
          <w:sz w:val="24"/>
          <w:szCs w:val="24"/>
          <w:highlight w:val="none"/>
        </w:rPr>
        <w:t>第一节  合同协议书</w:t>
      </w:r>
      <w:bookmarkEnd w:id="59"/>
      <w:bookmarkEnd w:id="60"/>
      <w:bookmarkEnd w:id="61"/>
    </w:p>
    <w:p w14:paraId="395C9312">
      <w:pPr>
        <w:spacing w:line="360" w:lineRule="auto"/>
        <w:rPr>
          <w:rFonts w:cs="宋体"/>
          <w:b/>
          <w:color w:val="auto"/>
          <w:sz w:val="24"/>
          <w:szCs w:val="24"/>
          <w:highlight w:val="none"/>
          <w:u w:val="single"/>
        </w:rPr>
      </w:pPr>
      <w:r>
        <w:rPr>
          <w:rFonts w:hint="eastAsia" w:cs="宋体"/>
          <w:b/>
          <w:color w:val="auto"/>
          <w:sz w:val="24"/>
          <w:szCs w:val="24"/>
          <w:highlight w:val="none"/>
          <w:lang w:eastAsia="zh-CN"/>
        </w:rPr>
        <w:t>甲方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5F59EF82">
      <w:pPr>
        <w:spacing w:line="360" w:lineRule="auto"/>
        <w:rPr>
          <w:rFonts w:cs="宋体"/>
          <w:b/>
          <w:color w:val="auto"/>
          <w:sz w:val="24"/>
          <w:szCs w:val="24"/>
          <w:highlight w:val="none"/>
          <w:u w:val="single"/>
        </w:rPr>
      </w:pPr>
      <w:r>
        <w:rPr>
          <w:rFonts w:hint="eastAsia" w:cs="宋体"/>
          <w:b/>
          <w:color w:val="auto"/>
          <w:sz w:val="24"/>
          <w:szCs w:val="24"/>
          <w:highlight w:val="none"/>
          <w:lang w:eastAsia="zh-CN"/>
        </w:rPr>
        <w:t>乙方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39DD30E0">
      <w:pPr>
        <w:spacing w:line="360" w:lineRule="auto"/>
        <w:rPr>
          <w:rFonts w:ascii="Times New Roman" w:hAnsi="Times New Roman" w:eastAsia="仿宋_GB2312" w:cs="Times New Roman"/>
          <w:b/>
          <w:color w:val="auto"/>
          <w:kern w:val="2"/>
          <w:sz w:val="24"/>
          <w:szCs w:val="24"/>
          <w:highlight w:val="none"/>
          <w:u w:val="single"/>
        </w:rPr>
      </w:pPr>
    </w:p>
    <w:p w14:paraId="0696CC8C">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根据《中华人民共和国民法典》《中华人民共和国建筑法》及有关法律规定，遵循平等、自愿、公平和诚实信用的原则，双方就</w:t>
      </w:r>
      <w:r>
        <w:rPr>
          <w:rFonts w:hint="eastAsia" w:cs="宋体"/>
          <w:color w:val="auto"/>
          <w:sz w:val="24"/>
          <w:szCs w:val="24"/>
          <w:highlight w:val="none"/>
          <w:u w:val="single"/>
        </w:rPr>
        <w:t xml:space="preserve"> </w:t>
      </w:r>
      <w:r>
        <w:rPr>
          <w:rFonts w:hint="eastAsia" w:cs="宋体"/>
          <w:b/>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工程施工及有关事项协商一致，共同达成如下协议：</w:t>
      </w:r>
    </w:p>
    <w:p w14:paraId="2AC02EE8">
      <w:pPr>
        <w:snapToGrid w:val="0"/>
        <w:spacing w:line="360" w:lineRule="auto"/>
        <w:ind w:firstLine="482" w:firstLineChars="200"/>
        <w:rPr>
          <w:rFonts w:cs="宋体"/>
          <w:color w:val="auto"/>
          <w:sz w:val="24"/>
          <w:szCs w:val="24"/>
          <w:highlight w:val="none"/>
        </w:rPr>
      </w:pPr>
      <w:r>
        <w:rPr>
          <w:rFonts w:hint="eastAsia" w:cs="宋体"/>
          <w:b/>
          <w:color w:val="auto"/>
          <w:sz w:val="24"/>
          <w:szCs w:val="24"/>
          <w:highlight w:val="none"/>
        </w:rPr>
        <w:t>一、工程概况</w:t>
      </w:r>
    </w:p>
    <w:p w14:paraId="01CC4453">
      <w:pPr>
        <w:snapToGrid w:val="0"/>
        <w:spacing w:line="360" w:lineRule="auto"/>
        <w:ind w:firstLine="470" w:firstLineChars="196"/>
        <w:rPr>
          <w:rFonts w:cs="宋体"/>
          <w:color w:val="auto"/>
          <w:sz w:val="24"/>
          <w:szCs w:val="24"/>
          <w:highlight w:val="none"/>
          <w:u w:val="single"/>
        </w:rPr>
      </w:pPr>
      <w:r>
        <w:rPr>
          <w:rFonts w:hint="eastAsia" w:cs="宋体"/>
          <w:bCs/>
          <w:color w:val="auto"/>
          <w:sz w:val="24"/>
          <w:szCs w:val="24"/>
          <w:highlight w:val="none"/>
        </w:rPr>
        <w:t>1. 工程名称</w:t>
      </w:r>
      <w:r>
        <w:rPr>
          <w:rFonts w:hint="eastAsia" w:cs="宋体"/>
          <w:color w:val="auto"/>
          <w:sz w:val="24"/>
          <w:szCs w:val="24"/>
          <w:highlight w:val="none"/>
        </w:rPr>
        <w:t>：</w:t>
      </w:r>
      <w:r>
        <w:rPr>
          <w:rFonts w:hint="eastAsia" w:cs="宋体"/>
          <w:b/>
          <w:color w:val="auto"/>
          <w:sz w:val="24"/>
          <w:szCs w:val="24"/>
          <w:highlight w:val="none"/>
          <w:u w:val="single"/>
        </w:rPr>
        <w:t xml:space="preserve">        </w:t>
      </w:r>
      <w:r>
        <w:rPr>
          <w:rFonts w:hint="eastAsia" w:cs="宋体"/>
          <w:color w:val="auto"/>
          <w:sz w:val="24"/>
          <w:szCs w:val="24"/>
          <w:highlight w:val="none"/>
        </w:rPr>
        <w:t>。</w:t>
      </w:r>
    </w:p>
    <w:p w14:paraId="5235AF19">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2. 工程地点：</w:t>
      </w:r>
      <w:r>
        <w:rPr>
          <w:rFonts w:hint="eastAsia" w:cs="宋体"/>
          <w:b/>
          <w:color w:val="auto"/>
          <w:sz w:val="24"/>
          <w:szCs w:val="24"/>
          <w:highlight w:val="none"/>
          <w:u w:val="single"/>
        </w:rPr>
        <w:t xml:space="preserve">        </w:t>
      </w:r>
      <w:r>
        <w:rPr>
          <w:rFonts w:hint="eastAsia" w:cs="宋体"/>
          <w:color w:val="auto"/>
          <w:sz w:val="24"/>
          <w:szCs w:val="24"/>
          <w:highlight w:val="none"/>
          <w:u w:val="single"/>
        </w:rPr>
        <w:t>。</w:t>
      </w:r>
    </w:p>
    <w:p w14:paraId="036FAB32">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3. 工程立项批准文号：</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1B201C1A">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4. 资金来源：</w:t>
      </w:r>
      <w:r>
        <w:rPr>
          <w:rFonts w:hint="eastAsia" w:cs="宋体"/>
          <w:color w:val="auto"/>
          <w:sz w:val="24"/>
          <w:szCs w:val="24"/>
          <w:highlight w:val="none"/>
          <w:u w:val="single"/>
          <w:lang w:val="en-US" w:eastAsia="zh-CN"/>
        </w:rPr>
        <w:t>财政资金</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64E11388">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5. 工程内容：</w:t>
      </w:r>
      <w:r>
        <w:rPr>
          <w:rFonts w:hint="eastAsia" w:cs="宋体"/>
          <w:b/>
          <w:color w:val="auto"/>
          <w:sz w:val="24"/>
          <w:szCs w:val="24"/>
          <w:highlight w:val="none"/>
          <w:u w:val="single"/>
        </w:rPr>
        <w:t xml:space="preserve">        </w:t>
      </w:r>
      <w:r>
        <w:rPr>
          <w:rFonts w:hint="eastAsia" w:cs="宋体"/>
          <w:bCs/>
          <w:color w:val="auto"/>
          <w:sz w:val="24"/>
          <w:szCs w:val="24"/>
          <w:highlight w:val="none"/>
        </w:rPr>
        <w:t>。</w:t>
      </w:r>
    </w:p>
    <w:p w14:paraId="6B6055D3">
      <w:pPr>
        <w:snapToGrid w:val="0"/>
        <w:spacing w:line="360" w:lineRule="auto"/>
        <w:ind w:firstLine="470" w:firstLineChars="196"/>
        <w:rPr>
          <w:rFonts w:cs="宋体"/>
          <w:color w:val="auto"/>
          <w:sz w:val="24"/>
          <w:szCs w:val="24"/>
          <w:highlight w:val="none"/>
        </w:rPr>
      </w:pPr>
      <w:r>
        <w:rPr>
          <w:rFonts w:hint="eastAsia" w:cs="宋体"/>
          <w:bCs/>
          <w:color w:val="auto"/>
          <w:sz w:val="24"/>
          <w:szCs w:val="24"/>
          <w:highlight w:val="none"/>
        </w:rPr>
        <w:t>6. 工程承包范围：</w:t>
      </w:r>
      <w:r>
        <w:rPr>
          <w:rFonts w:hint="eastAsia" w:cs="宋体"/>
          <w:color w:val="auto"/>
          <w:sz w:val="24"/>
          <w:szCs w:val="24"/>
          <w:highlight w:val="none"/>
          <w:u w:val="single"/>
        </w:rPr>
        <w:t>工程量清单范围内所有内容</w:t>
      </w:r>
      <w:r>
        <w:rPr>
          <w:rFonts w:hint="eastAsia" w:cs="宋体"/>
          <w:color w:val="auto"/>
          <w:sz w:val="24"/>
          <w:szCs w:val="24"/>
          <w:highlight w:val="none"/>
        </w:rPr>
        <w:t>。</w:t>
      </w:r>
    </w:p>
    <w:p w14:paraId="6C9F2FD3">
      <w:pPr>
        <w:snapToGrid w:val="0"/>
        <w:spacing w:line="360" w:lineRule="auto"/>
        <w:ind w:firstLine="482" w:firstLineChars="200"/>
        <w:rPr>
          <w:rFonts w:cs="宋体"/>
          <w:b/>
          <w:color w:val="auto"/>
          <w:sz w:val="24"/>
          <w:szCs w:val="24"/>
          <w:highlight w:val="none"/>
        </w:rPr>
      </w:pPr>
      <w:bookmarkStart w:id="62" w:name="_Toc351203482"/>
      <w:r>
        <w:rPr>
          <w:rFonts w:hint="eastAsia" w:cs="宋体"/>
          <w:b/>
          <w:color w:val="auto"/>
          <w:sz w:val="24"/>
          <w:szCs w:val="24"/>
          <w:highlight w:val="none"/>
        </w:rPr>
        <w:t>二、合同工期</w:t>
      </w:r>
      <w:bookmarkEnd w:id="62"/>
    </w:p>
    <w:p w14:paraId="27F61A03">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计划开工日期：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5B66EC99">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计划竣工日期：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5E6E8A9A">
      <w:pPr>
        <w:snapToGrid w:val="0"/>
        <w:spacing w:line="360" w:lineRule="auto"/>
        <w:ind w:firstLine="459"/>
        <w:rPr>
          <w:rFonts w:cs="宋体"/>
          <w:color w:val="auto"/>
          <w:sz w:val="24"/>
          <w:szCs w:val="24"/>
          <w:highlight w:val="none"/>
        </w:rPr>
      </w:pPr>
      <w:r>
        <w:rPr>
          <w:rFonts w:hint="eastAsia" w:cs="宋体"/>
          <w:color w:val="auto"/>
          <w:sz w:val="24"/>
          <w:szCs w:val="24"/>
          <w:highlight w:val="none"/>
        </w:rPr>
        <w:t>工期总日历天数：</w:t>
      </w:r>
      <w:r>
        <w:rPr>
          <w:rFonts w:hint="eastAsia" w:cs="宋体"/>
          <w:color w:val="auto"/>
          <w:sz w:val="24"/>
          <w:szCs w:val="24"/>
          <w:highlight w:val="none"/>
          <w:u w:val="single"/>
          <w:lang w:val="en-US" w:eastAsia="zh-CN"/>
        </w:rPr>
        <w:t xml:space="preserve">         </w:t>
      </w:r>
      <w:r>
        <w:rPr>
          <w:rFonts w:hint="eastAsia" w:cs="宋体"/>
          <w:bCs/>
          <w:color w:val="auto"/>
          <w:sz w:val="24"/>
          <w:szCs w:val="24"/>
          <w:highlight w:val="none"/>
        </w:rPr>
        <w:t>。</w:t>
      </w:r>
      <w:r>
        <w:rPr>
          <w:rFonts w:hint="eastAsia" w:cs="宋体"/>
          <w:color w:val="auto"/>
          <w:sz w:val="24"/>
          <w:szCs w:val="24"/>
          <w:highlight w:val="none"/>
        </w:rPr>
        <w:t>工期总日历天数与根据前述计划开竣工日期计算的工期天数不一致的，以工期总日历天数为准。</w:t>
      </w:r>
    </w:p>
    <w:p w14:paraId="7B777750">
      <w:pPr>
        <w:snapToGrid w:val="0"/>
        <w:spacing w:line="360" w:lineRule="auto"/>
        <w:ind w:firstLine="482" w:firstLineChars="200"/>
        <w:rPr>
          <w:rFonts w:cs="宋体"/>
          <w:b/>
          <w:color w:val="auto"/>
          <w:sz w:val="24"/>
          <w:szCs w:val="24"/>
          <w:highlight w:val="none"/>
        </w:rPr>
      </w:pPr>
      <w:bookmarkStart w:id="63" w:name="_Toc351203483"/>
      <w:r>
        <w:rPr>
          <w:rFonts w:hint="eastAsia" w:cs="宋体"/>
          <w:b/>
          <w:color w:val="auto"/>
          <w:sz w:val="24"/>
          <w:szCs w:val="24"/>
          <w:highlight w:val="none"/>
        </w:rPr>
        <w:t>三、质量标准</w:t>
      </w:r>
      <w:bookmarkEnd w:id="63"/>
    </w:p>
    <w:p w14:paraId="7C789B2B">
      <w:pPr>
        <w:snapToGrid w:val="0"/>
        <w:spacing w:line="360" w:lineRule="auto"/>
        <w:ind w:firstLine="459"/>
        <w:rPr>
          <w:rFonts w:cs="宋体"/>
          <w:color w:val="auto"/>
          <w:sz w:val="24"/>
          <w:szCs w:val="24"/>
          <w:highlight w:val="none"/>
        </w:rPr>
      </w:pPr>
      <w:r>
        <w:rPr>
          <w:rFonts w:hint="eastAsia" w:cs="宋体"/>
          <w:color w:val="auto"/>
          <w:sz w:val="24"/>
          <w:szCs w:val="24"/>
          <w:highlight w:val="none"/>
        </w:rPr>
        <w:t>工程质量符合</w:t>
      </w:r>
      <w:r>
        <w:rPr>
          <w:rFonts w:hint="eastAsia" w:cs="宋体"/>
          <w:color w:val="auto"/>
          <w:sz w:val="24"/>
          <w:szCs w:val="24"/>
          <w:highlight w:val="none"/>
          <w:u w:val="single"/>
        </w:rPr>
        <w:t xml:space="preserve"> 合格 </w:t>
      </w:r>
      <w:r>
        <w:rPr>
          <w:rFonts w:hint="eastAsia" w:cs="宋体"/>
          <w:color w:val="auto"/>
          <w:sz w:val="24"/>
          <w:szCs w:val="24"/>
          <w:highlight w:val="none"/>
        </w:rPr>
        <w:t>标准。</w:t>
      </w:r>
    </w:p>
    <w:p w14:paraId="7155E9CE">
      <w:pPr>
        <w:snapToGrid w:val="0"/>
        <w:spacing w:line="360" w:lineRule="auto"/>
        <w:ind w:firstLine="482" w:firstLineChars="200"/>
        <w:rPr>
          <w:rFonts w:cs="宋体"/>
          <w:b/>
          <w:color w:val="auto"/>
          <w:sz w:val="24"/>
          <w:szCs w:val="24"/>
          <w:highlight w:val="none"/>
        </w:rPr>
      </w:pPr>
      <w:bookmarkStart w:id="64" w:name="_Toc351203484"/>
      <w:r>
        <w:rPr>
          <w:rFonts w:hint="eastAsia" w:cs="宋体"/>
          <w:b/>
          <w:color w:val="auto"/>
          <w:sz w:val="24"/>
          <w:szCs w:val="24"/>
          <w:highlight w:val="none"/>
        </w:rPr>
        <w:t>四、签约合同价与合同价格形式</w:t>
      </w:r>
      <w:bookmarkEnd w:id="64"/>
    </w:p>
    <w:p w14:paraId="35810919">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 签约合同价为：</w:t>
      </w:r>
    </w:p>
    <w:p w14:paraId="3970E831">
      <w:pPr>
        <w:snapToGrid w:val="0"/>
        <w:spacing w:line="360" w:lineRule="auto"/>
        <w:ind w:firstLine="600" w:firstLineChars="250"/>
        <w:rPr>
          <w:rFonts w:cs="宋体"/>
          <w:color w:val="auto"/>
          <w:sz w:val="24"/>
          <w:szCs w:val="24"/>
          <w:highlight w:val="none"/>
        </w:rPr>
      </w:pPr>
      <w:r>
        <w:rPr>
          <w:rFonts w:hint="eastAsia" w:cs="宋体"/>
          <w:color w:val="auto"/>
          <w:sz w:val="24"/>
          <w:szCs w:val="24"/>
          <w:highlight w:val="none"/>
        </w:rPr>
        <w:t>人民币（大写）</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rPr>
        <w:t>元）；</w:t>
      </w:r>
    </w:p>
    <w:p w14:paraId="39EC57DC">
      <w:pPr>
        <w:numPr>
          <w:ilvl w:val="0"/>
          <w:numId w:val="0"/>
        </w:numPr>
        <w:snapToGrid w:val="0"/>
        <w:spacing w:line="360" w:lineRule="auto"/>
        <w:ind w:left="0" w:leftChars="0" w:firstLine="480" w:firstLineChars="200"/>
        <w:rPr>
          <w:rFonts w:hint="eastAsia" w:cs="宋体"/>
          <w:color w:val="auto"/>
          <w:sz w:val="24"/>
          <w:szCs w:val="24"/>
          <w:highlight w:val="none"/>
        </w:rPr>
      </w:pPr>
      <w:r>
        <w:rPr>
          <w:rFonts w:hint="eastAsia" w:cs="宋体"/>
          <w:color w:val="auto"/>
          <w:sz w:val="24"/>
          <w:szCs w:val="24"/>
          <w:highlight w:val="none"/>
          <w:lang w:val="en-US" w:eastAsia="zh-CN"/>
        </w:rPr>
        <w:t>2.</w:t>
      </w:r>
      <w:r>
        <w:rPr>
          <w:rFonts w:hint="eastAsia" w:cs="宋体"/>
          <w:color w:val="auto"/>
          <w:sz w:val="24"/>
          <w:szCs w:val="24"/>
          <w:highlight w:val="none"/>
        </w:rPr>
        <w:t>合同价格形式：</w:t>
      </w:r>
      <w:r>
        <w:rPr>
          <w:rFonts w:hint="eastAsia" w:cs="宋体"/>
          <w:color w:val="auto"/>
          <w:sz w:val="24"/>
          <w:szCs w:val="24"/>
          <w:highlight w:val="none"/>
          <w:u w:val="single"/>
        </w:rPr>
        <w:t>（单价合同）</w:t>
      </w:r>
      <w:r>
        <w:rPr>
          <w:rFonts w:hint="eastAsia" w:cs="宋体"/>
          <w:color w:val="auto"/>
          <w:sz w:val="24"/>
          <w:szCs w:val="24"/>
          <w:highlight w:val="none"/>
        </w:rPr>
        <w:t xml:space="preserve"> 。</w:t>
      </w:r>
    </w:p>
    <w:p w14:paraId="628DA80C">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bookmarkStart w:id="65" w:name="_Toc351203485"/>
      <w:r>
        <w:rPr>
          <w:rFonts w:hint="eastAsia" w:ascii="宋体" w:hAnsi="宋体" w:eastAsia="宋体" w:cs="宋体"/>
          <w:b w:val="0"/>
          <w:bCs/>
          <w:color w:val="auto"/>
          <w:sz w:val="24"/>
          <w:szCs w:val="24"/>
          <w:highlight w:val="none"/>
        </w:rPr>
        <w:t>3.</w:t>
      </w:r>
      <w:r>
        <w:rPr>
          <w:rFonts w:hint="eastAsia" w:cs="宋体"/>
          <w:b w:val="0"/>
          <w:bCs/>
          <w:color w:val="auto"/>
          <w:sz w:val="24"/>
          <w:szCs w:val="24"/>
          <w:highlight w:val="none"/>
          <w:lang w:val="en-US" w:eastAsia="zh-CN"/>
        </w:rPr>
        <w:t>付款方式</w:t>
      </w:r>
      <w:r>
        <w:rPr>
          <w:rFonts w:hint="eastAsia" w:ascii="宋体" w:hAnsi="宋体" w:eastAsia="宋体" w:cs="宋体"/>
          <w:b w:val="0"/>
          <w:bCs/>
          <w:color w:val="auto"/>
          <w:sz w:val="24"/>
          <w:szCs w:val="24"/>
          <w:highlight w:val="none"/>
        </w:rPr>
        <w:t>：</w:t>
      </w:r>
    </w:p>
    <w:p w14:paraId="3F0F7502">
      <w:pPr>
        <w:snapToGrid w:val="0"/>
        <w:spacing w:line="360" w:lineRule="auto"/>
        <w:ind w:firstLine="480" w:firstLineChars="200"/>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4E0CC8EA">
      <w:pPr>
        <w:snapToGrid w:val="0"/>
        <w:spacing w:line="360" w:lineRule="auto"/>
        <w:ind w:firstLine="480" w:firstLineChars="200"/>
        <w:rPr>
          <w:rFonts w:hint="eastAsia" w:ascii="宋体" w:hAnsi="宋体" w:eastAsia="宋体" w:cs="宋体"/>
          <w:b w:val="0"/>
          <w:bCs/>
          <w:color w:val="auto"/>
          <w:sz w:val="24"/>
          <w:szCs w:val="24"/>
          <w:highlight w:val="none"/>
          <w:u w:val="none"/>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p w14:paraId="3F3EB82B">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五、</w:t>
      </w:r>
      <w:bookmarkEnd w:id="65"/>
      <w:r>
        <w:rPr>
          <w:rFonts w:hint="eastAsia" w:cs="宋体"/>
          <w:b/>
          <w:color w:val="auto"/>
          <w:sz w:val="24"/>
          <w:szCs w:val="24"/>
          <w:highlight w:val="none"/>
        </w:rPr>
        <w:t>项目经理</w:t>
      </w:r>
    </w:p>
    <w:p w14:paraId="4B2FE496">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项目经理：</w:t>
      </w:r>
      <w:r>
        <w:rPr>
          <w:rFonts w:hint="eastAsia" w:cs="宋体"/>
          <w:color w:val="auto"/>
          <w:sz w:val="24"/>
          <w:szCs w:val="24"/>
          <w:highlight w:val="none"/>
          <w:u w:val="single"/>
        </w:rPr>
        <w:t>                     </w:t>
      </w:r>
      <w:r>
        <w:rPr>
          <w:rFonts w:hint="eastAsia" w:cs="宋体"/>
          <w:color w:val="auto"/>
          <w:sz w:val="24"/>
          <w:szCs w:val="24"/>
          <w:highlight w:val="none"/>
        </w:rPr>
        <w:t>。</w:t>
      </w:r>
    </w:p>
    <w:p w14:paraId="21306B0F">
      <w:pPr>
        <w:snapToGrid w:val="0"/>
        <w:spacing w:line="360" w:lineRule="auto"/>
        <w:ind w:firstLine="482" w:firstLineChars="200"/>
        <w:rPr>
          <w:rFonts w:cs="宋体"/>
          <w:b/>
          <w:color w:val="auto"/>
          <w:sz w:val="24"/>
          <w:szCs w:val="24"/>
          <w:highlight w:val="none"/>
        </w:rPr>
      </w:pPr>
      <w:bookmarkStart w:id="66" w:name="_Toc351203486"/>
      <w:r>
        <w:rPr>
          <w:rFonts w:hint="eastAsia" w:cs="宋体"/>
          <w:b/>
          <w:color w:val="auto"/>
          <w:sz w:val="24"/>
          <w:szCs w:val="24"/>
          <w:highlight w:val="none"/>
        </w:rPr>
        <w:t>六、合同文件构成</w:t>
      </w:r>
      <w:bookmarkEnd w:id="66"/>
    </w:p>
    <w:p w14:paraId="7FD6792C">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本协议书与下列文件一起构成合同文件：</w:t>
      </w:r>
    </w:p>
    <w:p w14:paraId="688B83C8">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成交</w:t>
      </w:r>
      <w:r>
        <w:rPr>
          <w:rFonts w:hint="eastAsia" w:cs="宋体"/>
          <w:color w:val="auto"/>
          <w:sz w:val="24"/>
          <w:szCs w:val="24"/>
          <w:highlight w:val="none"/>
        </w:rPr>
        <w:t>通知书（如果有）；</w:t>
      </w:r>
    </w:p>
    <w:p w14:paraId="6F1F69B6">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val="en-US" w:eastAsia="zh-CN"/>
        </w:rPr>
        <w:t>磋商响应函及最后承诺报价表</w:t>
      </w:r>
      <w:r>
        <w:rPr>
          <w:rFonts w:hint="eastAsia" w:cs="宋体"/>
          <w:color w:val="auto"/>
          <w:sz w:val="24"/>
          <w:szCs w:val="24"/>
          <w:highlight w:val="none"/>
        </w:rPr>
        <w:t xml:space="preserve">（如果有）； </w:t>
      </w:r>
    </w:p>
    <w:p w14:paraId="72C308FE">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（3）专用合同条款及其附件；</w:t>
      </w:r>
    </w:p>
    <w:p w14:paraId="258E625A">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（4）通用合同条款；</w:t>
      </w:r>
    </w:p>
    <w:p w14:paraId="206B4B41">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（5）技术标准和要求；</w:t>
      </w:r>
    </w:p>
    <w:p w14:paraId="11BBF91F">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（6）图纸（如果有）；</w:t>
      </w:r>
    </w:p>
    <w:p w14:paraId="4E31DCD6">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（7）已标价工程量清单或预算书（如果有）；</w:t>
      </w:r>
    </w:p>
    <w:p w14:paraId="7CACFCA1">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（8）其他合同文件。</w:t>
      </w:r>
    </w:p>
    <w:p w14:paraId="2AD19BA0">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在合同订立及履行过程中形成的与合同有关的文件均构成合同文件组成部分。</w:t>
      </w:r>
    </w:p>
    <w:p w14:paraId="0BC6B9DA">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3141B81B">
      <w:pPr>
        <w:snapToGrid w:val="0"/>
        <w:spacing w:line="360" w:lineRule="auto"/>
        <w:ind w:firstLine="482" w:firstLineChars="200"/>
        <w:rPr>
          <w:rFonts w:cs="宋体"/>
          <w:b/>
          <w:color w:val="auto"/>
          <w:sz w:val="24"/>
          <w:szCs w:val="24"/>
          <w:highlight w:val="none"/>
        </w:rPr>
      </w:pPr>
      <w:bookmarkStart w:id="67" w:name="_Toc351203487"/>
      <w:r>
        <w:rPr>
          <w:rFonts w:hint="eastAsia" w:cs="宋体"/>
          <w:b/>
          <w:color w:val="auto"/>
          <w:sz w:val="24"/>
          <w:szCs w:val="24"/>
          <w:highlight w:val="none"/>
        </w:rPr>
        <w:t>七、承诺</w:t>
      </w:r>
      <w:bookmarkEnd w:id="67"/>
    </w:p>
    <w:p w14:paraId="7BFDFF19">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1. </w:t>
      </w:r>
      <w:r>
        <w:rPr>
          <w:rFonts w:hint="eastAsia" w:cs="宋体"/>
          <w:bCs/>
          <w:color w:val="auto"/>
          <w:sz w:val="24"/>
          <w:szCs w:val="24"/>
          <w:highlight w:val="none"/>
          <w:lang w:eastAsia="zh-CN"/>
        </w:rPr>
        <w:t>甲方</w:t>
      </w:r>
      <w:r>
        <w:rPr>
          <w:rFonts w:hint="eastAsia" w:cs="宋体"/>
          <w:bCs/>
          <w:color w:val="auto"/>
          <w:sz w:val="24"/>
          <w:szCs w:val="24"/>
          <w:highlight w:val="none"/>
        </w:rPr>
        <w:t>承诺按照法律规定履行项目审批手续、筹集工程建设资金并按照合同约定的期限和方式支付合同价款。</w:t>
      </w:r>
    </w:p>
    <w:p w14:paraId="3BE35E82">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2. </w:t>
      </w:r>
      <w:r>
        <w:rPr>
          <w:rFonts w:hint="eastAsia" w:cs="宋体"/>
          <w:bCs/>
          <w:color w:val="auto"/>
          <w:sz w:val="24"/>
          <w:szCs w:val="24"/>
          <w:highlight w:val="none"/>
          <w:lang w:eastAsia="zh-CN"/>
        </w:rPr>
        <w:t>乙方</w:t>
      </w:r>
      <w:r>
        <w:rPr>
          <w:rFonts w:hint="eastAsia" w:cs="宋体"/>
          <w:bCs/>
          <w:color w:val="auto"/>
          <w:sz w:val="24"/>
          <w:szCs w:val="24"/>
          <w:highlight w:val="none"/>
        </w:rPr>
        <w:t>承诺按照法律规定及合同约定组织完成工程施工，确保工程质量和安全，不进行转包及违法分包，并在缺陷责任期及保修期内承担相应的工程维修责任。</w:t>
      </w:r>
    </w:p>
    <w:p w14:paraId="4BC021FA">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3. </w:t>
      </w:r>
      <w:r>
        <w:rPr>
          <w:rFonts w:hint="eastAsia" w:cs="宋体"/>
          <w:bCs/>
          <w:color w:val="auto"/>
          <w:sz w:val="24"/>
          <w:szCs w:val="24"/>
          <w:highlight w:val="none"/>
          <w:lang w:eastAsia="zh-CN"/>
        </w:rPr>
        <w:t>甲方</w:t>
      </w:r>
      <w:r>
        <w:rPr>
          <w:rFonts w:hint="eastAsia" w:cs="宋体"/>
          <w:bCs/>
          <w:color w:val="auto"/>
          <w:sz w:val="24"/>
          <w:szCs w:val="24"/>
          <w:highlight w:val="none"/>
        </w:rPr>
        <w:t>和</w:t>
      </w:r>
      <w:r>
        <w:rPr>
          <w:rFonts w:hint="eastAsia" w:cs="宋体"/>
          <w:bCs/>
          <w:color w:val="auto"/>
          <w:sz w:val="24"/>
          <w:szCs w:val="24"/>
          <w:highlight w:val="none"/>
          <w:lang w:eastAsia="zh-CN"/>
        </w:rPr>
        <w:t>乙方</w:t>
      </w:r>
      <w:r>
        <w:rPr>
          <w:rFonts w:hint="eastAsia" w:cs="宋体"/>
          <w:bCs/>
          <w:color w:val="auto"/>
          <w:sz w:val="24"/>
          <w:szCs w:val="24"/>
          <w:highlight w:val="none"/>
        </w:rPr>
        <w:t>通过招投标形式签订合同的，双方理解并承诺不再就同一工程另行签订与合同实质性内容相背离的协议。</w:t>
      </w:r>
    </w:p>
    <w:p w14:paraId="0AAD7301">
      <w:pPr>
        <w:snapToGrid w:val="0"/>
        <w:spacing w:line="360" w:lineRule="auto"/>
        <w:ind w:firstLine="482" w:firstLineChars="200"/>
        <w:rPr>
          <w:rFonts w:cs="宋体"/>
          <w:b/>
          <w:color w:val="auto"/>
          <w:sz w:val="24"/>
          <w:szCs w:val="24"/>
          <w:highlight w:val="none"/>
        </w:rPr>
      </w:pPr>
      <w:bookmarkStart w:id="68" w:name="_Toc351203488"/>
      <w:r>
        <w:rPr>
          <w:rFonts w:hint="eastAsia" w:cs="宋体"/>
          <w:b/>
          <w:color w:val="auto"/>
          <w:sz w:val="24"/>
          <w:szCs w:val="24"/>
          <w:highlight w:val="none"/>
        </w:rPr>
        <w:t>八、词语含义</w:t>
      </w:r>
      <w:bookmarkEnd w:id="68"/>
    </w:p>
    <w:p w14:paraId="195CEA8C">
      <w:pPr>
        <w:snapToGrid w:val="0"/>
        <w:spacing w:line="360" w:lineRule="auto"/>
        <w:ind w:firstLine="480" w:firstLineChars="200"/>
        <w:rPr>
          <w:rFonts w:hint="eastAsia" w:cs="宋体"/>
          <w:bCs/>
          <w:color w:val="auto"/>
          <w:sz w:val="24"/>
          <w:szCs w:val="24"/>
          <w:highlight w:val="none"/>
        </w:rPr>
      </w:pPr>
      <w:r>
        <w:rPr>
          <w:rFonts w:hint="eastAsia" w:cs="宋体"/>
          <w:bCs/>
          <w:color w:val="auto"/>
          <w:sz w:val="24"/>
          <w:szCs w:val="24"/>
          <w:highlight w:val="none"/>
        </w:rPr>
        <w:t>本协议书中词语含义与第二部分通用合同条款中赋予的含义相同。</w:t>
      </w:r>
    </w:p>
    <w:p w14:paraId="5DE37FCB">
      <w:pPr>
        <w:numPr>
          <w:ilvl w:val="0"/>
          <w:numId w:val="0"/>
        </w:numPr>
        <w:snapToGrid w:val="0"/>
        <w:spacing w:line="360" w:lineRule="auto"/>
        <w:ind w:firstLine="482" w:firstLineChars="200"/>
        <w:rPr>
          <w:rFonts w:hint="eastAsia" w:cs="宋体"/>
          <w:b/>
          <w:color w:val="auto"/>
          <w:sz w:val="24"/>
          <w:szCs w:val="24"/>
          <w:highlight w:val="none"/>
        </w:rPr>
      </w:pPr>
      <w:r>
        <w:rPr>
          <w:rFonts w:hint="eastAsia" w:ascii="宋体" w:hAnsi="宋体" w:eastAsia="宋体" w:cs="宋体"/>
          <w:b/>
          <w:color w:val="auto"/>
          <w:sz w:val="24"/>
          <w:szCs w:val="24"/>
          <w:highlight w:val="none"/>
          <w:lang w:val="en-US" w:eastAsia="zh-CN" w:bidi="ar-SA"/>
        </w:rPr>
        <w:t>九、</w:t>
      </w:r>
      <w:r>
        <w:rPr>
          <w:rFonts w:hint="eastAsia" w:cs="宋体"/>
          <w:b/>
          <w:color w:val="auto"/>
          <w:sz w:val="24"/>
          <w:szCs w:val="24"/>
          <w:highlight w:val="none"/>
        </w:rPr>
        <w:t>甲方责任义务</w:t>
      </w:r>
    </w:p>
    <w:p w14:paraId="40232BDE">
      <w:pPr>
        <w:numPr>
          <w:ilvl w:val="0"/>
          <w:numId w:val="0"/>
        </w:num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1.甲方承诺按照合同约定的期限和方式支付合同价款。</w:t>
      </w:r>
    </w:p>
    <w:p w14:paraId="0FFE4A05">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lang w:val="en-US" w:eastAsia="zh-CN"/>
        </w:rPr>
        <w:t>2.</w:t>
      </w:r>
      <w:r>
        <w:rPr>
          <w:rFonts w:hint="eastAsia" w:cs="宋体"/>
          <w:b w:val="0"/>
          <w:bCs/>
          <w:color w:val="auto"/>
          <w:sz w:val="24"/>
          <w:szCs w:val="24"/>
          <w:highlight w:val="none"/>
        </w:rPr>
        <w:t>甲方对乙方施工安全具有监督、检查和指导的权利。</w:t>
      </w:r>
    </w:p>
    <w:p w14:paraId="0520C902">
      <w:pPr>
        <w:snapToGrid w:val="0"/>
        <w:spacing w:line="360" w:lineRule="auto"/>
        <w:ind w:firstLine="482" w:firstLineChars="200"/>
        <w:rPr>
          <w:rFonts w:hint="eastAsia" w:cs="宋体"/>
          <w:b/>
          <w:color w:val="auto"/>
          <w:sz w:val="24"/>
          <w:szCs w:val="24"/>
          <w:highlight w:val="none"/>
        </w:rPr>
      </w:pPr>
      <w:r>
        <w:rPr>
          <w:rFonts w:hint="eastAsia" w:cs="宋体"/>
          <w:b/>
          <w:color w:val="auto"/>
          <w:sz w:val="24"/>
          <w:szCs w:val="24"/>
          <w:highlight w:val="none"/>
        </w:rPr>
        <w:t>十、乙方责任义务</w:t>
      </w:r>
    </w:p>
    <w:p w14:paraId="19C4AE5C">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乙方在施工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79614E8F">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2.本项目所有从业人员购买以下保险（二者任选其一）：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cs="宋体"/>
          <w:b w:val="0"/>
          <w:bCs/>
          <w:color w:val="auto"/>
          <w:sz w:val="24"/>
          <w:szCs w:val="24"/>
          <w:highlight w:val="none"/>
        </w:rPr>
        <w:t>，其保险费已包含在签约合同价中。</w:t>
      </w:r>
    </w:p>
    <w:p w14:paraId="5620648D">
      <w:pPr>
        <w:snapToGrid w:val="0"/>
        <w:spacing w:line="360" w:lineRule="auto"/>
        <w:ind w:left="240" w:leftChars="120" w:firstLine="240" w:firstLineChars="100"/>
        <w:rPr>
          <w:rFonts w:hint="eastAsia" w:cs="宋体"/>
          <w:b w:val="0"/>
          <w:bCs/>
          <w:color w:val="auto"/>
          <w:sz w:val="24"/>
          <w:szCs w:val="24"/>
          <w:highlight w:val="none"/>
        </w:rPr>
      </w:pPr>
      <w:r>
        <w:rPr>
          <w:rFonts w:hint="eastAsia" w:cs="宋体"/>
          <w:b w:val="0"/>
          <w:bCs/>
          <w:color w:val="auto"/>
          <w:sz w:val="24"/>
          <w:szCs w:val="24"/>
          <w:highlight w:val="none"/>
        </w:rPr>
        <w:t>3</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安全承诺</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乙方承诺，作业过程中如出现作业人员未有效佩戴现场安全防护</w:t>
      </w:r>
      <w:r>
        <w:rPr>
          <w:rFonts w:hint="eastAsia" w:cs="宋体"/>
          <w:b w:val="0"/>
          <w:bCs/>
          <w:color w:val="auto"/>
          <w:sz w:val="24"/>
          <w:szCs w:val="24"/>
          <w:highlight w:val="none"/>
          <w:lang w:eastAsia="zh-CN"/>
        </w:rPr>
        <w:t>必需的</w:t>
      </w:r>
      <w:r>
        <w:rPr>
          <w:rFonts w:hint="eastAsia" w:cs="宋体"/>
          <w:b w:val="0"/>
          <w:bCs/>
          <w:color w:val="auto"/>
          <w:sz w:val="24"/>
          <w:szCs w:val="24"/>
          <w:highlight w:val="none"/>
        </w:rPr>
        <w:t>安全帽、安全绳、救生衣以及其他</w:t>
      </w:r>
      <w:r>
        <w:rPr>
          <w:rFonts w:hint="eastAsia" w:cs="宋体"/>
          <w:b w:val="0"/>
          <w:bCs/>
          <w:color w:val="auto"/>
          <w:sz w:val="24"/>
          <w:szCs w:val="24"/>
          <w:highlight w:val="none"/>
          <w:lang w:eastAsia="zh-CN"/>
        </w:rPr>
        <w:t>必需的</w:t>
      </w:r>
      <w:r>
        <w:rPr>
          <w:rFonts w:hint="eastAsia" w:cs="宋体"/>
          <w:b w:val="0"/>
          <w:bCs/>
          <w:color w:val="auto"/>
          <w:sz w:val="24"/>
          <w:szCs w:val="24"/>
          <w:highlight w:val="none"/>
          <w:lang w:val="en-US" w:eastAsia="zh-CN"/>
        </w:rPr>
        <w:t>作业</w:t>
      </w:r>
      <w:r>
        <w:rPr>
          <w:rFonts w:hint="eastAsia" w:cs="宋体"/>
          <w:b w:val="0"/>
          <w:bCs/>
          <w:color w:val="auto"/>
          <w:sz w:val="24"/>
          <w:szCs w:val="24"/>
          <w:highlight w:val="none"/>
        </w:rPr>
        <w:t>防护等安全防护用品，发生不安全行为的，每出现一次，从完工结算价中自愿核减1000元，减完为止。</w:t>
      </w:r>
    </w:p>
    <w:p w14:paraId="5C0B9393">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lang w:val="en-US" w:eastAsia="zh-CN"/>
        </w:rPr>
        <w:t>十一</w:t>
      </w:r>
      <w:r>
        <w:rPr>
          <w:rFonts w:hint="eastAsia" w:cs="宋体"/>
          <w:b/>
          <w:color w:val="auto"/>
          <w:sz w:val="24"/>
          <w:szCs w:val="24"/>
          <w:highlight w:val="none"/>
        </w:rPr>
        <w:t>、签订时间</w:t>
      </w:r>
    </w:p>
    <w:p w14:paraId="72A6235E">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u w:val="single"/>
        </w:rPr>
        <w:t xml:space="preserve"> </w:t>
      </w:r>
      <w:r>
        <w:rPr>
          <w:rFonts w:hint="eastAsia" w:cs="宋体"/>
          <w:bCs/>
          <w:color w:val="auto"/>
          <w:sz w:val="24"/>
          <w:szCs w:val="24"/>
          <w:highlight w:val="none"/>
        </w:rPr>
        <w:t>年</w:t>
      </w:r>
      <w:r>
        <w:rPr>
          <w:rFonts w:hint="eastAsia" w:cs="宋体"/>
          <w:bCs/>
          <w:color w:val="auto"/>
          <w:sz w:val="24"/>
          <w:szCs w:val="24"/>
          <w:highlight w:val="none"/>
          <w:u w:val="single"/>
        </w:rPr>
        <w:t xml:space="preserve">    </w:t>
      </w:r>
      <w:r>
        <w:rPr>
          <w:rFonts w:hint="eastAsia" w:cs="宋体"/>
          <w:bCs/>
          <w:color w:val="auto"/>
          <w:sz w:val="24"/>
          <w:szCs w:val="24"/>
          <w:highlight w:val="none"/>
        </w:rPr>
        <w:t>月</w:t>
      </w:r>
      <w:r>
        <w:rPr>
          <w:rFonts w:hint="eastAsia" w:cs="宋体"/>
          <w:bCs/>
          <w:color w:val="auto"/>
          <w:sz w:val="24"/>
          <w:szCs w:val="24"/>
          <w:highlight w:val="none"/>
          <w:u w:val="single"/>
        </w:rPr>
        <w:t xml:space="preserve">    </w:t>
      </w:r>
      <w:r>
        <w:rPr>
          <w:rFonts w:hint="eastAsia" w:cs="宋体"/>
          <w:bCs/>
          <w:color w:val="auto"/>
          <w:sz w:val="24"/>
          <w:szCs w:val="24"/>
          <w:highlight w:val="none"/>
        </w:rPr>
        <w:t>日签订。</w:t>
      </w:r>
    </w:p>
    <w:p w14:paraId="58910D68">
      <w:pPr>
        <w:snapToGrid w:val="0"/>
        <w:spacing w:line="360" w:lineRule="auto"/>
        <w:ind w:firstLine="482" w:firstLineChars="200"/>
        <w:rPr>
          <w:rFonts w:cs="宋体"/>
          <w:b/>
          <w:color w:val="auto"/>
          <w:sz w:val="24"/>
          <w:szCs w:val="24"/>
          <w:highlight w:val="none"/>
        </w:rPr>
      </w:pPr>
      <w:bookmarkStart w:id="69" w:name="_Toc351203490"/>
      <w:r>
        <w:rPr>
          <w:rFonts w:hint="eastAsia" w:cs="宋体"/>
          <w:b/>
          <w:color w:val="auto"/>
          <w:sz w:val="24"/>
          <w:szCs w:val="24"/>
          <w:highlight w:val="none"/>
        </w:rPr>
        <w:t>十</w:t>
      </w:r>
      <w:r>
        <w:rPr>
          <w:rFonts w:hint="eastAsia" w:cs="宋体"/>
          <w:b/>
          <w:color w:val="auto"/>
          <w:sz w:val="24"/>
          <w:szCs w:val="24"/>
          <w:highlight w:val="none"/>
          <w:lang w:val="en-US" w:eastAsia="zh-CN"/>
        </w:rPr>
        <w:t>二</w:t>
      </w:r>
      <w:r>
        <w:rPr>
          <w:rFonts w:hint="eastAsia" w:cs="宋体"/>
          <w:b/>
          <w:color w:val="auto"/>
          <w:sz w:val="24"/>
          <w:szCs w:val="24"/>
          <w:highlight w:val="none"/>
        </w:rPr>
        <w:t>、签订地点</w:t>
      </w:r>
      <w:bookmarkEnd w:id="69"/>
    </w:p>
    <w:p w14:paraId="6A3EB3B6">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本合同在</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采购人指定地点 </w:t>
      </w:r>
      <w:r>
        <w:rPr>
          <w:rFonts w:hint="eastAsia" w:cs="宋体"/>
          <w:bCs/>
          <w:color w:val="auto"/>
          <w:sz w:val="24"/>
          <w:szCs w:val="24"/>
          <w:highlight w:val="none"/>
        </w:rPr>
        <w:t>签订。</w:t>
      </w:r>
    </w:p>
    <w:p w14:paraId="49BF141A">
      <w:pPr>
        <w:snapToGrid w:val="0"/>
        <w:spacing w:line="360" w:lineRule="auto"/>
        <w:ind w:firstLine="482" w:firstLineChars="200"/>
        <w:rPr>
          <w:rFonts w:cs="宋体"/>
          <w:b/>
          <w:color w:val="auto"/>
          <w:sz w:val="24"/>
          <w:szCs w:val="24"/>
          <w:highlight w:val="none"/>
        </w:rPr>
      </w:pPr>
      <w:bookmarkStart w:id="70" w:name="_Toc351203491"/>
      <w:r>
        <w:rPr>
          <w:rFonts w:hint="eastAsia" w:cs="宋体"/>
          <w:b/>
          <w:color w:val="auto"/>
          <w:sz w:val="24"/>
          <w:szCs w:val="24"/>
          <w:highlight w:val="none"/>
        </w:rPr>
        <w:t>十</w:t>
      </w:r>
      <w:r>
        <w:rPr>
          <w:rFonts w:hint="eastAsia" w:cs="宋体"/>
          <w:b/>
          <w:color w:val="auto"/>
          <w:sz w:val="24"/>
          <w:szCs w:val="24"/>
          <w:highlight w:val="none"/>
          <w:lang w:val="en-US" w:eastAsia="zh-CN"/>
        </w:rPr>
        <w:t>三</w:t>
      </w:r>
      <w:r>
        <w:rPr>
          <w:rFonts w:hint="eastAsia" w:cs="宋体"/>
          <w:b/>
          <w:color w:val="auto"/>
          <w:sz w:val="24"/>
          <w:szCs w:val="24"/>
          <w:highlight w:val="none"/>
        </w:rPr>
        <w:t>、补充协议</w:t>
      </w:r>
      <w:bookmarkEnd w:id="70"/>
    </w:p>
    <w:p w14:paraId="7106FF4E">
      <w:pPr>
        <w:snapToGrid w:val="0"/>
        <w:spacing w:line="360" w:lineRule="auto"/>
        <w:ind w:firstLine="480" w:firstLineChars="200"/>
        <w:rPr>
          <w:rFonts w:cs="宋体"/>
          <w:b/>
          <w:bCs/>
          <w:color w:val="auto"/>
          <w:sz w:val="24"/>
          <w:szCs w:val="24"/>
          <w:highlight w:val="none"/>
        </w:rPr>
      </w:pPr>
      <w:r>
        <w:rPr>
          <w:rFonts w:hint="eastAsia" w:cs="宋体"/>
          <w:bCs/>
          <w:color w:val="auto"/>
          <w:sz w:val="24"/>
          <w:szCs w:val="24"/>
          <w:highlight w:val="none"/>
        </w:rPr>
        <w:t>合同未尽事宜，合同当事人另行签订补充协议，补充协议是合同的组成部分。</w:t>
      </w:r>
    </w:p>
    <w:p w14:paraId="70BCC653">
      <w:pPr>
        <w:snapToGrid w:val="0"/>
        <w:spacing w:line="360" w:lineRule="auto"/>
        <w:ind w:firstLine="482" w:firstLineChars="200"/>
        <w:rPr>
          <w:rFonts w:cs="宋体"/>
          <w:b/>
          <w:color w:val="auto"/>
          <w:sz w:val="24"/>
          <w:szCs w:val="24"/>
          <w:highlight w:val="none"/>
        </w:rPr>
      </w:pPr>
      <w:bookmarkStart w:id="71" w:name="_Toc351203492"/>
      <w:r>
        <w:rPr>
          <w:rFonts w:hint="eastAsia" w:cs="宋体"/>
          <w:b/>
          <w:color w:val="auto"/>
          <w:sz w:val="24"/>
          <w:szCs w:val="24"/>
          <w:highlight w:val="none"/>
        </w:rPr>
        <w:t>十</w:t>
      </w:r>
      <w:r>
        <w:rPr>
          <w:rFonts w:hint="eastAsia" w:cs="宋体"/>
          <w:b/>
          <w:color w:val="auto"/>
          <w:sz w:val="24"/>
          <w:szCs w:val="24"/>
          <w:highlight w:val="none"/>
          <w:lang w:val="en-US" w:eastAsia="zh-CN"/>
        </w:rPr>
        <w:t>四</w:t>
      </w:r>
      <w:r>
        <w:rPr>
          <w:rFonts w:hint="eastAsia" w:cs="宋体"/>
          <w:b/>
          <w:color w:val="auto"/>
          <w:sz w:val="24"/>
          <w:szCs w:val="24"/>
          <w:highlight w:val="none"/>
        </w:rPr>
        <w:t>、合同生效</w:t>
      </w:r>
      <w:bookmarkEnd w:id="71"/>
    </w:p>
    <w:p w14:paraId="354FA6A5">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本合同自</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合同签订之日起</w:t>
      </w:r>
      <w:r>
        <w:rPr>
          <w:rFonts w:hint="eastAsia" w:cs="宋体"/>
          <w:bCs/>
          <w:color w:val="auto"/>
          <w:sz w:val="24"/>
          <w:szCs w:val="24"/>
          <w:highlight w:val="none"/>
          <w:u w:val="single"/>
        </w:rPr>
        <w:t xml:space="preserve"> </w:t>
      </w:r>
      <w:r>
        <w:rPr>
          <w:rFonts w:hint="eastAsia" w:cs="宋体"/>
          <w:bCs/>
          <w:color w:val="auto"/>
          <w:sz w:val="24"/>
          <w:szCs w:val="24"/>
          <w:highlight w:val="none"/>
        </w:rPr>
        <w:t>生效。</w:t>
      </w:r>
    </w:p>
    <w:p w14:paraId="108DD20B">
      <w:pPr>
        <w:snapToGrid w:val="0"/>
        <w:spacing w:line="360" w:lineRule="auto"/>
        <w:ind w:firstLine="482" w:firstLineChars="200"/>
        <w:rPr>
          <w:rFonts w:cs="宋体"/>
          <w:b/>
          <w:color w:val="auto"/>
          <w:sz w:val="24"/>
          <w:szCs w:val="24"/>
          <w:highlight w:val="none"/>
        </w:rPr>
      </w:pPr>
      <w:bookmarkStart w:id="72" w:name="_Toc351203493"/>
      <w:r>
        <w:rPr>
          <w:rFonts w:hint="eastAsia" w:cs="宋体"/>
          <w:b/>
          <w:color w:val="auto"/>
          <w:sz w:val="24"/>
          <w:szCs w:val="24"/>
          <w:highlight w:val="none"/>
        </w:rPr>
        <w:t>十</w:t>
      </w:r>
      <w:r>
        <w:rPr>
          <w:rFonts w:hint="eastAsia" w:cs="宋体"/>
          <w:b/>
          <w:color w:val="auto"/>
          <w:sz w:val="24"/>
          <w:szCs w:val="24"/>
          <w:highlight w:val="none"/>
          <w:lang w:val="en-US" w:eastAsia="zh-CN"/>
        </w:rPr>
        <w:t>五</w:t>
      </w:r>
      <w:r>
        <w:rPr>
          <w:rFonts w:hint="eastAsia" w:cs="宋体"/>
          <w:b/>
          <w:color w:val="auto"/>
          <w:sz w:val="24"/>
          <w:szCs w:val="24"/>
          <w:highlight w:val="none"/>
        </w:rPr>
        <w:t>、合同份数</w:t>
      </w:r>
      <w:bookmarkEnd w:id="72"/>
    </w:p>
    <w:p w14:paraId="190FD381">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本合同一式</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份，均具有同等法律效力，</w:t>
      </w:r>
      <w:r>
        <w:rPr>
          <w:rFonts w:hint="eastAsia" w:cs="宋体"/>
          <w:bCs/>
          <w:color w:val="auto"/>
          <w:sz w:val="24"/>
          <w:szCs w:val="24"/>
          <w:highlight w:val="none"/>
          <w:lang w:eastAsia="zh-CN"/>
        </w:rPr>
        <w:t>甲方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r>
        <w:rPr>
          <w:rFonts w:hint="eastAsia" w:cs="宋体"/>
          <w:bCs/>
          <w:color w:val="auto"/>
          <w:sz w:val="24"/>
          <w:szCs w:val="24"/>
          <w:highlight w:val="none"/>
          <w:lang w:eastAsia="zh-CN"/>
        </w:rPr>
        <w:t>乙方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p>
    <w:p w14:paraId="21262FE3">
      <w:pPr>
        <w:snapToGrid w:val="0"/>
        <w:spacing w:line="360" w:lineRule="auto"/>
        <w:rPr>
          <w:rFonts w:cs="宋体"/>
          <w:bCs/>
          <w:color w:val="auto"/>
          <w:sz w:val="24"/>
          <w:szCs w:val="24"/>
          <w:highlight w:val="none"/>
        </w:rPr>
      </w:pPr>
    </w:p>
    <w:p w14:paraId="35704334">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 xml:space="preserve">公章）                 </w:t>
      </w:r>
      <w:r>
        <w:rPr>
          <w:rFonts w:hint="eastAsia" w:cs="宋体"/>
          <w:color w:val="auto"/>
          <w:sz w:val="24"/>
          <w:szCs w:val="24"/>
          <w:highlight w:val="none"/>
          <w:lang w:eastAsia="zh-CN"/>
        </w:rPr>
        <w:t>乙方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公章）</w:t>
      </w:r>
    </w:p>
    <w:p w14:paraId="7BFC50DA">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3607900D">
      <w:pPr>
        <w:snapToGrid w:val="0"/>
        <w:spacing w:line="360" w:lineRule="auto"/>
        <w:rPr>
          <w:rFonts w:cs="宋体"/>
          <w:color w:val="auto"/>
          <w:sz w:val="24"/>
          <w:szCs w:val="24"/>
          <w:highlight w:val="none"/>
        </w:rPr>
      </w:pPr>
      <w:r>
        <w:rPr>
          <w:rFonts w:hint="eastAsia" w:cs="宋体"/>
          <w:color w:val="auto"/>
          <w:sz w:val="24"/>
          <w:szCs w:val="24"/>
          <w:highlight w:val="none"/>
        </w:rPr>
        <w:t>（签字）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（签字）</w:t>
      </w:r>
      <w:r>
        <w:rPr>
          <w:rFonts w:hint="eastAsia" w:cs="宋体"/>
          <w:color w:val="auto"/>
          <w:sz w:val="24"/>
          <w:szCs w:val="24"/>
          <w:highlight w:val="none"/>
          <w:u w:val="single"/>
        </w:rPr>
        <w:t xml:space="preserve">                   </w:t>
      </w:r>
    </w:p>
    <w:p w14:paraId="444A0056">
      <w:pPr>
        <w:tabs>
          <w:tab w:val="left" w:pos="4410"/>
        </w:tabs>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p>
    <w:p w14:paraId="49092958">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773B7A3E">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09AF50A7">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55B4A465">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78B27DDA">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70D5047B">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w:t>
      </w:r>
    </w:p>
    <w:p w14:paraId="58546609">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w:t>
      </w:r>
    </w:p>
    <w:p w14:paraId="1E984C5F">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w:t>
      </w:r>
    </w:p>
    <w:p w14:paraId="5159E77B">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6CCEAAE1">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3" w:name="_Toc30550"/>
      <w:bookmarkStart w:id="74" w:name="_Toc130919121"/>
      <w:bookmarkStart w:id="75" w:name="_Toc28799377"/>
      <w:r>
        <w:rPr>
          <w:rFonts w:hint="eastAsia" w:ascii="等线" w:hAnsi="等线" w:eastAsia="等线" w:cs="@仿宋_GB2312"/>
          <w:b/>
          <w:color w:val="auto"/>
          <w:kern w:val="2"/>
          <w:sz w:val="24"/>
          <w:szCs w:val="24"/>
          <w:highlight w:val="none"/>
        </w:rPr>
        <w:t>第二节  通用合同条款</w:t>
      </w:r>
      <w:bookmarkEnd w:id="73"/>
      <w:bookmarkEnd w:id="74"/>
      <w:bookmarkEnd w:id="75"/>
    </w:p>
    <w:p w14:paraId="42C0D3E0">
      <w:pPr>
        <w:spacing w:line="360" w:lineRule="auto"/>
        <w:ind w:firstLine="480" w:firstLineChars="200"/>
        <w:rPr>
          <w:rFonts w:cs="Times New Roman"/>
          <w:snapToGrid w:val="0"/>
          <w:color w:val="auto"/>
          <w:sz w:val="24"/>
          <w:szCs w:val="24"/>
          <w:highlight w:val="none"/>
        </w:rPr>
      </w:pPr>
      <w:r>
        <w:rPr>
          <w:rFonts w:hint="eastAsia" w:cs="Times New Roman"/>
          <w:snapToGrid w:val="0"/>
          <w:color w:val="auto"/>
          <w:sz w:val="24"/>
          <w:szCs w:val="24"/>
          <w:highlight w:val="none"/>
        </w:rPr>
        <w:t>采用《建设工程施工合同（示范文本）》（GF-2017-0201）中通用合同条款。上述资料由</w:t>
      </w:r>
      <w:r>
        <w:rPr>
          <w:rFonts w:hint="eastAsia" w:cs="Times New Roman"/>
          <w:snapToGrid w:val="0"/>
          <w:color w:val="auto"/>
          <w:sz w:val="24"/>
          <w:szCs w:val="24"/>
          <w:highlight w:val="none"/>
          <w:lang w:eastAsia="zh-CN"/>
        </w:rPr>
        <w:t>乙方</w:t>
      </w:r>
      <w:r>
        <w:rPr>
          <w:rFonts w:hint="eastAsia" w:cs="Times New Roman"/>
          <w:snapToGrid w:val="0"/>
          <w:color w:val="auto"/>
          <w:sz w:val="24"/>
          <w:szCs w:val="24"/>
          <w:highlight w:val="none"/>
        </w:rPr>
        <w:t>自行准备。</w:t>
      </w:r>
    </w:p>
    <w:p w14:paraId="0ED2B3CF">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6" w:name="_Toc31931"/>
      <w:bookmarkStart w:id="77" w:name="_Toc28799378"/>
      <w:bookmarkStart w:id="78" w:name="_Toc130919122"/>
      <w:r>
        <w:rPr>
          <w:rFonts w:hint="eastAsia" w:ascii="等线" w:hAnsi="等线" w:eastAsia="等线" w:cs="@仿宋_GB2312"/>
          <w:b/>
          <w:color w:val="auto"/>
          <w:kern w:val="2"/>
          <w:sz w:val="24"/>
          <w:szCs w:val="24"/>
          <w:highlight w:val="none"/>
        </w:rPr>
        <w:t>第三节  专用合同条款</w:t>
      </w:r>
      <w:bookmarkEnd w:id="76"/>
      <w:bookmarkEnd w:id="77"/>
      <w:bookmarkEnd w:id="78"/>
    </w:p>
    <w:p w14:paraId="69967542">
      <w:pPr>
        <w:snapToGrid w:val="0"/>
        <w:spacing w:before="312" w:beforeLines="100" w:after="312" w:afterLines="100" w:line="360" w:lineRule="auto"/>
        <w:jc w:val="center"/>
        <w:outlineLvl w:val="2"/>
        <w:rPr>
          <w:rFonts w:cs="宋体"/>
          <w:color w:val="auto"/>
          <w:sz w:val="24"/>
          <w:szCs w:val="24"/>
          <w:highlight w:val="none"/>
        </w:rPr>
      </w:pPr>
      <w:bookmarkStart w:id="79" w:name="_Toc351203633"/>
      <w:r>
        <w:rPr>
          <w:rFonts w:hint="eastAsia" w:cs="宋体"/>
          <w:color w:val="auto"/>
          <w:sz w:val="24"/>
          <w:szCs w:val="24"/>
          <w:highlight w:val="none"/>
        </w:rPr>
        <w:t>专用合同条款数据表</w:t>
      </w:r>
    </w:p>
    <w:p w14:paraId="6EA1A6ED">
      <w:pPr>
        <w:pStyle w:val="20"/>
        <w:snapToGrid w:val="0"/>
        <w:spacing w:line="360" w:lineRule="auto"/>
        <w:ind w:left="400" w:firstLine="480"/>
        <w:rPr>
          <w:rFonts w:ascii="宋体" w:hAnsi="宋体" w:cs="宋体"/>
          <w:color w:val="auto"/>
          <w:sz w:val="24"/>
          <w:szCs w:val="24"/>
          <w:highlight w:val="none"/>
        </w:rPr>
      </w:pPr>
      <w:r>
        <w:rPr>
          <w:rFonts w:hint="eastAsia" w:ascii="宋体" w:hAnsi="宋体" w:cs="宋体"/>
          <w:color w:val="auto"/>
          <w:sz w:val="24"/>
          <w:szCs w:val="24"/>
          <w:highlight w:val="none"/>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3E39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30CABC92">
            <w:pPr>
              <w:snapToGrid w:val="0"/>
              <w:spacing w:before="100" w:beforeAutospacing="1"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序号</w:t>
            </w:r>
          </w:p>
        </w:tc>
        <w:tc>
          <w:tcPr>
            <w:tcW w:w="1111" w:type="dxa"/>
            <w:vAlign w:val="center"/>
          </w:tcPr>
          <w:p w14:paraId="3002EF28">
            <w:pPr>
              <w:snapToGrid w:val="0"/>
              <w:spacing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条目号</w:t>
            </w:r>
          </w:p>
        </w:tc>
        <w:tc>
          <w:tcPr>
            <w:tcW w:w="7304" w:type="dxa"/>
            <w:vAlign w:val="center"/>
          </w:tcPr>
          <w:p w14:paraId="6DFA445B">
            <w:pPr>
              <w:snapToGrid w:val="0"/>
              <w:spacing w:line="360" w:lineRule="auto"/>
              <w:jc w:val="center"/>
              <w:rPr>
                <w:rFonts w:cs="宋体"/>
                <w:b/>
                <w:color w:val="auto"/>
                <w:sz w:val="24"/>
                <w:szCs w:val="24"/>
                <w:highlight w:val="none"/>
              </w:rPr>
            </w:pPr>
            <w:r>
              <w:rPr>
                <w:rFonts w:hint="eastAsia" w:cs="宋体"/>
                <w:b/>
                <w:color w:val="auto"/>
                <w:sz w:val="24"/>
                <w:szCs w:val="24"/>
                <w:highlight w:val="none"/>
              </w:rPr>
              <w:t>信息或数据</w:t>
            </w:r>
          </w:p>
        </w:tc>
      </w:tr>
      <w:tr w14:paraId="3341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399728E0">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FF6AEBE">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2.5</w:t>
            </w:r>
          </w:p>
        </w:tc>
        <w:tc>
          <w:tcPr>
            <w:tcW w:w="7304" w:type="dxa"/>
            <w:vAlign w:val="center"/>
          </w:tcPr>
          <w:p w14:paraId="29EC4B2A">
            <w:pPr>
              <w:snapToGrid w:val="0"/>
              <w:spacing w:line="360" w:lineRule="auto"/>
              <w:rPr>
                <w:rFonts w:hint="eastAsia" w:eastAsia="宋体" w:cs="宋体"/>
                <w:bCs/>
                <w:color w:val="auto"/>
                <w:sz w:val="24"/>
                <w:szCs w:val="24"/>
                <w:highlight w:val="none"/>
                <w:u w:val="single"/>
                <w:lang w:eastAsia="zh-CN"/>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提供资金来源证明的期限要求： </w:t>
            </w:r>
            <w:r>
              <w:rPr>
                <w:rFonts w:hint="eastAsia" w:cs="宋体"/>
                <w:bCs/>
                <w:color w:val="auto"/>
                <w:sz w:val="24"/>
                <w:szCs w:val="24"/>
                <w:highlight w:val="none"/>
                <w:u w:val="single"/>
                <w:lang w:val="en-US" w:eastAsia="zh-CN"/>
              </w:rPr>
              <w:t>/</w:t>
            </w:r>
          </w:p>
          <w:p w14:paraId="23B5FE4A">
            <w:pPr>
              <w:snapToGrid w:val="0"/>
              <w:spacing w:line="360" w:lineRule="auto"/>
              <w:rPr>
                <w:rFonts w:cs="宋体"/>
                <w:bCs/>
                <w:color w:val="auto"/>
                <w:sz w:val="24"/>
                <w:szCs w:val="24"/>
                <w:highlight w:val="none"/>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是否提供支付担保：  </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p w14:paraId="517466EB">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甲方</w:t>
            </w:r>
            <w:r>
              <w:rPr>
                <w:rFonts w:hint="eastAsia" w:cs="宋体"/>
                <w:bCs/>
                <w:color w:val="auto"/>
                <w:sz w:val="24"/>
                <w:szCs w:val="24"/>
                <w:highlight w:val="none"/>
              </w:rPr>
              <w:t>提供支付担保的形式：</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tc>
      </w:tr>
      <w:tr w14:paraId="3BE2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1B415C7">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43EF54A">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3.2.1</w:t>
            </w:r>
          </w:p>
        </w:tc>
        <w:tc>
          <w:tcPr>
            <w:tcW w:w="7304" w:type="dxa"/>
            <w:vAlign w:val="center"/>
          </w:tcPr>
          <w:p w14:paraId="1DC98171">
            <w:pPr>
              <w:snapToGrid w:val="0"/>
              <w:spacing w:line="360" w:lineRule="auto"/>
              <w:rPr>
                <w:rFonts w:cs="宋体"/>
                <w:bCs/>
                <w:color w:val="auto"/>
                <w:sz w:val="24"/>
                <w:szCs w:val="24"/>
                <w:highlight w:val="none"/>
              </w:rPr>
            </w:pPr>
            <w:r>
              <w:rPr>
                <w:rFonts w:hint="eastAsia" w:cs="宋体"/>
                <w:bCs/>
                <w:color w:val="auto"/>
                <w:sz w:val="24"/>
                <w:szCs w:val="24"/>
                <w:highlight w:val="none"/>
              </w:rPr>
              <w:t>项目经理</w:t>
            </w:r>
          </w:p>
          <w:p w14:paraId="743FE32E">
            <w:pPr>
              <w:snapToGrid w:val="0"/>
              <w:spacing w:line="360" w:lineRule="auto"/>
              <w:rPr>
                <w:rFonts w:cs="宋体"/>
                <w:bCs/>
                <w:color w:val="auto"/>
                <w:sz w:val="24"/>
                <w:szCs w:val="24"/>
                <w:highlight w:val="none"/>
              </w:rPr>
            </w:pPr>
            <w:r>
              <w:rPr>
                <w:rFonts w:hint="eastAsia" w:cs="宋体"/>
                <w:bCs/>
                <w:color w:val="auto"/>
                <w:sz w:val="24"/>
                <w:szCs w:val="24"/>
                <w:highlight w:val="none"/>
              </w:rPr>
              <w:t>姓    名：</w:t>
            </w:r>
            <w:r>
              <w:rPr>
                <w:rFonts w:hint="eastAsia" w:cs="宋体"/>
                <w:bCs/>
                <w:color w:val="auto"/>
                <w:sz w:val="24"/>
                <w:szCs w:val="24"/>
                <w:highlight w:val="none"/>
                <w:u w:val="single"/>
              </w:rPr>
              <w:t xml:space="preserve">          </w:t>
            </w:r>
          </w:p>
          <w:p w14:paraId="12654106">
            <w:pPr>
              <w:snapToGrid w:val="0"/>
              <w:spacing w:line="360" w:lineRule="auto"/>
              <w:rPr>
                <w:rFonts w:cs="宋体"/>
                <w:bCs/>
                <w:color w:val="auto"/>
                <w:sz w:val="24"/>
                <w:szCs w:val="24"/>
                <w:highlight w:val="none"/>
              </w:rPr>
            </w:pPr>
            <w:r>
              <w:rPr>
                <w:rFonts w:hint="eastAsia" w:cs="宋体"/>
                <w:bCs/>
                <w:color w:val="auto"/>
                <w:sz w:val="24"/>
                <w:szCs w:val="24"/>
                <w:highlight w:val="none"/>
              </w:rPr>
              <w:t>身份证号：</w:t>
            </w:r>
            <w:r>
              <w:rPr>
                <w:rFonts w:hint="eastAsia" w:cs="宋体"/>
                <w:bCs/>
                <w:color w:val="auto"/>
                <w:sz w:val="24"/>
                <w:szCs w:val="24"/>
                <w:highlight w:val="none"/>
                <w:u w:val="single"/>
              </w:rPr>
              <w:t xml:space="preserve">          </w:t>
            </w:r>
          </w:p>
          <w:p w14:paraId="3AC80F1A">
            <w:pPr>
              <w:snapToGrid w:val="0"/>
              <w:spacing w:line="360" w:lineRule="auto"/>
              <w:rPr>
                <w:rFonts w:hint="eastAsia" w:cs="宋体"/>
                <w:bCs/>
                <w:color w:val="auto"/>
                <w:sz w:val="24"/>
                <w:szCs w:val="24"/>
                <w:highlight w:val="none"/>
                <w:u w:val="single"/>
              </w:rPr>
            </w:pPr>
            <w:r>
              <w:rPr>
                <w:rFonts w:hint="eastAsia" w:cs="宋体"/>
                <w:bCs/>
                <w:color w:val="auto"/>
                <w:sz w:val="24"/>
                <w:szCs w:val="24"/>
                <w:highlight w:val="none"/>
              </w:rPr>
              <w:t>建造师执业资格等级：</w:t>
            </w:r>
            <w:r>
              <w:rPr>
                <w:rFonts w:hint="eastAsia" w:cs="宋体"/>
                <w:bCs/>
                <w:color w:val="auto"/>
                <w:sz w:val="24"/>
                <w:szCs w:val="24"/>
                <w:highlight w:val="none"/>
                <w:u w:val="single"/>
              </w:rPr>
              <w:t xml:space="preserve">          </w:t>
            </w:r>
          </w:p>
          <w:p w14:paraId="386453E0">
            <w:pPr>
              <w:snapToGrid w:val="0"/>
              <w:spacing w:line="360" w:lineRule="auto"/>
              <w:rPr>
                <w:rFonts w:cs="宋体"/>
                <w:bCs/>
                <w:color w:val="auto"/>
                <w:sz w:val="24"/>
                <w:szCs w:val="24"/>
                <w:highlight w:val="none"/>
              </w:rPr>
            </w:pPr>
            <w:r>
              <w:rPr>
                <w:rFonts w:hint="eastAsia" w:cs="宋体"/>
                <w:bCs/>
                <w:color w:val="auto"/>
                <w:sz w:val="24"/>
                <w:szCs w:val="24"/>
                <w:highlight w:val="none"/>
              </w:rPr>
              <w:t>建造师注册证书号：</w:t>
            </w:r>
            <w:r>
              <w:rPr>
                <w:rFonts w:hint="eastAsia" w:cs="宋体"/>
                <w:bCs/>
                <w:color w:val="auto"/>
                <w:sz w:val="24"/>
                <w:szCs w:val="24"/>
                <w:highlight w:val="none"/>
                <w:u w:val="single"/>
              </w:rPr>
              <w:t xml:space="preserve">            </w:t>
            </w:r>
          </w:p>
          <w:p w14:paraId="4E7E02F4">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乙方</w:t>
            </w:r>
            <w:r>
              <w:rPr>
                <w:rFonts w:hint="eastAsia" w:cs="宋体"/>
                <w:bCs/>
                <w:color w:val="auto"/>
                <w:sz w:val="24"/>
                <w:szCs w:val="24"/>
                <w:highlight w:val="none"/>
              </w:rPr>
              <w:t>对项目经理的授权范围如下：</w:t>
            </w:r>
            <w:r>
              <w:rPr>
                <w:rFonts w:hint="eastAsia" w:cs="宋体"/>
                <w:bCs/>
                <w:color w:val="auto"/>
                <w:sz w:val="24"/>
                <w:szCs w:val="24"/>
                <w:highlight w:val="none"/>
                <w:u w:val="single"/>
              </w:rPr>
              <w:t xml:space="preserve">            </w:t>
            </w:r>
          </w:p>
          <w:p w14:paraId="65C8482C">
            <w:pPr>
              <w:snapToGrid w:val="0"/>
              <w:spacing w:line="360" w:lineRule="auto"/>
              <w:rPr>
                <w:rFonts w:cs="宋体"/>
                <w:bCs/>
                <w:color w:val="auto"/>
                <w:kern w:val="2"/>
                <w:sz w:val="24"/>
                <w:szCs w:val="24"/>
                <w:highlight w:val="none"/>
              </w:rPr>
            </w:pPr>
            <w:r>
              <w:rPr>
                <w:rFonts w:hint="eastAsia" w:cs="宋体"/>
                <w:bCs/>
                <w:color w:val="auto"/>
                <w:sz w:val="24"/>
                <w:szCs w:val="24"/>
                <w:highlight w:val="none"/>
                <w:lang w:eastAsia="zh-CN"/>
              </w:rPr>
              <w:t>乙方</w:t>
            </w:r>
            <w:r>
              <w:rPr>
                <w:rFonts w:hint="eastAsia" w:cs="宋体"/>
                <w:bCs/>
                <w:color w:val="auto"/>
                <w:sz w:val="24"/>
                <w:szCs w:val="24"/>
                <w:highlight w:val="none"/>
              </w:rPr>
              <w:t>项目经理每月在施工现场的时间：驻场时间每月不少于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22</w:t>
            </w:r>
            <w:r>
              <w:rPr>
                <w:rFonts w:hint="eastAsia" w:cs="宋体"/>
                <w:bCs/>
                <w:color w:val="auto"/>
                <w:sz w:val="24"/>
                <w:szCs w:val="24"/>
                <w:highlight w:val="none"/>
                <w:u w:val="single"/>
              </w:rPr>
              <w:t xml:space="preserve"> </w:t>
            </w:r>
            <w:r>
              <w:rPr>
                <w:rFonts w:hint="eastAsia" w:cs="宋体"/>
                <w:bCs/>
                <w:color w:val="auto"/>
                <w:sz w:val="24"/>
                <w:szCs w:val="24"/>
                <w:highlight w:val="none"/>
              </w:rPr>
              <w:t>天，每天在岗工作时间不得少于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8</w:t>
            </w:r>
            <w:r>
              <w:rPr>
                <w:rFonts w:hint="eastAsia" w:cs="宋体"/>
                <w:bCs/>
                <w:color w:val="auto"/>
                <w:sz w:val="24"/>
                <w:szCs w:val="24"/>
                <w:highlight w:val="none"/>
                <w:u w:val="single"/>
              </w:rPr>
              <w:t xml:space="preserve"> </w:t>
            </w:r>
            <w:r>
              <w:rPr>
                <w:rFonts w:hint="eastAsia" w:cs="宋体"/>
                <w:bCs/>
                <w:color w:val="auto"/>
                <w:sz w:val="24"/>
                <w:szCs w:val="24"/>
                <w:highlight w:val="none"/>
              </w:rPr>
              <w:t>小时。</w:t>
            </w:r>
          </w:p>
        </w:tc>
      </w:tr>
      <w:tr w14:paraId="37C0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B5F3219">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7307557B">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3.7</w:t>
            </w:r>
          </w:p>
        </w:tc>
        <w:tc>
          <w:tcPr>
            <w:tcW w:w="7304" w:type="dxa"/>
            <w:vAlign w:val="center"/>
          </w:tcPr>
          <w:p w14:paraId="7B44D8E2">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（1）金额：</w:t>
            </w:r>
            <w:r>
              <w:rPr>
                <w:rFonts w:hint="eastAsia" w:cs="宋体"/>
                <w:bCs/>
                <w:color w:val="auto"/>
                <w:kern w:val="2"/>
                <w:sz w:val="24"/>
                <w:szCs w:val="24"/>
                <w:highlight w:val="none"/>
                <w:u w:val="single"/>
              </w:rPr>
              <w:t>合同价的</w:t>
            </w:r>
            <w:r>
              <w:rPr>
                <w:rFonts w:hint="eastAsia" w:cs="宋体"/>
                <w:bCs/>
                <w:color w:val="auto"/>
                <w:kern w:val="2"/>
                <w:sz w:val="24"/>
                <w:szCs w:val="24"/>
                <w:highlight w:val="none"/>
                <w:u w:val="single"/>
                <w:lang w:val="en-US" w:eastAsia="zh-CN"/>
              </w:rPr>
              <w:t>10</w:t>
            </w:r>
            <w:r>
              <w:rPr>
                <w:rFonts w:hint="eastAsia" w:cs="宋体"/>
                <w:bCs/>
                <w:color w:val="auto"/>
                <w:kern w:val="2"/>
                <w:sz w:val="24"/>
                <w:szCs w:val="24"/>
                <w:highlight w:val="none"/>
                <w:u w:val="single"/>
              </w:rPr>
              <w:t>%</w:t>
            </w:r>
          </w:p>
          <w:p w14:paraId="2E55B076">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（2）支付方式：</w:t>
            </w:r>
            <w:r>
              <w:rPr>
                <w:rFonts w:hint="eastAsia" w:cs="宋体"/>
                <w:bCs/>
                <w:color w:val="auto"/>
                <w:kern w:val="2"/>
                <w:sz w:val="24"/>
                <w:szCs w:val="24"/>
                <w:highlight w:val="none"/>
                <w:u w:val="single"/>
              </w:rPr>
              <w:t>转账/电汇</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支票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汇票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本票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保险</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保函</w:t>
            </w:r>
          </w:p>
          <w:p w14:paraId="003BF400">
            <w:pPr>
              <w:snapToGrid w:val="0"/>
              <w:spacing w:line="360" w:lineRule="auto"/>
              <w:rPr>
                <w:rFonts w:hint="default" w:cs="宋体"/>
                <w:bCs/>
                <w:color w:val="auto"/>
                <w:kern w:val="2"/>
                <w:sz w:val="24"/>
                <w:szCs w:val="24"/>
                <w:highlight w:val="none"/>
                <w:lang w:val="en-US" w:eastAsia="zh-CN"/>
              </w:rPr>
            </w:pPr>
            <w:r>
              <w:rPr>
                <w:rFonts w:hint="eastAsia" w:cs="宋体"/>
                <w:bCs/>
                <w:color w:val="auto"/>
                <w:kern w:val="2"/>
                <w:sz w:val="24"/>
                <w:szCs w:val="24"/>
                <w:highlight w:val="none"/>
              </w:rPr>
              <w:t>（3）收取单位：</w:t>
            </w:r>
            <w:r>
              <w:rPr>
                <w:rFonts w:hint="eastAsia" w:cs="宋体"/>
                <w:bCs/>
                <w:color w:val="auto"/>
                <w:kern w:val="2"/>
                <w:sz w:val="24"/>
                <w:szCs w:val="24"/>
                <w:highlight w:val="none"/>
                <w:u w:val="single"/>
                <w:lang w:val="en-US" w:eastAsia="zh-CN"/>
              </w:rPr>
              <w:t>各包合同甲方</w:t>
            </w:r>
          </w:p>
          <w:p w14:paraId="110ABC30">
            <w:pPr>
              <w:snapToGrid w:val="0"/>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（4）收取账号：</w:t>
            </w:r>
            <w:r>
              <w:rPr>
                <w:rFonts w:hint="eastAsia" w:cs="宋体"/>
                <w:bCs/>
                <w:color w:val="auto"/>
                <w:kern w:val="2"/>
                <w:sz w:val="24"/>
                <w:szCs w:val="24"/>
                <w:highlight w:val="none"/>
                <w:u w:val="single"/>
              </w:rPr>
              <w:t>成交后提供</w:t>
            </w:r>
          </w:p>
          <w:p w14:paraId="2BDC64DD">
            <w:pPr>
              <w:spacing w:line="360" w:lineRule="auto"/>
              <w:rPr>
                <w:rFonts w:hint="eastAsia" w:ascii="Times New Roman" w:hAnsi="Times New Roman" w:eastAsia="宋体" w:cs="Times New Roman"/>
                <w:color w:val="auto"/>
                <w:sz w:val="24"/>
                <w:szCs w:val="24"/>
                <w:highlight w:val="none"/>
                <w:u w:val="single"/>
                <w:lang w:eastAsia="zh-CN"/>
              </w:rPr>
            </w:pPr>
            <w:r>
              <w:rPr>
                <w:rFonts w:hint="eastAsia" w:cs="宋体"/>
                <w:bCs/>
                <w:color w:val="auto"/>
                <w:kern w:val="2"/>
                <w:sz w:val="24"/>
                <w:szCs w:val="24"/>
                <w:highlight w:val="none"/>
              </w:rPr>
              <w:t>（5）退还时间：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cs="宋体"/>
                <w:bCs/>
                <w:color w:val="auto"/>
                <w:kern w:val="2"/>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3AFF123A">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如果</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不</w:t>
            </w:r>
            <w:r>
              <w:rPr>
                <w:rFonts w:hint="eastAsia" w:ascii="宋体" w:hAnsi="宋体" w:eastAsia="宋体" w:cs="宋体"/>
                <w:b/>
                <w:bCs w:val="0"/>
                <w:color w:val="auto"/>
                <w:kern w:val="2"/>
                <w:sz w:val="24"/>
                <w:szCs w:val="24"/>
                <w:highlight w:val="none"/>
              </w:rPr>
              <w:t>履行合同，履约保证金不予退还；如果</w:t>
            </w:r>
            <w:r>
              <w:rPr>
                <w:rFonts w:hint="eastAsia" w:ascii="宋体" w:hAnsi="宋体" w:eastAsia="宋体" w:cs="宋体"/>
                <w:b/>
                <w:bCs w:val="0"/>
                <w:color w:val="auto"/>
                <w:kern w:val="2"/>
                <w:sz w:val="24"/>
                <w:szCs w:val="24"/>
                <w:highlight w:val="none"/>
                <w:lang w:eastAsia="zh-CN"/>
              </w:rPr>
              <w:t>乙方</w:t>
            </w:r>
            <w:r>
              <w:rPr>
                <w:rFonts w:hint="eastAsia" w:ascii="宋体" w:hAnsi="宋体" w:eastAsia="宋体" w:cs="宋体"/>
                <w:b/>
                <w:bCs w:val="0"/>
                <w:color w:val="auto"/>
                <w:kern w:val="2"/>
                <w:sz w:val="24"/>
                <w:szCs w:val="24"/>
                <w:highlight w:val="none"/>
              </w:rPr>
              <w:t>未能按合同约定全面履行义务，</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ascii="宋体" w:hAnsi="宋体" w:eastAsia="宋体" w:cs="宋体"/>
                <w:b/>
                <w:bCs w:val="0"/>
                <w:color w:val="auto"/>
                <w:kern w:val="2"/>
                <w:sz w:val="24"/>
                <w:szCs w:val="24"/>
                <w:highlight w:val="none"/>
              </w:rPr>
              <w:t>有权从履约保证金中取得补偿或赔偿，同时不影响</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cs="宋体"/>
                <w:b/>
                <w:bCs w:val="0"/>
                <w:color w:val="auto"/>
                <w:kern w:val="2"/>
                <w:sz w:val="24"/>
                <w:szCs w:val="24"/>
                <w:highlight w:val="none"/>
              </w:rPr>
              <w:t>要求</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承担合同约定的超过履约保证金的违约责任的权利。</w:t>
            </w:r>
          </w:p>
          <w:p w14:paraId="04E6EBF8">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注意事项：</w:t>
            </w:r>
          </w:p>
          <w:p w14:paraId="54FA1109">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（1）以上各类机构出具的以担保函、保证保险承担责任的方式均须满足无条件见索即付条件。</w:t>
            </w:r>
          </w:p>
          <w:p w14:paraId="729E0BF0">
            <w:pPr>
              <w:snapToGrid w:val="0"/>
              <w:spacing w:line="360" w:lineRule="auto"/>
              <w:rPr>
                <w:rFonts w:cs="宋体"/>
                <w:bCs/>
                <w:color w:val="auto"/>
                <w:kern w:val="2"/>
                <w:sz w:val="24"/>
                <w:szCs w:val="24"/>
                <w:highlight w:val="none"/>
              </w:rPr>
            </w:pPr>
            <w:r>
              <w:rPr>
                <w:rFonts w:hint="eastAsia" w:cs="宋体"/>
                <w:b/>
                <w:bCs w:val="0"/>
                <w:color w:val="auto"/>
                <w:kern w:val="2"/>
                <w:sz w:val="24"/>
                <w:szCs w:val="24"/>
                <w:highlight w:val="none"/>
              </w:rPr>
              <w:t>（2）以担保函、保证保险形式缴纳履约保证金的，</w:t>
            </w:r>
            <w:r>
              <w:rPr>
                <w:rFonts w:hint="eastAsia" w:ascii="宋体" w:hAnsi="宋体" w:eastAsia="宋体" w:cs="宋体"/>
                <w:b/>
                <w:bCs w:val="0"/>
                <w:color w:val="auto"/>
                <w:kern w:val="2"/>
                <w:sz w:val="24"/>
                <w:szCs w:val="24"/>
                <w:highlight w:val="none"/>
              </w:rPr>
              <w:t>受益人和收取单位须为</w:t>
            </w:r>
            <w:r>
              <w:rPr>
                <w:rFonts w:hint="eastAsia" w:cs="宋体"/>
                <w:b/>
                <w:bCs w:val="0"/>
                <w:color w:val="auto"/>
                <w:kern w:val="2"/>
                <w:sz w:val="24"/>
                <w:szCs w:val="24"/>
                <w:highlight w:val="none"/>
                <w:lang w:eastAsia="zh-CN"/>
              </w:rPr>
              <w:t>合同甲方</w:t>
            </w:r>
            <w:r>
              <w:rPr>
                <w:rFonts w:hint="eastAsia" w:ascii="宋体" w:hAnsi="宋体" w:eastAsia="宋体" w:cs="宋体"/>
                <w:b/>
                <w:bCs w:val="0"/>
                <w:color w:val="auto"/>
                <w:kern w:val="2"/>
                <w:sz w:val="24"/>
                <w:szCs w:val="24"/>
                <w:highlight w:val="none"/>
              </w:rPr>
              <w:t>。</w:t>
            </w:r>
          </w:p>
        </w:tc>
      </w:tr>
      <w:tr w14:paraId="1F0F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445929E6">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40644852">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5.1.1</w:t>
            </w:r>
          </w:p>
        </w:tc>
        <w:tc>
          <w:tcPr>
            <w:tcW w:w="7304" w:type="dxa"/>
            <w:vAlign w:val="center"/>
          </w:tcPr>
          <w:p w14:paraId="7F25B411">
            <w:pPr>
              <w:snapToGrid w:val="0"/>
              <w:spacing w:line="360" w:lineRule="auto"/>
              <w:rPr>
                <w:rFonts w:cs="宋体"/>
                <w:bCs/>
                <w:color w:val="auto"/>
                <w:sz w:val="24"/>
                <w:szCs w:val="24"/>
                <w:highlight w:val="none"/>
              </w:rPr>
            </w:pPr>
            <w:r>
              <w:rPr>
                <w:rFonts w:hint="eastAsia" w:cs="宋体"/>
                <w:bCs/>
                <w:color w:val="auto"/>
                <w:sz w:val="24"/>
                <w:szCs w:val="24"/>
                <w:highlight w:val="none"/>
              </w:rPr>
              <w:t>5.1.1 特殊质量标准和要求：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26E68B58">
            <w:pPr>
              <w:snapToGrid w:val="0"/>
              <w:spacing w:line="360" w:lineRule="auto"/>
              <w:rPr>
                <w:rFonts w:cs="宋体"/>
                <w:bCs/>
                <w:color w:val="auto"/>
                <w:sz w:val="24"/>
                <w:szCs w:val="24"/>
                <w:highlight w:val="none"/>
              </w:rPr>
            </w:pPr>
            <w:r>
              <w:rPr>
                <w:rFonts w:hint="eastAsia" w:cs="宋体"/>
                <w:bCs/>
                <w:color w:val="auto"/>
                <w:sz w:val="24"/>
                <w:szCs w:val="24"/>
                <w:highlight w:val="none"/>
              </w:rPr>
              <w:t>关于工程奖项的约定：</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0965DBDC">
            <w:pPr>
              <w:snapToGrid w:val="0"/>
              <w:spacing w:line="360" w:lineRule="auto"/>
              <w:rPr>
                <w:rFonts w:cs="宋体"/>
                <w:bCs/>
                <w:color w:val="auto"/>
                <w:sz w:val="24"/>
                <w:szCs w:val="24"/>
                <w:highlight w:val="none"/>
              </w:rPr>
            </w:pPr>
            <w:r>
              <w:rPr>
                <w:rFonts w:hint="eastAsia" w:cs="宋体"/>
                <w:bCs/>
                <w:color w:val="auto"/>
                <w:sz w:val="24"/>
                <w:szCs w:val="24"/>
                <w:highlight w:val="none"/>
              </w:rPr>
              <w:t>关于建造要求：</w:t>
            </w:r>
          </w:p>
          <w:p w14:paraId="6F7A48FC">
            <w:pPr>
              <w:snapToGrid w:val="0"/>
              <w:spacing w:line="360" w:lineRule="auto"/>
              <w:rPr>
                <w:rFonts w:cs="宋体"/>
                <w:bCs/>
                <w:color w:val="auto"/>
                <w:sz w:val="24"/>
                <w:szCs w:val="24"/>
                <w:highlight w:val="none"/>
              </w:rPr>
            </w:pPr>
            <w:r>
              <w:rPr>
                <w:rFonts w:hint="eastAsia" w:cs="宋体"/>
                <w:bCs/>
                <w:color w:val="auto"/>
                <w:sz w:val="24"/>
                <w:szCs w:val="24"/>
                <w:highlight w:val="none"/>
              </w:rPr>
              <w:t>（1）绿色建筑等级要求：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7A57FF44">
            <w:pPr>
              <w:snapToGrid w:val="0"/>
              <w:spacing w:line="360" w:lineRule="auto"/>
              <w:rPr>
                <w:rFonts w:cs="宋体"/>
                <w:bCs/>
                <w:color w:val="auto"/>
                <w:sz w:val="24"/>
                <w:szCs w:val="24"/>
                <w:highlight w:val="none"/>
              </w:rPr>
            </w:pPr>
            <w:r>
              <w:rPr>
                <w:rFonts w:hint="eastAsia" w:cs="宋体"/>
                <w:bCs/>
                <w:color w:val="auto"/>
                <w:sz w:val="24"/>
                <w:szCs w:val="24"/>
                <w:highlight w:val="none"/>
              </w:rPr>
              <w:t>（2）智慧工地管理要求：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08675F01">
            <w:pPr>
              <w:snapToGrid w:val="0"/>
              <w:spacing w:line="360" w:lineRule="auto"/>
              <w:rPr>
                <w:rFonts w:cs="宋体"/>
                <w:bCs/>
                <w:color w:val="auto"/>
                <w:sz w:val="24"/>
                <w:szCs w:val="24"/>
                <w:highlight w:val="none"/>
              </w:rPr>
            </w:pPr>
            <w:r>
              <w:rPr>
                <w:rFonts w:hint="eastAsia" w:cs="宋体"/>
                <w:bCs/>
                <w:color w:val="auto"/>
                <w:sz w:val="24"/>
                <w:szCs w:val="24"/>
                <w:highlight w:val="none"/>
              </w:rPr>
              <w:t>（3）建筑垃圾减量化目标：</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0C60D685">
            <w:pPr>
              <w:snapToGrid w:val="0"/>
              <w:spacing w:line="360" w:lineRule="auto"/>
              <w:rPr>
                <w:rFonts w:cs="宋体"/>
                <w:bCs/>
                <w:color w:val="auto"/>
                <w:sz w:val="24"/>
                <w:szCs w:val="24"/>
                <w:highlight w:val="none"/>
              </w:rPr>
            </w:pPr>
            <w:r>
              <w:rPr>
                <w:rFonts w:hint="eastAsia" w:cs="宋体"/>
                <w:bCs/>
                <w:color w:val="auto"/>
                <w:sz w:val="24"/>
                <w:szCs w:val="24"/>
                <w:highlight w:val="none"/>
              </w:rPr>
              <w:t>（4）装配式建筑装配率要求：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283E4802">
            <w:pPr>
              <w:snapToGrid w:val="0"/>
              <w:spacing w:line="360" w:lineRule="auto"/>
              <w:rPr>
                <w:rFonts w:cs="宋体"/>
                <w:bCs/>
                <w:color w:val="auto"/>
                <w:sz w:val="24"/>
                <w:szCs w:val="24"/>
                <w:highlight w:val="none"/>
              </w:rPr>
            </w:pPr>
            <w:r>
              <w:rPr>
                <w:rFonts w:hint="eastAsia" w:cs="宋体"/>
                <w:bCs/>
                <w:color w:val="auto"/>
                <w:sz w:val="24"/>
                <w:szCs w:val="24"/>
                <w:highlight w:val="none"/>
              </w:rPr>
              <w:t>（5）</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tc>
      </w:tr>
      <w:tr w14:paraId="7CA3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29" w:type="dxa"/>
            <w:vAlign w:val="center"/>
          </w:tcPr>
          <w:p w14:paraId="309C3A4D">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485C0813">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7.5.2</w:t>
            </w:r>
          </w:p>
        </w:tc>
        <w:tc>
          <w:tcPr>
            <w:tcW w:w="7304" w:type="dxa"/>
            <w:tcBorders>
              <w:bottom w:val="single" w:color="auto" w:sz="4" w:space="0"/>
            </w:tcBorders>
            <w:vAlign w:val="center"/>
          </w:tcPr>
          <w:p w14:paraId="7BA86C86">
            <w:pPr>
              <w:snapToGrid w:val="0"/>
              <w:spacing w:line="360" w:lineRule="auto"/>
              <w:rPr>
                <w:rFonts w:hint="eastAsia" w:ascii="宋体" w:hAnsi="宋体" w:eastAsia="宋体" w:cs="宋体"/>
                <w:bCs/>
                <w:color w:val="auto"/>
                <w:kern w:val="2"/>
                <w:sz w:val="24"/>
                <w:szCs w:val="24"/>
                <w:highlight w:val="none"/>
                <w:u w:val="singl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违约金的计算方法为</w:t>
            </w:r>
            <w:r>
              <w:rPr>
                <w:rFonts w:hint="eastAsia" w:ascii="宋体" w:hAnsi="宋体" w:eastAsia="宋体" w:cs="宋体"/>
                <w:bCs/>
                <w:color w:val="auto"/>
                <w:kern w:val="2"/>
                <w:sz w:val="24"/>
                <w:szCs w:val="24"/>
                <w:highlight w:val="none"/>
              </w:rPr>
              <w:t>：</w:t>
            </w:r>
            <w:r>
              <w:rPr>
                <w:rFonts w:hint="eastAsia" w:cs="宋体"/>
                <w:bCs/>
                <w:color w:val="auto"/>
                <w:kern w:val="2"/>
                <w:sz w:val="24"/>
                <w:szCs w:val="24"/>
                <w:highlight w:val="none"/>
                <w:u w:val="single"/>
              </w:rPr>
              <w:t>因</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原因造成工程质量不合格的，</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应无条件修复达到合同约定的质量标准；无法维修的，双方协商处理。发生该条违约时，</w:t>
            </w:r>
            <w:r>
              <w:rPr>
                <w:rFonts w:hint="eastAsia" w:cs="宋体"/>
                <w:bCs/>
                <w:color w:val="auto"/>
                <w:kern w:val="2"/>
                <w:sz w:val="24"/>
                <w:szCs w:val="24"/>
                <w:highlight w:val="none"/>
                <w:u w:val="single"/>
                <w:lang w:eastAsia="zh-CN"/>
              </w:rPr>
              <w:t>甲方</w:t>
            </w:r>
            <w:r>
              <w:rPr>
                <w:rFonts w:hint="eastAsia" w:cs="宋体"/>
                <w:bCs/>
                <w:color w:val="auto"/>
                <w:kern w:val="2"/>
                <w:sz w:val="24"/>
                <w:szCs w:val="24"/>
                <w:highlight w:val="none"/>
                <w:u w:val="single"/>
              </w:rPr>
              <w:t>有权停止支付所有工程款项，不退还履约担保</w:t>
            </w:r>
            <w:r>
              <w:rPr>
                <w:rFonts w:hint="eastAsia" w:ascii="宋体" w:hAnsi="宋体" w:eastAsia="宋体" w:cs="宋体"/>
                <w:bCs/>
                <w:color w:val="auto"/>
                <w:kern w:val="2"/>
                <w:sz w:val="24"/>
                <w:szCs w:val="24"/>
                <w:highlight w:val="none"/>
                <w:u w:val="single"/>
                <w:lang w:val="en-US" w:eastAsia="zh-CN"/>
              </w:rPr>
              <w:t>。</w:t>
            </w:r>
          </w:p>
          <w:p w14:paraId="5658A040">
            <w:pPr>
              <w:snapToGrid w:val="0"/>
              <w:spacing w:line="360" w:lineRule="auto"/>
              <w:rPr>
                <w:rFonts w:cs="宋体"/>
                <w:bCs/>
                <w:color w:val="auto"/>
                <w:kern w:val="2"/>
                <w:sz w:val="24"/>
                <w:szCs w:val="24"/>
                <w:highlight w:val="non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违约金的上限：</w:t>
            </w:r>
            <w:r>
              <w:rPr>
                <w:rFonts w:hint="eastAsia" w:cs="宋体"/>
                <w:bCs/>
                <w:color w:val="auto"/>
                <w:kern w:val="2"/>
                <w:sz w:val="24"/>
                <w:szCs w:val="24"/>
                <w:highlight w:val="none"/>
                <w:u w:val="single"/>
              </w:rPr>
              <w:t>合同总价的10%</w:t>
            </w:r>
            <w:r>
              <w:rPr>
                <w:rFonts w:hint="eastAsia" w:cs="宋体"/>
                <w:bCs/>
                <w:color w:val="auto"/>
                <w:kern w:val="2"/>
                <w:sz w:val="24"/>
                <w:szCs w:val="24"/>
                <w:highlight w:val="none"/>
              </w:rPr>
              <w:t>。</w:t>
            </w:r>
          </w:p>
        </w:tc>
      </w:tr>
      <w:tr w14:paraId="0AA0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6B35851F">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69E669E4">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7.9.2</w:t>
            </w:r>
          </w:p>
        </w:tc>
        <w:tc>
          <w:tcPr>
            <w:tcW w:w="7304" w:type="dxa"/>
            <w:tcBorders>
              <w:bottom w:val="single" w:color="auto" w:sz="4" w:space="0"/>
            </w:tcBorders>
            <w:vAlign w:val="center"/>
          </w:tcPr>
          <w:p w14:paraId="5601411C">
            <w:pPr>
              <w:snapToGrid w:val="0"/>
              <w:spacing w:line="360" w:lineRule="auto"/>
              <w:rPr>
                <w:rFonts w:cs="宋体"/>
                <w:bCs/>
                <w:color w:val="auto"/>
                <w:kern w:val="2"/>
                <w:sz w:val="24"/>
                <w:szCs w:val="24"/>
                <w:highlight w:val="none"/>
              </w:rPr>
            </w:pPr>
            <w:r>
              <w:rPr>
                <w:rFonts w:hint="eastAsia" w:cs="宋体"/>
                <w:color w:val="auto"/>
                <w:sz w:val="24"/>
                <w:szCs w:val="24"/>
                <w:highlight w:val="none"/>
              </w:rPr>
              <w:t>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tc>
      </w:tr>
      <w:tr w14:paraId="49C0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9" w:type="dxa"/>
            <w:vAlign w:val="center"/>
          </w:tcPr>
          <w:p w14:paraId="3BEB00CE">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162D2BA">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11.1</w:t>
            </w:r>
          </w:p>
        </w:tc>
        <w:tc>
          <w:tcPr>
            <w:tcW w:w="7304" w:type="dxa"/>
            <w:tcBorders>
              <w:bottom w:val="single" w:color="auto" w:sz="4" w:space="0"/>
            </w:tcBorders>
            <w:vAlign w:val="center"/>
          </w:tcPr>
          <w:p w14:paraId="533A57D9">
            <w:pPr>
              <w:pStyle w:val="33"/>
              <w:tabs>
                <w:tab w:val="clear" w:pos="4153"/>
                <w:tab w:val="clear" w:pos="8306"/>
              </w:tabs>
              <w:spacing w:line="360" w:lineRule="auto"/>
              <w:rPr>
                <w:rFonts w:cs="宋体"/>
                <w:bCs/>
                <w:color w:val="auto"/>
                <w:kern w:val="2"/>
                <w:sz w:val="24"/>
                <w:szCs w:val="24"/>
                <w:highlight w:val="none"/>
              </w:rPr>
            </w:pPr>
            <w:r>
              <w:rPr>
                <w:rFonts w:hint="eastAsia" w:cs="宋体"/>
                <w:bCs/>
                <w:color w:val="auto"/>
                <w:kern w:val="2"/>
                <w:sz w:val="24"/>
                <w:szCs w:val="24"/>
                <w:highlight w:val="none"/>
              </w:rPr>
              <w:t>市场价格波动是否调整合同价格的约定：</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rPr>
              <w:t>。</w:t>
            </w:r>
          </w:p>
        </w:tc>
      </w:tr>
      <w:tr w14:paraId="4858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Align w:val="center"/>
          </w:tcPr>
          <w:p w14:paraId="387B2388">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7F08B629">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12.1</w:t>
            </w:r>
          </w:p>
        </w:tc>
        <w:tc>
          <w:tcPr>
            <w:tcW w:w="7304" w:type="dxa"/>
            <w:tcBorders>
              <w:bottom w:val="single" w:color="auto" w:sz="4" w:space="0"/>
            </w:tcBorders>
            <w:vAlign w:val="center"/>
          </w:tcPr>
          <w:p w14:paraId="40920792">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合同价格形式</w:t>
            </w:r>
          </w:p>
          <w:p w14:paraId="0388F283">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(1)单价合同。</w:t>
            </w:r>
          </w:p>
          <w:p w14:paraId="42B24CC2">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综合单价包含的风险范围：</w:t>
            </w:r>
            <w:r>
              <w:rPr>
                <w:rFonts w:hint="eastAsia" w:cs="宋体"/>
                <w:bCs/>
                <w:color w:val="auto"/>
                <w:kern w:val="2"/>
                <w:sz w:val="24"/>
                <w:szCs w:val="24"/>
                <w:highlight w:val="none"/>
                <w:u w:val="single"/>
                <w:lang w:val="en-US" w:eastAsia="zh-CN"/>
              </w:rPr>
              <w:t>材料价格、人工成本上涨，异常天气导致的工期延误</w:t>
            </w:r>
            <w:r>
              <w:rPr>
                <w:rFonts w:hint="eastAsia" w:cs="宋体"/>
                <w:bCs/>
                <w:color w:val="auto"/>
                <w:kern w:val="2"/>
                <w:sz w:val="24"/>
                <w:szCs w:val="24"/>
                <w:highlight w:val="none"/>
                <w:u w:val="single"/>
              </w:rPr>
              <w:t>。</w:t>
            </w:r>
          </w:p>
          <w:p w14:paraId="7FA74E33">
            <w:pPr>
              <w:pStyle w:val="33"/>
              <w:tabs>
                <w:tab w:val="clear" w:pos="4153"/>
                <w:tab w:val="clear" w:pos="8306"/>
              </w:tabs>
              <w:spacing w:line="360" w:lineRule="auto"/>
              <w:rPr>
                <w:rFonts w:hint="eastAsia" w:eastAsia="宋体" w:cs="宋体"/>
                <w:bCs/>
                <w:color w:val="auto"/>
                <w:kern w:val="2"/>
                <w:sz w:val="24"/>
                <w:szCs w:val="24"/>
                <w:highlight w:val="none"/>
                <w:lang w:eastAsia="zh-CN"/>
              </w:rPr>
            </w:pPr>
            <w:r>
              <w:rPr>
                <w:rFonts w:hint="eastAsia" w:cs="宋体"/>
                <w:bCs/>
                <w:color w:val="auto"/>
                <w:kern w:val="2"/>
                <w:sz w:val="24"/>
                <w:szCs w:val="24"/>
                <w:highlight w:val="none"/>
              </w:rPr>
              <w:t>风险费用的计算方法：</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lang w:eastAsia="zh-CN"/>
              </w:rPr>
              <w:t>。</w:t>
            </w:r>
          </w:p>
          <w:p w14:paraId="7A1A4202">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风险范围以外合同价格的调整方法：</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u w:val="single"/>
              </w:rPr>
              <w:t>。</w:t>
            </w:r>
          </w:p>
          <w:p w14:paraId="13A299D4">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(2)总价合同。</w:t>
            </w:r>
          </w:p>
          <w:p w14:paraId="0ABDB77E">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总价包含的风险范围：</w:t>
            </w:r>
            <w:r>
              <w:rPr>
                <w:rFonts w:hint="eastAsia" w:cs="宋体"/>
                <w:bCs/>
                <w:color w:val="auto"/>
                <w:sz w:val="24"/>
                <w:szCs w:val="24"/>
                <w:highlight w:val="none"/>
                <w:u w:val="single"/>
              </w:rPr>
              <w:t xml:space="preserve">        /             </w:t>
            </w:r>
          </w:p>
          <w:p w14:paraId="3821EA31">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风险费用的计算方法：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3CDEC36D">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风险范围以外合同价格的调整方法：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624907D1">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（3）其他价格方式：</w:t>
            </w:r>
            <w:r>
              <w:rPr>
                <w:rFonts w:hint="eastAsia" w:cs="宋体"/>
                <w:bCs/>
                <w:color w:val="auto"/>
                <w:sz w:val="24"/>
                <w:szCs w:val="24"/>
                <w:highlight w:val="none"/>
                <w:u w:val="single"/>
              </w:rPr>
              <w:t xml:space="preserve">          /           </w:t>
            </w:r>
            <w:r>
              <w:rPr>
                <w:rFonts w:hint="eastAsia" w:cs="宋体"/>
                <w:bCs/>
                <w:color w:val="auto"/>
                <w:sz w:val="24"/>
                <w:szCs w:val="24"/>
                <w:highlight w:val="none"/>
              </w:rPr>
              <w:t>。</w:t>
            </w:r>
          </w:p>
        </w:tc>
      </w:tr>
      <w:tr w14:paraId="6B2F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9" w:type="dxa"/>
            <w:vAlign w:val="center"/>
          </w:tcPr>
          <w:p w14:paraId="3FBDE53C">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5C4FF487">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 xml:space="preserve">12.2.1 </w:t>
            </w:r>
          </w:p>
        </w:tc>
        <w:tc>
          <w:tcPr>
            <w:tcW w:w="7304" w:type="dxa"/>
            <w:tcBorders>
              <w:bottom w:val="single" w:color="auto" w:sz="4" w:space="0"/>
            </w:tcBorders>
            <w:vAlign w:val="center"/>
          </w:tcPr>
          <w:p w14:paraId="24063FF3">
            <w:pPr>
              <w:adjustRightInd w:val="0"/>
              <w:snapToGrid w:val="0"/>
              <w:spacing w:line="360" w:lineRule="auto"/>
              <w:rPr>
                <w:rFonts w:cs="宋体"/>
                <w:b/>
                <w:bCs w:val="0"/>
                <w:color w:val="auto"/>
                <w:sz w:val="24"/>
                <w:szCs w:val="24"/>
                <w:highlight w:val="none"/>
              </w:rPr>
            </w:pPr>
            <w:r>
              <w:rPr>
                <w:rFonts w:hint="eastAsia" w:cs="宋体"/>
                <w:b/>
                <w:bCs w:val="0"/>
                <w:color w:val="auto"/>
                <w:sz w:val="24"/>
                <w:szCs w:val="24"/>
                <w:highlight w:val="none"/>
              </w:rPr>
              <w:t>预付款的支付</w:t>
            </w:r>
          </w:p>
          <w:p w14:paraId="2E4B4F09">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预付款支付比例或金额：</w:t>
            </w:r>
            <w:r>
              <w:rPr>
                <w:rFonts w:hint="eastAsia" w:cs="宋体"/>
                <w:bCs/>
                <w:color w:val="auto"/>
                <w:sz w:val="24"/>
                <w:szCs w:val="24"/>
                <w:highlight w:val="none"/>
                <w:u w:val="single"/>
              </w:rPr>
              <w:t>合同金额的</w:t>
            </w:r>
            <w:r>
              <w:rPr>
                <w:rFonts w:hint="eastAsia" w:cs="宋体"/>
                <w:bCs/>
                <w:color w:val="auto"/>
                <w:sz w:val="24"/>
                <w:szCs w:val="24"/>
                <w:highlight w:val="none"/>
                <w:u w:val="single"/>
                <w:lang w:val="en-US" w:eastAsia="zh-CN"/>
              </w:rPr>
              <w:t>4</w:t>
            </w:r>
            <w:r>
              <w:rPr>
                <w:rFonts w:hint="eastAsia" w:cs="宋体"/>
                <w:bCs/>
                <w:color w:val="auto"/>
                <w:sz w:val="24"/>
                <w:szCs w:val="24"/>
                <w:highlight w:val="none"/>
                <w:u w:val="single"/>
              </w:rPr>
              <w:t>0%</w:t>
            </w:r>
          </w:p>
          <w:p w14:paraId="44BF528B">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预付款支付期限：</w:t>
            </w:r>
            <w:r>
              <w:rPr>
                <w:rFonts w:hint="eastAsia" w:ascii="宋体" w:hAnsi="宋体" w:eastAsia="宋体" w:cs="宋体"/>
                <w:bCs/>
                <w:color w:val="auto"/>
                <w:sz w:val="24"/>
                <w:szCs w:val="24"/>
                <w:highlight w:val="none"/>
                <w:u w:val="single"/>
                <w:lang w:val="en-US" w:eastAsia="zh-CN"/>
              </w:rPr>
              <w:t>担保措施生效以及</w:t>
            </w:r>
            <w:r>
              <w:rPr>
                <w:rFonts w:hint="eastAsia" w:ascii="宋体" w:hAnsi="宋体" w:eastAsia="宋体" w:cs="宋体"/>
                <w:bCs/>
                <w:color w:val="auto"/>
                <w:sz w:val="24"/>
                <w:szCs w:val="24"/>
                <w:highlight w:val="none"/>
                <w:u w:val="single"/>
              </w:rPr>
              <w:t>具备施工条件的前提下，</w:t>
            </w:r>
            <w:r>
              <w:rPr>
                <w:rFonts w:hint="eastAsia" w:ascii="宋体" w:hAnsi="宋体" w:eastAsia="宋体" w:cs="宋体"/>
                <w:bCs/>
                <w:color w:val="auto"/>
                <w:sz w:val="24"/>
                <w:szCs w:val="24"/>
                <w:highlight w:val="none"/>
                <w:u w:val="single"/>
                <w:lang w:val="en-US" w:eastAsia="zh-CN"/>
              </w:rPr>
              <w:t>经</w:t>
            </w:r>
            <w:r>
              <w:rPr>
                <w:rFonts w:hint="eastAsia" w:cs="宋体"/>
                <w:bCs/>
                <w:color w:val="auto"/>
                <w:sz w:val="24"/>
                <w:szCs w:val="24"/>
                <w:highlight w:val="none"/>
                <w:u w:val="single"/>
                <w:lang w:val="en-US" w:eastAsia="zh-CN"/>
              </w:rPr>
              <w:t>乙方</w:t>
            </w:r>
            <w:r>
              <w:rPr>
                <w:rFonts w:hint="eastAsia" w:ascii="宋体" w:hAnsi="宋体" w:eastAsia="宋体" w:cs="宋体"/>
                <w:bCs/>
                <w:color w:val="auto"/>
                <w:sz w:val="24"/>
                <w:szCs w:val="24"/>
                <w:highlight w:val="none"/>
                <w:u w:val="single"/>
                <w:lang w:val="en-US" w:eastAsia="zh-CN"/>
              </w:rPr>
              <w:t>申请，合同甲方审核确认后按规定及时</w:t>
            </w:r>
            <w:r>
              <w:rPr>
                <w:rFonts w:hint="eastAsia" w:ascii="宋体" w:hAnsi="宋体" w:eastAsia="宋体" w:cs="宋体"/>
                <w:bCs/>
                <w:color w:val="auto"/>
                <w:sz w:val="24"/>
                <w:szCs w:val="24"/>
                <w:highlight w:val="none"/>
                <w:u w:val="single"/>
              </w:rPr>
              <w:t>支付预付价款。</w:t>
            </w:r>
          </w:p>
          <w:p w14:paraId="388EDBA2">
            <w:pPr>
              <w:adjustRightInd w:val="0"/>
              <w:snapToGrid w:val="0"/>
              <w:spacing w:line="360" w:lineRule="auto"/>
              <w:rPr>
                <w:rFonts w:hint="default" w:eastAsia="宋体" w:cs="宋体"/>
                <w:bCs/>
                <w:color w:val="auto"/>
                <w:sz w:val="24"/>
                <w:szCs w:val="24"/>
                <w:highlight w:val="none"/>
                <w:lang w:val="en-US" w:eastAsia="zh-CN"/>
              </w:rPr>
            </w:pPr>
            <w:r>
              <w:rPr>
                <w:rFonts w:hint="eastAsia" w:cs="宋体"/>
                <w:bCs/>
                <w:color w:val="auto"/>
                <w:sz w:val="24"/>
                <w:szCs w:val="24"/>
                <w:highlight w:val="none"/>
              </w:rPr>
              <w:t>预付款扣回的方式：</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见付款方式。</w:t>
            </w:r>
          </w:p>
          <w:p w14:paraId="2C049F32">
            <w:pPr>
              <w:adjustRightInd w:val="0"/>
              <w:snapToGrid w:val="0"/>
              <w:spacing w:line="360" w:lineRule="auto"/>
              <w:rPr>
                <w:rFonts w:cs="宋体"/>
                <w:bCs/>
                <w:color w:val="auto"/>
                <w:kern w:val="2"/>
                <w:sz w:val="24"/>
                <w:szCs w:val="24"/>
                <w:highlight w:val="none"/>
              </w:rPr>
            </w:pPr>
            <w:r>
              <w:rPr>
                <w:rFonts w:hint="eastAsia" w:ascii="宋体" w:hAnsi="宋体" w:eastAsia="宋体" w:cs="宋体"/>
                <w:b/>
                <w:bCs w:val="0"/>
                <w:color w:val="auto"/>
                <w:sz w:val="24"/>
                <w:szCs w:val="24"/>
                <w:highlight w:val="none"/>
                <w:u w:val="single"/>
              </w:rPr>
              <w:t>注：在签订合同时，</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书面明确表示无需预付款，即</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无需提供预付款担保，按皖财购〔2022〕556号规定，合同甲方可不再支付预付款</w:t>
            </w:r>
            <w:r>
              <w:rPr>
                <w:rFonts w:hint="eastAsia" w:ascii="宋体" w:hAnsi="宋体" w:eastAsia="宋体" w:cs="宋体"/>
                <w:b/>
                <w:bCs w:val="0"/>
                <w:color w:val="auto"/>
                <w:sz w:val="24"/>
                <w:szCs w:val="24"/>
                <w:highlight w:val="none"/>
                <w:u w:val="single"/>
                <w:lang w:eastAsia="zh-CN"/>
              </w:rPr>
              <w:t>。</w:t>
            </w:r>
          </w:p>
        </w:tc>
      </w:tr>
      <w:tr w14:paraId="164C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3E6C86B8">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1CB8B4C">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12.2.2</w:t>
            </w:r>
          </w:p>
        </w:tc>
        <w:tc>
          <w:tcPr>
            <w:tcW w:w="7304" w:type="dxa"/>
            <w:tcBorders>
              <w:bottom w:val="single" w:color="auto" w:sz="4" w:space="0"/>
            </w:tcBorders>
            <w:vAlign w:val="center"/>
          </w:tcPr>
          <w:p w14:paraId="2D3E49CB">
            <w:pPr>
              <w:adjustRightInd w:val="0"/>
              <w:snapToGrid w:val="0"/>
              <w:spacing w:line="360" w:lineRule="auto"/>
              <w:rPr>
                <w:b/>
                <w:bCs/>
                <w:color w:val="auto"/>
                <w:sz w:val="24"/>
                <w:szCs w:val="24"/>
                <w:highlight w:val="none"/>
              </w:rPr>
            </w:pPr>
            <w:r>
              <w:rPr>
                <w:rFonts w:hint="eastAsia"/>
                <w:b/>
                <w:bCs/>
                <w:color w:val="auto"/>
                <w:sz w:val="24"/>
                <w:szCs w:val="24"/>
                <w:highlight w:val="none"/>
              </w:rPr>
              <w:t>预付款担保</w:t>
            </w:r>
          </w:p>
          <w:p w14:paraId="6A9C4B80">
            <w:pPr>
              <w:adjustRightInd w:val="0"/>
              <w:snapToGrid w:val="0"/>
              <w:spacing w:line="360" w:lineRule="auto"/>
              <w:rPr>
                <w:rFonts w:hint="default"/>
                <w:color w:val="auto"/>
                <w:sz w:val="24"/>
                <w:szCs w:val="24"/>
                <w:highlight w:val="none"/>
                <w:u w:val="single"/>
                <w:lang w:val="en-US" w:eastAsia="zh-CN"/>
              </w:rPr>
            </w:pPr>
            <w:r>
              <w:rPr>
                <w:rFonts w:hint="eastAsia"/>
                <w:color w:val="auto"/>
                <w:sz w:val="24"/>
                <w:szCs w:val="24"/>
                <w:highlight w:val="none"/>
                <w:lang w:eastAsia="zh-CN"/>
              </w:rPr>
              <w:t>乙方</w:t>
            </w:r>
            <w:r>
              <w:rPr>
                <w:rFonts w:hint="eastAsia"/>
                <w:color w:val="auto"/>
                <w:sz w:val="24"/>
                <w:szCs w:val="24"/>
                <w:highlight w:val="none"/>
              </w:rPr>
              <w:t>提交预付款担保的期限：</w:t>
            </w:r>
            <w:r>
              <w:rPr>
                <w:rFonts w:hint="eastAsia" w:cs="宋体"/>
                <w:bCs/>
                <w:color w:val="auto"/>
                <w:sz w:val="24"/>
                <w:szCs w:val="24"/>
                <w:highlight w:val="none"/>
                <w:u w:val="single"/>
              </w:rPr>
              <w:t>支付预付款前</w:t>
            </w:r>
            <w:r>
              <w:rPr>
                <w:rFonts w:hint="eastAsia" w:cs="宋体"/>
                <w:bCs/>
                <w:color w:val="auto"/>
                <w:sz w:val="24"/>
                <w:szCs w:val="24"/>
                <w:highlight w:val="none"/>
                <w:u w:val="single"/>
                <w:lang w:val="en-US" w:eastAsia="zh-CN"/>
              </w:rPr>
              <w:t>由乙方</w:t>
            </w:r>
            <w:r>
              <w:rPr>
                <w:rFonts w:hint="eastAsia" w:cs="宋体"/>
                <w:bCs/>
                <w:color w:val="auto"/>
                <w:sz w:val="24"/>
                <w:szCs w:val="24"/>
                <w:highlight w:val="none"/>
                <w:u w:val="single"/>
              </w:rPr>
              <w:t>提供给</w:t>
            </w:r>
            <w:r>
              <w:rPr>
                <w:rFonts w:hint="eastAsia" w:cs="宋体"/>
                <w:bCs/>
                <w:color w:val="auto"/>
                <w:sz w:val="24"/>
                <w:szCs w:val="24"/>
                <w:highlight w:val="none"/>
                <w:u w:val="single"/>
                <w:lang w:val="en-US" w:eastAsia="zh-CN"/>
              </w:rPr>
              <w:t>合同</w:t>
            </w:r>
            <w:r>
              <w:rPr>
                <w:rFonts w:hint="eastAsia" w:cs="宋体"/>
                <w:bCs/>
                <w:color w:val="auto"/>
                <w:sz w:val="24"/>
                <w:szCs w:val="24"/>
                <w:highlight w:val="none"/>
                <w:u w:val="single"/>
                <w:lang w:eastAsia="zh-CN"/>
              </w:rPr>
              <w:t>甲方</w:t>
            </w:r>
            <w:r>
              <w:rPr>
                <w:rFonts w:hint="eastAsia" w:cs="宋体"/>
                <w:bCs/>
                <w:color w:val="auto"/>
                <w:sz w:val="24"/>
                <w:szCs w:val="24"/>
                <w:highlight w:val="none"/>
                <w:u w:val="single"/>
              </w:rPr>
              <w:t>，担保期限至预付款全部扣回</w:t>
            </w:r>
            <w:r>
              <w:rPr>
                <w:rFonts w:hint="eastAsia" w:cs="宋体"/>
                <w:bCs/>
                <w:color w:val="auto"/>
                <w:sz w:val="24"/>
                <w:szCs w:val="24"/>
                <w:highlight w:val="none"/>
              </w:rPr>
              <w:t>。</w:t>
            </w:r>
          </w:p>
          <w:p w14:paraId="20DF03A6">
            <w:pPr>
              <w:adjustRightInd w:val="0"/>
              <w:snapToGrid w:val="0"/>
              <w:spacing w:line="360" w:lineRule="auto"/>
              <w:rPr>
                <w:rFonts w:hint="eastAsia"/>
                <w:color w:val="auto"/>
                <w:sz w:val="24"/>
                <w:szCs w:val="24"/>
                <w:highlight w:val="none"/>
                <w:u w:val="single"/>
                <w:lang w:eastAsia="zh-CN"/>
              </w:rPr>
            </w:pPr>
            <w:r>
              <w:rPr>
                <w:rFonts w:hint="eastAsia"/>
                <w:color w:val="auto"/>
                <w:sz w:val="24"/>
                <w:szCs w:val="24"/>
                <w:highlight w:val="none"/>
              </w:rPr>
              <w:t>预付款担保的形式为：</w:t>
            </w:r>
            <w:r>
              <w:rPr>
                <w:rFonts w:hint="eastAsia"/>
                <w:color w:val="auto"/>
                <w:sz w:val="24"/>
                <w:szCs w:val="24"/>
                <w:highlight w:val="none"/>
                <w:u w:val="single"/>
              </w:rPr>
              <w:t>合同签订后</w:t>
            </w:r>
            <w:r>
              <w:rPr>
                <w:rFonts w:hint="eastAsia"/>
                <w:color w:val="auto"/>
                <w:sz w:val="24"/>
                <w:szCs w:val="24"/>
                <w:highlight w:val="none"/>
                <w:u w:val="single"/>
                <w:lang w:eastAsia="zh-CN"/>
              </w:rPr>
              <w:t>乙方</w:t>
            </w:r>
            <w:r>
              <w:rPr>
                <w:rFonts w:hint="eastAsia"/>
                <w:color w:val="auto"/>
                <w:sz w:val="24"/>
                <w:szCs w:val="24"/>
                <w:highlight w:val="none"/>
                <w:u w:val="single"/>
              </w:rPr>
              <w:t>须向</w:t>
            </w:r>
            <w:r>
              <w:rPr>
                <w:rFonts w:hint="eastAsia" w:cs="宋体"/>
                <w:bCs/>
                <w:color w:val="auto"/>
                <w:sz w:val="24"/>
                <w:szCs w:val="24"/>
                <w:highlight w:val="none"/>
                <w:u w:val="single"/>
                <w:lang w:val="en-US" w:eastAsia="zh-CN"/>
              </w:rPr>
              <w:t>合同</w:t>
            </w:r>
            <w:r>
              <w:rPr>
                <w:rFonts w:hint="eastAsia"/>
                <w:color w:val="auto"/>
                <w:sz w:val="24"/>
                <w:szCs w:val="24"/>
                <w:highlight w:val="none"/>
                <w:u w:val="single"/>
                <w:lang w:val="en-US" w:eastAsia="zh-CN"/>
              </w:rPr>
              <w:t>甲方</w:t>
            </w:r>
            <w:r>
              <w:rPr>
                <w:rFonts w:hint="eastAsia"/>
                <w:color w:val="auto"/>
                <w:sz w:val="24"/>
                <w:szCs w:val="24"/>
                <w:highlight w:val="none"/>
                <w:u w:val="single"/>
              </w:rPr>
              <w:t>提交银行、保险公司、担保公司等金融机构出具的金额为合同总价40%的预付款保函作为担保</w:t>
            </w:r>
            <w:r>
              <w:rPr>
                <w:rFonts w:hint="eastAsia"/>
                <w:color w:val="auto"/>
                <w:sz w:val="24"/>
                <w:szCs w:val="24"/>
                <w:highlight w:val="none"/>
                <w:u w:val="single"/>
                <w:lang w:eastAsia="zh-CN"/>
              </w:rPr>
              <w:t>。</w:t>
            </w:r>
          </w:p>
          <w:p w14:paraId="66E4A2C0">
            <w:pPr>
              <w:adjustRightInd w:val="0"/>
              <w:snapToGrid w:val="0"/>
              <w:spacing w:line="360" w:lineRule="auto"/>
              <w:rPr>
                <w:rFonts w:hint="default" w:cs="宋体"/>
                <w:bCs/>
                <w:color w:val="auto"/>
                <w:kern w:val="2"/>
                <w:sz w:val="24"/>
                <w:szCs w:val="24"/>
                <w:highlight w:val="none"/>
                <w:lang w:val="en-US"/>
              </w:rPr>
            </w:pPr>
            <w:r>
              <w:rPr>
                <w:rFonts w:hint="eastAsia"/>
                <w:b/>
                <w:bCs/>
                <w:color w:val="auto"/>
                <w:sz w:val="24"/>
                <w:szCs w:val="24"/>
                <w:highlight w:val="none"/>
              </w:rPr>
              <w:t>备注：①预付款支付前，</w:t>
            </w:r>
            <w:r>
              <w:rPr>
                <w:rFonts w:hint="eastAsia"/>
                <w:b/>
                <w:bCs/>
                <w:color w:val="auto"/>
                <w:sz w:val="24"/>
                <w:szCs w:val="24"/>
                <w:highlight w:val="none"/>
                <w:lang w:val="en-US" w:eastAsia="zh-CN"/>
              </w:rPr>
              <w:t>乙方</w:t>
            </w:r>
            <w:r>
              <w:rPr>
                <w:rFonts w:hint="eastAsia"/>
                <w:b/>
                <w:bCs/>
                <w:color w:val="auto"/>
                <w:sz w:val="24"/>
                <w:szCs w:val="24"/>
                <w:highlight w:val="none"/>
              </w:rPr>
              <w:t>须提交银行、保险公司、担保公司等金融机构出具的预付款保函（见索即付保函）；②在签订合同时，</w:t>
            </w:r>
            <w:r>
              <w:rPr>
                <w:rFonts w:hint="eastAsia"/>
                <w:b/>
                <w:bCs/>
                <w:color w:val="auto"/>
                <w:sz w:val="24"/>
                <w:szCs w:val="24"/>
                <w:highlight w:val="none"/>
                <w:lang w:val="en-US" w:eastAsia="zh-CN"/>
              </w:rPr>
              <w:t>乙方</w:t>
            </w:r>
            <w:r>
              <w:rPr>
                <w:rFonts w:hint="eastAsia"/>
                <w:b/>
                <w:bCs/>
                <w:color w:val="auto"/>
                <w:sz w:val="24"/>
                <w:szCs w:val="24"/>
                <w:highlight w:val="none"/>
              </w:rPr>
              <w:t>书面明确表示无需预付款，即</w:t>
            </w:r>
            <w:r>
              <w:rPr>
                <w:rFonts w:hint="eastAsia"/>
                <w:b/>
                <w:bCs/>
                <w:color w:val="auto"/>
                <w:sz w:val="24"/>
                <w:szCs w:val="24"/>
                <w:highlight w:val="none"/>
                <w:lang w:val="en-US" w:eastAsia="zh-CN"/>
              </w:rPr>
              <w:t>乙方</w:t>
            </w:r>
            <w:r>
              <w:rPr>
                <w:rFonts w:hint="eastAsia"/>
                <w:b/>
                <w:bCs/>
                <w:color w:val="auto"/>
                <w:sz w:val="24"/>
                <w:szCs w:val="24"/>
                <w:highlight w:val="none"/>
              </w:rPr>
              <w:t>无需提供预付款担保，按皖财购〔2022〕556号规定，合同</w:t>
            </w:r>
            <w:r>
              <w:rPr>
                <w:rFonts w:hint="eastAsia"/>
                <w:b/>
                <w:bCs/>
                <w:color w:val="auto"/>
                <w:sz w:val="24"/>
                <w:szCs w:val="24"/>
                <w:highlight w:val="none"/>
                <w:lang w:val="en-US" w:eastAsia="zh-CN"/>
              </w:rPr>
              <w:t>甲方</w:t>
            </w:r>
            <w:r>
              <w:rPr>
                <w:rFonts w:hint="eastAsia"/>
                <w:b/>
                <w:bCs/>
                <w:color w:val="auto"/>
                <w:sz w:val="24"/>
                <w:szCs w:val="24"/>
                <w:highlight w:val="none"/>
              </w:rPr>
              <w:t>可不再支付预付款；</w:t>
            </w:r>
          </w:p>
        </w:tc>
      </w:tr>
      <w:tr w14:paraId="30B9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29" w:type="dxa"/>
            <w:vAlign w:val="center"/>
          </w:tcPr>
          <w:p w14:paraId="69FB1F35">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7785D7BC">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12.4.1</w:t>
            </w:r>
          </w:p>
        </w:tc>
        <w:tc>
          <w:tcPr>
            <w:tcW w:w="7304" w:type="dxa"/>
            <w:tcBorders>
              <w:bottom w:val="single" w:color="auto" w:sz="4" w:space="0"/>
            </w:tcBorders>
            <w:vAlign w:val="center"/>
          </w:tcPr>
          <w:p w14:paraId="544BA9DB">
            <w:pPr>
              <w:snapToGrid w:val="0"/>
              <w:spacing w:line="360" w:lineRule="auto"/>
              <w:jc w:val="left"/>
              <w:rPr>
                <w:rFonts w:hint="eastAsia"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付款方式：</w:t>
            </w:r>
          </w:p>
          <w:p w14:paraId="72CA480E">
            <w:pPr>
              <w:snapToGrid w:val="0"/>
              <w:spacing w:line="360" w:lineRule="auto"/>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4F4ED4C0">
            <w:pPr>
              <w:snapToGrid w:val="0"/>
              <w:spacing w:line="360" w:lineRule="auto"/>
              <w:jc w:val="left"/>
              <w:rPr>
                <w:rFonts w:cs="宋体" w:asciiTheme="minorEastAsia" w:hAnsiTheme="minorEastAsia" w:eastAsiaTheme="minorEastAsia"/>
                <w:color w:val="auto"/>
                <w:sz w:val="24"/>
                <w:szCs w:val="24"/>
                <w:highlight w:val="none"/>
                <w:lang w:val="en-US" w:eastAsia="zh-CN" w:bidi="ar-SA"/>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tc>
      </w:tr>
      <w:tr w14:paraId="106D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29" w:type="dxa"/>
            <w:vAlign w:val="center"/>
          </w:tcPr>
          <w:p w14:paraId="110B02E3">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79DF2666">
            <w:pPr>
              <w:adjustRightInd w:val="0"/>
              <w:snapToGrid w:val="0"/>
              <w:spacing w:line="360" w:lineRule="auto"/>
              <w:rPr>
                <w:rFonts w:hint="eastAsia"/>
                <w:color w:val="auto"/>
                <w:sz w:val="24"/>
                <w:szCs w:val="24"/>
                <w:highlight w:val="none"/>
              </w:rPr>
            </w:pPr>
            <w:r>
              <w:rPr>
                <w:rFonts w:hint="eastAsia"/>
                <w:color w:val="auto"/>
                <w:sz w:val="24"/>
                <w:szCs w:val="24"/>
                <w:highlight w:val="none"/>
              </w:rPr>
              <w:t>15.2.1</w:t>
            </w:r>
          </w:p>
        </w:tc>
        <w:tc>
          <w:tcPr>
            <w:tcW w:w="7304" w:type="dxa"/>
            <w:vAlign w:val="center"/>
          </w:tcPr>
          <w:p w14:paraId="4E8AB3F6">
            <w:pPr>
              <w:adjustRightInd w:val="0"/>
              <w:snapToGrid w:val="0"/>
              <w:spacing w:line="360" w:lineRule="auto"/>
              <w:rPr>
                <w:rFonts w:hint="eastAsia"/>
                <w:color w:val="auto"/>
                <w:sz w:val="24"/>
                <w:szCs w:val="24"/>
                <w:highlight w:val="none"/>
                <w:lang w:val="en-US" w:eastAsia="zh-CN"/>
              </w:rPr>
            </w:pPr>
            <w:r>
              <w:rPr>
                <w:rFonts w:hint="eastAsia" w:cs="宋体"/>
                <w:color w:val="auto"/>
                <w:sz w:val="24"/>
                <w:szCs w:val="24"/>
                <w:highlight w:val="none"/>
              </w:rPr>
              <w:t>缺陷责任期的具体期限：</w:t>
            </w:r>
            <w:r>
              <w:rPr>
                <w:rFonts w:hint="eastAsia" w:cs="宋体"/>
                <w:color w:val="auto"/>
                <w:sz w:val="24"/>
                <w:szCs w:val="24"/>
                <w:highlight w:val="none"/>
                <w:u w:val="single"/>
              </w:rPr>
              <w:t>工程通过</w:t>
            </w:r>
            <w:r>
              <w:rPr>
                <w:rFonts w:hint="eastAsia" w:cs="宋体"/>
                <w:color w:val="auto"/>
                <w:sz w:val="24"/>
                <w:szCs w:val="24"/>
                <w:highlight w:val="none"/>
                <w:u w:val="single"/>
                <w:lang w:val="en-US" w:eastAsia="zh-CN"/>
              </w:rPr>
              <w:t>完</w:t>
            </w:r>
            <w:r>
              <w:rPr>
                <w:rFonts w:hint="eastAsia" w:cs="宋体"/>
                <w:color w:val="auto"/>
                <w:sz w:val="24"/>
                <w:szCs w:val="24"/>
                <w:highlight w:val="none"/>
                <w:u w:val="single"/>
              </w:rPr>
              <w:t>工验收之日起</w:t>
            </w:r>
            <w:r>
              <w:rPr>
                <w:rFonts w:hint="eastAsia" w:cs="宋体"/>
                <w:color w:val="auto"/>
                <w:sz w:val="24"/>
                <w:szCs w:val="24"/>
                <w:highlight w:val="none"/>
                <w:u w:val="single"/>
                <w:lang w:val="en-US" w:eastAsia="zh-CN"/>
              </w:rPr>
              <w:t>12个月</w:t>
            </w:r>
            <w:r>
              <w:rPr>
                <w:rFonts w:hint="eastAsia" w:cs="宋体"/>
                <w:color w:val="auto"/>
                <w:sz w:val="24"/>
                <w:szCs w:val="24"/>
                <w:highlight w:val="none"/>
              </w:rPr>
              <w:t>。</w:t>
            </w:r>
          </w:p>
        </w:tc>
      </w:tr>
      <w:tr w14:paraId="1DAE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629" w:type="dxa"/>
            <w:vAlign w:val="center"/>
          </w:tcPr>
          <w:p w14:paraId="2BD33C65">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603C7353">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15.3.1</w:t>
            </w:r>
          </w:p>
        </w:tc>
        <w:tc>
          <w:tcPr>
            <w:tcW w:w="7304" w:type="dxa"/>
            <w:vAlign w:val="center"/>
          </w:tcPr>
          <w:p w14:paraId="2D0FFE02">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质量保证金金额为结算审核价款的3%，缴纳方式可采用以下任意一种方式：</w:t>
            </w:r>
          </w:p>
          <w:p w14:paraId="32DE44EF">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（1）由银行业金融机构、工程担保公司、保险机构出具银行保函、工程质量保险等担保方式；</w:t>
            </w:r>
          </w:p>
          <w:p w14:paraId="2026E2B0">
            <w:pPr>
              <w:snapToGrid w:val="0"/>
              <w:spacing w:line="360" w:lineRule="auto"/>
              <w:jc w:val="left"/>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rPr>
              <w:t>）转账的方式缴纳</w:t>
            </w:r>
            <w:r>
              <w:rPr>
                <w:rFonts w:hint="eastAsia" w:ascii="宋体" w:hAnsi="宋体" w:eastAsia="宋体" w:cs="宋体"/>
                <w:b w:val="0"/>
                <w:bCs/>
                <w:color w:val="auto"/>
                <w:sz w:val="24"/>
                <w:szCs w:val="24"/>
                <w:highlight w:val="none"/>
                <w:u w:val="none"/>
                <w:lang w:eastAsia="zh-CN"/>
              </w:rPr>
              <w:t>。</w:t>
            </w:r>
          </w:p>
          <w:p w14:paraId="489F195F">
            <w:pPr>
              <w:snapToGrid w:val="0"/>
              <w:spacing w:line="360" w:lineRule="auto"/>
              <w:jc w:val="left"/>
              <w:rPr>
                <w:rFonts w:hint="default"/>
                <w:color w:val="auto"/>
                <w:highlight w:val="none"/>
                <w:lang w:val="en-US" w:eastAsia="zh-CN"/>
              </w:rPr>
            </w:pPr>
            <w:r>
              <w:rPr>
                <w:rFonts w:hint="eastAsia" w:ascii="宋体" w:hAnsi="宋体" w:eastAsia="宋体" w:cs="宋体"/>
                <w:b w:val="0"/>
                <w:bCs/>
                <w:color w:val="auto"/>
                <w:sz w:val="24"/>
                <w:szCs w:val="24"/>
                <w:highlight w:val="none"/>
                <w:u w:val="none"/>
                <w:lang w:val="en-US" w:eastAsia="zh-CN"/>
              </w:rPr>
              <w:t>（3）在工程项目完工前，乙方按合同甲方要求提供履约保证金的，可在工程进入缺陷责任期时按照多退少补原则转为质量保证金。</w:t>
            </w:r>
          </w:p>
        </w:tc>
      </w:tr>
    </w:tbl>
    <w:p w14:paraId="71CCED94">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br w:type="page"/>
      </w:r>
      <w:r>
        <w:rPr>
          <w:rFonts w:hint="eastAsia" w:cs="宋体"/>
          <w:color w:val="auto"/>
          <w:sz w:val="24"/>
          <w:szCs w:val="24"/>
          <w:highlight w:val="none"/>
        </w:rPr>
        <w:t>1</w:t>
      </w:r>
      <w:bookmarkStart w:id="80" w:name="_Toc296890984"/>
      <w:bookmarkStart w:id="81" w:name="_Toc292559866"/>
      <w:bookmarkStart w:id="82" w:name="_Toc297048342"/>
      <w:bookmarkStart w:id="83" w:name="_Toc296503156"/>
      <w:bookmarkStart w:id="84" w:name="_Toc296891196"/>
      <w:bookmarkStart w:id="85" w:name="_Toc296347155"/>
      <w:bookmarkStart w:id="86" w:name="_Toc292559361"/>
      <w:bookmarkStart w:id="87" w:name="_Toc296346657"/>
      <w:bookmarkStart w:id="88" w:name="_Toc296944495"/>
      <w:bookmarkStart w:id="89" w:name="_Toc297120456"/>
      <w:r>
        <w:rPr>
          <w:rFonts w:hint="eastAsia" w:cs="宋体"/>
          <w:color w:val="auto"/>
          <w:sz w:val="24"/>
          <w:szCs w:val="24"/>
          <w:highlight w:val="none"/>
        </w:rPr>
        <w:t>. 一般约定</w:t>
      </w:r>
    </w:p>
    <w:bookmarkEnd w:id="80"/>
    <w:bookmarkEnd w:id="81"/>
    <w:bookmarkEnd w:id="82"/>
    <w:bookmarkEnd w:id="83"/>
    <w:bookmarkEnd w:id="84"/>
    <w:bookmarkEnd w:id="85"/>
    <w:bookmarkEnd w:id="86"/>
    <w:bookmarkEnd w:id="87"/>
    <w:bookmarkEnd w:id="88"/>
    <w:bookmarkEnd w:id="89"/>
    <w:p w14:paraId="5B9F669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 词语定义与解释</w:t>
      </w:r>
    </w:p>
    <w:p w14:paraId="2538032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 合同</w:t>
      </w:r>
    </w:p>
    <w:p w14:paraId="6F8465E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1.1.1.10 其他合同文件包括：</w:t>
      </w:r>
      <w:r>
        <w:rPr>
          <w:rFonts w:hint="eastAsia" w:cs="宋体"/>
          <w:color w:val="auto"/>
          <w:sz w:val="24"/>
          <w:szCs w:val="24"/>
          <w:highlight w:val="none"/>
          <w:u w:val="single"/>
        </w:rPr>
        <w:t xml:space="preserve">                 </w:t>
      </w:r>
    </w:p>
    <w:p w14:paraId="410B6CA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 合同当事人及其他相关方</w:t>
      </w:r>
    </w:p>
    <w:p w14:paraId="75F3C414">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1.1.2.4 监理人：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无</w:t>
      </w:r>
      <w:r>
        <w:rPr>
          <w:rFonts w:hint="eastAsia" w:cs="宋体"/>
          <w:color w:val="auto"/>
          <w:sz w:val="24"/>
          <w:szCs w:val="24"/>
          <w:highlight w:val="none"/>
          <w:u w:val="single"/>
        </w:rPr>
        <w:t xml:space="preserve"> </w:t>
      </w:r>
    </w:p>
    <w:p w14:paraId="668C244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1.1.2.5 设计人：</w:t>
      </w:r>
    </w:p>
    <w:p w14:paraId="532D0BF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名    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D5DEE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资质类别和等级：</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4794DB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4A3EBC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41E00A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64156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 工程和设备</w:t>
      </w:r>
    </w:p>
    <w:p w14:paraId="1C8DB0E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1.1.3.7 作为施工现场组成部分的其他场所包括：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w:t>
      </w:r>
      <w:r>
        <w:rPr>
          <w:rFonts w:hint="eastAsia" w:cs="宋体"/>
          <w:color w:val="auto"/>
          <w:sz w:val="24"/>
          <w:szCs w:val="24"/>
          <w:highlight w:val="none"/>
        </w:rPr>
        <w:t>。</w:t>
      </w:r>
    </w:p>
    <w:p w14:paraId="2621D9D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1.1.3.9 永久占地包括：</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为建设本合同工程永久征用的场地</w:t>
      </w:r>
      <w:r>
        <w:rPr>
          <w:rFonts w:hint="eastAsia" w:cs="宋体"/>
          <w:color w:val="auto"/>
          <w:sz w:val="24"/>
          <w:szCs w:val="24"/>
          <w:highlight w:val="none"/>
        </w:rPr>
        <w:t>。</w:t>
      </w:r>
    </w:p>
    <w:p w14:paraId="48567392">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1.1.3.10 临时占地包括：</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为建设本合同工程临时征用，</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在完工后须按合同要求退还的场地；工程施工用地（含地面附着物）由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负责与工程所在地的乡镇协调解决；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负责办理永久占地和招标图示的临时用地范围内的征地搬迁工作，向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 提供永久用地和招标图示的临时用地，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应无条件接受现场条件。永久占地由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承担，临时用地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负责协调，费用由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p>
    <w:p w14:paraId="5338A4F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 法律 </w:t>
      </w:r>
    </w:p>
    <w:p w14:paraId="22622EA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适用于合同的其他规范性文件：</w:t>
      </w:r>
      <w:r>
        <w:rPr>
          <w:rFonts w:hint="eastAsia" w:cs="宋体"/>
          <w:color w:val="auto"/>
          <w:sz w:val="24"/>
          <w:szCs w:val="24"/>
          <w:highlight w:val="none"/>
          <w:u w:val="single"/>
        </w:rPr>
        <w:t>《中华人民共和国民法典》、《中华人民共和国建筑法》、《中华人民共和国政府采购法》、《建设工程质量管理条例》、《建设工程安全生产管理条例》等国家及工程所在地现行有效的法律法规和规章</w:t>
      </w:r>
      <w:r>
        <w:rPr>
          <w:rFonts w:hint="eastAsia" w:cs="宋体"/>
          <w:color w:val="auto"/>
          <w:sz w:val="24"/>
          <w:szCs w:val="24"/>
          <w:highlight w:val="none"/>
        </w:rPr>
        <w:t>。</w:t>
      </w:r>
    </w:p>
    <w:p w14:paraId="157ED17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1.4 标准和规范</w:t>
      </w:r>
    </w:p>
    <w:p w14:paraId="227DA4E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1.4.1 适用于工程的标准规范包括：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1254F4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1.4.2 </w:t>
      </w:r>
      <w:r>
        <w:rPr>
          <w:rFonts w:hint="eastAsia" w:cs="宋体"/>
          <w:color w:val="auto"/>
          <w:sz w:val="24"/>
          <w:szCs w:val="24"/>
          <w:highlight w:val="none"/>
          <w:lang w:eastAsia="zh-CN"/>
        </w:rPr>
        <w:t>甲方</w:t>
      </w:r>
      <w:r>
        <w:rPr>
          <w:rFonts w:hint="eastAsia" w:cs="宋体"/>
          <w:color w:val="auto"/>
          <w:sz w:val="24"/>
          <w:szCs w:val="24"/>
          <w:highlight w:val="none"/>
        </w:rPr>
        <w:t>提供国外标准、规范的名称：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19C85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提供国外标准、规范的份数：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B323FF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提供国外标准、规范的时间：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84469F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1.4.3 </w:t>
      </w:r>
      <w:r>
        <w:rPr>
          <w:rFonts w:hint="eastAsia" w:cs="宋体"/>
          <w:color w:val="auto"/>
          <w:sz w:val="24"/>
          <w:szCs w:val="24"/>
          <w:highlight w:val="none"/>
          <w:lang w:eastAsia="zh-CN"/>
        </w:rPr>
        <w:t>甲方</w:t>
      </w:r>
      <w:r>
        <w:rPr>
          <w:rFonts w:hint="eastAsia" w:cs="宋体"/>
          <w:color w:val="auto"/>
          <w:sz w:val="24"/>
          <w:szCs w:val="24"/>
          <w:highlight w:val="none"/>
        </w:rPr>
        <w:t>对工程的技术标准和功能要求的特殊要求：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715FC4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 合同文件的优先顺序</w:t>
      </w:r>
    </w:p>
    <w:p w14:paraId="2B2F803A">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合同文件组成及优先顺序为：</w:t>
      </w:r>
      <w:r>
        <w:rPr>
          <w:rFonts w:hint="eastAsia" w:cs="宋体"/>
          <w:color w:val="auto"/>
          <w:sz w:val="24"/>
          <w:szCs w:val="24"/>
          <w:highlight w:val="none"/>
          <w:u w:val="single"/>
        </w:rPr>
        <w:t xml:space="preserve"> 执行通用条款   </w:t>
      </w:r>
    </w:p>
    <w:p w14:paraId="67299E5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1.6 图纸和</w:t>
      </w:r>
      <w:r>
        <w:rPr>
          <w:rFonts w:hint="eastAsia" w:cs="宋体"/>
          <w:bCs/>
          <w:color w:val="auto"/>
          <w:sz w:val="24"/>
          <w:szCs w:val="24"/>
          <w:highlight w:val="none"/>
          <w:lang w:eastAsia="zh-CN"/>
        </w:rPr>
        <w:t>乙方</w:t>
      </w:r>
      <w:r>
        <w:rPr>
          <w:rFonts w:hint="eastAsia" w:cs="宋体"/>
          <w:bCs/>
          <w:color w:val="auto"/>
          <w:sz w:val="24"/>
          <w:szCs w:val="24"/>
          <w:highlight w:val="none"/>
        </w:rPr>
        <w:t>文件</w:t>
      </w:r>
      <w:r>
        <w:rPr>
          <w:rFonts w:hint="eastAsia" w:cs="宋体"/>
          <w:bCs/>
          <w:color w:val="auto"/>
          <w:sz w:val="24"/>
          <w:szCs w:val="24"/>
          <w:highlight w:val="none"/>
        </w:rPr>
        <w:tab/>
      </w:r>
    </w:p>
    <w:p w14:paraId="1F63319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 图纸的提供和交底</w:t>
      </w:r>
    </w:p>
    <w:p w14:paraId="1F92982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提供图纸的期限：</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E46A2A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提供图纸的数量：</w:t>
      </w:r>
      <w:r>
        <w:rPr>
          <w:rFonts w:hint="eastAsia" w:cs="宋体"/>
          <w:color w:val="auto"/>
          <w:sz w:val="24"/>
          <w:szCs w:val="24"/>
          <w:highlight w:val="none"/>
          <w:u w:val="single"/>
        </w:rPr>
        <w:t>提供</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套（含</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套），不足的由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自行复制，费用自理；</w:t>
      </w:r>
    </w:p>
    <w:p w14:paraId="55448E8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提供图纸的内容：</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513A76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1.6.4 </w:t>
      </w:r>
      <w:r>
        <w:rPr>
          <w:rFonts w:hint="eastAsia" w:cs="宋体"/>
          <w:color w:val="auto"/>
          <w:sz w:val="24"/>
          <w:szCs w:val="24"/>
          <w:highlight w:val="none"/>
          <w:lang w:eastAsia="zh-CN"/>
        </w:rPr>
        <w:t>乙方</w:t>
      </w:r>
      <w:r>
        <w:rPr>
          <w:rFonts w:hint="eastAsia" w:cs="宋体"/>
          <w:color w:val="auto"/>
          <w:sz w:val="24"/>
          <w:szCs w:val="24"/>
          <w:highlight w:val="none"/>
        </w:rPr>
        <w:t>文件</w:t>
      </w:r>
    </w:p>
    <w:p w14:paraId="6A0212D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需要由</w:t>
      </w:r>
      <w:r>
        <w:rPr>
          <w:rFonts w:hint="eastAsia" w:cs="宋体"/>
          <w:color w:val="auto"/>
          <w:sz w:val="24"/>
          <w:szCs w:val="24"/>
          <w:highlight w:val="none"/>
          <w:lang w:eastAsia="zh-CN"/>
        </w:rPr>
        <w:t>乙方</w:t>
      </w:r>
      <w:r>
        <w:rPr>
          <w:rFonts w:hint="eastAsia" w:cs="宋体"/>
          <w:color w:val="auto"/>
          <w:sz w:val="24"/>
          <w:szCs w:val="24"/>
          <w:highlight w:val="none"/>
        </w:rPr>
        <w:t>提供的文件，包括：</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982A85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提供的文件的期限为：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7D2410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提供的文件的数量为：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FA099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提供的文件的形式为：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2DD01F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乙方</w:t>
      </w:r>
      <w:r>
        <w:rPr>
          <w:rFonts w:hint="eastAsia" w:cs="宋体"/>
          <w:color w:val="auto"/>
          <w:sz w:val="24"/>
          <w:szCs w:val="24"/>
          <w:highlight w:val="none"/>
        </w:rPr>
        <w:t>文件的期限：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3F0D5A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1.6.5 图纸和</w:t>
      </w:r>
      <w:r>
        <w:rPr>
          <w:rFonts w:hint="eastAsia" w:cs="宋体"/>
          <w:color w:val="auto"/>
          <w:sz w:val="24"/>
          <w:szCs w:val="24"/>
          <w:highlight w:val="none"/>
          <w:lang w:eastAsia="zh-CN"/>
        </w:rPr>
        <w:t>乙方</w:t>
      </w:r>
      <w:r>
        <w:rPr>
          <w:rFonts w:hint="eastAsia" w:cs="宋体"/>
          <w:color w:val="auto"/>
          <w:sz w:val="24"/>
          <w:szCs w:val="24"/>
          <w:highlight w:val="none"/>
        </w:rPr>
        <w:t>文件的保管</w:t>
      </w:r>
    </w:p>
    <w:p w14:paraId="38EEB56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关于图纸和</w:t>
      </w:r>
      <w:r>
        <w:rPr>
          <w:rFonts w:hint="eastAsia" w:cs="宋体"/>
          <w:color w:val="auto"/>
          <w:sz w:val="24"/>
          <w:szCs w:val="24"/>
          <w:highlight w:val="none"/>
          <w:lang w:eastAsia="zh-CN"/>
        </w:rPr>
        <w:t>乙方</w:t>
      </w:r>
      <w:r>
        <w:rPr>
          <w:rFonts w:hint="eastAsia" w:cs="宋体"/>
          <w:color w:val="auto"/>
          <w:sz w:val="24"/>
          <w:szCs w:val="24"/>
          <w:highlight w:val="none"/>
        </w:rPr>
        <w:t>文件保管的约定：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03C372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 联络</w:t>
      </w:r>
    </w:p>
    <w:p w14:paraId="357DFCE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1.7.1 </w:t>
      </w: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应当在</w:t>
      </w:r>
      <w:r>
        <w:rPr>
          <w:rFonts w:hint="eastAsia" w:cs="宋体"/>
          <w:color w:val="auto"/>
          <w:sz w:val="24"/>
          <w:szCs w:val="24"/>
          <w:highlight w:val="none"/>
          <w:u w:val="single"/>
        </w:rPr>
        <w:t>7</w:t>
      </w:r>
      <w:r>
        <w:rPr>
          <w:rFonts w:hint="eastAsia" w:cs="宋体"/>
          <w:color w:val="auto"/>
          <w:sz w:val="24"/>
          <w:szCs w:val="24"/>
          <w:highlight w:val="none"/>
        </w:rPr>
        <w:t>天内将与合同有关的通知、批准、证明、证书、指示、指令、要求、请求、同意、意见、确定和决定等书面函件送达对方当事人。</w:t>
      </w:r>
    </w:p>
    <w:p w14:paraId="1A093C4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1.7.2 </w:t>
      </w:r>
      <w:r>
        <w:rPr>
          <w:rFonts w:hint="eastAsia" w:cs="宋体"/>
          <w:color w:val="auto"/>
          <w:sz w:val="24"/>
          <w:szCs w:val="24"/>
          <w:highlight w:val="none"/>
          <w:lang w:eastAsia="zh-CN"/>
        </w:rPr>
        <w:t>甲方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A25DD3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B15FA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58C339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84F03B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1.10 交通运输</w:t>
      </w:r>
    </w:p>
    <w:p w14:paraId="7530706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0" w:name="_Toc300934943"/>
      <w:bookmarkStart w:id="91" w:name="_Toc318581155"/>
      <w:bookmarkStart w:id="92" w:name="_Toc303539100"/>
      <w:bookmarkStart w:id="93" w:name="_Toc304295521"/>
      <w:bookmarkStart w:id="94" w:name="_Toc312677986"/>
      <w:r>
        <w:rPr>
          <w:rFonts w:hint="eastAsia" w:cs="宋体"/>
          <w:color w:val="auto"/>
          <w:sz w:val="24"/>
          <w:szCs w:val="24"/>
          <w:highlight w:val="none"/>
        </w:rPr>
        <w:t>.10.1 出入现场的权利</w:t>
      </w:r>
    </w:p>
    <w:p w14:paraId="0D192C5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关于出入现场的权利的约定：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bookmarkEnd w:id="90"/>
    <w:bookmarkEnd w:id="91"/>
    <w:bookmarkEnd w:id="92"/>
    <w:bookmarkEnd w:id="93"/>
    <w:bookmarkEnd w:id="94"/>
    <w:p w14:paraId="76C3EF7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5" w:name="_Toc318581156"/>
      <w:bookmarkStart w:id="96" w:name="_Toc312677987"/>
      <w:bookmarkStart w:id="97" w:name="_Toc303539101"/>
      <w:bookmarkStart w:id="98" w:name="_Toc300934944"/>
      <w:bookmarkStart w:id="99" w:name="_Toc304295522"/>
      <w:r>
        <w:rPr>
          <w:rFonts w:hint="eastAsia" w:cs="宋体"/>
          <w:color w:val="auto"/>
          <w:sz w:val="24"/>
          <w:szCs w:val="24"/>
          <w:highlight w:val="none"/>
        </w:rPr>
        <w:t>.10.3 场内交通</w:t>
      </w:r>
    </w:p>
    <w:p w14:paraId="6042C66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关于场外交通和场内交通的边界的约定：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8B77E71">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免费提供满足工程施工需要的场内道路和交通设施的约定：</w:t>
      </w:r>
      <w:r>
        <w:rPr>
          <w:rFonts w:hint="eastAsia" w:ascii="宋体" w:hAnsi="宋体" w:eastAsia="宋体" w:cs="宋体"/>
          <w:color w:val="auto"/>
          <w:sz w:val="24"/>
          <w:szCs w:val="24"/>
          <w:highlight w:val="none"/>
          <w:u w:val="single"/>
        </w:rPr>
        <w:t>执行通</w:t>
      </w:r>
    </w:p>
    <w:p w14:paraId="7267C517">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用条款。</w:t>
      </w:r>
      <w:bookmarkEnd w:id="95"/>
      <w:bookmarkEnd w:id="96"/>
      <w:bookmarkEnd w:id="97"/>
      <w:bookmarkEnd w:id="98"/>
      <w:bookmarkEnd w:id="99"/>
      <w:bookmarkStart w:id="100" w:name="_Toc318581157"/>
    </w:p>
    <w:p w14:paraId="3768EA0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1.10.4 超大件和超重件的运输</w:t>
      </w:r>
    </w:p>
    <w:p w14:paraId="53FF7A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运输超大件或超重件所需的道路和桥梁临时加固改造费用和其他有关费用由</w:t>
      </w:r>
      <w:r>
        <w:rPr>
          <w:rFonts w:hint="eastAsia" w:cs="宋体"/>
          <w:color w:val="auto"/>
          <w:sz w:val="24"/>
          <w:szCs w:val="24"/>
          <w:highlight w:val="none"/>
          <w:u w:val="single"/>
        </w:rPr>
        <w:t xml:space="preserve"> 执行通用条款 </w:t>
      </w:r>
      <w:r>
        <w:rPr>
          <w:rFonts w:hint="eastAsia" w:cs="宋体"/>
          <w:color w:val="auto"/>
          <w:sz w:val="24"/>
          <w:szCs w:val="24"/>
          <w:highlight w:val="none"/>
        </w:rPr>
        <w:t>承担。</w:t>
      </w:r>
    </w:p>
    <w:bookmarkEnd w:id="100"/>
    <w:p w14:paraId="351EBF2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1.11 知识产权</w:t>
      </w:r>
    </w:p>
    <w:p w14:paraId="2E0BB2B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1.11.1 关于</w:t>
      </w:r>
      <w:r>
        <w:rPr>
          <w:rFonts w:hint="eastAsia" w:cs="宋体"/>
          <w:color w:val="auto"/>
          <w:sz w:val="24"/>
          <w:szCs w:val="24"/>
          <w:highlight w:val="none"/>
          <w:lang w:eastAsia="zh-CN"/>
        </w:rPr>
        <w:t>甲方</w:t>
      </w:r>
      <w:r>
        <w:rPr>
          <w:rFonts w:hint="eastAsia" w:cs="宋体"/>
          <w:color w:val="auto"/>
          <w:sz w:val="24"/>
          <w:szCs w:val="24"/>
          <w:highlight w:val="none"/>
        </w:rPr>
        <w:t>提供给</w:t>
      </w:r>
      <w:r>
        <w:rPr>
          <w:rFonts w:hint="eastAsia" w:cs="宋体"/>
          <w:color w:val="auto"/>
          <w:sz w:val="24"/>
          <w:szCs w:val="24"/>
          <w:highlight w:val="none"/>
          <w:lang w:eastAsia="zh-CN"/>
        </w:rPr>
        <w:t>乙方</w:t>
      </w:r>
      <w:r>
        <w:rPr>
          <w:rFonts w:hint="eastAsia" w:cs="宋体"/>
          <w:color w:val="auto"/>
          <w:sz w:val="24"/>
          <w:szCs w:val="24"/>
          <w:highlight w:val="none"/>
        </w:rPr>
        <w:t>的图纸、</w:t>
      </w:r>
      <w:r>
        <w:rPr>
          <w:rFonts w:hint="eastAsia" w:cs="宋体"/>
          <w:color w:val="auto"/>
          <w:sz w:val="24"/>
          <w:szCs w:val="24"/>
          <w:highlight w:val="none"/>
          <w:lang w:eastAsia="zh-CN"/>
        </w:rPr>
        <w:t>甲方</w:t>
      </w:r>
      <w:r>
        <w:rPr>
          <w:rFonts w:hint="eastAsia" w:cs="宋体"/>
          <w:color w:val="auto"/>
          <w:sz w:val="24"/>
          <w:szCs w:val="24"/>
          <w:highlight w:val="none"/>
        </w:rPr>
        <w:t>为实施工程自行编制或委托编制的技术规范以及反映</w:t>
      </w:r>
      <w:r>
        <w:rPr>
          <w:rFonts w:hint="eastAsia" w:cs="宋体"/>
          <w:color w:val="auto"/>
          <w:sz w:val="24"/>
          <w:szCs w:val="24"/>
          <w:highlight w:val="none"/>
          <w:lang w:eastAsia="zh-CN"/>
        </w:rPr>
        <w:t>甲方</w:t>
      </w:r>
      <w:r>
        <w:rPr>
          <w:rFonts w:hint="eastAsia" w:cs="宋体"/>
          <w:color w:val="auto"/>
          <w:sz w:val="24"/>
          <w:szCs w:val="24"/>
          <w:highlight w:val="none"/>
        </w:rPr>
        <w:t>关于合同要求或其他类似性质的文件的著作权的归属：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2447C2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24A0A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1.11.2 关于</w:t>
      </w:r>
      <w:r>
        <w:rPr>
          <w:rFonts w:hint="eastAsia" w:cs="宋体"/>
          <w:color w:val="auto"/>
          <w:sz w:val="24"/>
          <w:szCs w:val="24"/>
          <w:highlight w:val="none"/>
          <w:lang w:eastAsia="zh-CN"/>
        </w:rPr>
        <w:t>乙方</w:t>
      </w:r>
      <w:r>
        <w:rPr>
          <w:rFonts w:hint="eastAsia" w:cs="宋体"/>
          <w:color w:val="auto"/>
          <w:sz w:val="24"/>
          <w:szCs w:val="24"/>
          <w:highlight w:val="none"/>
        </w:rPr>
        <w:t>为实施工程所编制文件的著作权的归属：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CB1B58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2E9708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1.11.4 </w:t>
      </w:r>
      <w:r>
        <w:rPr>
          <w:rFonts w:hint="eastAsia" w:cs="宋体"/>
          <w:color w:val="auto"/>
          <w:sz w:val="24"/>
          <w:szCs w:val="24"/>
          <w:highlight w:val="none"/>
          <w:lang w:eastAsia="zh-CN"/>
        </w:rPr>
        <w:t>乙方</w:t>
      </w:r>
      <w:r>
        <w:rPr>
          <w:rFonts w:hint="eastAsia" w:cs="宋体"/>
          <w:color w:val="auto"/>
          <w:sz w:val="24"/>
          <w:szCs w:val="24"/>
          <w:highlight w:val="none"/>
        </w:rPr>
        <w:t>在施工过程中所采用的专利、专有技术、技术秘密的使用费的承担方式：</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B13772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1.13 工程量清单错误的修正</w:t>
      </w:r>
    </w:p>
    <w:p w14:paraId="662E4986">
      <w:pPr>
        <w:adjustRightInd w:val="0"/>
        <w:snapToGrid w:val="0"/>
        <w:spacing w:line="360" w:lineRule="auto"/>
        <w:ind w:firstLine="480" w:firstLineChars="200"/>
        <w:rPr>
          <w:rFonts w:cs="宋体"/>
          <w:b/>
          <w:bCs/>
          <w:i/>
          <w:iCs/>
          <w:color w:val="auto"/>
          <w:kern w:val="2"/>
          <w:sz w:val="24"/>
          <w:szCs w:val="24"/>
          <w:highlight w:val="none"/>
        </w:rPr>
      </w:pPr>
      <w:r>
        <w:rPr>
          <w:rFonts w:hint="eastAsia" w:cs="宋体"/>
          <w:color w:val="auto"/>
          <w:sz w:val="24"/>
          <w:szCs w:val="24"/>
          <w:highlight w:val="none"/>
        </w:rPr>
        <w:t>出现工程量清单错误时，是否调整合同价格：</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不调整</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40E26742">
      <w:pPr>
        <w:adjustRightInd w:val="0"/>
        <w:snapToGrid w:val="0"/>
        <w:spacing w:line="360" w:lineRule="auto"/>
        <w:ind w:firstLine="480" w:firstLineChars="200"/>
        <w:rPr>
          <w:rFonts w:cs="宋体"/>
          <w:b/>
          <w:bCs/>
          <w:i/>
          <w:iCs/>
          <w:color w:val="auto"/>
          <w:kern w:val="2"/>
          <w:sz w:val="24"/>
          <w:szCs w:val="24"/>
          <w:highlight w:val="none"/>
          <w:shd w:val="clear" w:color="FFFFFF" w:fill="D9D9D9"/>
        </w:rPr>
      </w:pPr>
      <w:r>
        <w:rPr>
          <w:rFonts w:hint="eastAsia" w:cs="宋体"/>
          <w:color w:val="auto"/>
          <w:sz w:val="24"/>
          <w:szCs w:val="24"/>
          <w:highlight w:val="none"/>
        </w:rPr>
        <w:t>允许调整合同价格的工程量偏差范围：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26A578AD">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01" w:name="_Toc351203634"/>
      <w:r>
        <w:rPr>
          <w:rFonts w:hint="eastAsia" w:cs="宋体"/>
          <w:color w:val="auto"/>
          <w:sz w:val="24"/>
          <w:szCs w:val="24"/>
          <w:highlight w:val="none"/>
        </w:rPr>
        <w:t>2</w:t>
      </w:r>
      <w:bookmarkStart w:id="102" w:name="_Toc292559362"/>
      <w:bookmarkStart w:id="103" w:name="_Toc296347156"/>
      <w:bookmarkStart w:id="104" w:name="_Toc296891197"/>
      <w:bookmarkStart w:id="105" w:name="_Toc297048343"/>
      <w:bookmarkStart w:id="106" w:name="_Toc296890985"/>
      <w:bookmarkStart w:id="107" w:name="_Toc296346658"/>
      <w:bookmarkStart w:id="108" w:name="_Toc296503157"/>
      <w:bookmarkStart w:id="109" w:name="_Toc296944496"/>
      <w:bookmarkStart w:id="110" w:name="_Toc292559867"/>
      <w:bookmarkStart w:id="111" w:name="_Toc297120457"/>
      <w:r>
        <w:rPr>
          <w:rFonts w:hint="eastAsia" w:cs="宋体"/>
          <w:color w:val="auto"/>
          <w:sz w:val="24"/>
          <w:szCs w:val="24"/>
          <w:highlight w:val="none"/>
        </w:rPr>
        <w:t xml:space="preserve">. </w:t>
      </w:r>
      <w:bookmarkEnd w:id="101"/>
      <w:r>
        <w:rPr>
          <w:rFonts w:hint="eastAsia" w:cs="宋体"/>
          <w:color w:val="auto"/>
          <w:sz w:val="24"/>
          <w:szCs w:val="24"/>
          <w:highlight w:val="none"/>
          <w:lang w:eastAsia="zh-CN"/>
        </w:rPr>
        <w:t>甲方</w:t>
      </w:r>
    </w:p>
    <w:bookmarkEnd w:id="102"/>
    <w:bookmarkEnd w:id="103"/>
    <w:bookmarkEnd w:id="104"/>
    <w:bookmarkEnd w:id="105"/>
    <w:bookmarkEnd w:id="106"/>
    <w:bookmarkEnd w:id="107"/>
    <w:bookmarkEnd w:id="108"/>
    <w:bookmarkEnd w:id="109"/>
    <w:bookmarkEnd w:id="110"/>
    <w:bookmarkEnd w:id="111"/>
    <w:p w14:paraId="49EF796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2.2 </w:t>
      </w:r>
      <w:r>
        <w:rPr>
          <w:rFonts w:hint="eastAsia" w:cs="宋体"/>
          <w:bCs/>
          <w:color w:val="auto"/>
          <w:sz w:val="24"/>
          <w:szCs w:val="24"/>
          <w:highlight w:val="none"/>
          <w:lang w:eastAsia="zh-CN"/>
        </w:rPr>
        <w:t>甲方</w:t>
      </w:r>
      <w:r>
        <w:rPr>
          <w:rFonts w:hint="eastAsia" w:cs="宋体"/>
          <w:bCs/>
          <w:color w:val="auto"/>
          <w:sz w:val="24"/>
          <w:szCs w:val="24"/>
          <w:highlight w:val="none"/>
        </w:rPr>
        <w:t>代表</w:t>
      </w:r>
    </w:p>
    <w:p w14:paraId="4565E0B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代表：</w:t>
      </w:r>
    </w:p>
    <w:p w14:paraId="45045C4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FDDDB1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8071D5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职    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D7C999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42F383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6AD4B3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9C6A4B6">
      <w:pPr>
        <w:adjustRightInd w:val="0"/>
        <w:snapToGrid w:val="0"/>
        <w:spacing w:line="360" w:lineRule="auto"/>
        <w:ind w:firstLine="480" w:firstLineChars="200"/>
        <w:rPr>
          <w:rFonts w:cs="宋体"/>
          <w:b/>
          <w:strike/>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对</w:t>
      </w:r>
      <w:r>
        <w:rPr>
          <w:rFonts w:hint="eastAsia" w:cs="宋体"/>
          <w:color w:val="auto"/>
          <w:sz w:val="24"/>
          <w:szCs w:val="24"/>
          <w:highlight w:val="none"/>
          <w:lang w:eastAsia="zh-CN"/>
        </w:rPr>
        <w:t>甲方</w:t>
      </w:r>
      <w:r>
        <w:rPr>
          <w:rFonts w:hint="eastAsia" w:cs="宋体"/>
          <w:color w:val="auto"/>
          <w:sz w:val="24"/>
          <w:szCs w:val="24"/>
          <w:highlight w:val="none"/>
        </w:rPr>
        <w:t>代表的授权范围如下：</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E2A5C7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2.4 施工现场、施工条件和基础资料的提供</w:t>
      </w:r>
    </w:p>
    <w:p w14:paraId="3B05458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2.4.1 提供施工现场</w:t>
      </w:r>
    </w:p>
    <w:p w14:paraId="70D20C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移交施工现场的期限要求：</w:t>
      </w:r>
      <w:r>
        <w:rPr>
          <w:rFonts w:hint="eastAsia" w:cs="宋体"/>
          <w:color w:val="auto"/>
          <w:sz w:val="24"/>
          <w:szCs w:val="24"/>
          <w:highlight w:val="none"/>
          <w:u w:val="single"/>
        </w:rPr>
        <w:t xml:space="preserve"> 开工日期 7 天前 </w:t>
      </w:r>
      <w:r>
        <w:rPr>
          <w:rFonts w:hint="eastAsia" w:cs="宋体"/>
          <w:color w:val="auto"/>
          <w:sz w:val="24"/>
          <w:szCs w:val="24"/>
          <w:highlight w:val="none"/>
        </w:rPr>
        <w:t>。</w:t>
      </w:r>
    </w:p>
    <w:p w14:paraId="47556B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2.4.2 提供施工条件</w:t>
      </w:r>
    </w:p>
    <w:p w14:paraId="6E4A0A0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应负责提供施工所需要的条件，包括：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206F393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2.5 资金来源证明及支付担保</w:t>
      </w:r>
    </w:p>
    <w:p w14:paraId="116AE6D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提供资金来源证明的期限要求：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745F0D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是否提供支付担保：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AA330A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提供支付担保的形式：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562644E">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12" w:name="_Toc351203635"/>
      <w:r>
        <w:rPr>
          <w:rFonts w:hint="eastAsia" w:cs="宋体"/>
          <w:color w:val="auto"/>
          <w:sz w:val="24"/>
          <w:szCs w:val="24"/>
          <w:highlight w:val="none"/>
        </w:rPr>
        <w:t>3</w:t>
      </w:r>
      <w:bookmarkStart w:id="113" w:name="_Toc292559363"/>
      <w:bookmarkStart w:id="114" w:name="_Toc296503158"/>
      <w:bookmarkStart w:id="115" w:name="_Toc297048344"/>
      <w:bookmarkStart w:id="116" w:name="_Toc292559868"/>
      <w:bookmarkStart w:id="117" w:name="_Toc296944497"/>
      <w:bookmarkStart w:id="118" w:name="_Toc297120458"/>
      <w:bookmarkStart w:id="119" w:name="_Toc296891198"/>
      <w:bookmarkStart w:id="120" w:name="_Toc296347157"/>
      <w:bookmarkStart w:id="121" w:name="_Toc296346659"/>
      <w:bookmarkStart w:id="122" w:name="_Toc296890986"/>
      <w:r>
        <w:rPr>
          <w:rFonts w:hint="eastAsia" w:cs="宋体"/>
          <w:color w:val="auto"/>
          <w:sz w:val="24"/>
          <w:szCs w:val="24"/>
          <w:highlight w:val="none"/>
        </w:rPr>
        <w:t xml:space="preserve">. </w:t>
      </w:r>
      <w:bookmarkEnd w:id="112"/>
      <w:r>
        <w:rPr>
          <w:rFonts w:hint="eastAsia" w:cs="宋体"/>
          <w:color w:val="auto"/>
          <w:sz w:val="24"/>
          <w:szCs w:val="24"/>
          <w:highlight w:val="none"/>
          <w:lang w:eastAsia="zh-CN"/>
        </w:rPr>
        <w:t>乙方</w:t>
      </w:r>
    </w:p>
    <w:bookmarkEnd w:id="113"/>
    <w:bookmarkEnd w:id="114"/>
    <w:bookmarkEnd w:id="115"/>
    <w:bookmarkEnd w:id="116"/>
    <w:bookmarkEnd w:id="117"/>
    <w:bookmarkEnd w:id="118"/>
    <w:bookmarkEnd w:id="119"/>
    <w:bookmarkEnd w:id="120"/>
    <w:bookmarkEnd w:id="121"/>
    <w:bookmarkEnd w:id="122"/>
    <w:p w14:paraId="15DEAB5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3.1 </w:t>
      </w:r>
      <w:r>
        <w:rPr>
          <w:rFonts w:hint="eastAsia" w:cs="宋体"/>
          <w:bCs/>
          <w:color w:val="auto"/>
          <w:sz w:val="24"/>
          <w:szCs w:val="24"/>
          <w:highlight w:val="none"/>
          <w:lang w:eastAsia="zh-CN"/>
        </w:rPr>
        <w:t>乙方</w:t>
      </w:r>
      <w:r>
        <w:rPr>
          <w:rFonts w:hint="eastAsia" w:cs="宋体"/>
          <w:bCs/>
          <w:color w:val="auto"/>
          <w:sz w:val="24"/>
          <w:szCs w:val="24"/>
          <w:highlight w:val="none"/>
        </w:rPr>
        <w:t>的一般义务</w:t>
      </w:r>
    </w:p>
    <w:p w14:paraId="664F82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资料的内容：</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提供全套</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图，所有</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图应为新图纸</w:t>
      </w:r>
      <w:r>
        <w:rPr>
          <w:rFonts w:hint="eastAsia" w:cs="宋体"/>
          <w:color w:val="auto"/>
          <w:sz w:val="24"/>
          <w:szCs w:val="24"/>
          <w:highlight w:val="none"/>
        </w:rPr>
        <w:t>。</w:t>
      </w:r>
    </w:p>
    <w:p w14:paraId="53BE8B8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需要提交的</w:t>
      </w:r>
      <w:r>
        <w:rPr>
          <w:rFonts w:hint="eastAsia" w:cs="宋体"/>
          <w:color w:val="auto"/>
          <w:sz w:val="24"/>
          <w:szCs w:val="24"/>
          <w:highlight w:val="none"/>
          <w:lang w:eastAsia="zh-CN"/>
        </w:rPr>
        <w:t>完工</w:t>
      </w:r>
      <w:r>
        <w:rPr>
          <w:rFonts w:hint="eastAsia" w:cs="宋体"/>
          <w:color w:val="auto"/>
          <w:sz w:val="24"/>
          <w:szCs w:val="24"/>
          <w:highlight w:val="none"/>
        </w:rPr>
        <w:t>资料套数：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95CC48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资料的费用承担：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r>
        <w:rPr>
          <w:rFonts w:hint="eastAsia" w:cs="宋体"/>
          <w:color w:val="auto"/>
          <w:sz w:val="24"/>
          <w:szCs w:val="24"/>
          <w:highlight w:val="none"/>
        </w:rPr>
        <w:t>。</w:t>
      </w:r>
    </w:p>
    <w:p w14:paraId="3BE6F8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资料移交时间：</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29EC39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资料形式要求：</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43DF41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w:t>
      </w:r>
      <w:r>
        <w:rPr>
          <w:rFonts w:hint="eastAsia" w:cs="宋体"/>
          <w:color w:val="auto"/>
          <w:sz w:val="24"/>
          <w:szCs w:val="24"/>
          <w:highlight w:val="none"/>
          <w:lang w:eastAsia="zh-CN"/>
        </w:rPr>
        <w:t>乙方</w:t>
      </w:r>
      <w:r>
        <w:rPr>
          <w:rFonts w:hint="eastAsia" w:cs="宋体"/>
          <w:color w:val="auto"/>
          <w:sz w:val="24"/>
          <w:szCs w:val="24"/>
          <w:highlight w:val="none"/>
        </w:rPr>
        <w:t>应履行的其他义务：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C5C14A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3.2 项目经理</w:t>
      </w:r>
    </w:p>
    <w:p w14:paraId="4D2C02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3.2.1 项目经理：</w:t>
      </w:r>
    </w:p>
    <w:p w14:paraId="72DF088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F9C81D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3F1E06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建造师执业资格等级：</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7EABE3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建造师注册证书号：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718A42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建造师执业印章号：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AD601E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安全生产考核合格证书号：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86F8A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176238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D427C3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52050B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对项目经理的授权范围如下：</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D4577C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关于项目经理每月在施工现场的时间要求：</w:t>
      </w:r>
      <w:r>
        <w:rPr>
          <w:rFonts w:hint="eastAsia" w:cs="宋体"/>
          <w:color w:val="auto"/>
          <w:sz w:val="24"/>
          <w:szCs w:val="24"/>
          <w:highlight w:val="none"/>
          <w:u w:val="single"/>
        </w:rPr>
        <w:t>见《专用合同条款数据表》。</w:t>
      </w:r>
    </w:p>
    <w:p w14:paraId="61B63AB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未提交劳动合同，以及没有为项目经理缴纳社会保险证明的违约责任：</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应依照有关法律以及人力资源和社会保障部门、建筑行政主管部门的相关规定，为其履行合同所雇佣的全部人员投保工伤保险，缴纳工伤保险费，并要求其分包人也投保此项保险 </w:t>
      </w:r>
      <w:r>
        <w:rPr>
          <w:rFonts w:hint="eastAsia" w:cs="宋体"/>
          <w:color w:val="auto"/>
          <w:sz w:val="24"/>
          <w:szCs w:val="24"/>
          <w:highlight w:val="none"/>
        </w:rPr>
        <w:t>。</w:t>
      </w:r>
    </w:p>
    <w:p w14:paraId="0E8E046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项目经理未经批准，擅自离开施工现场的违约责任：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未能按照承诺到岗尽职的，</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将视情况严重程度对其作出相应处理，给予警告并发出整改通知。如仍未及时整改，</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有权责令其停工整改直至解除合同。</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还将停止支付工程款项，扣留任何未付的工程进度款项补偿</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的有关损失或工期延误的损失，并就此向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索赔。</w:t>
      </w:r>
    </w:p>
    <w:p w14:paraId="72AFC23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lang w:eastAsia="zh-CN"/>
        </w:rPr>
        <w:t>乙方</w:t>
      </w:r>
      <w:r>
        <w:rPr>
          <w:rFonts w:hint="eastAsia" w:cs="宋体"/>
          <w:color w:val="auto"/>
          <w:sz w:val="24"/>
          <w:szCs w:val="24"/>
          <w:highlight w:val="none"/>
        </w:rPr>
        <w:t>擅自更换项目经理的违约责任：</w:t>
      </w:r>
    </w:p>
    <w:p w14:paraId="6183B55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不得擅自更换投标时所报项目经理，否则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p>
    <w:p w14:paraId="541D8E3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3.2.4 </w:t>
      </w:r>
      <w:r>
        <w:rPr>
          <w:rFonts w:hint="eastAsia" w:cs="宋体"/>
          <w:color w:val="auto"/>
          <w:sz w:val="24"/>
          <w:szCs w:val="24"/>
          <w:highlight w:val="none"/>
          <w:lang w:eastAsia="zh-CN"/>
        </w:rPr>
        <w:t>乙方</w:t>
      </w:r>
      <w:r>
        <w:rPr>
          <w:rFonts w:hint="eastAsia" w:cs="宋体"/>
          <w:color w:val="auto"/>
          <w:sz w:val="24"/>
          <w:szCs w:val="24"/>
          <w:highlight w:val="none"/>
        </w:rPr>
        <w:t>无正当理由拒绝更换项目经理的违约责任：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项目经理和其他人员的，应通知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选择的新项目经理或其他人员应于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应得的工程款中扣除违约金人民币合同总价的万分之五</w:t>
      </w:r>
      <w:r>
        <w:rPr>
          <w:rFonts w:hint="eastAsia" w:cs="宋体"/>
          <w:color w:val="auto"/>
          <w:sz w:val="24"/>
          <w:szCs w:val="24"/>
          <w:highlight w:val="none"/>
        </w:rPr>
        <w:t>。</w:t>
      </w:r>
    </w:p>
    <w:p w14:paraId="272A537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3.3 </w:t>
      </w:r>
      <w:r>
        <w:rPr>
          <w:rFonts w:hint="eastAsia" w:cs="宋体"/>
          <w:bCs/>
          <w:color w:val="auto"/>
          <w:sz w:val="24"/>
          <w:szCs w:val="24"/>
          <w:highlight w:val="none"/>
          <w:lang w:eastAsia="zh-CN"/>
        </w:rPr>
        <w:t>乙方</w:t>
      </w:r>
      <w:r>
        <w:rPr>
          <w:rFonts w:hint="eastAsia" w:cs="宋体"/>
          <w:bCs/>
          <w:color w:val="auto"/>
          <w:sz w:val="24"/>
          <w:szCs w:val="24"/>
          <w:highlight w:val="none"/>
        </w:rPr>
        <w:t>人员</w:t>
      </w:r>
    </w:p>
    <w:p w14:paraId="1A8AC9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3.3.1 </w:t>
      </w:r>
      <w:r>
        <w:rPr>
          <w:rFonts w:hint="eastAsia" w:cs="宋体"/>
          <w:color w:val="auto"/>
          <w:sz w:val="24"/>
          <w:szCs w:val="24"/>
          <w:highlight w:val="none"/>
          <w:lang w:eastAsia="zh-CN"/>
        </w:rPr>
        <w:t>乙方</w:t>
      </w:r>
      <w:r>
        <w:rPr>
          <w:rFonts w:hint="eastAsia" w:cs="宋体"/>
          <w:color w:val="auto"/>
          <w:sz w:val="24"/>
          <w:szCs w:val="24"/>
          <w:highlight w:val="none"/>
        </w:rPr>
        <w:t>提交项目管理机构及施工现场管理人员安排报告的期限：</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00DD0A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3.3.3 </w:t>
      </w:r>
      <w:r>
        <w:rPr>
          <w:rFonts w:hint="eastAsia" w:cs="宋体"/>
          <w:color w:val="auto"/>
          <w:sz w:val="24"/>
          <w:szCs w:val="24"/>
          <w:highlight w:val="none"/>
          <w:lang w:eastAsia="zh-CN"/>
        </w:rPr>
        <w:t>乙方</w:t>
      </w:r>
      <w:r>
        <w:rPr>
          <w:rFonts w:hint="eastAsia" w:cs="宋体"/>
          <w:color w:val="auto"/>
          <w:sz w:val="24"/>
          <w:szCs w:val="24"/>
          <w:highlight w:val="none"/>
        </w:rPr>
        <w:t>无正当理由拒绝撤换主要施工管理人员的违约责任：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主要施工管理人员的，应书面通知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应得的工程款中扣除违约金人民币合同总价的万分之一</w:t>
      </w:r>
      <w:r>
        <w:rPr>
          <w:rFonts w:hint="eastAsia" w:cs="宋体"/>
          <w:color w:val="auto"/>
          <w:sz w:val="24"/>
          <w:szCs w:val="24"/>
          <w:highlight w:val="none"/>
        </w:rPr>
        <w:t>。</w:t>
      </w:r>
    </w:p>
    <w:p w14:paraId="53DF7E0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3.3.4 </w:t>
      </w:r>
      <w:r>
        <w:rPr>
          <w:rFonts w:hint="eastAsia" w:cs="宋体"/>
          <w:color w:val="auto"/>
          <w:sz w:val="24"/>
          <w:szCs w:val="24"/>
          <w:highlight w:val="none"/>
          <w:lang w:eastAsia="zh-CN"/>
        </w:rPr>
        <w:t>乙方</w:t>
      </w:r>
      <w:r>
        <w:rPr>
          <w:rFonts w:hint="eastAsia" w:cs="宋体"/>
          <w:color w:val="auto"/>
          <w:sz w:val="24"/>
          <w:szCs w:val="24"/>
          <w:highlight w:val="none"/>
        </w:rPr>
        <w:t>主要施工管理人员离开施工现场的批准要求：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B7FC920">
      <w:pPr>
        <w:adjustRightInd w:val="0"/>
        <w:snapToGrid w:val="0"/>
        <w:spacing w:line="360" w:lineRule="auto"/>
        <w:ind w:firstLine="484" w:firstLineChars="202"/>
        <w:rPr>
          <w:rFonts w:cs="宋体"/>
          <w:color w:val="auto"/>
          <w:sz w:val="24"/>
          <w:szCs w:val="24"/>
          <w:highlight w:val="none"/>
        </w:rPr>
      </w:pPr>
      <w:r>
        <w:rPr>
          <w:rFonts w:hint="eastAsia" w:cs="宋体"/>
          <w:color w:val="auto"/>
          <w:sz w:val="24"/>
          <w:szCs w:val="24"/>
          <w:highlight w:val="none"/>
        </w:rPr>
        <w:t xml:space="preserve">3.3.5 </w:t>
      </w:r>
      <w:r>
        <w:rPr>
          <w:rFonts w:hint="eastAsia" w:cs="宋体"/>
          <w:color w:val="auto"/>
          <w:sz w:val="24"/>
          <w:szCs w:val="24"/>
          <w:highlight w:val="none"/>
          <w:lang w:eastAsia="zh-CN"/>
        </w:rPr>
        <w:t>乙方</w:t>
      </w:r>
      <w:r>
        <w:rPr>
          <w:rFonts w:hint="eastAsia" w:cs="宋体"/>
          <w:color w:val="auto"/>
          <w:sz w:val="24"/>
          <w:szCs w:val="24"/>
          <w:highlight w:val="none"/>
        </w:rPr>
        <w:t>擅自更换主要施工管理人员的违约责任：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不得擅自更换主要管理人员，否则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如认为有必要，可要求对上述人员中的部分人员作出更好的调整。</w:t>
      </w:r>
    </w:p>
    <w:p w14:paraId="52618A7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主要施工管理人员擅自离开施工现场的违约责任：</w:t>
      </w:r>
      <w:r>
        <w:rPr>
          <w:rFonts w:hint="eastAsia" w:cs="宋体"/>
          <w:color w:val="auto"/>
          <w:sz w:val="24"/>
          <w:szCs w:val="24"/>
          <w:highlight w:val="none"/>
          <w:u w:val="single"/>
        </w:rPr>
        <w:t>未征得</w:t>
      </w:r>
      <w:r>
        <w:rPr>
          <w:rFonts w:hint="eastAsia" w:cs="宋体"/>
          <w:color w:val="auto"/>
          <w:sz w:val="24"/>
          <w:szCs w:val="24"/>
          <w:highlight w:val="none"/>
          <w:u w:val="single"/>
          <w:lang w:val="en-US" w:eastAsia="zh-CN"/>
        </w:rPr>
        <w:t>发包方</w:t>
      </w:r>
      <w:r>
        <w:rPr>
          <w:rFonts w:hint="eastAsia" w:cs="宋体"/>
          <w:color w:val="auto"/>
          <w:sz w:val="24"/>
          <w:szCs w:val="24"/>
          <w:highlight w:val="none"/>
          <w:u w:val="single"/>
        </w:rPr>
        <w:t>书面同意擅自离开施工现场，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应获得的工程款中扣除违约金，违约金标准为每次人民币</w:t>
      </w:r>
      <w:r>
        <w:rPr>
          <w:rFonts w:hint="eastAsia" w:cs="宋体"/>
          <w:color w:val="auto"/>
          <w:sz w:val="24"/>
          <w:szCs w:val="24"/>
          <w:highlight w:val="none"/>
          <w:u w:val="single"/>
          <w:lang w:eastAsia="zh-CN"/>
        </w:rPr>
        <w:t>伍</w:t>
      </w:r>
      <w:r>
        <w:rPr>
          <w:rFonts w:hint="eastAsia" w:cs="宋体"/>
          <w:color w:val="auto"/>
          <w:sz w:val="24"/>
          <w:szCs w:val="24"/>
          <w:highlight w:val="none"/>
          <w:u w:val="single"/>
        </w:rPr>
        <w:t>千元</w:t>
      </w:r>
      <w:r>
        <w:rPr>
          <w:rFonts w:hint="eastAsia" w:cs="宋体"/>
          <w:color w:val="auto"/>
          <w:sz w:val="24"/>
          <w:szCs w:val="24"/>
          <w:highlight w:val="none"/>
        </w:rPr>
        <w:t>。</w:t>
      </w:r>
    </w:p>
    <w:p w14:paraId="459DC6B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w:t>
      </w:r>
      <w:bookmarkStart w:id="123" w:name="_Toc304295523"/>
      <w:bookmarkStart w:id="124" w:name="_Toc300934945"/>
      <w:bookmarkStart w:id="125" w:name="_Toc292559364"/>
      <w:bookmarkStart w:id="126" w:name="_Toc296346660"/>
      <w:bookmarkStart w:id="127" w:name="_Toc297048345"/>
      <w:bookmarkStart w:id="128" w:name="_Toc296890987"/>
      <w:bookmarkStart w:id="129" w:name="_Toc297123492"/>
      <w:bookmarkStart w:id="130" w:name="_Toc303539102"/>
      <w:bookmarkStart w:id="131" w:name="_Toc296347158"/>
      <w:bookmarkStart w:id="132" w:name="_Toc296944498"/>
      <w:bookmarkStart w:id="133" w:name="_Toc296503159"/>
      <w:bookmarkStart w:id="134" w:name="_Toc312677988"/>
      <w:bookmarkStart w:id="135" w:name="_Toc297216151"/>
      <w:bookmarkStart w:id="136" w:name="_Toc292559869"/>
      <w:bookmarkStart w:id="137" w:name="_Toc296891199"/>
      <w:bookmarkStart w:id="138" w:name="_Toc297120459"/>
      <w:r>
        <w:rPr>
          <w:rFonts w:hint="eastAsia" w:cs="宋体"/>
          <w:bCs/>
          <w:color w:val="auto"/>
          <w:sz w:val="24"/>
          <w:szCs w:val="24"/>
          <w:highlight w:val="none"/>
        </w:rPr>
        <w:t>.5 分包</w:t>
      </w: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345C99D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39" w:name="_Toc296944499"/>
      <w:bookmarkStart w:id="140" w:name="_Toc297120460"/>
      <w:bookmarkStart w:id="141" w:name="_Toc303539103"/>
      <w:bookmarkStart w:id="142" w:name="_Toc292559365"/>
      <w:bookmarkStart w:id="143" w:name="_Toc304295524"/>
      <w:bookmarkStart w:id="144" w:name="_Toc296503160"/>
      <w:bookmarkStart w:id="145" w:name="_Toc296346661"/>
      <w:bookmarkStart w:id="146" w:name="_Toc297123493"/>
      <w:bookmarkStart w:id="147" w:name="_Toc300934946"/>
      <w:bookmarkStart w:id="148" w:name="_Toc297216152"/>
      <w:bookmarkStart w:id="149" w:name="_Toc296891200"/>
      <w:bookmarkStart w:id="150" w:name="_Toc297048346"/>
      <w:bookmarkStart w:id="151" w:name="_Toc292559870"/>
      <w:bookmarkStart w:id="152" w:name="_Toc296347159"/>
      <w:bookmarkStart w:id="153" w:name="_Toc296890988"/>
      <w:bookmarkStart w:id="154" w:name="_Toc318581158"/>
      <w:bookmarkStart w:id="155" w:name="_Toc312677989"/>
      <w:r>
        <w:rPr>
          <w:rFonts w:hint="eastAsia" w:cs="宋体"/>
          <w:color w:val="auto"/>
          <w:sz w:val="24"/>
          <w:szCs w:val="24"/>
          <w:highlight w:val="none"/>
        </w:rPr>
        <w:t>.5.1 分包的一般约定</w:t>
      </w:r>
    </w:p>
    <w:p w14:paraId="313AD7E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禁止分包的工程包括：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BE6D3D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主体结构、关键性工作的范围：</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Start w:id="156" w:name="_Toc297120461"/>
      <w:bookmarkStart w:id="157" w:name="_Toc296346662"/>
      <w:bookmarkStart w:id="158" w:name="_Toc296944500"/>
      <w:bookmarkStart w:id="159" w:name="_Toc297216153"/>
      <w:bookmarkStart w:id="160" w:name="_Toc296891201"/>
      <w:bookmarkStart w:id="161" w:name="_Toc304295525"/>
      <w:bookmarkStart w:id="162" w:name="_Toc297123494"/>
      <w:bookmarkStart w:id="163" w:name="_Toc297048347"/>
      <w:bookmarkStart w:id="164" w:name="_Toc296890989"/>
      <w:bookmarkStart w:id="165" w:name="_Toc296503161"/>
      <w:bookmarkStart w:id="166" w:name="_Toc300934947"/>
      <w:bookmarkStart w:id="167" w:name="_Toc303539104"/>
      <w:bookmarkStart w:id="168" w:name="_Toc296347160"/>
      <w:r>
        <w:rPr>
          <w:rFonts w:hint="eastAsia" w:cs="宋体"/>
          <w:color w:val="auto"/>
          <w:sz w:val="24"/>
          <w:szCs w:val="24"/>
          <w:highlight w:val="none"/>
          <w:u w:val="single"/>
        </w:rPr>
        <w:t xml:space="preserve">执行通用条款 </w:t>
      </w:r>
      <w:r>
        <w:rPr>
          <w:rFonts w:hint="eastAsia" w:cs="宋体"/>
          <w:color w:val="auto"/>
          <w:sz w:val="24"/>
          <w:szCs w:val="24"/>
          <w:highlight w:val="none"/>
        </w:rPr>
        <w:t>。</w:t>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2A0B6B6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69" w:name="_Toc318581159"/>
      <w:bookmarkStart w:id="170" w:name="_Toc312677990"/>
      <w:r>
        <w:rPr>
          <w:rFonts w:hint="eastAsia" w:cs="宋体"/>
          <w:color w:val="auto"/>
          <w:sz w:val="24"/>
          <w:szCs w:val="24"/>
          <w:highlight w:val="none"/>
        </w:rPr>
        <w:t>.5.2 分包的确定</w:t>
      </w:r>
    </w:p>
    <w:p w14:paraId="13921AE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允许分包的专业工程包括：</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2797C6F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其他关于分包的约定：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044B67E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3.5.4 分包合同价款</w:t>
      </w:r>
    </w:p>
    <w:p w14:paraId="43C7F19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关于分包合同价款支付的约定：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169"/>
    <w:bookmarkEnd w:id="170"/>
    <w:p w14:paraId="263F220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3.6 工程照管与成品、半成品保护</w:t>
      </w:r>
    </w:p>
    <w:p w14:paraId="7571655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负责照管工程及工程相关的材料、工程设备的起始时间：</w:t>
      </w:r>
      <w:r>
        <w:rPr>
          <w:rFonts w:hint="eastAsia" w:cs="宋体"/>
          <w:color w:val="auto"/>
          <w:sz w:val="24"/>
          <w:szCs w:val="24"/>
          <w:highlight w:val="none"/>
          <w:u w:val="single"/>
        </w:rPr>
        <w:t>自</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移交施工现场之日起，</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应负责照管工程及工程相关的材料、工程设备，直到颁发工程接收证书之日止。</w:t>
      </w:r>
    </w:p>
    <w:p w14:paraId="38DE80C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3.7 履约保证金</w:t>
      </w:r>
    </w:p>
    <w:p w14:paraId="7E976A3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是否提供履约保证金：</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AE7F13A">
      <w:pPr>
        <w:adjustRightInd w:val="0"/>
        <w:snapToGrid w:val="0"/>
        <w:spacing w:line="360" w:lineRule="auto"/>
        <w:ind w:left="-70" w:leftChars="-35" w:firstLine="568" w:firstLineChars="237"/>
        <w:rPr>
          <w:rFonts w:cs="宋体"/>
          <w:b/>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提供履约保证金的形式：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3BA4F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履约保证金的金额：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62EC9B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履约保证金提交期限的要求：</w:t>
      </w:r>
      <w:r>
        <w:rPr>
          <w:rFonts w:hint="eastAsia" w:cs="宋体"/>
          <w:color w:val="auto"/>
          <w:sz w:val="24"/>
          <w:szCs w:val="24"/>
          <w:highlight w:val="none"/>
          <w:u w:val="single"/>
        </w:rPr>
        <w:t>见《专用合同条款数据表》。</w:t>
      </w:r>
    </w:p>
    <w:p w14:paraId="77D229BF">
      <w:pPr>
        <w:adjustRightInd w:val="0"/>
        <w:snapToGrid w:val="0"/>
        <w:spacing w:line="360" w:lineRule="auto"/>
        <w:ind w:firstLine="480" w:firstLineChars="200"/>
        <w:rPr>
          <w:rFonts w:cs="宋体"/>
          <w:strike/>
          <w:color w:val="auto"/>
          <w:sz w:val="24"/>
          <w:szCs w:val="24"/>
          <w:highlight w:val="none"/>
        </w:rPr>
      </w:pPr>
      <w:r>
        <w:rPr>
          <w:rFonts w:hint="eastAsia" w:cs="宋体"/>
          <w:bCs/>
          <w:snapToGrid w:val="0"/>
          <w:color w:val="auto"/>
          <w:sz w:val="24"/>
          <w:szCs w:val="24"/>
          <w:highlight w:val="none"/>
        </w:rPr>
        <w:t>履约保证金退还时限：</w:t>
      </w:r>
      <w:r>
        <w:rPr>
          <w:rFonts w:hint="eastAsia" w:cs="宋体"/>
          <w:color w:val="auto"/>
          <w:sz w:val="24"/>
          <w:szCs w:val="24"/>
          <w:highlight w:val="none"/>
          <w:u w:val="single"/>
        </w:rPr>
        <w:t>见《专用合同条款数据表》。</w:t>
      </w:r>
    </w:p>
    <w:p w14:paraId="2329B3A0">
      <w:pPr>
        <w:snapToGrid w:val="0"/>
        <w:spacing w:before="312" w:beforeLines="100" w:after="312" w:afterLines="100" w:line="360" w:lineRule="auto"/>
        <w:outlineLvl w:val="2"/>
        <w:rPr>
          <w:rFonts w:hint="default" w:cs="宋体"/>
          <w:color w:val="auto"/>
          <w:sz w:val="24"/>
          <w:szCs w:val="24"/>
          <w:highlight w:val="none"/>
          <w:lang w:val="en-US" w:eastAsia="zh-CN"/>
        </w:rPr>
      </w:pPr>
      <w:bookmarkStart w:id="171" w:name="_Toc351203636"/>
      <w:r>
        <w:rPr>
          <w:rFonts w:hint="eastAsia" w:cs="宋体"/>
          <w:color w:val="auto"/>
          <w:sz w:val="24"/>
          <w:szCs w:val="24"/>
          <w:highlight w:val="none"/>
        </w:rPr>
        <w:t>4</w:t>
      </w:r>
      <w:bookmarkStart w:id="172" w:name="_Toc296346663"/>
      <w:bookmarkStart w:id="173" w:name="_Toc297120462"/>
      <w:bookmarkStart w:id="174" w:name="_Toc297048348"/>
      <w:bookmarkStart w:id="175" w:name="_Toc296891202"/>
      <w:bookmarkStart w:id="176" w:name="_Toc296503162"/>
      <w:bookmarkStart w:id="177" w:name="_Toc292559871"/>
      <w:bookmarkStart w:id="178" w:name="_Toc292559366"/>
      <w:bookmarkStart w:id="179" w:name="_Toc296347161"/>
      <w:bookmarkStart w:id="180" w:name="_Toc267251413"/>
      <w:bookmarkStart w:id="181" w:name="_Toc296890990"/>
      <w:bookmarkStart w:id="182" w:name="_Toc296944501"/>
      <w:r>
        <w:rPr>
          <w:rFonts w:hint="eastAsia" w:cs="宋体"/>
          <w:color w:val="auto"/>
          <w:sz w:val="24"/>
          <w:szCs w:val="24"/>
          <w:highlight w:val="none"/>
        </w:rPr>
        <w:t>. 监</w:t>
      </w:r>
      <w:bookmarkEnd w:id="172"/>
      <w:bookmarkEnd w:id="173"/>
      <w:bookmarkEnd w:id="174"/>
      <w:bookmarkEnd w:id="175"/>
      <w:bookmarkEnd w:id="176"/>
      <w:bookmarkEnd w:id="177"/>
      <w:bookmarkEnd w:id="178"/>
      <w:bookmarkEnd w:id="179"/>
      <w:bookmarkEnd w:id="180"/>
      <w:bookmarkEnd w:id="181"/>
      <w:bookmarkEnd w:id="182"/>
      <w:r>
        <w:rPr>
          <w:rFonts w:hint="eastAsia" w:cs="宋体"/>
          <w:color w:val="auto"/>
          <w:sz w:val="24"/>
          <w:szCs w:val="24"/>
          <w:highlight w:val="none"/>
        </w:rPr>
        <w:t>理人</w:t>
      </w:r>
      <w:bookmarkEnd w:id="171"/>
      <w:r>
        <w:rPr>
          <w:rFonts w:hint="eastAsia" w:cs="宋体"/>
          <w:color w:val="auto"/>
          <w:sz w:val="24"/>
          <w:szCs w:val="24"/>
          <w:highlight w:val="none"/>
          <w:lang w:eastAsia="zh-CN"/>
        </w:rPr>
        <w:t>：</w:t>
      </w:r>
      <w:r>
        <w:rPr>
          <w:rFonts w:hint="eastAsia" w:cs="宋体"/>
          <w:color w:val="auto"/>
          <w:sz w:val="24"/>
          <w:szCs w:val="24"/>
          <w:highlight w:val="none"/>
          <w:lang w:val="en-US" w:eastAsia="zh-CN"/>
        </w:rPr>
        <w:t>（如有）</w:t>
      </w:r>
    </w:p>
    <w:p w14:paraId="572AB6BE">
      <w:pPr>
        <w:snapToGrid w:val="0"/>
        <w:spacing w:before="312" w:beforeLines="100" w:after="312" w:afterLines="100" w:line="360" w:lineRule="auto"/>
        <w:outlineLvl w:val="2"/>
        <w:rPr>
          <w:rFonts w:cs="宋体"/>
          <w:color w:val="auto"/>
          <w:sz w:val="24"/>
          <w:szCs w:val="24"/>
          <w:highlight w:val="none"/>
        </w:rPr>
      </w:pPr>
      <w:bookmarkStart w:id="183" w:name="_Toc267251418"/>
      <w:bookmarkStart w:id="184" w:name="_Toc351203637"/>
      <w:r>
        <w:rPr>
          <w:rFonts w:hint="eastAsia" w:cs="宋体"/>
          <w:color w:val="auto"/>
          <w:sz w:val="24"/>
          <w:szCs w:val="24"/>
          <w:highlight w:val="none"/>
        </w:rPr>
        <w:t>5</w:t>
      </w:r>
      <w:bookmarkEnd w:id="183"/>
      <w:bookmarkStart w:id="185" w:name="_Toc296346664"/>
      <w:bookmarkStart w:id="186" w:name="_Toc292559367"/>
      <w:bookmarkStart w:id="187" w:name="_Toc296503163"/>
      <w:bookmarkStart w:id="188" w:name="_Toc297120463"/>
      <w:bookmarkStart w:id="189" w:name="_Toc297048349"/>
      <w:bookmarkStart w:id="190" w:name="_Toc296891203"/>
      <w:bookmarkStart w:id="191" w:name="_Toc296890991"/>
      <w:bookmarkStart w:id="192" w:name="_Toc296347162"/>
      <w:bookmarkStart w:id="193" w:name="_Toc296944502"/>
      <w:bookmarkStart w:id="194" w:name="_Toc292559872"/>
      <w:r>
        <w:rPr>
          <w:rFonts w:hint="eastAsia" w:cs="宋体"/>
          <w:color w:val="auto"/>
          <w:sz w:val="24"/>
          <w:szCs w:val="24"/>
          <w:highlight w:val="none"/>
        </w:rPr>
        <w:t>. 工程质量</w:t>
      </w:r>
      <w:bookmarkEnd w:id="184"/>
    </w:p>
    <w:p w14:paraId="70E40AB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5.1 质量要求</w:t>
      </w:r>
    </w:p>
    <w:p w14:paraId="2F0DE4E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w:t>
      </w:r>
      <w:bookmarkStart w:id="195" w:name="_Toc318581164"/>
      <w:bookmarkStart w:id="196" w:name="_Toc312677997"/>
      <w:bookmarkStart w:id="197" w:name="_Toc300934949"/>
      <w:bookmarkStart w:id="198" w:name="_Toc297123496"/>
      <w:bookmarkStart w:id="199" w:name="_Toc303539106"/>
      <w:bookmarkStart w:id="200" w:name="_Toc297216155"/>
      <w:bookmarkStart w:id="201" w:name="_Toc304295527"/>
      <w:r>
        <w:rPr>
          <w:rFonts w:hint="eastAsia" w:cs="宋体"/>
          <w:color w:val="auto"/>
          <w:sz w:val="24"/>
          <w:szCs w:val="24"/>
          <w:highlight w:val="none"/>
        </w:rPr>
        <w:t>.1.1 特殊质量标准和要求：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09E823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关于工程奖项的约定：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FEDD4C3">
      <w:pPr>
        <w:snapToGrid w:val="0"/>
        <w:spacing w:line="360" w:lineRule="auto"/>
        <w:ind w:firstLine="480" w:firstLineChars="200"/>
        <w:jc w:val="left"/>
        <w:rPr>
          <w:rFonts w:cs="宋体"/>
          <w:color w:val="auto"/>
          <w:sz w:val="24"/>
          <w:szCs w:val="24"/>
          <w:highlight w:val="none"/>
        </w:rPr>
      </w:pPr>
      <w:bookmarkStart w:id="202" w:name="_Toc351203638"/>
      <w:r>
        <w:rPr>
          <w:rFonts w:hint="eastAsia" w:cs="宋体"/>
          <w:color w:val="auto"/>
          <w:sz w:val="24"/>
          <w:szCs w:val="24"/>
          <w:highlight w:val="none"/>
        </w:rPr>
        <w:t>关于建造要求：</w:t>
      </w:r>
    </w:p>
    <w:p w14:paraId="2368389D">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（1）绿色建筑等级要求：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2FC16F5F">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（2）智慧工地管理要求：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2B8D10C0">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（3）建筑垃圾减量化目标：</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79D43EAC">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（4）装配式建筑装配率要求：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1895023">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D48D4C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5.3 隐蔽工程检查</w:t>
      </w:r>
    </w:p>
    <w:p w14:paraId="1A1E30B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5.3.2 </w:t>
      </w:r>
      <w:r>
        <w:rPr>
          <w:rFonts w:hint="eastAsia" w:cs="宋体"/>
          <w:color w:val="auto"/>
          <w:sz w:val="24"/>
          <w:szCs w:val="24"/>
          <w:highlight w:val="none"/>
          <w:lang w:eastAsia="zh-CN"/>
        </w:rPr>
        <w:t>乙方</w:t>
      </w:r>
      <w:r>
        <w:rPr>
          <w:rFonts w:hint="eastAsia" w:cs="宋体"/>
          <w:color w:val="auto"/>
          <w:sz w:val="24"/>
          <w:szCs w:val="24"/>
          <w:highlight w:val="none"/>
        </w:rPr>
        <w:t>提前通知隐蔽工程检查的期限的约定：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A1C6D4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rPr>
        <w:t xml:space="preserve"> 执行通用条款 </w:t>
      </w:r>
      <w:r>
        <w:rPr>
          <w:rFonts w:hint="eastAsia" w:cs="宋体"/>
          <w:color w:val="auto"/>
          <w:sz w:val="24"/>
          <w:szCs w:val="24"/>
          <w:highlight w:val="none"/>
        </w:rPr>
        <w:t>小时。</w:t>
      </w:r>
    </w:p>
    <w:p w14:paraId="206A037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w:t>
      </w:r>
      <w:bookmarkStart w:id="203" w:name="_Toc337558762"/>
      <w:r>
        <w:rPr>
          <w:rFonts w:hint="eastAsia" w:cs="宋体"/>
          <w:bCs/>
          <w:color w:val="auto"/>
          <w:sz w:val="24"/>
          <w:szCs w:val="24"/>
          <w:highlight w:val="none"/>
        </w:rPr>
        <w:t>.4 不合格工程的处理</w:t>
      </w:r>
    </w:p>
    <w:bookmarkEnd w:id="203"/>
    <w:p w14:paraId="4C938AD9">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本款补充5.4.3项：</w:t>
      </w:r>
    </w:p>
    <w:p w14:paraId="2D94F28A">
      <w:pPr>
        <w:snapToGrid w:val="0"/>
        <w:spacing w:line="360" w:lineRule="auto"/>
        <w:ind w:firstLine="480" w:firstLineChars="200"/>
        <w:jc w:val="left"/>
        <w:rPr>
          <w:rFonts w:cs="宋体"/>
          <w:strike w:val="0"/>
          <w:dstrike w:val="0"/>
          <w:color w:val="auto"/>
          <w:sz w:val="24"/>
          <w:szCs w:val="24"/>
          <w:highlight w:val="none"/>
        </w:rPr>
      </w:pPr>
      <w:r>
        <w:rPr>
          <w:rFonts w:hint="eastAsia" w:cs="宋体"/>
          <w:color w:val="auto"/>
          <w:sz w:val="24"/>
          <w:szCs w:val="24"/>
          <w:highlight w:val="none"/>
        </w:rPr>
        <w:t xml:space="preserve">5.4.3 </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在收到</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发出的</w:t>
      </w:r>
      <w:r>
        <w:rPr>
          <w:rFonts w:hint="eastAsia" w:cs="宋体"/>
          <w:strike w:val="0"/>
          <w:dstrike w:val="0"/>
          <w:color w:val="auto"/>
          <w:sz w:val="24"/>
          <w:szCs w:val="24"/>
          <w:highlight w:val="none"/>
          <w:lang w:val="en-US" w:eastAsia="zh-CN"/>
        </w:rPr>
        <w:t>整改通知后</w:t>
      </w:r>
      <w:r>
        <w:rPr>
          <w:rFonts w:hint="eastAsia" w:cs="宋体"/>
          <w:strike w:val="0"/>
          <w:dstrike w:val="0"/>
          <w:color w:val="auto"/>
          <w:sz w:val="24"/>
          <w:szCs w:val="24"/>
          <w:highlight w:val="none"/>
        </w:rPr>
        <w:t>，必须在</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规定时间内按要求完成整改，未能在限定时间内完成整改的，须承担相应违约责任。</w:t>
      </w:r>
    </w:p>
    <w:p w14:paraId="129B41CF">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本条补充5.6款：</w:t>
      </w:r>
    </w:p>
    <w:p w14:paraId="6ED07482">
      <w:pPr>
        <w:keepNext/>
        <w:keepLines/>
        <w:snapToGrid w:val="0"/>
        <w:spacing w:before="120" w:after="120" w:line="360" w:lineRule="auto"/>
        <w:ind w:firstLine="480" w:firstLineChars="200"/>
        <w:outlineLvl w:val="3"/>
        <w:rPr>
          <w:rFonts w:cs="宋体"/>
          <w:bCs/>
          <w:color w:val="auto"/>
          <w:sz w:val="24"/>
          <w:szCs w:val="24"/>
          <w:highlight w:val="none"/>
        </w:rPr>
      </w:pPr>
      <w:bookmarkStart w:id="204" w:name="_Toc532377348"/>
      <w:r>
        <w:rPr>
          <w:rFonts w:hint="eastAsia" w:cs="宋体"/>
          <w:bCs/>
          <w:color w:val="auto"/>
          <w:sz w:val="24"/>
          <w:szCs w:val="24"/>
          <w:highlight w:val="none"/>
        </w:rPr>
        <w:t>5.6 质量事故的处理</w:t>
      </w:r>
      <w:bookmarkEnd w:id="204"/>
    </w:p>
    <w:p w14:paraId="574543E3">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5.6.1 合同履行过程中，发生工程质量事故的调查处理按照国家现行规定处理。</w:t>
      </w:r>
    </w:p>
    <w:p w14:paraId="0FBB8E22">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5.6.2 </w:t>
      </w:r>
      <w:r>
        <w:rPr>
          <w:rFonts w:hint="eastAsia" w:cs="宋体"/>
          <w:color w:val="auto"/>
          <w:sz w:val="24"/>
          <w:szCs w:val="24"/>
          <w:highlight w:val="none"/>
          <w:lang w:eastAsia="zh-CN"/>
        </w:rPr>
        <w:t>甲方</w:t>
      </w:r>
      <w:r>
        <w:rPr>
          <w:rFonts w:hint="eastAsia" w:cs="宋体"/>
          <w:color w:val="auto"/>
          <w:sz w:val="24"/>
          <w:szCs w:val="24"/>
          <w:highlight w:val="none"/>
        </w:rPr>
        <w:t>在对工程质量、安全和环境保护、水土保持等建设全过程管理中发现有技术、质量和其他问题的，可责令</w:t>
      </w:r>
      <w:r>
        <w:rPr>
          <w:rFonts w:hint="eastAsia" w:cs="宋体"/>
          <w:color w:val="auto"/>
          <w:sz w:val="24"/>
          <w:szCs w:val="24"/>
          <w:highlight w:val="none"/>
          <w:lang w:eastAsia="zh-CN"/>
        </w:rPr>
        <w:t>乙方</w:t>
      </w:r>
      <w:r>
        <w:rPr>
          <w:rFonts w:hint="eastAsia" w:cs="宋体"/>
          <w:color w:val="auto"/>
          <w:sz w:val="24"/>
          <w:szCs w:val="24"/>
          <w:highlight w:val="none"/>
        </w:rPr>
        <w:t>返工或整改；对存在的隐患，有权责令</w:t>
      </w:r>
      <w:r>
        <w:rPr>
          <w:rFonts w:hint="eastAsia" w:cs="宋体"/>
          <w:color w:val="auto"/>
          <w:sz w:val="24"/>
          <w:szCs w:val="24"/>
          <w:highlight w:val="none"/>
          <w:lang w:eastAsia="zh-CN"/>
        </w:rPr>
        <w:t>乙方</w:t>
      </w:r>
      <w:r>
        <w:rPr>
          <w:rFonts w:hint="eastAsia" w:cs="宋体"/>
          <w:color w:val="auto"/>
          <w:sz w:val="24"/>
          <w:szCs w:val="24"/>
          <w:highlight w:val="none"/>
        </w:rPr>
        <w:t>予以解决，</w:t>
      </w:r>
      <w:r>
        <w:rPr>
          <w:rFonts w:hint="eastAsia" w:cs="宋体"/>
          <w:color w:val="auto"/>
          <w:sz w:val="24"/>
          <w:szCs w:val="24"/>
          <w:highlight w:val="none"/>
          <w:lang w:eastAsia="zh-CN"/>
        </w:rPr>
        <w:t>乙方</w:t>
      </w:r>
      <w:r>
        <w:rPr>
          <w:rFonts w:hint="eastAsia" w:cs="宋体"/>
          <w:color w:val="auto"/>
          <w:sz w:val="24"/>
          <w:szCs w:val="24"/>
          <w:highlight w:val="none"/>
        </w:rPr>
        <w:t>按照合同中其他条款约定承担违约责任。</w:t>
      </w:r>
    </w:p>
    <w:p w14:paraId="4F0043CA">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t>6. 安全文明施工与环境保护</w:t>
      </w:r>
      <w:bookmarkEnd w:id="202"/>
    </w:p>
    <w:p w14:paraId="6122B5F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6.1 安全文明施工</w:t>
      </w:r>
    </w:p>
    <w:p w14:paraId="0FE0E9B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6.1.1 项目安全生产的达标目标及相应事项的约定：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42E4C5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6.1.4 关于治安保卫的特别约定：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4B3D5C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关于编制施工场地治安管理计划的约定：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A71239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6.1.5 文明施工</w:t>
      </w:r>
    </w:p>
    <w:p w14:paraId="1D7DEAB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合同当事人对文明施工的要求：</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应按国家及地方有关规定制定的“文明工地标准”文明施工，并应在施工组织设计中提出施工全过程的文明施工措施计划。</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承担文明施工所需的一切费用，否则，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有权对相关措施费不予支付，且</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不得提出任何异议 </w:t>
      </w:r>
      <w:r>
        <w:rPr>
          <w:rFonts w:hint="eastAsia" w:cs="宋体"/>
          <w:color w:val="auto"/>
          <w:sz w:val="24"/>
          <w:szCs w:val="24"/>
          <w:highlight w:val="none"/>
        </w:rPr>
        <w:t>。</w:t>
      </w:r>
    </w:p>
    <w:p w14:paraId="6CFF55D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6.1.6 关于安全文明施工费支付比例和支付期限的约定：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rPr>
        <w:t>。</w:t>
      </w:r>
    </w:p>
    <w:bookmarkEnd w:id="195"/>
    <w:bookmarkEnd w:id="196"/>
    <w:bookmarkEnd w:id="197"/>
    <w:bookmarkEnd w:id="198"/>
    <w:bookmarkEnd w:id="199"/>
    <w:bookmarkEnd w:id="200"/>
    <w:bookmarkEnd w:id="201"/>
    <w:p w14:paraId="4DEB6F7E">
      <w:pPr>
        <w:snapToGrid w:val="0"/>
        <w:spacing w:before="312" w:beforeLines="100" w:after="312" w:afterLines="100" w:line="360" w:lineRule="auto"/>
        <w:outlineLvl w:val="2"/>
        <w:rPr>
          <w:rFonts w:cs="宋体"/>
          <w:color w:val="auto"/>
          <w:sz w:val="24"/>
          <w:szCs w:val="24"/>
          <w:highlight w:val="none"/>
        </w:rPr>
      </w:pPr>
      <w:bookmarkStart w:id="205" w:name="_Toc351203639"/>
      <w:r>
        <w:rPr>
          <w:rFonts w:hint="eastAsia" w:cs="宋体"/>
          <w:color w:val="auto"/>
          <w:sz w:val="24"/>
          <w:szCs w:val="24"/>
          <w:highlight w:val="none"/>
        </w:rPr>
        <w:t>7. 工期和进度</w:t>
      </w:r>
      <w:bookmarkEnd w:id="205"/>
    </w:p>
    <w:p w14:paraId="0C8C6D9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7.1 施工组织设计</w:t>
      </w:r>
    </w:p>
    <w:p w14:paraId="098AB56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7.1.1 合同当事人约定的施工组织设计应包括的其他内容：</w:t>
      </w:r>
      <w:r>
        <w:rPr>
          <w:rFonts w:hint="eastAsia" w:cs="宋体"/>
          <w:color w:val="auto"/>
          <w:sz w:val="24"/>
          <w:szCs w:val="24"/>
          <w:highlight w:val="none"/>
          <w:u w:val="single"/>
        </w:rPr>
        <w:t>总进度计划须含网络图、横道图。</w:t>
      </w:r>
    </w:p>
    <w:p w14:paraId="4E805A2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7.1.2 施工组织设计的提交和修改</w:t>
      </w:r>
    </w:p>
    <w:p w14:paraId="62BA43F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提交详细施工组织设计的期限的约定：</w:t>
      </w:r>
      <w:r>
        <w:rPr>
          <w:rFonts w:hint="eastAsia" w:cs="宋体"/>
          <w:color w:val="auto"/>
          <w:sz w:val="24"/>
          <w:szCs w:val="24"/>
          <w:highlight w:val="none"/>
          <w:u w:val="single"/>
        </w:rPr>
        <w:t xml:space="preserve"> 合同签订后 14 天内，但最迟不得晚于第7.3.2 项〔开工通知〕载明的开工日期前 7 天 </w:t>
      </w:r>
      <w:r>
        <w:rPr>
          <w:rFonts w:hint="eastAsia" w:cs="宋体"/>
          <w:color w:val="auto"/>
          <w:sz w:val="24"/>
          <w:szCs w:val="24"/>
          <w:highlight w:val="none"/>
        </w:rPr>
        <w:t>。</w:t>
      </w:r>
    </w:p>
    <w:p w14:paraId="5C84251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在收到详细的施工组织设计后确认或提出修改意见的期限：</w:t>
      </w:r>
      <w:r>
        <w:rPr>
          <w:rFonts w:hint="eastAsia" w:cs="宋体"/>
          <w:color w:val="auto"/>
          <w:sz w:val="24"/>
          <w:szCs w:val="24"/>
          <w:highlight w:val="none"/>
          <w:u w:val="single"/>
        </w:rPr>
        <w:t xml:space="preserve"> 收到施工组织设计后7天内 </w:t>
      </w:r>
      <w:r>
        <w:rPr>
          <w:rFonts w:hint="eastAsia" w:cs="宋体"/>
          <w:color w:val="auto"/>
          <w:sz w:val="24"/>
          <w:szCs w:val="24"/>
          <w:highlight w:val="none"/>
        </w:rPr>
        <w:t>。</w:t>
      </w:r>
    </w:p>
    <w:p w14:paraId="1518ED9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06" w:name="_Toc297123514"/>
      <w:bookmarkStart w:id="207" w:name="_Toc312677479"/>
      <w:bookmarkStart w:id="208" w:name="_Toc312678005"/>
      <w:bookmarkStart w:id="209" w:name="_Toc303539123"/>
      <w:bookmarkStart w:id="210" w:name="_Toc300934966"/>
      <w:bookmarkStart w:id="211" w:name="_Toc297216173"/>
      <w:bookmarkStart w:id="212" w:name="_Toc304295541"/>
      <w:r>
        <w:rPr>
          <w:rFonts w:hint="eastAsia" w:cs="宋体"/>
          <w:bCs/>
          <w:color w:val="auto"/>
          <w:sz w:val="24"/>
          <w:szCs w:val="24"/>
          <w:highlight w:val="none"/>
        </w:rPr>
        <w:t>.2 施工进度计划</w:t>
      </w:r>
    </w:p>
    <w:p w14:paraId="54728AE4">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cs="宋体"/>
          <w:color w:val="auto"/>
          <w:sz w:val="24"/>
          <w:szCs w:val="24"/>
          <w:highlight w:val="none"/>
        </w:rPr>
        <w:t>7.2.2 施工进度计划的修订</w:t>
      </w:r>
    </w:p>
    <w:p w14:paraId="54206ECC">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在收到修订的施工进度计划后确认或提出修改意见的期限：</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提交修订合同进度计划的申请报告，并附有关措施和相关资料，报</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应在收到申请报告后的 14 天内批复。当</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认为需要修订合同进度计划时，</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应按</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的指示，在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提交修订的合同进度计划，并附调整计划的相关资料，提交</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应在收到进度计划后的 14 天内批复</w:t>
      </w:r>
      <w:r>
        <w:rPr>
          <w:rFonts w:hint="eastAsia" w:ascii="宋体" w:hAnsi="宋体" w:eastAsia="宋体" w:cs="宋体"/>
          <w:color w:val="auto"/>
          <w:sz w:val="24"/>
          <w:szCs w:val="24"/>
          <w:highlight w:val="none"/>
          <w:u w:val="single"/>
        </w:rPr>
        <w:t xml:space="preserve"> 。</w:t>
      </w:r>
    </w:p>
    <w:p w14:paraId="125C4F0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7.3 开工</w:t>
      </w:r>
    </w:p>
    <w:p w14:paraId="2B8FE88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7.3.1 开工准备</w:t>
      </w:r>
    </w:p>
    <w:p w14:paraId="4F0071C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提交工程开工报审表的期限：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3FB8572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4B11B57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bookmarkEnd w:id="206"/>
    <w:bookmarkEnd w:id="207"/>
    <w:bookmarkEnd w:id="208"/>
    <w:bookmarkEnd w:id="209"/>
    <w:bookmarkEnd w:id="210"/>
    <w:bookmarkEnd w:id="211"/>
    <w:bookmarkEnd w:id="212"/>
    <w:p w14:paraId="3C621F7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7.4 测量放线</w:t>
      </w:r>
    </w:p>
    <w:p w14:paraId="1E40931B">
      <w:pPr>
        <w:adjustRightInd w:val="0"/>
        <w:snapToGrid w:val="0"/>
        <w:spacing w:line="360" w:lineRule="auto"/>
        <w:ind w:firstLine="480" w:firstLineChars="200"/>
        <w:rPr>
          <w:rFonts w:cs="宋体"/>
          <w:strike w:val="0"/>
          <w:dstrike w:val="0"/>
          <w:color w:val="auto"/>
          <w:sz w:val="24"/>
          <w:szCs w:val="24"/>
          <w:highlight w:val="none"/>
          <w:u w:val="single"/>
        </w:rPr>
      </w:pPr>
      <w:r>
        <w:rPr>
          <w:rFonts w:hint="eastAsia" w:cs="宋体"/>
          <w:strike w:val="0"/>
          <w:dstrike w:val="0"/>
          <w:color w:val="auto"/>
          <w:sz w:val="24"/>
          <w:szCs w:val="24"/>
          <w:highlight w:val="none"/>
        </w:rPr>
        <w:t xml:space="preserve">7.4.1 </w:t>
      </w:r>
      <w:r>
        <w:rPr>
          <w:rFonts w:hint="eastAsia" w:cs="宋体"/>
          <w:strike w:val="0"/>
          <w:dstrike w:val="0"/>
          <w:color w:val="auto"/>
          <w:sz w:val="24"/>
          <w:szCs w:val="24"/>
          <w:highlight w:val="none"/>
          <w:lang w:eastAsia="zh-CN"/>
        </w:rPr>
        <w:t>甲方</w:t>
      </w:r>
      <w:r>
        <w:rPr>
          <w:rFonts w:hint="eastAsia" w:cs="宋体"/>
          <w:strike w:val="0"/>
          <w:dstrike w:val="0"/>
          <w:color w:val="auto"/>
          <w:sz w:val="24"/>
          <w:szCs w:val="24"/>
          <w:highlight w:val="none"/>
        </w:rPr>
        <w:t>向</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提供测量基准点、基准线和水准点及其书面资料的期限：</w:t>
      </w:r>
      <w:r>
        <w:rPr>
          <w:rFonts w:hint="eastAsia" w:cs="宋体"/>
          <w:strike w:val="0"/>
          <w:dstrike w:val="0"/>
          <w:color w:val="auto"/>
          <w:sz w:val="24"/>
          <w:szCs w:val="24"/>
          <w:highlight w:val="none"/>
          <w:u w:val="single"/>
        </w:rPr>
        <w:t xml:space="preserve"> 开工前 7 天内 </w:t>
      </w:r>
      <w:r>
        <w:rPr>
          <w:rFonts w:hint="eastAsia" w:cs="宋体"/>
          <w:strike w:val="0"/>
          <w:dstrike w:val="0"/>
          <w:color w:val="auto"/>
          <w:sz w:val="24"/>
          <w:szCs w:val="24"/>
          <w:highlight w:val="none"/>
        </w:rPr>
        <w:t>。</w:t>
      </w:r>
    </w:p>
    <w:p w14:paraId="5CA7B40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13" w:name="_Toc312678010"/>
      <w:bookmarkStart w:id="214" w:name="_Toc312677484"/>
      <w:bookmarkStart w:id="215" w:name="_Toc304295546"/>
      <w:bookmarkStart w:id="216" w:name="_Toc297123516"/>
      <w:bookmarkStart w:id="217" w:name="_Toc300934968"/>
      <w:bookmarkStart w:id="218" w:name="_Toc303539125"/>
      <w:bookmarkStart w:id="219" w:name="_Toc297216175"/>
      <w:r>
        <w:rPr>
          <w:rFonts w:hint="eastAsia" w:cs="宋体"/>
          <w:bCs/>
          <w:color w:val="auto"/>
          <w:sz w:val="24"/>
          <w:szCs w:val="24"/>
          <w:highlight w:val="none"/>
        </w:rPr>
        <w:t>.5 工期延误</w:t>
      </w:r>
    </w:p>
    <w:bookmarkEnd w:id="213"/>
    <w:bookmarkEnd w:id="214"/>
    <w:bookmarkEnd w:id="215"/>
    <w:bookmarkEnd w:id="216"/>
    <w:bookmarkEnd w:id="217"/>
    <w:bookmarkEnd w:id="218"/>
    <w:bookmarkEnd w:id="219"/>
    <w:p w14:paraId="13E8616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7.5.1 因</w:t>
      </w:r>
      <w:r>
        <w:rPr>
          <w:rFonts w:hint="eastAsia" w:cs="宋体"/>
          <w:color w:val="auto"/>
          <w:sz w:val="24"/>
          <w:szCs w:val="24"/>
          <w:highlight w:val="none"/>
          <w:lang w:eastAsia="zh-CN"/>
        </w:rPr>
        <w:t>甲方</w:t>
      </w:r>
      <w:r>
        <w:rPr>
          <w:rFonts w:hint="eastAsia" w:cs="宋体"/>
          <w:color w:val="auto"/>
          <w:sz w:val="24"/>
          <w:szCs w:val="24"/>
          <w:highlight w:val="none"/>
        </w:rPr>
        <w:t>原因导致工期延误</w:t>
      </w:r>
    </w:p>
    <w:p w14:paraId="1DB7858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（7）因</w:t>
      </w:r>
      <w:r>
        <w:rPr>
          <w:rFonts w:hint="eastAsia" w:cs="宋体"/>
          <w:color w:val="auto"/>
          <w:sz w:val="24"/>
          <w:szCs w:val="24"/>
          <w:highlight w:val="none"/>
          <w:lang w:eastAsia="zh-CN"/>
        </w:rPr>
        <w:t>甲方</w:t>
      </w:r>
      <w:r>
        <w:rPr>
          <w:rFonts w:hint="eastAsia" w:cs="宋体"/>
          <w:color w:val="auto"/>
          <w:sz w:val="24"/>
          <w:szCs w:val="24"/>
          <w:highlight w:val="none"/>
        </w:rPr>
        <w:t>原因导致工期延误的其他情形：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F0E56C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w:t>
      </w:r>
      <w:bookmarkStart w:id="220" w:name="_Toc318581169"/>
      <w:bookmarkStart w:id="221" w:name="_Toc312678012"/>
      <w:bookmarkStart w:id="222" w:name="_Toc312677486"/>
      <w:bookmarkStart w:id="223" w:name="_Toc303539127"/>
      <w:bookmarkStart w:id="224" w:name="_Toc304295548"/>
      <w:bookmarkStart w:id="225" w:name="_Toc297123518"/>
      <w:bookmarkStart w:id="226" w:name="_Toc297216177"/>
      <w:bookmarkStart w:id="227" w:name="_Toc300934970"/>
      <w:r>
        <w:rPr>
          <w:rFonts w:hint="eastAsia" w:cs="宋体"/>
          <w:color w:val="auto"/>
          <w:sz w:val="24"/>
          <w:szCs w:val="24"/>
          <w:highlight w:val="none"/>
        </w:rPr>
        <w:t>.5.2 因</w:t>
      </w:r>
      <w:r>
        <w:rPr>
          <w:rFonts w:hint="eastAsia" w:cs="宋体"/>
          <w:color w:val="auto"/>
          <w:sz w:val="24"/>
          <w:szCs w:val="24"/>
          <w:highlight w:val="none"/>
          <w:lang w:eastAsia="zh-CN"/>
        </w:rPr>
        <w:t>乙方</w:t>
      </w:r>
      <w:r>
        <w:rPr>
          <w:rFonts w:hint="eastAsia" w:cs="宋体"/>
          <w:color w:val="auto"/>
          <w:sz w:val="24"/>
          <w:szCs w:val="24"/>
          <w:highlight w:val="none"/>
        </w:rPr>
        <w:t>原因导致工期延误</w:t>
      </w:r>
    </w:p>
    <w:bookmarkEnd w:id="220"/>
    <w:bookmarkEnd w:id="221"/>
    <w:bookmarkEnd w:id="222"/>
    <w:p w14:paraId="3E8902D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w:t>
      </w:r>
      <w:bookmarkStart w:id="228" w:name="_Toc312677487"/>
      <w:bookmarkStart w:id="229" w:name="_Toc312678013"/>
      <w:bookmarkStart w:id="230" w:name="_Toc318581170"/>
      <w:r>
        <w:rPr>
          <w:rFonts w:hint="eastAsia" w:cs="宋体"/>
          <w:color w:val="auto"/>
          <w:sz w:val="24"/>
          <w:szCs w:val="24"/>
          <w:highlight w:val="none"/>
          <w:lang w:eastAsia="zh-CN"/>
        </w:rPr>
        <w:t>乙方</w:t>
      </w:r>
      <w:r>
        <w:rPr>
          <w:rFonts w:hint="eastAsia" w:cs="宋体"/>
          <w:color w:val="auto"/>
          <w:sz w:val="24"/>
          <w:szCs w:val="24"/>
          <w:highlight w:val="none"/>
        </w:rPr>
        <w:t>原因造成工期延误，逾期</w:t>
      </w:r>
      <w:r>
        <w:rPr>
          <w:rFonts w:hint="eastAsia" w:cs="宋体"/>
          <w:color w:val="auto"/>
          <w:sz w:val="24"/>
          <w:szCs w:val="24"/>
          <w:highlight w:val="none"/>
          <w:lang w:eastAsia="zh-CN"/>
        </w:rPr>
        <w:t>完工</w:t>
      </w:r>
      <w:r>
        <w:rPr>
          <w:rFonts w:hint="eastAsia" w:cs="宋体"/>
          <w:color w:val="auto"/>
          <w:sz w:val="24"/>
          <w:szCs w:val="24"/>
          <w:highlight w:val="none"/>
        </w:rPr>
        <w:t>违约金的计算方法为：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bookmarkEnd w:id="223"/>
      <w:bookmarkEnd w:id="224"/>
      <w:bookmarkEnd w:id="225"/>
      <w:bookmarkEnd w:id="226"/>
      <w:bookmarkEnd w:id="227"/>
      <w:bookmarkEnd w:id="228"/>
      <w:bookmarkEnd w:id="229"/>
    </w:p>
    <w:bookmarkEnd w:id="230"/>
    <w:p w14:paraId="6485BC97">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因</w:t>
      </w:r>
      <w:r>
        <w:rPr>
          <w:rFonts w:hint="eastAsia" w:cs="宋体"/>
          <w:color w:val="auto"/>
          <w:sz w:val="24"/>
          <w:szCs w:val="24"/>
          <w:highlight w:val="none"/>
          <w:lang w:eastAsia="zh-CN"/>
        </w:rPr>
        <w:t>乙方</w:t>
      </w:r>
      <w:r>
        <w:rPr>
          <w:rFonts w:hint="eastAsia" w:cs="宋体"/>
          <w:color w:val="auto"/>
          <w:sz w:val="24"/>
          <w:szCs w:val="24"/>
          <w:highlight w:val="none"/>
        </w:rPr>
        <w:t>原因造成工期延误，逾</w:t>
      </w:r>
      <w:bookmarkStart w:id="231" w:name="_Toc318581171"/>
      <w:bookmarkStart w:id="232" w:name="_Toc312678014"/>
      <w:r>
        <w:rPr>
          <w:rFonts w:hint="eastAsia" w:cs="宋体"/>
          <w:color w:val="auto"/>
          <w:sz w:val="24"/>
          <w:szCs w:val="24"/>
          <w:highlight w:val="none"/>
        </w:rPr>
        <w:t>期</w:t>
      </w:r>
      <w:r>
        <w:rPr>
          <w:rFonts w:hint="eastAsia" w:cs="宋体"/>
          <w:color w:val="auto"/>
          <w:sz w:val="24"/>
          <w:szCs w:val="24"/>
          <w:highlight w:val="none"/>
          <w:lang w:eastAsia="zh-CN"/>
        </w:rPr>
        <w:t>完工</w:t>
      </w:r>
      <w:r>
        <w:rPr>
          <w:rFonts w:hint="eastAsia" w:cs="宋体"/>
          <w:color w:val="auto"/>
          <w:sz w:val="24"/>
          <w:szCs w:val="24"/>
          <w:highlight w:val="none"/>
        </w:rPr>
        <w:t>违约金的上限：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231"/>
    <w:bookmarkEnd w:id="232"/>
    <w:p w14:paraId="1769316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33" w:name="_Toc297216178"/>
      <w:bookmarkStart w:id="234" w:name="_Toc300934971"/>
      <w:bookmarkStart w:id="235" w:name="_Toc304295549"/>
      <w:bookmarkStart w:id="236" w:name="_Toc312678015"/>
      <w:bookmarkStart w:id="237" w:name="_Toc297123519"/>
      <w:bookmarkStart w:id="238" w:name="_Toc303539128"/>
      <w:r>
        <w:rPr>
          <w:rFonts w:hint="eastAsia" w:cs="宋体"/>
          <w:bCs/>
          <w:color w:val="auto"/>
          <w:sz w:val="24"/>
          <w:szCs w:val="24"/>
          <w:highlight w:val="none"/>
        </w:rPr>
        <w:t>.6 不</w:t>
      </w:r>
      <w:bookmarkEnd w:id="233"/>
      <w:bookmarkEnd w:id="234"/>
      <w:bookmarkEnd w:id="235"/>
      <w:bookmarkEnd w:id="236"/>
      <w:bookmarkEnd w:id="237"/>
      <w:bookmarkEnd w:id="238"/>
      <w:r>
        <w:rPr>
          <w:rFonts w:hint="eastAsia" w:cs="宋体"/>
          <w:bCs/>
          <w:color w:val="auto"/>
          <w:sz w:val="24"/>
          <w:szCs w:val="24"/>
          <w:highlight w:val="none"/>
        </w:rPr>
        <w:t>利物质条件</w:t>
      </w:r>
    </w:p>
    <w:p w14:paraId="797F7207">
      <w:pPr>
        <w:adjustRightInd w:val="0"/>
        <w:snapToGrid w:val="0"/>
        <w:spacing w:line="360" w:lineRule="auto"/>
        <w:ind w:firstLine="480" w:firstLineChars="200"/>
        <w:rPr>
          <w:rFonts w:cs="宋体"/>
          <w:b/>
          <w:color w:val="auto"/>
          <w:sz w:val="24"/>
          <w:szCs w:val="24"/>
          <w:highlight w:val="none"/>
          <w:u w:val="single"/>
        </w:rPr>
      </w:pPr>
      <w:bookmarkStart w:id="239" w:name="_Toc304295550"/>
      <w:bookmarkStart w:id="240" w:name="_Toc312678016"/>
      <w:bookmarkStart w:id="241" w:name="_Toc300934972"/>
      <w:bookmarkStart w:id="242" w:name="_Toc297216179"/>
      <w:bookmarkStart w:id="243" w:name="_Toc318581172"/>
      <w:bookmarkStart w:id="244" w:name="_Toc297123520"/>
      <w:bookmarkStart w:id="245" w:name="_Toc303539129"/>
      <w:r>
        <w:rPr>
          <w:rFonts w:hint="eastAsia" w:cs="宋体"/>
          <w:color w:val="auto"/>
          <w:sz w:val="24"/>
          <w:szCs w:val="24"/>
          <w:highlight w:val="none"/>
        </w:rPr>
        <w:t>不利物质条件的其他情形和有关约定：</w:t>
      </w:r>
      <w:r>
        <w:rPr>
          <w:rFonts w:hint="eastAsia" w:ascii="Times New Roman" w:hAnsi="Times New Roman" w:cs="Times New Roman"/>
          <w:b/>
          <w:color w:val="auto"/>
          <w:kern w:val="2"/>
          <w:sz w:val="24"/>
          <w:szCs w:val="24"/>
          <w:highlight w:val="none"/>
          <w:u w:val="single"/>
        </w:rPr>
        <w:t>执行通用条款</w:t>
      </w:r>
      <w:r>
        <w:rPr>
          <w:rFonts w:hint="eastAsia" w:cs="宋体"/>
          <w:color w:val="auto"/>
          <w:sz w:val="24"/>
          <w:szCs w:val="24"/>
          <w:highlight w:val="none"/>
        </w:rPr>
        <w:t>。</w:t>
      </w:r>
    </w:p>
    <w:bookmarkEnd w:id="239"/>
    <w:bookmarkEnd w:id="240"/>
    <w:bookmarkEnd w:id="241"/>
    <w:bookmarkEnd w:id="242"/>
    <w:bookmarkEnd w:id="243"/>
    <w:bookmarkEnd w:id="244"/>
    <w:bookmarkEnd w:id="245"/>
    <w:p w14:paraId="3212089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46" w:name="_Toc297123521"/>
      <w:bookmarkStart w:id="247" w:name="_Toc297216180"/>
      <w:bookmarkStart w:id="248" w:name="_Toc312678017"/>
      <w:bookmarkStart w:id="249" w:name="_Toc300934973"/>
      <w:bookmarkStart w:id="250" w:name="_Toc303539130"/>
      <w:bookmarkStart w:id="251" w:name="_Toc304295551"/>
      <w:r>
        <w:rPr>
          <w:rFonts w:hint="eastAsia" w:cs="宋体"/>
          <w:bCs/>
          <w:color w:val="auto"/>
          <w:sz w:val="24"/>
          <w:szCs w:val="24"/>
          <w:highlight w:val="none"/>
        </w:rPr>
        <w:t>.7 异常恶劣的气候条件</w:t>
      </w:r>
    </w:p>
    <w:bookmarkEnd w:id="246"/>
    <w:bookmarkEnd w:id="247"/>
    <w:bookmarkEnd w:id="248"/>
    <w:bookmarkEnd w:id="249"/>
    <w:bookmarkEnd w:id="250"/>
    <w:bookmarkEnd w:id="251"/>
    <w:p w14:paraId="31410A1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同意以下情形视为异常恶劣的气候条件：</w:t>
      </w:r>
    </w:p>
    <w:p w14:paraId="517DC1D5">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日降雨量大于 100 ㎜的雨日超过 3 天； `</w:t>
      </w:r>
    </w:p>
    <w:p w14:paraId="3253062F">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风速大于 24.5 m/s 的 10 级以上台风灾害；</w:t>
      </w:r>
    </w:p>
    <w:p w14:paraId="21980E92">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（3）日气温超过 40 ℃的高温大于 5 天；</w:t>
      </w:r>
    </w:p>
    <w:p w14:paraId="0456D5D3">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（4）日气温低于 -20 ℃的严寒大于 3 天；</w:t>
      </w:r>
    </w:p>
    <w:p w14:paraId="3DE316D4">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（5）造成工程损坏的冰雹和大雪灾害： 日降雪量 20 ㎜及以上 ；</w:t>
      </w:r>
    </w:p>
    <w:p w14:paraId="349D6E0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（6）其它异常恶劣气候灾害。</w:t>
      </w:r>
    </w:p>
    <w:p w14:paraId="75318405">
      <w:pPr>
        <w:keepNext/>
        <w:keepLines/>
        <w:snapToGrid w:val="0"/>
        <w:spacing w:before="120" w:after="120" w:line="360" w:lineRule="auto"/>
        <w:ind w:firstLine="480" w:firstLineChars="200"/>
        <w:outlineLvl w:val="3"/>
        <w:rPr>
          <w:rFonts w:hint="eastAsia" w:eastAsia="宋体" w:cs="宋体"/>
          <w:bCs/>
          <w:color w:val="auto"/>
          <w:sz w:val="24"/>
          <w:szCs w:val="24"/>
          <w:highlight w:val="none"/>
          <w:lang w:eastAsia="zh-CN"/>
        </w:rPr>
      </w:pPr>
      <w:r>
        <w:rPr>
          <w:rFonts w:hint="eastAsia" w:cs="宋体"/>
          <w:bCs/>
          <w:color w:val="auto"/>
          <w:sz w:val="24"/>
          <w:szCs w:val="24"/>
          <w:highlight w:val="none"/>
        </w:rPr>
        <w:t>7.9 提前</w:t>
      </w:r>
      <w:r>
        <w:rPr>
          <w:rFonts w:hint="eastAsia" w:cs="宋体"/>
          <w:bCs/>
          <w:color w:val="auto"/>
          <w:sz w:val="24"/>
          <w:szCs w:val="24"/>
          <w:highlight w:val="none"/>
          <w:lang w:eastAsia="zh-CN"/>
        </w:rPr>
        <w:t>完工</w:t>
      </w:r>
    </w:p>
    <w:p w14:paraId="617F2B0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7.9.2 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472F0DC">
      <w:pPr>
        <w:snapToGrid w:val="0"/>
        <w:spacing w:before="312" w:beforeLines="100" w:after="312" w:afterLines="100" w:line="360" w:lineRule="auto"/>
        <w:outlineLvl w:val="2"/>
        <w:rPr>
          <w:rFonts w:cs="宋体"/>
          <w:color w:val="auto"/>
          <w:sz w:val="24"/>
          <w:szCs w:val="24"/>
          <w:highlight w:val="none"/>
        </w:rPr>
      </w:pPr>
      <w:bookmarkStart w:id="252" w:name="_Toc351203640"/>
      <w:r>
        <w:rPr>
          <w:rFonts w:hint="eastAsia" w:cs="宋体"/>
          <w:color w:val="auto"/>
          <w:sz w:val="24"/>
          <w:szCs w:val="24"/>
          <w:highlight w:val="none"/>
        </w:rPr>
        <w:t>8. 材料与设备</w:t>
      </w:r>
      <w:bookmarkEnd w:id="252"/>
    </w:p>
    <w:bookmarkEnd w:id="185"/>
    <w:bookmarkEnd w:id="186"/>
    <w:bookmarkEnd w:id="187"/>
    <w:bookmarkEnd w:id="188"/>
    <w:bookmarkEnd w:id="189"/>
    <w:bookmarkEnd w:id="190"/>
    <w:bookmarkEnd w:id="191"/>
    <w:bookmarkEnd w:id="192"/>
    <w:bookmarkEnd w:id="193"/>
    <w:bookmarkEnd w:id="194"/>
    <w:p w14:paraId="1934954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w:t>
      </w:r>
      <w:bookmarkStart w:id="253" w:name="_Toc296503167"/>
      <w:bookmarkStart w:id="254" w:name="_Toc297123527"/>
      <w:bookmarkStart w:id="255" w:name="_Toc312678019"/>
      <w:bookmarkStart w:id="256" w:name="_Toc303539136"/>
      <w:bookmarkStart w:id="257" w:name="_Toc304295556"/>
      <w:bookmarkStart w:id="258" w:name="_Toc296944506"/>
      <w:bookmarkStart w:id="259" w:name="_Toc296347166"/>
      <w:bookmarkStart w:id="260" w:name="_Toc297048353"/>
      <w:bookmarkStart w:id="261" w:name="_Toc296891207"/>
      <w:bookmarkStart w:id="262" w:name="_Toc280868654"/>
      <w:bookmarkStart w:id="263" w:name="_Toc296890995"/>
      <w:bookmarkStart w:id="264" w:name="_Toc292559372"/>
      <w:bookmarkStart w:id="265" w:name="_Toc292559877"/>
      <w:bookmarkStart w:id="266" w:name="_Toc297120467"/>
      <w:bookmarkStart w:id="267" w:name="_Toc296346668"/>
      <w:bookmarkStart w:id="268" w:name="_Toc312677493"/>
      <w:bookmarkStart w:id="269" w:name="_Toc297216186"/>
      <w:bookmarkStart w:id="270" w:name="_Toc300934979"/>
      <w:bookmarkStart w:id="271" w:name="_Toc280868655"/>
      <w:bookmarkStart w:id="272" w:name="_Toc267251424"/>
      <w:bookmarkStart w:id="273" w:name="_Toc280868656"/>
      <w:r>
        <w:rPr>
          <w:rFonts w:hint="eastAsia" w:cs="宋体"/>
          <w:color w:val="auto"/>
          <w:sz w:val="24"/>
          <w:szCs w:val="24"/>
          <w:highlight w:val="none"/>
        </w:rPr>
        <w:t>.4 材料与工程设备的保管与使用</w:t>
      </w:r>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14:paraId="70CD273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8</w:t>
      </w:r>
      <w:bookmarkStart w:id="274" w:name="_Toc292559878"/>
      <w:bookmarkStart w:id="275" w:name="_Toc292559373"/>
      <w:bookmarkStart w:id="276" w:name="_Toc297120468"/>
      <w:bookmarkStart w:id="277" w:name="_Toc297123528"/>
      <w:bookmarkStart w:id="278" w:name="_Toc296890996"/>
      <w:bookmarkStart w:id="279" w:name="_Toc318581173"/>
      <w:bookmarkStart w:id="280" w:name="_Toc312677494"/>
      <w:bookmarkStart w:id="281" w:name="_Toc300934980"/>
      <w:bookmarkStart w:id="282" w:name="_Toc297216187"/>
      <w:bookmarkStart w:id="283" w:name="_Toc296891208"/>
      <w:bookmarkStart w:id="284" w:name="_Toc296346669"/>
      <w:bookmarkStart w:id="285" w:name="_Toc297048354"/>
      <w:bookmarkStart w:id="286" w:name="_Toc304295557"/>
      <w:bookmarkStart w:id="287" w:name="_Toc296347167"/>
      <w:bookmarkStart w:id="288" w:name="_Toc296503168"/>
      <w:bookmarkStart w:id="289" w:name="_Toc312678020"/>
      <w:bookmarkStart w:id="290" w:name="_Toc303539137"/>
      <w:bookmarkStart w:id="291" w:name="_Toc296944507"/>
      <w:r>
        <w:rPr>
          <w:rFonts w:hint="eastAsia" w:cs="宋体"/>
          <w:color w:val="auto"/>
          <w:sz w:val="24"/>
          <w:szCs w:val="24"/>
          <w:highlight w:val="none"/>
        </w:rPr>
        <w:t xml:space="preserve">.4.1 </w:t>
      </w:r>
      <w:r>
        <w:rPr>
          <w:rFonts w:hint="eastAsia" w:cs="宋体"/>
          <w:color w:val="auto"/>
          <w:sz w:val="24"/>
          <w:szCs w:val="24"/>
          <w:highlight w:val="none"/>
          <w:lang w:eastAsia="zh-CN"/>
        </w:rPr>
        <w:t>甲方</w:t>
      </w:r>
      <w:r>
        <w:rPr>
          <w:rFonts w:hint="eastAsia" w:cs="宋体"/>
          <w:color w:val="auto"/>
          <w:sz w:val="24"/>
          <w:szCs w:val="24"/>
          <w:highlight w:val="none"/>
        </w:rPr>
        <w:t>供应的材料设备的保管费用的承担：</w:t>
      </w:r>
      <w:r>
        <w:rPr>
          <w:rFonts w:hint="eastAsia" w:cs="宋体"/>
          <w:color w:val="auto"/>
          <w:sz w:val="24"/>
          <w:szCs w:val="24"/>
          <w:highlight w:val="none"/>
          <w:u w:val="single"/>
        </w:rPr>
        <w:t xml:space="preserve"> </w:t>
      </w:r>
      <w:r>
        <w:rPr>
          <w:rFonts w:hint="eastAsia" w:ascii="Times New Roman" w:hAnsi="Times New Roman" w:cs="Times New Roman"/>
          <w:b/>
          <w:color w:val="auto"/>
          <w:kern w:val="2"/>
          <w:sz w:val="24"/>
          <w:szCs w:val="24"/>
          <w:highlight w:val="none"/>
          <w:u w:val="single"/>
          <w:lang w:eastAsia="zh-CN"/>
        </w:rPr>
        <w:t>乙方</w:t>
      </w:r>
      <w:r>
        <w:rPr>
          <w:rFonts w:hint="eastAsia" w:ascii="Times New Roman" w:hAnsi="Times New Roman" w:cs="Times New Roman"/>
          <w:b/>
          <w:color w:val="auto"/>
          <w:kern w:val="2"/>
          <w:sz w:val="24"/>
          <w:szCs w:val="24"/>
          <w:highlight w:val="none"/>
          <w:u w:val="single"/>
        </w:rPr>
        <w:t>承担</w:t>
      </w:r>
      <w:r>
        <w:rPr>
          <w:rFonts w:hint="eastAsia" w:cs="宋体"/>
          <w:color w:val="auto"/>
          <w:sz w:val="24"/>
          <w:szCs w:val="24"/>
          <w:highlight w:val="none"/>
          <w:u w:val="single"/>
        </w:rPr>
        <w:t xml:space="preserve">  </w:t>
      </w:r>
      <w:r>
        <w:rPr>
          <w:rFonts w:hint="eastAsia" w:cs="宋体"/>
          <w:color w:val="auto"/>
          <w:sz w:val="24"/>
          <w:szCs w:val="24"/>
          <w:highlight w:val="none"/>
        </w:rPr>
        <w:t>。</w:t>
      </w:r>
      <w:bookmarkEnd w:id="274"/>
      <w:bookmarkEnd w:id="275"/>
    </w:p>
    <w:p w14:paraId="2265B2A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8.6 样品</w:t>
      </w:r>
    </w:p>
    <w:p w14:paraId="0EE998D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8.6.1 样品的报送与封存</w:t>
      </w:r>
    </w:p>
    <w:p w14:paraId="70FBAEA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需要</w:t>
      </w:r>
      <w:r>
        <w:rPr>
          <w:rFonts w:hint="eastAsia" w:cs="宋体"/>
          <w:color w:val="auto"/>
          <w:sz w:val="24"/>
          <w:szCs w:val="24"/>
          <w:highlight w:val="none"/>
          <w:lang w:eastAsia="zh-CN"/>
        </w:rPr>
        <w:t>乙方</w:t>
      </w:r>
      <w:r>
        <w:rPr>
          <w:rFonts w:hint="eastAsia" w:cs="宋体"/>
          <w:color w:val="auto"/>
          <w:sz w:val="24"/>
          <w:szCs w:val="24"/>
          <w:highlight w:val="none"/>
        </w:rPr>
        <w:t>报送样品的材料或工程设备，样品的种类、名称、规格、数量要求：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3FC22B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8.8 施工设备和临时设施</w:t>
      </w:r>
    </w:p>
    <w:p w14:paraId="5186D55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8.8.1 </w:t>
      </w:r>
      <w:r>
        <w:rPr>
          <w:rFonts w:hint="eastAsia" w:cs="宋体"/>
          <w:color w:val="auto"/>
          <w:sz w:val="24"/>
          <w:szCs w:val="24"/>
          <w:highlight w:val="none"/>
          <w:lang w:eastAsia="zh-CN"/>
        </w:rPr>
        <w:t>乙方</w:t>
      </w:r>
      <w:r>
        <w:rPr>
          <w:rFonts w:hint="eastAsia" w:cs="宋体"/>
          <w:color w:val="auto"/>
          <w:sz w:val="24"/>
          <w:szCs w:val="24"/>
          <w:highlight w:val="none"/>
        </w:rPr>
        <w:t>提供的施工设备和临时设施</w:t>
      </w:r>
    </w:p>
    <w:p w14:paraId="7AA1633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关于修建临时设施费用承担的约定：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承担 </w:t>
      </w:r>
      <w:r>
        <w:rPr>
          <w:rFonts w:hint="eastAsia" w:cs="宋体"/>
          <w:color w:val="auto"/>
          <w:sz w:val="24"/>
          <w:szCs w:val="24"/>
          <w:highlight w:val="none"/>
        </w:rPr>
        <w:t>。</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14:paraId="7FBD712E">
      <w:pPr>
        <w:snapToGrid w:val="0"/>
        <w:spacing w:before="312" w:beforeLines="100" w:after="312" w:afterLines="100" w:line="360" w:lineRule="auto"/>
        <w:outlineLvl w:val="2"/>
        <w:rPr>
          <w:rFonts w:cs="宋体"/>
          <w:color w:val="auto"/>
          <w:sz w:val="24"/>
          <w:szCs w:val="24"/>
          <w:highlight w:val="none"/>
        </w:rPr>
      </w:pPr>
      <w:bookmarkStart w:id="292" w:name="_Toc351203641"/>
      <w:r>
        <w:rPr>
          <w:rFonts w:hint="eastAsia" w:cs="宋体"/>
          <w:color w:val="auto"/>
          <w:sz w:val="24"/>
          <w:szCs w:val="24"/>
          <w:highlight w:val="none"/>
        </w:rPr>
        <w:t>9</w:t>
      </w:r>
      <w:bookmarkEnd w:id="271"/>
      <w:bookmarkEnd w:id="272"/>
      <w:bookmarkEnd w:id="273"/>
      <w:bookmarkStart w:id="293" w:name="_Toc303539139"/>
      <w:bookmarkStart w:id="294" w:name="_Toc297216192"/>
      <w:bookmarkStart w:id="295" w:name="_Toc300934982"/>
      <w:bookmarkStart w:id="296" w:name="_Toc304295559"/>
      <w:bookmarkStart w:id="297" w:name="_Toc297123533"/>
      <w:bookmarkStart w:id="298" w:name="_Toc312678021"/>
      <w:bookmarkStart w:id="299" w:name="_Toc312677495"/>
      <w:bookmarkStart w:id="300" w:name="_Toc292559883"/>
      <w:bookmarkStart w:id="301" w:name="_Toc297048359"/>
      <w:bookmarkStart w:id="302" w:name="_Toc296346674"/>
      <w:bookmarkStart w:id="303" w:name="_Toc292559378"/>
      <w:bookmarkStart w:id="304" w:name="_Toc296891213"/>
      <w:bookmarkStart w:id="305" w:name="_Toc296944512"/>
      <w:bookmarkStart w:id="306" w:name="_Toc267251427"/>
      <w:bookmarkStart w:id="307" w:name="_Toc296347172"/>
      <w:bookmarkStart w:id="308" w:name="_Toc296503173"/>
      <w:bookmarkStart w:id="309" w:name="_Toc297120473"/>
      <w:bookmarkStart w:id="310" w:name="_Toc296891001"/>
      <w:bookmarkStart w:id="311" w:name="_Toc267251428"/>
      <w:r>
        <w:rPr>
          <w:rFonts w:hint="eastAsia" w:cs="宋体"/>
          <w:color w:val="auto"/>
          <w:sz w:val="24"/>
          <w:szCs w:val="24"/>
          <w:highlight w:val="none"/>
        </w:rPr>
        <w:t>. 试验与检验</w:t>
      </w:r>
      <w:bookmarkEnd w:id="292"/>
    </w:p>
    <w:bookmarkEnd w:id="293"/>
    <w:bookmarkEnd w:id="294"/>
    <w:bookmarkEnd w:id="295"/>
    <w:bookmarkEnd w:id="296"/>
    <w:bookmarkEnd w:id="297"/>
    <w:bookmarkEnd w:id="298"/>
    <w:bookmarkEnd w:id="299"/>
    <w:p w14:paraId="5E74DAC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9</w:t>
      </w:r>
      <w:bookmarkStart w:id="312" w:name="_Toc300934983"/>
      <w:bookmarkStart w:id="313" w:name="_Toc303539140"/>
      <w:bookmarkStart w:id="314" w:name="_Toc297216193"/>
      <w:bookmarkStart w:id="315" w:name="_Toc297123534"/>
      <w:bookmarkStart w:id="316" w:name="_Toc312678022"/>
      <w:bookmarkStart w:id="317" w:name="_Toc312677496"/>
      <w:bookmarkStart w:id="318" w:name="_Toc304295560"/>
      <w:r>
        <w:rPr>
          <w:rFonts w:hint="eastAsia" w:cs="宋体"/>
          <w:bCs/>
          <w:color w:val="auto"/>
          <w:sz w:val="24"/>
          <w:szCs w:val="24"/>
          <w:highlight w:val="none"/>
        </w:rPr>
        <w:t>.1 试验设备与试验人员</w:t>
      </w:r>
    </w:p>
    <w:bookmarkEnd w:id="312"/>
    <w:bookmarkEnd w:id="313"/>
    <w:bookmarkEnd w:id="314"/>
    <w:bookmarkEnd w:id="315"/>
    <w:bookmarkEnd w:id="316"/>
    <w:bookmarkEnd w:id="317"/>
    <w:bookmarkEnd w:id="318"/>
    <w:p w14:paraId="728A1B0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bookmarkStart w:id="319" w:name="_Toc300934984"/>
      <w:bookmarkStart w:id="320" w:name="_Toc304295561"/>
      <w:bookmarkStart w:id="321" w:name="_Toc312677497"/>
      <w:bookmarkStart w:id="322" w:name="_Toc297216194"/>
      <w:bookmarkStart w:id="323" w:name="_Toc312678023"/>
      <w:bookmarkStart w:id="324" w:name="_Toc297123535"/>
      <w:bookmarkStart w:id="325" w:name="_Toc303539141"/>
      <w:bookmarkStart w:id="326" w:name="_Toc318581174"/>
      <w:r>
        <w:rPr>
          <w:rFonts w:hint="eastAsia" w:cs="宋体"/>
          <w:color w:val="auto"/>
          <w:sz w:val="24"/>
          <w:szCs w:val="24"/>
          <w:highlight w:val="none"/>
        </w:rPr>
        <w:t>.1.2 试验设备</w:t>
      </w:r>
    </w:p>
    <w:p w14:paraId="758B37B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施工现场需要配置的试验场所</w:t>
      </w:r>
      <w:bookmarkEnd w:id="319"/>
      <w:bookmarkEnd w:id="320"/>
      <w:bookmarkEnd w:id="321"/>
      <w:bookmarkEnd w:id="322"/>
      <w:bookmarkEnd w:id="323"/>
      <w:bookmarkEnd w:id="324"/>
      <w:bookmarkEnd w:id="325"/>
      <w:bookmarkStart w:id="327" w:name="_Toc297123536"/>
      <w:bookmarkStart w:id="328" w:name="_Toc304295562"/>
      <w:bookmarkStart w:id="329" w:name="_Toc297216195"/>
      <w:bookmarkStart w:id="330" w:name="_Toc300934985"/>
      <w:bookmarkStart w:id="331" w:name="_Toc303539142"/>
      <w:bookmarkStart w:id="332" w:name="_Toc312678024"/>
      <w:bookmarkStart w:id="333" w:name="_Toc312677498"/>
      <w:r>
        <w:rPr>
          <w:rFonts w:hint="eastAsia" w:cs="宋体"/>
          <w:color w:val="auto"/>
          <w:sz w:val="24"/>
          <w:szCs w:val="24"/>
          <w:highlight w:val="non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76079A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施工现场需要配备的试验设备：</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ED0770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施工现场需要具备的其他试验条件：</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D79959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9.4 现场工艺试验 </w:t>
      </w:r>
    </w:p>
    <w:p w14:paraId="7336A24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现场工艺试验的有关约定：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26"/>
    <w:bookmarkEnd w:id="327"/>
    <w:bookmarkEnd w:id="328"/>
    <w:bookmarkEnd w:id="329"/>
    <w:bookmarkEnd w:id="330"/>
    <w:bookmarkEnd w:id="331"/>
    <w:bookmarkEnd w:id="332"/>
    <w:bookmarkEnd w:id="333"/>
    <w:p w14:paraId="5A30E1EC">
      <w:pPr>
        <w:snapToGrid w:val="0"/>
        <w:spacing w:before="312" w:beforeLines="100" w:after="312" w:afterLines="100" w:line="360" w:lineRule="auto"/>
        <w:outlineLvl w:val="2"/>
        <w:rPr>
          <w:rFonts w:cs="宋体"/>
          <w:color w:val="auto"/>
          <w:sz w:val="24"/>
          <w:szCs w:val="24"/>
          <w:highlight w:val="none"/>
        </w:rPr>
      </w:pPr>
      <w:bookmarkStart w:id="334" w:name="_Toc351203642"/>
      <w:r>
        <w:rPr>
          <w:rFonts w:hint="eastAsia" w:cs="宋体"/>
          <w:color w:val="auto"/>
          <w:sz w:val="24"/>
          <w:szCs w:val="24"/>
          <w:highlight w:val="none"/>
        </w:rPr>
        <w:t>1</w:t>
      </w:r>
      <w:bookmarkEnd w:id="300"/>
      <w:bookmarkEnd w:id="301"/>
      <w:bookmarkEnd w:id="302"/>
      <w:bookmarkEnd w:id="303"/>
      <w:bookmarkEnd w:id="304"/>
      <w:bookmarkEnd w:id="305"/>
      <w:bookmarkEnd w:id="306"/>
      <w:bookmarkEnd w:id="307"/>
      <w:bookmarkEnd w:id="308"/>
      <w:bookmarkEnd w:id="309"/>
      <w:bookmarkEnd w:id="310"/>
      <w:bookmarkEnd w:id="311"/>
      <w:bookmarkStart w:id="335" w:name="_Toc292559903"/>
      <w:bookmarkStart w:id="336" w:name="_Toc300934989"/>
      <w:bookmarkStart w:id="337" w:name="_Toc297123540"/>
      <w:bookmarkStart w:id="338" w:name="_Toc296346694"/>
      <w:bookmarkStart w:id="339" w:name="_Toc296944532"/>
      <w:bookmarkStart w:id="340" w:name="_Toc297048379"/>
      <w:bookmarkStart w:id="341" w:name="_Toc303539146"/>
      <w:bookmarkStart w:id="342" w:name="_Toc296347192"/>
      <w:bookmarkStart w:id="343" w:name="_Toc297120493"/>
      <w:bookmarkStart w:id="344" w:name="_Toc292559398"/>
      <w:bookmarkStart w:id="345" w:name="_Toc296503193"/>
      <w:bookmarkStart w:id="346" w:name="_Toc297216199"/>
      <w:bookmarkStart w:id="347" w:name="_Toc296891233"/>
      <w:bookmarkStart w:id="348" w:name="_Toc296891021"/>
      <w:bookmarkStart w:id="349" w:name="_Toc304295566"/>
      <w:bookmarkStart w:id="350" w:name="_Toc312677499"/>
      <w:bookmarkStart w:id="351" w:name="_Toc312678025"/>
      <w:bookmarkStart w:id="352" w:name="_Toc267251440"/>
      <w:bookmarkStart w:id="353" w:name="_Toc267251433"/>
      <w:bookmarkStart w:id="354" w:name="_Toc267251435"/>
      <w:bookmarkStart w:id="355" w:name="_Toc267251441"/>
      <w:bookmarkStart w:id="356" w:name="_Toc267251437"/>
      <w:bookmarkStart w:id="357" w:name="_Toc267251439"/>
      <w:bookmarkStart w:id="358" w:name="_Toc267251442"/>
      <w:r>
        <w:rPr>
          <w:rFonts w:hint="eastAsia" w:cs="宋体"/>
          <w:color w:val="auto"/>
          <w:sz w:val="24"/>
          <w:szCs w:val="24"/>
          <w:highlight w:val="none"/>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bookmarkEnd w:id="350"/>
    <w:bookmarkEnd w:id="351"/>
    <w:p w14:paraId="1C715DB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359" w:name="_Toc297216200"/>
      <w:bookmarkStart w:id="360" w:name="_Toc297048380"/>
      <w:bookmarkStart w:id="361" w:name="_Toc300934990"/>
      <w:bookmarkStart w:id="362" w:name="_Toc312677500"/>
      <w:bookmarkStart w:id="363" w:name="_Toc292559399"/>
      <w:bookmarkStart w:id="364" w:name="_Toc297123541"/>
      <w:bookmarkStart w:id="365" w:name="_Toc296891022"/>
      <w:bookmarkStart w:id="366" w:name="_Toc297120494"/>
      <w:bookmarkStart w:id="367" w:name="_Toc296503194"/>
      <w:bookmarkStart w:id="368" w:name="_Toc296891234"/>
      <w:bookmarkStart w:id="369" w:name="_Toc296347193"/>
      <w:bookmarkStart w:id="370" w:name="_Toc303539147"/>
      <w:bookmarkStart w:id="371" w:name="_Toc312678026"/>
      <w:bookmarkStart w:id="372" w:name="_Toc296944533"/>
      <w:bookmarkStart w:id="373" w:name="_Toc296346695"/>
      <w:bookmarkStart w:id="374" w:name="_Toc292559904"/>
      <w:bookmarkStart w:id="375" w:name="_Toc304295567"/>
      <w:r>
        <w:rPr>
          <w:rFonts w:hint="eastAsia" w:cs="宋体"/>
          <w:bCs/>
          <w:color w:val="auto"/>
          <w:sz w:val="24"/>
          <w:szCs w:val="24"/>
          <w:highlight w:val="none"/>
        </w:rPr>
        <w:t>0.1 变更的范围</w:t>
      </w:r>
    </w:p>
    <w:p w14:paraId="503DCF4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关于变更的范围的约定：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E95E2B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10.4 变更估价</w:t>
      </w:r>
    </w:p>
    <w:p w14:paraId="2F58E48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10.4.1 变更估价原则</w:t>
      </w:r>
    </w:p>
    <w:p w14:paraId="094400B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关于变更估价的约定：</w:t>
      </w:r>
    </w:p>
    <w:p w14:paraId="2B1C5DF5">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10.4.1.1 因工程变更引起已标价工程量清单项目或其工程数量发生变化时，按下列规定调整：</w:t>
      </w:r>
    </w:p>
    <w:p w14:paraId="1444F602">
      <w:pPr>
        <w:adjustRightInd w:val="0"/>
        <w:snapToGrid w:val="0"/>
        <w:spacing w:line="360" w:lineRule="auto"/>
        <w:ind w:firstLine="482" w:firstLineChars="200"/>
        <w:rPr>
          <w:rFonts w:hint="eastAsia" w:cs="宋体"/>
          <w:b/>
          <w:color w:val="auto"/>
          <w:sz w:val="24"/>
          <w:szCs w:val="24"/>
          <w:highlight w:val="none"/>
          <w:u w:val="single"/>
          <w:lang w:eastAsia="zh-CN"/>
        </w:rPr>
      </w:pPr>
      <w:r>
        <w:rPr>
          <w:rFonts w:hint="eastAsia" w:cs="宋体"/>
          <w:b/>
          <w:color w:val="auto"/>
          <w:sz w:val="24"/>
          <w:szCs w:val="24"/>
          <w:highlight w:val="none"/>
          <w:u w:val="single"/>
        </w:rPr>
        <w:t>（</w:t>
      </w:r>
      <w:r>
        <w:rPr>
          <w:rFonts w:hint="eastAsia" w:cs="宋体"/>
          <w:b/>
          <w:color w:val="auto"/>
          <w:sz w:val="24"/>
          <w:szCs w:val="24"/>
          <w:highlight w:val="none"/>
          <w:u w:val="single"/>
          <w:lang w:val="en-US" w:eastAsia="zh-CN"/>
        </w:rPr>
        <w:t>1</w:t>
      </w:r>
      <w:r>
        <w:rPr>
          <w:rFonts w:hint="eastAsia" w:cs="宋体"/>
          <w:b/>
          <w:color w:val="auto"/>
          <w:sz w:val="24"/>
          <w:szCs w:val="24"/>
          <w:highlight w:val="none"/>
          <w:u w:val="single"/>
        </w:rPr>
        <w:t>）已标价工程量清单中有适用于变更工程项目的，采用该项目的单价</w:t>
      </w:r>
      <w:r>
        <w:rPr>
          <w:rFonts w:hint="eastAsia" w:cs="宋体"/>
          <w:b/>
          <w:color w:val="auto"/>
          <w:sz w:val="24"/>
          <w:szCs w:val="24"/>
          <w:highlight w:val="none"/>
          <w:u w:val="single"/>
          <w:lang w:eastAsia="zh-CN"/>
        </w:rPr>
        <w:t>。</w:t>
      </w:r>
    </w:p>
    <w:p w14:paraId="5903AE19">
      <w:pPr>
        <w:adjustRightInd w:val="0"/>
        <w:snapToGrid w:val="0"/>
        <w:spacing w:line="360" w:lineRule="auto"/>
        <w:ind w:firstLine="482" w:firstLineChars="200"/>
        <w:rPr>
          <w:rFonts w:hint="eastAsia" w:cs="宋体"/>
          <w:b/>
          <w:color w:val="auto"/>
          <w:sz w:val="24"/>
          <w:szCs w:val="24"/>
          <w:highlight w:val="none"/>
          <w:u w:val="single"/>
        </w:rPr>
      </w:pPr>
      <w:r>
        <w:rPr>
          <w:rFonts w:hint="eastAsia" w:cs="宋体"/>
          <w:b/>
          <w:color w:val="auto"/>
          <w:sz w:val="24"/>
          <w:szCs w:val="24"/>
          <w:highlight w:val="none"/>
          <w:u w:val="single"/>
        </w:rPr>
        <w:t>（2）已标价工程量清单中没有适用但有类似于变更工程项目的，可在合理范围内参照类似项目的单价。</w:t>
      </w:r>
    </w:p>
    <w:p w14:paraId="5F63FD75">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（3）已标价工程量清单中没有适用也没有类似于变更工程项目的，由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根据变更工程资料、招标时的计量规则和计价办法、当期的工程造价管理机构发布的信息价格和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290431E4">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（4）已标价工程量清单中没有适用也没有类似于变更工程项目的，且工程造价管理机构发布的信息价缺价的，由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根据变更工程资料、招标时的计量规则和计价办法和通过市场调查等取得有合法依据的市场价格和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4E405252">
      <w:pPr>
        <w:adjustRightInd w:val="0"/>
        <w:snapToGrid w:val="0"/>
        <w:spacing w:before="93" w:beforeLines="30" w:line="360" w:lineRule="auto"/>
        <w:ind w:firstLine="482" w:firstLineChars="200"/>
        <w:rPr>
          <w:rFonts w:cs="宋体"/>
          <w:b/>
          <w:color w:val="auto"/>
          <w:sz w:val="24"/>
          <w:szCs w:val="24"/>
          <w:highlight w:val="none"/>
        </w:rPr>
      </w:pPr>
      <w:r>
        <w:rPr>
          <w:rFonts w:hint="eastAsia" w:cs="宋体"/>
          <w:b/>
          <w:color w:val="auto"/>
          <w:sz w:val="24"/>
          <w:szCs w:val="24"/>
          <w:highlight w:val="none"/>
        </w:rPr>
        <w:t>10.4.1.2 工程变更引起施工方案改变并使措施项目发生变化时，</w:t>
      </w:r>
      <w:r>
        <w:rPr>
          <w:rFonts w:hint="eastAsia" w:cs="宋体"/>
          <w:b/>
          <w:color w:val="auto"/>
          <w:sz w:val="24"/>
          <w:szCs w:val="24"/>
          <w:highlight w:val="none"/>
          <w:lang w:eastAsia="zh-CN"/>
        </w:rPr>
        <w:t>乙方</w:t>
      </w:r>
      <w:r>
        <w:rPr>
          <w:rFonts w:hint="eastAsia" w:cs="宋体"/>
          <w:b/>
          <w:color w:val="auto"/>
          <w:sz w:val="24"/>
          <w:szCs w:val="24"/>
          <w:highlight w:val="none"/>
        </w:rPr>
        <w:t>提出调整措施项目费的，应事前将拟实施的方案提交</w:t>
      </w:r>
      <w:r>
        <w:rPr>
          <w:rFonts w:hint="eastAsia" w:cs="宋体"/>
          <w:b/>
          <w:color w:val="auto"/>
          <w:sz w:val="24"/>
          <w:szCs w:val="24"/>
          <w:highlight w:val="none"/>
          <w:lang w:eastAsia="zh-CN"/>
        </w:rPr>
        <w:t>甲方</w:t>
      </w:r>
      <w:r>
        <w:rPr>
          <w:rFonts w:hint="eastAsia" w:cs="宋体"/>
          <w:b/>
          <w:color w:val="auto"/>
          <w:sz w:val="24"/>
          <w:szCs w:val="24"/>
          <w:highlight w:val="none"/>
        </w:rPr>
        <w:t>确认，并应详细说明与原方案措施项目相比的变化情况。拟实施的方案经发承包双方确认后执行，并应按照下列规定调整措施项目费：</w:t>
      </w:r>
    </w:p>
    <w:p w14:paraId="5C842F04">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（1）按照费率计算的措施费，应按照实际发生变化的措施项目依据原</w:t>
      </w:r>
      <w:r>
        <w:rPr>
          <w:rFonts w:hint="eastAsia" w:cs="宋体"/>
          <w:b/>
          <w:color w:val="auto"/>
          <w:sz w:val="24"/>
          <w:szCs w:val="24"/>
          <w:highlight w:val="none"/>
          <w:u w:val="single"/>
          <w:lang w:val="en-US" w:eastAsia="zh-CN"/>
        </w:rPr>
        <w:t>采购</w:t>
      </w:r>
      <w:r>
        <w:rPr>
          <w:rFonts w:hint="eastAsia" w:cs="宋体"/>
          <w:b/>
          <w:color w:val="auto"/>
          <w:sz w:val="24"/>
          <w:szCs w:val="24"/>
          <w:highlight w:val="none"/>
          <w:u w:val="single"/>
        </w:rPr>
        <w:t>文件规定的费率计算；</w:t>
      </w:r>
    </w:p>
    <w:p w14:paraId="4B62B374">
      <w:pPr>
        <w:adjustRightInd w:val="0"/>
        <w:snapToGrid w:val="0"/>
        <w:spacing w:before="93" w:beforeLines="30" w:line="360" w:lineRule="auto"/>
        <w:ind w:firstLine="482" w:firstLineChars="200"/>
        <w:jc w:val="left"/>
        <w:rPr>
          <w:rFonts w:cs="宋体"/>
          <w:b/>
          <w:color w:val="auto"/>
          <w:sz w:val="24"/>
          <w:szCs w:val="24"/>
          <w:highlight w:val="none"/>
          <w:u w:val="single"/>
        </w:rPr>
      </w:pPr>
      <w:r>
        <w:rPr>
          <w:rFonts w:hint="eastAsia" w:cs="宋体"/>
          <w:b/>
          <w:color w:val="auto"/>
          <w:sz w:val="24"/>
          <w:szCs w:val="24"/>
          <w:highlight w:val="none"/>
          <w:u w:val="single"/>
        </w:rPr>
        <w:t>（2）按照单价计算的措施项目费，应按照实际发生变化的措施项目，按本合同专业条款第10.4.1.1目计算；</w:t>
      </w:r>
    </w:p>
    <w:p w14:paraId="50975587">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（3）按总价（或系数）计算的措施项目费，应按照实际发生变化的措施项目和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报价浮动率同比下浮标准，提出新的措施项目费，作为结算的依据；</w:t>
      </w:r>
    </w:p>
    <w:p w14:paraId="0854DB98">
      <w:pPr>
        <w:adjustRightInd w:val="0"/>
        <w:snapToGrid w:val="0"/>
        <w:spacing w:before="93" w:beforeLines="30" w:line="360" w:lineRule="auto"/>
        <w:ind w:firstLine="482" w:firstLineChars="200"/>
        <w:rPr>
          <w:rFonts w:cs="宋体"/>
          <w:b/>
          <w:strike/>
          <w:color w:val="auto"/>
          <w:sz w:val="24"/>
          <w:szCs w:val="24"/>
          <w:highlight w:val="none"/>
          <w:u w:val="single"/>
        </w:rPr>
      </w:pPr>
      <w:r>
        <w:rPr>
          <w:rFonts w:hint="eastAsia" w:cs="宋体"/>
          <w:b/>
          <w:color w:val="auto"/>
          <w:sz w:val="24"/>
          <w:szCs w:val="24"/>
          <w:highlight w:val="none"/>
          <w:u w:val="single"/>
        </w:rPr>
        <w:t>（4）如果</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未事前将拟实施的方案提交给</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确认，则应视为工程变更不引起措施项目费的调整或</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放弃调整措施项目费的权利。</w:t>
      </w:r>
    </w:p>
    <w:p w14:paraId="3E65C29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Start w:id="376" w:name="_Toc300934993"/>
      <w:bookmarkStart w:id="377" w:name="_Toc297120497"/>
      <w:bookmarkStart w:id="378" w:name="_Toc296347196"/>
      <w:bookmarkStart w:id="379" w:name="_Toc292559402"/>
      <w:bookmarkStart w:id="380" w:name="_Toc297048383"/>
      <w:bookmarkStart w:id="381" w:name="_Toc296891237"/>
      <w:bookmarkStart w:id="382" w:name="_Toc296944536"/>
      <w:bookmarkStart w:id="383" w:name="_Toc296346698"/>
      <w:bookmarkStart w:id="384" w:name="_Toc303539150"/>
      <w:bookmarkStart w:id="385" w:name="_Toc297216203"/>
      <w:bookmarkStart w:id="386" w:name="_Toc296891025"/>
      <w:bookmarkStart w:id="387" w:name="_Toc296503197"/>
      <w:bookmarkStart w:id="388" w:name="_Toc297123544"/>
      <w:bookmarkStart w:id="389" w:name="_Toc292559907"/>
      <w:bookmarkStart w:id="390" w:name="_Toc304295570"/>
      <w:bookmarkStart w:id="391" w:name="_Toc312677503"/>
      <w:bookmarkStart w:id="392" w:name="_Toc312678029"/>
      <w:r>
        <w:rPr>
          <w:rFonts w:hint="eastAsia" w:cs="宋体"/>
          <w:bCs/>
          <w:color w:val="auto"/>
          <w:sz w:val="24"/>
          <w:szCs w:val="24"/>
          <w:highlight w:val="none"/>
        </w:rPr>
        <w:t xml:space="preserve">0.5 </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Start w:id="393" w:name="_Toc296347202"/>
      <w:bookmarkStart w:id="394" w:name="_Toc297120503"/>
      <w:bookmarkStart w:id="395" w:name="_Toc292559913"/>
      <w:bookmarkStart w:id="396" w:name="_Toc296346704"/>
      <w:bookmarkStart w:id="397" w:name="_Toc297123545"/>
      <w:bookmarkStart w:id="398" w:name="_Toc296891243"/>
      <w:bookmarkStart w:id="399" w:name="_Toc292559408"/>
      <w:bookmarkStart w:id="400" w:name="_Toc297048389"/>
      <w:bookmarkStart w:id="401" w:name="_Toc296891031"/>
      <w:bookmarkStart w:id="402" w:name="_Toc300934994"/>
      <w:bookmarkStart w:id="403" w:name="_Toc296503203"/>
      <w:bookmarkStart w:id="404" w:name="_Toc303539151"/>
      <w:bookmarkStart w:id="405" w:name="_Toc297216204"/>
      <w:bookmarkStart w:id="406" w:name="_Toc296944542"/>
      <w:r>
        <w:rPr>
          <w:rFonts w:hint="eastAsia" w:cs="宋体"/>
          <w:bCs/>
          <w:color w:val="auto"/>
          <w:sz w:val="24"/>
          <w:szCs w:val="24"/>
          <w:highlight w:val="none"/>
          <w:lang w:eastAsia="zh-CN"/>
        </w:rPr>
        <w:t>乙方</w:t>
      </w:r>
      <w:r>
        <w:rPr>
          <w:rFonts w:hint="eastAsia" w:cs="宋体"/>
          <w:bCs/>
          <w:color w:val="auto"/>
          <w:sz w:val="24"/>
          <w:szCs w:val="24"/>
          <w:highlight w:val="none"/>
        </w:rPr>
        <w:t>的合理化建议</w:t>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14:paraId="11BCD79E">
      <w:pPr>
        <w:adjustRightInd w:val="0"/>
        <w:snapToGrid w:val="0"/>
        <w:spacing w:line="360" w:lineRule="auto"/>
        <w:ind w:firstLine="480" w:firstLineChars="200"/>
        <w:rPr>
          <w:rFonts w:cs="宋体"/>
          <w:color w:val="auto"/>
          <w:sz w:val="24"/>
          <w:szCs w:val="24"/>
          <w:highlight w:val="none"/>
          <w:u w:val="single"/>
        </w:rPr>
      </w:pPr>
      <w:bookmarkStart w:id="407" w:name="_Toc297048390"/>
      <w:bookmarkStart w:id="408" w:name="_Toc300934995"/>
      <w:bookmarkStart w:id="409" w:name="_Toc297120504"/>
      <w:bookmarkStart w:id="410" w:name="_Toc303539152"/>
      <w:bookmarkStart w:id="411" w:name="_Toc297123546"/>
      <w:bookmarkStart w:id="412" w:name="_Toc297216205"/>
      <w:bookmarkStart w:id="413" w:name="_Toc296891032"/>
      <w:bookmarkStart w:id="414" w:name="_Toc296346705"/>
      <w:bookmarkStart w:id="415" w:name="_Toc296944543"/>
      <w:bookmarkStart w:id="416" w:name="_Toc312677504"/>
      <w:bookmarkStart w:id="417" w:name="_Toc296891244"/>
      <w:bookmarkStart w:id="418" w:name="_Toc318581175"/>
      <w:bookmarkStart w:id="419" w:name="_Toc304295571"/>
      <w:bookmarkStart w:id="420" w:name="_Toc292559914"/>
      <w:bookmarkStart w:id="421" w:name="_Toc312678030"/>
      <w:bookmarkStart w:id="422" w:name="_Toc296347203"/>
      <w:bookmarkStart w:id="423" w:name="_Toc292559409"/>
      <w:bookmarkStart w:id="424" w:name="_Toc296503204"/>
      <w:r>
        <w:rPr>
          <w:rFonts w:hint="eastAsia" w:cs="宋体"/>
          <w:color w:val="auto"/>
          <w:sz w:val="24"/>
          <w:szCs w:val="24"/>
          <w:highlight w:val="none"/>
          <w:lang w:eastAsia="zh-CN"/>
        </w:rPr>
        <w:t>乙方</w:t>
      </w:r>
      <w:r>
        <w:rPr>
          <w:rFonts w:hint="eastAsia" w:cs="宋体"/>
          <w:color w:val="auto"/>
          <w:sz w:val="24"/>
          <w:szCs w:val="24"/>
          <w:highlight w:val="none"/>
        </w:rPr>
        <w:t>提出的合理化建议降低了合同价格或者提高了工程经济效益的奖励的方法和金额为：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14:paraId="6572EAA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425" w:name="_Toc296891239"/>
      <w:bookmarkStart w:id="426" w:name="_Toc304295574"/>
      <w:bookmarkStart w:id="427" w:name="_Toc312677507"/>
      <w:bookmarkStart w:id="428" w:name="_Toc296346700"/>
      <w:bookmarkStart w:id="429" w:name="_Toc297216207"/>
      <w:bookmarkStart w:id="430" w:name="_Toc300934997"/>
      <w:bookmarkStart w:id="431" w:name="_Toc297123548"/>
      <w:bookmarkStart w:id="432" w:name="_Toc296944538"/>
      <w:bookmarkStart w:id="433" w:name="_Toc292559404"/>
      <w:bookmarkStart w:id="434" w:name="_Toc296891027"/>
      <w:bookmarkStart w:id="435" w:name="_Toc296347198"/>
      <w:bookmarkStart w:id="436" w:name="_Toc297048385"/>
      <w:bookmarkStart w:id="437" w:name="_Toc303539154"/>
      <w:bookmarkStart w:id="438" w:name="_Toc296503199"/>
      <w:bookmarkStart w:id="439" w:name="_Toc312678033"/>
      <w:bookmarkStart w:id="440" w:name="_Toc292559909"/>
      <w:bookmarkStart w:id="441" w:name="_Toc297120499"/>
      <w:r>
        <w:rPr>
          <w:rFonts w:hint="eastAsia" w:cs="宋体"/>
          <w:bCs/>
          <w:color w:val="auto"/>
          <w:sz w:val="24"/>
          <w:szCs w:val="24"/>
          <w:highlight w:val="none"/>
        </w:rPr>
        <w:t>0.7 暂估价</w:t>
      </w:r>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14:paraId="6EB538C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暂</w:t>
      </w:r>
      <w:bookmarkStart w:id="442" w:name="_Toc312677508"/>
      <w:bookmarkStart w:id="443" w:name="_Toc312678034"/>
      <w:bookmarkStart w:id="444" w:name="_Toc318581176"/>
      <w:r>
        <w:rPr>
          <w:rFonts w:hint="eastAsia" w:cs="宋体"/>
          <w:color w:val="auto"/>
          <w:sz w:val="24"/>
          <w:szCs w:val="24"/>
          <w:highlight w:val="none"/>
        </w:rPr>
        <w:t>估价材料和工程设备的明细见附件12：《暂估价一览表》。</w:t>
      </w:r>
    </w:p>
    <w:bookmarkEnd w:id="442"/>
    <w:bookmarkEnd w:id="443"/>
    <w:bookmarkEnd w:id="444"/>
    <w:p w14:paraId="1FEE520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445" w:name="_Toc312678035"/>
      <w:bookmarkStart w:id="446" w:name="_Toc318581177"/>
      <w:bookmarkStart w:id="447" w:name="_Toc312677509"/>
      <w:r>
        <w:rPr>
          <w:rFonts w:hint="eastAsia" w:cs="宋体"/>
          <w:color w:val="auto"/>
          <w:sz w:val="24"/>
          <w:szCs w:val="24"/>
          <w:highlight w:val="none"/>
        </w:rPr>
        <w:t>0.7.1 依法必须招标的暂估价项目</w:t>
      </w:r>
    </w:p>
    <w:bookmarkEnd w:id="445"/>
    <w:bookmarkEnd w:id="446"/>
    <w:bookmarkEnd w:id="447"/>
    <w:p w14:paraId="0C2DB4C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对于依法必须招标的暂估价项目的确认和批准采取第</w:t>
      </w:r>
      <w:r>
        <w:rPr>
          <w:rFonts w:hint="eastAsia" w:cs="宋体"/>
          <w:color w:val="auto"/>
          <w:sz w:val="24"/>
          <w:szCs w:val="24"/>
          <w:highlight w:val="none"/>
          <w:u w:val="single"/>
        </w:rPr>
        <w:t>2</w:t>
      </w:r>
      <w:r>
        <w:rPr>
          <w:rFonts w:hint="eastAsia" w:cs="宋体"/>
          <w:color w:val="auto"/>
          <w:sz w:val="24"/>
          <w:szCs w:val="24"/>
          <w:highlight w:val="none"/>
        </w:rPr>
        <w:t>种方式确定。</w:t>
      </w:r>
      <w:r>
        <w:rPr>
          <w:rFonts w:hint="eastAsia" w:cs="宋体"/>
          <w:b/>
          <w:color w:val="auto"/>
          <w:sz w:val="24"/>
          <w:szCs w:val="24"/>
          <w:highlight w:val="none"/>
          <w:u w:val="single"/>
        </w:rPr>
        <w:t>并应按相关规定进行二次</w:t>
      </w:r>
      <w:r>
        <w:rPr>
          <w:rFonts w:hint="eastAsia" w:cs="宋体"/>
          <w:b/>
          <w:color w:val="auto"/>
          <w:sz w:val="24"/>
          <w:szCs w:val="24"/>
          <w:highlight w:val="none"/>
          <w:u w:val="single"/>
          <w:lang w:val="en-US" w:eastAsia="zh-CN"/>
        </w:rPr>
        <w:t>采购</w:t>
      </w:r>
      <w:r>
        <w:rPr>
          <w:rFonts w:hint="eastAsia" w:cs="宋体"/>
          <w:color w:val="auto"/>
          <w:sz w:val="24"/>
          <w:szCs w:val="24"/>
          <w:highlight w:val="none"/>
        </w:rPr>
        <w:t>。</w:t>
      </w:r>
    </w:p>
    <w:p w14:paraId="24BC3F2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10.7.2 不属于依法必须招标的暂估价项目</w:t>
      </w:r>
    </w:p>
    <w:p w14:paraId="04223F4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对于不属于依法必须招标的暂估价项目的确认和批准采取第</w:t>
      </w:r>
      <w:r>
        <w:rPr>
          <w:rFonts w:hint="eastAsia" w:cs="宋体"/>
          <w:color w:val="auto"/>
          <w:sz w:val="24"/>
          <w:szCs w:val="24"/>
          <w:highlight w:val="none"/>
          <w:u w:val="single"/>
        </w:rPr>
        <w:t>1</w:t>
      </w:r>
      <w:r>
        <w:rPr>
          <w:rFonts w:hint="eastAsia" w:cs="宋体"/>
          <w:color w:val="auto"/>
          <w:sz w:val="24"/>
          <w:szCs w:val="24"/>
          <w:highlight w:val="none"/>
        </w:rPr>
        <w:t>种方式确定。</w:t>
      </w:r>
    </w:p>
    <w:p w14:paraId="092BAAF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第3种方式：</w:t>
      </w:r>
      <w:r>
        <w:rPr>
          <w:rFonts w:hint="eastAsia" w:cs="宋体"/>
          <w:color w:val="auto"/>
          <w:sz w:val="24"/>
          <w:szCs w:val="24"/>
          <w:highlight w:val="none"/>
          <w:lang w:eastAsia="zh-CN"/>
        </w:rPr>
        <w:t>乙方</w:t>
      </w:r>
      <w:r>
        <w:rPr>
          <w:rFonts w:hint="eastAsia" w:cs="宋体"/>
          <w:color w:val="auto"/>
          <w:sz w:val="24"/>
          <w:szCs w:val="24"/>
          <w:highlight w:val="none"/>
        </w:rPr>
        <w:t>直接实施的暂估价项目</w:t>
      </w:r>
    </w:p>
    <w:p w14:paraId="5ADCA2E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直接实施的暂估价项目的约定：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cs="宋体"/>
          <w:color w:val="auto"/>
          <w:sz w:val="24"/>
          <w:szCs w:val="24"/>
          <w:highlight w:val="none"/>
          <w:u w:val="single"/>
        </w:rPr>
        <w:t>将暂估项目进一步细化、完善，具体方案经</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认可后，根据实际采购或施工的费用、市场价格变化、实际完成的工程量进行调整</w:t>
      </w:r>
      <w:r>
        <w:rPr>
          <w:rFonts w:hint="eastAsia" w:cs="宋体"/>
          <w:color w:val="auto"/>
          <w:sz w:val="24"/>
          <w:szCs w:val="24"/>
          <w:highlight w:val="none"/>
          <w:u w:val="single"/>
          <w:lang w:eastAsia="zh-CN"/>
        </w:rPr>
        <w:t>，</w:t>
      </w:r>
      <w:r>
        <w:rPr>
          <w:rFonts w:hint="eastAsia" w:cs="宋体"/>
          <w:color w:val="auto"/>
          <w:sz w:val="24"/>
          <w:szCs w:val="24"/>
          <w:highlight w:val="none"/>
          <w:u w:val="single"/>
        </w:rPr>
        <w:t>按照相关定额进行组价，组价后按照中标优惠率下浮进行调整，按调整后的单价金额进行最终结算和支付。暂估</w:t>
      </w:r>
      <w:r>
        <w:rPr>
          <w:rFonts w:hint="eastAsia" w:cs="宋体"/>
          <w:color w:val="auto"/>
          <w:sz w:val="24"/>
          <w:szCs w:val="24"/>
          <w:highlight w:val="none"/>
          <w:u w:val="single"/>
          <w:lang w:val="en-US" w:eastAsia="zh-CN"/>
        </w:rPr>
        <w:t>价最终金额</w:t>
      </w:r>
      <w:r>
        <w:rPr>
          <w:rFonts w:hint="eastAsia" w:cs="宋体"/>
          <w:color w:val="auto"/>
          <w:sz w:val="24"/>
          <w:szCs w:val="24"/>
          <w:highlight w:val="none"/>
          <w:u w:val="single"/>
        </w:rPr>
        <w:t>以</w:t>
      </w:r>
      <w:r>
        <w:rPr>
          <w:rFonts w:hint="eastAsia" w:cs="宋体"/>
          <w:color w:val="auto"/>
          <w:sz w:val="24"/>
          <w:szCs w:val="24"/>
          <w:highlight w:val="none"/>
          <w:u w:val="single"/>
          <w:lang w:val="en-US" w:eastAsia="zh-CN"/>
        </w:rPr>
        <w:t>结算审定价格</w:t>
      </w:r>
      <w:r>
        <w:rPr>
          <w:rFonts w:hint="eastAsia" w:cs="宋体"/>
          <w:color w:val="auto"/>
          <w:sz w:val="24"/>
          <w:szCs w:val="24"/>
          <w:highlight w:val="none"/>
          <w:u w:val="single"/>
        </w:rPr>
        <w:t xml:space="preserve">为准。  </w:t>
      </w:r>
      <w:r>
        <w:rPr>
          <w:rFonts w:hint="eastAsia" w:cs="宋体"/>
          <w:color w:val="auto"/>
          <w:sz w:val="24"/>
          <w:szCs w:val="24"/>
          <w:highlight w:val="none"/>
        </w:rPr>
        <w:t>。</w:t>
      </w:r>
    </w:p>
    <w:p w14:paraId="6137B0B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10.8 暂列金额</w:t>
      </w:r>
    </w:p>
    <w:p w14:paraId="7ECF6E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合同当事人关于暂列金额使用的约定：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38FE2CC">
      <w:pPr>
        <w:snapToGrid w:val="0"/>
        <w:spacing w:before="312" w:beforeLines="100" w:after="312" w:afterLines="100" w:line="360" w:lineRule="auto"/>
        <w:outlineLvl w:val="2"/>
        <w:rPr>
          <w:rFonts w:cs="宋体"/>
          <w:color w:val="auto"/>
          <w:sz w:val="24"/>
          <w:szCs w:val="24"/>
          <w:highlight w:val="none"/>
        </w:rPr>
      </w:pPr>
      <w:bookmarkStart w:id="448" w:name="_Toc351203643"/>
      <w:r>
        <w:rPr>
          <w:rFonts w:hint="eastAsia" w:cs="宋体"/>
          <w:color w:val="auto"/>
          <w:sz w:val="24"/>
          <w:szCs w:val="24"/>
          <w:highlight w:val="none"/>
        </w:rPr>
        <w:t>11. 价格调整</w:t>
      </w:r>
      <w:bookmarkEnd w:id="448"/>
    </w:p>
    <w:p w14:paraId="1DEF30EB">
      <w:pPr>
        <w:keepNext/>
        <w:keepLines/>
        <w:snapToGrid w:val="0"/>
        <w:spacing w:before="120" w:after="120" w:line="360" w:lineRule="auto"/>
        <w:ind w:firstLine="480" w:firstLineChars="200"/>
        <w:outlineLvl w:val="3"/>
        <w:rPr>
          <w:rFonts w:cs="宋体"/>
          <w:bCs/>
          <w:color w:val="auto"/>
          <w:sz w:val="24"/>
          <w:szCs w:val="24"/>
          <w:highlight w:val="none"/>
        </w:rPr>
      </w:pPr>
      <w:bookmarkStart w:id="449" w:name="_Toc296891029"/>
      <w:bookmarkStart w:id="450" w:name="_Toc312678039"/>
      <w:bookmarkStart w:id="451" w:name="_Toc296503201"/>
      <w:bookmarkStart w:id="452" w:name="_Toc300935000"/>
      <w:bookmarkStart w:id="453" w:name="_Toc296346702"/>
      <w:bookmarkStart w:id="454" w:name="_Toc303539157"/>
      <w:bookmarkStart w:id="455" w:name="_Toc296347200"/>
      <w:bookmarkStart w:id="456" w:name="_Toc296891241"/>
      <w:bookmarkStart w:id="457" w:name="_Toc297216209"/>
      <w:bookmarkStart w:id="458" w:name="_Toc297048387"/>
      <w:bookmarkStart w:id="459" w:name="_Toc292559406"/>
      <w:bookmarkStart w:id="460" w:name="_Toc296944540"/>
      <w:bookmarkStart w:id="461" w:name="_Toc297120501"/>
      <w:bookmarkStart w:id="462" w:name="_Toc292559911"/>
      <w:bookmarkStart w:id="463" w:name="_Toc297123550"/>
      <w:bookmarkStart w:id="464" w:name="_Toc304295577"/>
      <w:r>
        <w:rPr>
          <w:rFonts w:hint="eastAsia" w:cs="宋体"/>
          <w:bCs/>
          <w:color w:val="auto"/>
          <w:sz w:val="24"/>
          <w:szCs w:val="24"/>
          <w:highlight w:val="none"/>
        </w:rPr>
        <w:t>11.1 市场价格波动引起的调整</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4779D5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市场价格波动是否调整合同价格的约定：</w:t>
      </w:r>
      <w:r>
        <w:rPr>
          <w:rFonts w:hint="eastAsia" w:cs="宋体"/>
          <w:color w:val="auto"/>
          <w:sz w:val="24"/>
          <w:szCs w:val="24"/>
          <w:highlight w:val="none"/>
          <w:u w:val="single"/>
          <w:lang w:val="en-US" w:eastAsia="zh-CN"/>
        </w:rPr>
        <w:t>不调整</w:t>
      </w:r>
      <w:r>
        <w:rPr>
          <w:rFonts w:hint="eastAsia" w:cs="宋体"/>
          <w:color w:val="auto"/>
          <w:sz w:val="24"/>
          <w:szCs w:val="24"/>
          <w:highlight w:val="none"/>
        </w:rPr>
        <w:t>。</w:t>
      </w:r>
    </w:p>
    <w:p w14:paraId="0D07562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因市场价格波动调整合同价格，采用以下第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种方式对合同价格进行调整：</w:t>
      </w:r>
    </w:p>
    <w:p w14:paraId="4ED07BC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第1种方式：采用价格指数进行价格调整。</w:t>
      </w:r>
    </w:p>
    <w:p w14:paraId="10FD47F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关于各可调因子、定值和变值权重，以及基本价格指数及其来源的约定：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66CE7B1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第2种方式：采用造价信息进行价格调整。</w:t>
      </w:r>
    </w:p>
    <w:p w14:paraId="6DE816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（1）可调整价格的主要材料范围的约定：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DBCD8D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（2）主要材料价差调整周期的约定：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A21DCD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（3）主要材料价差调整计算方法的约定：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71D885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（4）主要材料价差调整时间的约定：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E6D0CC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（2）关于基准价格的约定：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1AC65C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①</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在已标价工程量清单或预算书中载明的材料单价低于基准价格的：专用合同条款合同履行期间材料单价涨幅以基准价格为基础超过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%时，或材料单价跌幅以已标价工程量清单或预算书中载明材料单价为基础超过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3FC57C6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②</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在已标价工程量清单或预算书中载明的材料单价高于基准价格的：专用合同条款合同履行期间材料单价跌幅以基准价格为基础超过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%时，材料单价涨幅以已标价工程量清单或预算书中载明材料单价为基础超过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64A17DF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③</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在已标价工程量清单或预算书中载明的材料单价等于基准单价的：专用合同条款合同履行期间材料单价涨跌幅以基准单价为基础超过±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695683A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第3种方式：其他价格调整方式：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52"/>
    <w:bookmarkEnd w:id="353"/>
    <w:bookmarkEnd w:id="354"/>
    <w:bookmarkEnd w:id="355"/>
    <w:bookmarkEnd w:id="356"/>
    <w:bookmarkEnd w:id="357"/>
    <w:p w14:paraId="54814B41">
      <w:pPr>
        <w:snapToGrid w:val="0"/>
        <w:spacing w:before="312" w:beforeLines="100" w:after="312" w:afterLines="100" w:line="360" w:lineRule="auto"/>
        <w:outlineLvl w:val="2"/>
        <w:rPr>
          <w:rFonts w:cs="宋体"/>
          <w:color w:val="auto"/>
          <w:sz w:val="24"/>
          <w:szCs w:val="24"/>
          <w:highlight w:val="none"/>
        </w:rPr>
      </w:pPr>
      <w:bookmarkStart w:id="465" w:name="_Toc296891245"/>
      <w:bookmarkStart w:id="466" w:name="_Toc297120505"/>
      <w:bookmarkStart w:id="467" w:name="_Toc296347204"/>
      <w:bookmarkStart w:id="468" w:name="_Toc296891033"/>
      <w:bookmarkStart w:id="469" w:name="_Toc296503205"/>
      <w:bookmarkStart w:id="470" w:name="_Toc296346706"/>
      <w:bookmarkStart w:id="471" w:name="_Toc296944544"/>
      <w:bookmarkStart w:id="472" w:name="_Toc292559410"/>
      <w:bookmarkStart w:id="473" w:name="_Toc297048391"/>
      <w:bookmarkStart w:id="474" w:name="_Toc292559915"/>
      <w:bookmarkStart w:id="475" w:name="_Toc351203644"/>
      <w:bookmarkStart w:id="476" w:name="_Toc312678040"/>
      <w:bookmarkStart w:id="477" w:name="_Toc297216211"/>
      <w:bookmarkStart w:id="478" w:name="_Toc297123552"/>
      <w:bookmarkStart w:id="479" w:name="_Toc300935002"/>
      <w:bookmarkStart w:id="480" w:name="_Toc303539159"/>
      <w:bookmarkStart w:id="481" w:name="_Toc304295579"/>
      <w:r>
        <w:rPr>
          <w:rFonts w:hint="eastAsia" w:cs="宋体"/>
          <w:color w:val="auto"/>
          <w:sz w:val="24"/>
          <w:szCs w:val="24"/>
          <w:highlight w:val="none"/>
        </w:rPr>
        <w:t xml:space="preserve">12. </w:t>
      </w:r>
      <w:bookmarkEnd w:id="465"/>
      <w:bookmarkEnd w:id="466"/>
      <w:bookmarkEnd w:id="467"/>
      <w:bookmarkEnd w:id="468"/>
      <w:bookmarkEnd w:id="469"/>
      <w:bookmarkEnd w:id="470"/>
      <w:bookmarkEnd w:id="471"/>
      <w:bookmarkEnd w:id="472"/>
      <w:bookmarkEnd w:id="473"/>
      <w:bookmarkEnd w:id="474"/>
      <w:r>
        <w:rPr>
          <w:rFonts w:hint="eastAsia" w:cs="宋体"/>
          <w:color w:val="auto"/>
          <w:sz w:val="24"/>
          <w:szCs w:val="24"/>
          <w:highlight w:val="none"/>
        </w:rPr>
        <w:t>合同价格、计量与支付</w:t>
      </w:r>
      <w:bookmarkEnd w:id="475"/>
    </w:p>
    <w:bookmarkEnd w:id="476"/>
    <w:bookmarkEnd w:id="477"/>
    <w:bookmarkEnd w:id="478"/>
    <w:bookmarkEnd w:id="479"/>
    <w:bookmarkEnd w:id="480"/>
    <w:bookmarkEnd w:id="481"/>
    <w:p w14:paraId="40A491AE">
      <w:pPr>
        <w:keepNext/>
        <w:keepLines/>
        <w:snapToGrid w:val="0"/>
        <w:spacing w:before="120" w:after="120" w:line="360" w:lineRule="auto"/>
        <w:ind w:firstLine="480" w:firstLineChars="200"/>
        <w:outlineLvl w:val="3"/>
        <w:rPr>
          <w:rFonts w:cs="宋体"/>
          <w:bCs/>
          <w:color w:val="auto"/>
          <w:sz w:val="24"/>
          <w:szCs w:val="24"/>
          <w:highlight w:val="none"/>
        </w:rPr>
      </w:pPr>
      <w:bookmarkStart w:id="482" w:name="_Toc267251461"/>
      <w:bookmarkStart w:id="483" w:name="_Toc292559916"/>
      <w:bookmarkStart w:id="484" w:name="_Toc292559411"/>
      <w:bookmarkStart w:id="485" w:name="_Toc296503206"/>
      <w:bookmarkStart w:id="486" w:name="_Toc297048392"/>
      <w:bookmarkStart w:id="487" w:name="_Toc296891246"/>
      <w:bookmarkStart w:id="488" w:name="_Toc296346707"/>
      <w:bookmarkStart w:id="489" w:name="_Toc296347205"/>
      <w:bookmarkStart w:id="490" w:name="_Toc296944545"/>
      <w:bookmarkStart w:id="491" w:name="_Toc297120506"/>
      <w:bookmarkStart w:id="492" w:name="_Toc296891034"/>
      <w:bookmarkStart w:id="493" w:name="_Toc312678041"/>
      <w:bookmarkStart w:id="494" w:name="_Toc297123553"/>
      <w:bookmarkStart w:id="495" w:name="_Toc303539160"/>
      <w:bookmarkStart w:id="496" w:name="_Toc297216212"/>
      <w:bookmarkStart w:id="497" w:name="_Toc300935003"/>
      <w:bookmarkStart w:id="498" w:name="_Toc304295580"/>
      <w:r>
        <w:rPr>
          <w:rFonts w:hint="eastAsia" w:cs="宋体"/>
          <w:bCs/>
          <w:color w:val="auto"/>
          <w:sz w:val="24"/>
          <w:szCs w:val="24"/>
          <w:highlight w:val="none"/>
        </w:rPr>
        <w:t>12.1 合</w:t>
      </w:r>
      <w:bookmarkEnd w:id="482"/>
      <w:bookmarkEnd w:id="483"/>
      <w:bookmarkEnd w:id="484"/>
      <w:r>
        <w:rPr>
          <w:rFonts w:hint="eastAsia" w:cs="宋体"/>
          <w:bCs/>
          <w:color w:val="auto"/>
          <w:sz w:val="24"/>
          <w:szCs w:val="24"/>
          <w:highlight w:val="none"/>
        </w:rPr>
        <w:t>同价</w:t>
      </w:r>
      <w:bookmarkEnd w:id="485"/>
      <w:bookmarkEnd w:id="486"/>
      <w:bookmarkEnd w:id="487"/>
      <w:bookmarkEnd w:id="488"/>
      <w:bookmarkEnd w:id="489"/>
      <w:bookmarkEnd w:id="490"/>
      <w:bookmarkEnd w:id="491"/>
      <w:bookmarkEnd w:id="492"/>
      <w:r>
        <w:rPr>
          <w:rFonts w:hint="eastAsia" w:cs="宋体"/>
          <w:bCs/>
          <w:color w:val="auto"/>
          <w:sz w:val="24"/>
          <w:szCs w:val="24"/>
          <w:highlight w:val="none"/>
        </w:rPr>
        <w:t>格形式</w:t>
      </w:r>
    </w:p>
    <w:bookmarkEnd w:id="493"/>
    <w:bookmarkEnd w:id="494"/>
    <w:bookmarkEnd w:id="495"/>
    <w:bookmarkEnd w:id="496"/>
    <w:bookmarkEnd w:id="497"/>
    <w:bookmarkEnd w:id="498"/>
    <w:p w14:paraId="617F42C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w:t>
      </w:r>
    </w:p>
    <w:p w14:paraId="0DBE40F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综合单价包含的风险范围：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4EA026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5F5D6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EAAA58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w:t>
      </w:r>
    </w:p>
    <w:p w14:paraId="148E6713">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总价包含的风险范围：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0B90A4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88416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191436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0CDAAB9">
      <w:pPr>
        <w:keepNext/>
        <w:keepLines/>
        <w:snapToGrid w:val="0"/>
        <w:spacing w:before="120" w:after="120" w:line="360" w:lineRule="auto"/>
        <w:ind w:firstLine="480" w:firstLineChars="200"/>
        <w:outlineLvl w:val="3"/>
        <w:rPr>
          <w:rFonts w:cs="宋体"/>
          <w:bCs/>
          <w:color w:val="auto"/>
          <w:sz w:val="24"/>
          <w:szCs w:val="24"/>
          <w:highlight w:val="none"/>
        </w:rPr>
      </w:pPr>
      <w:bookmarkStart w:id="499" w:name="_Toc312678042"/>
      <w:bookmarkStart w:id="500" w:name="_Toc297123554"/>
      <w:bookmarkStart w:id="501" w:name="_Toc304295581"/>
      <w:bookmarkStart w:id="502" w:name="_Toc303539161"/>
      <w:bookmarkStart w:id="503" w:name="_Toc297216213"/>
      <w:bookmarkStart w:id="504" w:name="_Toc300935004"/>
      <w:bookmarkStart w:id="505" w:name="_Toc297048393"/>
      <w:bookmarkStart w:id="506" w:name="_Toc292559917"/>
      <w:bookmarkStart w:id="507" w:name="_Toc296346708"/>
      <w:bookmarkStart w:id="508" w:name="_Toc292559412"/>
      <w:bookmarkStart w:id="509" w:name="_Toc296944546"/>
      <w:bookmarkStart w:id="510" w:name="_Toc297120507"/>
      <w:bookmarkStart w:id="511" w:name="_Toc296891247"/>
      <w:bookmarkStart w:id="512" w:name="_Toc296347206"/>
      <w:bookmarkStart w:id="513" w:name="_Toc296891035"/>
      <w:bookmarkStart w:id="514" w:name="_Toc296503207"/>
      <w:r>
        <w:rPr>
          <w:rFonts w:hint="eastAsia" w:cs="宋体"/>
          <w:bCs/>
          <w:color w:val="auto"/>
          <w:sz w:val="24"/>
          <w:szCs w:val="24"/>
          <w:highlight w:val="none"/>
        </w:rPr>
        <w:t>12.2 预付款</w:t>
      </w:r>
    </w:p>
    <w:bookmarkEnd w:id="499"/>
    <w:bookmarkEnd w:id="500"/>
    <w:bookmarkEnd w:id="501"/>
    <w:bookmarkEnd w:id="502"/>
    <w:bookmarkEnd w:id="503"/>
    <w:bookmarkEnd w:id="504"/>
    <w:p w14:paraId="1A4503B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12.2.1 预付款的支付</w:t>
      </w:r>
    </w:p>
    <w:p w14:paraId="64168A2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预付款支付比例或金额：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5993CF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8B370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预付款扣回的方式：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156E19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12.2.2 预付款担保</w:t>
      </w:r>
    </w:p>
    <w:p w14:paraId="0130A19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提交预付款担保的期限：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C04357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预付款担保的形式为：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505"/>
    <w:bookmarkEnd w:id="506"/>
    <w:bookmarkEnd w:id="507"/>
    <w:bookmarkEnd w:id="508"/>
    <w:bookmarkEnd w:id="509"/>
    <w:bookmarkEnd w:id="510"/>
    <w:bookmarkEnd w:id="511"/>
    <w:bookmarkEnd w:id="512"/>
    <w:bookmarkEnd w:id="513"/>
    <w:bookmarkEnd w:id="514"/>
    <w:p w14:paraId="2C092FC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12.3 计量</w:t>
      </w:r>
    </w:p>
    <w:p w14:paraId="6F87FC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12.3.1 计量原则</w:t>
      </w:r>
    </w:p>
    <w:p w14:paraId="6D7E2929">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工程量计算规则：</w:t>
      </w:r>
      <w:r>
        <w:rPr>
          <w:rFonts w:hint="eastAsia" w:cs="宋体"/>
          <w:color w:val="auto"/>
          <w:sz w:val="24"/>
          <w:szCs w:val="24"/>
          <w:highlight w:val="none"/>
          <w:u w:val="single"/>
        </w:rPr>
        <w:t>按招标工程量清单及最高投标限价所采用的工程量清单计价规范及配套文件等</w:t>
      </w:r>
      <w:r>
        <w:rPr>
          <w:rFonts w:hint="eastAsia" w:cs="宋体"/>
          <w:b/>
          <w:color w:val="auto"/>
          <w:sz w:val="24"/>
          <w:szCs w:val="24"/>
          <w:highlight w:val="none"/>
        </w:rPr>
        <w:t>。</w:t>
      </w:r>
    </w:p>
    <w:p w14:paraId="47FFF0D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12.3.2 计量周期</w:t>
      </w:r>
    </w:p>
    <w:p w14:paraId="2D463B51">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关于计量周期的约定</w:t>
      </w:r>
      <w:r>
        <w:rPr>
          <w:rFonts w:hint="eastAsia" w:cs="宋体"/>
          <w:b/>
          <w:color w:val="auto"/>
          <w:sz w:val="24"/>
          <w:szCs w:val="24"/>
          <w:highlight w:val="none"/>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15ADBB6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12.3.3 单价合同的计量</w:t>
      </w:r>
    </w:p>
    <w:p w14:paraId="54711BE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关于单价合同计量的约定：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4F2C9E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12.3.4 总价合同的计量</w:t>
      </w:r>
    </w:p>
    <w:p w14:paraId="55B52CD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关于总价合同计量的约定：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9F1C2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12.3.5 总价合同采用支付分解表计量支付的，是否适用第12.3.4项〔总价合同的计量〕约定进行计量：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5B879F8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12.3.6 其他价格形式合同的计量</w:t>
      </w:r>
    </w:p>
    <w:p w14:paraId="5EC3A57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其他价格形式的计量方式和程序：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D7DC41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12.4 工程进度款支付</w:t>
      </w:r>
    </w:p>
    <w:p w14:paraId="71699419">
      <w:pPr>
        <w:adjustRightInd w:val="0"/>
        <w:snapToGrid w:val="0"/>
        <w:spacing w:line="360" w:lineRule="auto"/>
        <w:ind w:firstLine="480" w:firstLineChars="200"/>
        <w:rPr>
          <w:rFonts w:cs="宋体"/>
          <w:color w:val="auto"/>
          <w:sz w:val="24"/>
          <w:szCs w:val="24"/>
          <w:highlight w:val="none"/>
        </w:rPr>
      </w:pPr>
      <w:bookmarkStart w:id="515" w:name="_Toc297120511"/>
      <w:bookmarkStart w:id="516" w:name="_Toc296891251"/>
      <w:bookmarkStart w:id="517" w:name="_Toc297123556"/>
      <w:bookmarkStart w:id="518" w:name="_Toc292559416"/>
      <w:bookmarkStart w:id="519" w:name="_Toc300935006"/>
      <w:bookmarkStart w:id="520" w:name="_Toc297048397"/>
      <w:bookmarkStart w:id="521" w:name="_Toc297216215"/>
      <w:bookmarkStart w:id="522" w:name="_Toc292559921"/>
      <w:bookmarkStart w:id="523" w:name="_Toc296944550"/>
      <w:bookmarkStart w:id="524" w:name="_Toc296891039"/>
      <w:bookmarkStart w:id="525" w:name="_Toc296347210"/>
      <w:bookmarkStart w:id="526" w:name="_Toc296503211"/>
      <w:bookmarkStart w:id="527" w:name="_Toc303539163"/>
      <w:bookmarkStart w:id="528" w:name="_Toc296346712"/>
      <w:r>
        <w:rPr>
          <w:rFonts w:hint="eastAsia" w:cs="宋体"/>
          <w:color w:val="auto"/>
          <w:sz w:val="24"/>
          <w:szCs w:val="24"/>
          <w:highlight w:val="none"/>
        </w:rPr>
        <w:t>12.4.1 付款周期</w:t>
      </w:r>
    </w:p>
    <w:p w14:paraId="361CD62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关于付款周期的约定：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85C171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12.4.2 进度付款申请单的编制</w:t>
      </w:r>
    </w:p>
    <w:p w14:paraId="4F608CC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关于进度付款申请单编制的约定：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5F2818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hint="eastAsia" w:cs="宋体"/>
          <w:color w:val="auto"/>
          <w:sz w:val="24"/>
          <w:szCs w:val="24"/>
          <w:highlight w:val="none"/>
        </w:rPr>
        <w:t>2.4.3 进度付款申请单的提交</w:t>
      </w:r>
    </w:p>
    <w:p w14:paraId="4084C77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015686A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（2）总价合同进度付款申请单提交的约定：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B48F2A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（3）其他价格形式合同进度付款申请单提交的约定：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68AE0E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12.4.4 进度款审核和支付</w:t>
      </w:r>
    </w:p>
    <w:p w14:paraId="0240AD75">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（1）</w:t>
      </w:r>
      <w:r>
        <w:rPr>
          <w:rFonts w:hint="eastAsia" w:cs="宋体"/>
          <w:color w:val="auto"/>
          <w:sz w:val="24"/>
          <w:szCs w:val="24"/>
          <w:highlight w:val="none"/>
          <w:lang w:val="en-US" w:eastAsia="zh-CN"/>
        </w:rPr>
        <w:t>乙方</w:t>
      </w:r>
      <w:r>
        <w:rPr>
          <w:rFonts w:hint="eastAsia" w:cs="宋体"/>
          <w:color w:val="auto"/>
          <w:sz w:val="24"/>
          <w:szCs w:val="24"/>
          <w:highlight w:val="none"/>
        </w:rPr>
        <w:t>报送</w:t>
      </w:r>
      <w:r>
        <w:rPr>
          <w:rFonts w:hint="eastAsia" w:cs="宋体"/>
          <w:color w:val="auto"/>
          <w:sz w:val="24"/>
          <w:szCs w:val="24"/>
          <w:highlight w:val="none"/>
          <w:lang w:eastAsia="zh-CN"/>
        </w:rPr>
        <w:t>甲方</w:t>
      </w:r>
      <w:r>
        <w:rPr>
          <w:rFonts w:hint="eastAsia" w:cs="宋体"/>
          <w:color w:val="auto"/>
          <w:sz w:val="24"/>
          <w:szCs w:val="24"/>
          <w:highlight w:val="none"/>
        </w:rPr>
        <w:t>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D358EA8">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完成审批并签发进度款支付证书的期限：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1F89B5C">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支付进度款的期限：</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65EAFC4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逾期支付进度款的违约金的计算方式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85216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12.4.6 支付分解表的编制</w:t>
      </w:r>
    </w:p>
    <w:p w14:paraId="1BC4336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（2）总价合同支付分解表的编制与审批：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388BB04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（3）单价合同的总价项目支付分解表的编制与审批：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5DD2A348">
      <w:pPr>
        <w:adjustRightInd w:val="0"/>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12.4.7 农民工工资管理</w:t>
      </w:r>
    </w:p>
    <w:p w14:paraId="56642DFB">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（1）</w:t>
      </w:r>
      <w:r>
        <w:rPr>
          <w:rFonts w:hint="eastAsia" w:cs="宋体"/>
          <w:bCs/>
          <w:color w:val="auto"/>
          <w:sz w:val="24"/>
          <w:szCs w:val="24"/>
          <w:highlight w:val="none"/>
        </w:rPr>
        <w:t>本工程农民工工资实行专用账户管理，</w:t>
      </w:r>
      <w:r>
        <w:rPr>
          <w:rFonts w:hint="eastAsia" w:cs="宋体"/>
          <w:bCs/>
          <w:color w:val="auto"/>
          <w:sz w:val="24"/>
          <w:szCs w:val="24"/>
          <w:highlight w:val="none"/>
          <w:lang w:eastAsia="zh-CN"/>
        </w:rPr>
        <w:t>乙方</w:t>
      </w:r>
      <w:r>
        <w:rPr>
          <w:rFonts w:hint="eastAsia" w:cs="宋体"/>
          <w:bCs/>
          <w:color w:val="auto"/>
          <w:sz w:val="24"/>
          <w:szCs w:val="24"/>
          <w:highlight w:val="none"/>
        </w:rPr>
        <w:t>设立的专用账户开户行为</w:t>
      </w:r>
      <w:r>
        <w:rPr>
          <w:rFonts w:hint="eastAsia" w:cs="宋体"/>
          <w:bCs/>
          <w:color w:val="auto"/>
          <w:sz w:val="24"/>
          <w:szCs w:val="24"/>
          <w:highlight w:val="none"/>
          <w:u w:val="single"/>
        </w:rPr>
        <w:t xml:space="preserve">：        </w:t>
      </w:r>
      <w:r>
        <w:rPr>
          <w:rFonts w:hint="eastAsia" w:cs="宋体"/>
          <w:bCs/>
          <w:color w:val="auto"/>
          <w:sz w:val="24"/>
          <w:szCs w:val="24"/>
          <w:highlight w:val="none"/>
        </w:rPr>
        <w:t>，账号：</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3ACDBECF">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（2）</w:t>
      </w:r>
      <w:r>
        <w:rPr>
          <w:rFonts w:hint="eastAsia" w:cs="宋体"/>
          <w:bCs/>
          <w:color w:val="auto"/>
          <w:sz w:val="24"/>
          <w:szCs w:val="24"/>
          <w:highlight w:val="none"/>
        </w:rPr>
        <w:t>本工程工资性工程款</w:t>
      </w:r>
      <w:r>
        <w:rPr>
          <w:rFonts w:hint="eastAsia" w:cs="宋体"/>
          <w:bCs/>
          <w:color w:val="auto"/>
          <w:sz w:val="24"/>
          <w:szCs w:val="24"/>
          <w:highlight w:val="none"/>
          <w:u w:val="single"/>
        </w:rPr>
        <w:t xml:space="preserve">         </w:t>
      </w:r>
      <w:r>
        <w:rPr>
          <w:rFonts w:hint="eastAsia" w:cs="宋体"/>
          <w:bCs/>
          <w:color w:val="auto"/>
          <w:sz w:val="24"/>
          <w:szCs w:val="24"/>
          <w:highlight w:val="none"/>
        </w:rPr>
        <w:t>元。</w:t>
      </w:r>
    </w:p>
    <w:p w14:paraId="058BAFEF">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（3）</w:t>
      </w:r>
      <w:r>
        <w:rPr>
          <w:rFonts w:hint="eastAsia" w:cs="宋体"/>
          <w:bCs/>
          <w:color w:val="auto"/>
          <w:sz w:val="24"/>
          <w:szCs w:val="24"/>
          <w:highlight w:val="none"/>
          <w:lang w:eastAsia="zh-CN"/>
        </w:rPr>
        <w:t>甲方</w:t>
      </w:r>
      <w:r>
        <w:rPr>
          <w:rFonts w:hint="eastAsia" w:cs="宋体"/>
          <w:bCs/>
          <w:color w:val="auto"/>
          <w:sz w:val="24"/>
          <w:szCs w:val="24"/>
          <w:highlight w:val="none"/>
        </w:rPr>
        <w:t>于每月25日前将工资性工程进度款转入农民工工资专用账户。</w:t>
      </w:r>
    </w:p>
    <w:p w14:paraId="549FF0E4">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（4）</w:t>
      </w:r>
      <w:r>
        <w:rPr>
          <w:rFonts w:hint="eastAsia" w:cs="宋体"/>
          <w:bCs/>
          <w:color w:val="auto"/>
          <w:sz w:val="24"/>
          <w:szCs w:val="24"/>
          <w:highlight w:val="none"/>
          <w:lang w:eastAsia="zh-CN"/>
        </w:rPr>
        <w:t>乙方</w:t>
      </w:r>
      <w:r>
        <w:rPr>
          <w:rFonts w:hint="eastAsia" w:cs="宋体"/>
          <w:bCs/>
          <w:color w:val="auto"/>
          <w:sz w:val="24"/>
          <w:szCs w:val="24"/>
          <w:highlight w:val="none"/>
        </w:rPr>
        <w:t>每月25日前上报本工程农民工工资清单，每月10日前委托开设农民工工资专用账户的银行支付农民工工资。</w:t>
      </w:r>
    </w:p>
    <w:p w14:paraId="58BD3090">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（5）</w:t>
      </w:r>
      <w:r>
        <w:rPr>
          <w:rFonts w:hint="eastAsia" w:cs="宋体"/>
          <w:bCs/>
          <w:color w:val="auto"/>
          <w:sz w:val="24"/>
          <w:szCs w:val="24"/>
          <w:highlight w:val="none"/>
        </w:rPr>
        <w:t>工程</w:t>
      </w:r>
      <w:r>
        <w:rPr>
          <w:rFonts w:hint="eastAsia" w:cs="宋体"/>
          <w:bCs/>
          <w:color w:val="auto"/>
          <w:sz w:val="24"/>
          <w:szCs w:val="24"/>
          <w:highlight w:val="none"/>
          <w:lang w:eastAsia="zh-CN"/>
        </w:rPr>
        <w:t>完工</w:t>
      </w:r>
      <w:r>
        <w:rPr>
          <w:rFonts w:hint="eastAsia" w:cs="宋体"/>
          <w:bCs/>
          <w:color w:val="auto"/>
          <w:sz w:val="24"/>
          <w:szCs w:val="24"/>
          <w:highlight w:val="none"/>
        </w:rPr>
        <w:t>后，经项目部农民工维权组确认无农民工工资拖欠后，发、承双方办理农民工工资专用账户撤销手续，农民工工资专用账户余额划至本合同约定的</w:t>
      </w:r>
      <w:r>
        <w:rPr>
          <w:rFonts w:hint="eastAsia" w:cs="宋体"/>
          <w:bCs/>
          <w:color w:val="auto"/>
          <w:sz w:val="24"/>
          <w:szCs w:val="24"/>
          <w:highlight w:val="none"/>
          <w:lang w:eastAsia="zh-CN"/>
        </w:rPr>
        <w:t>乙方</w:t>
      </w:r>
      <w:r>
        <w:rPr>
          <w:rFonts w:hint="eastAsia" w:cs="宋体"/>
          <w:bCs/>
          <w:color w:val="auto"/>
          <w:sz w:val="24"/>
          <w:szCs w:val="24"/>
          <w:highlight w:val="none"/>
        </w:rPr>
        <w:t>账户。</w:t>
      </w:r>
    </w:p>
    <w:bookmarkEnd w:id="358"/>
    <w:p w14:paraId="401B8B11">
      <w:pPr>
        <w:snapToGrid w:val="0"/>
        <w:spacing w:before="312" w:beforeLines="100" w:after="312" w:afterLines="100" w:line="360" w:lineRule="auto"/>
        <w:outlineLvl w:val="2"/>
        <w:rPr>
          <w:rFonts w:cs="宋体"/>
          <w:color w:val="auto"/>
          <w:sz w:val="24"/>
          <w:szCs w:val="24"/>
          <w:highlight w:val="none"/>
        </w:rPr>
      </w:pPr>
      <w:bookmarkStart w:id="529" w:name="_Toc351203645"/>
      <w:bookmarkStart w:id="530" w:name="_Toc312678053"/>
      <w:bookmarkStart w:id="531" w:name="_Toc296944558"/>
      <w:bookmarkStart w:id="532" w:name="_Toc296891047"/>
      <w:bookmarkStart w:id="533" w:name="_Toc297048405"/>
      <w:bookmarkStart w:id="534" w:name="_Toc296347218"/>
      <w:bookmarkStart w:id="535" w:name="_Toc296503219"/>
      <w:bookmarkStart w:id="536" w:name="_Toc297120519"/>
      <w:bookmarkStart w:id="537" w:name="_Toc296891259"/>
      <w:bookmarkStart w:id="538" w:name="_Toc292559929"/>
      <w:bookmarkStart w:id="539" w:name="_Toc303539172"/>
      <w:bookmarkStart w:id="540" w:name="_Toc297216223"/>
      <w:bookmarkStart w:id="541" w:name="_Toc296346720"/>
      <w:bookmarkStart w:id="542" w:name="_Toc292559424"/>
      <w:bookmarkStart w:id="543" w:name="_Toc297123564"/>
      <w:bookmarkStart w:id="544" w:name="_Toc304295593"/>
      <w:bookmarkStart w:id="545" w:name="_Toc300935015"/>
      <w:r>
        <w:rPr>
          <w:rFonts w:hint="eastAsia" w:cs="宋体"/>
          <w:color w:val="auto"/>
          <w:sz w:val="24"/>
          <w:szCs w:val="24"/>
          <w:highlight w:val="none"/>
        </w:rPr>
        <w:t>13. 验收和工程试车</w:t>
      </w:r>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14:paraId="4C88301F">
      <w:pPr>
        <w:keepNext/>
        <w:keepLines/>
        <w:snapToGrid w:val="0"/>
        <w:spacing w:before="120" w:after="120" w:line="360" w:lineRule="auto"/>
        <w:jc w:val="left"/>
        <w:outlineLvl w:val="2"/>
        <w:rPr>
          <w:rFonts w:cs="宋体"/>
          <w:bCs/>
          <w:color w:val="auto"/>
          <w:sz w:val="24"/>
          <w:szCs w:val="24"/>
          <w:highlight w:val="none"/>
        </w:rPr>
      </w:pPr>
      <w:r>
        <w:rPr>
          <w:rFonts w:hint="eastAsia" w:cs="宋体"/>
          <w:bCs/>
          <w:color w:val="auto"/>
          <w:sz w:val="24"/>
          <w:szCs w:val="24"/>
          <w:highlight w:val="none"/>
        </w:rPr>
        <w:t>13.1 分部分项工程验收</w:t>
      </w:r>
    </w:p>
    <w:p w14:paraId="20A5718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13.1.2 </w:t>
      </w:r>
      <w:r>
        <w:rPr>
          <w:rFonts w:hint="eastAsia" w:cs="宋体"/>
          <w:color w:val="auto"/>
          <w:sz w:val="24"/>
          <w:szCs w:val="24"/>
          <w:highlight w:val="none"/>
          <w:lang w:val="en-US" w:eastAsia="zh-CN"/>
        </w:rPr>
        <w:t>甲方</w:t>
      </w:r>
      <w:r>
        <w:rPr>
          <w:rFonts w:hint="eastAsia" w:cs="宋体"/>
          <w:color w:val="auto"/>
          <w:sz w:val="24"/>
          <w:szCs w:val="24"/>
          <w:highlight w:val="none"/>
        </w:rPr>
        <w:t>不能按时进行验收时，应提前</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小时提交书面延期要求。</w:t>
      </w:r>
    </w:p>
    <w:p w14:paraId="35AFBD2D">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w:t>
      </w:r>
    </w:p>
    <w:p w14:paraId="6F3C23E3">
      <w:pPr>
        <w:keepNext/>
        <w:keepLines/>
        <w:snapToGrid w:val="0"/>
        <w:spacing w:before="120" w:after="120" w:line="360" w:lineRule="auto"/>
        <w:ind w:firstLine="480" w:firstLineChars="200"/>
        <w:outlineLvl w:val="3"/>
        <w:rPr>
          <w:rFonts w:cs="宋体"/>
          <w:bCs/>
          <w:color w:val="auto"/>
          <w:sz w:val="24"/>
          <w:szCs w:val="24"/>
          <w:highlight w:val="none"/>
        </w:rPr>
      </w:pPr>
      <w:bookmarkStart w:id="546" w:name="_Toc297048409"/>
      <w:bookmarkStart w:id="547" w:name="_Toc304295596"/>
      <w:bookmarkStart w:id="548" w:name="_Toc296891263"/>
      <w:bookmarkStart w:id="549" w:name="_Toc312678056"/>
      <w:bookmarkStart w:id="550" w:name="_Toc297123565"/>
      <w:bookmarkStart w:id="551" w:name="_Toc296944562"/>
      <w:bookmarkStart w:id="552" w:name="_Toc292559428"/>
      <w:bookmarkStart w:id="553" w:name="_Toc297216224"/>
      <w:bookmarkStart w:id="554" w:name="_Toc297120523"/>
      <w:bookmarkStart w:id="555" w:name="_Toc296891051"/>
      <w:bookmarkStart w:id="556" w:name="_Toc303539173"/>
      <w:bookmarkStart w:id="557" w:name="_Toc300935016"/>
      <w:bookmarkStart w:id="558" w:name="_Toc296346724"/>
      <w:bookmarkStart w:id="559" w:name="_Toc296347222"/>
      <w:bookmarkStart w:id="560" w:name="_Toc296503223"/>
      <w:bookmarkStart w:id="561" w:name="_Toc292559933"/>
      <w:bookmarkStart w:id="562" w:name="_Toc267251471"/>
      <w:bookmarkStart w:id="563" w:name="_Toc267251475"/>
      <w:bookmarkStart w:id="564" w:name="_Toc267251473"/>
      <w:bookmarkStart w:id="565" w:name="_Toc267251470"/>
      <w:bookmarkStart w:id="566" w:name="_Toc267251474"/>
      <w:bookmarkStart w:id="567" w:name="_Toc267251476"/>
      <w:bookmarkStart w:id="568" w:name="_Toc267251472"/>
      <w:r>
        <w:rPr>
          <w:rFonts w:hint="eastAsia" w:cs="宋体"/>
          <w:bCs/>
          <w:color w:val="auto"/>
          <w:sz w:val="24"/>
          <w:szCs w:val="24"/>
          <w:highlight w:val="none"/>
        </w:rPr>
        <w:t xml:space="preserve">13.2 </w:t>
      </w:r>
      <w:r>
        <w:rPr>
          <w:rFonts w:hint="eastAsia" w:cs="宋体"/>
          <w:bCs/>
          <w:color w:val="auto"/>
          <w:sz w:val="24"/>
          <w:szCs w:val="24"/>
          <w:highlight w:val="none"/>
          <w:lang w:eastAsia="zh-CN"/>
        </w:rPr>
        <w:t>完工</w:t>
      </w:r>
      <w:r>
        <w:rPr>
          <w:rFonts w:hint="eastAsia" w:cs="宋体"/>
          <w:bCs/>
          <w:color w:val="auto"/>
          <w:sz w:val="24"/>
          <w:szCs w:val="24"/>
          <w:highlight w:val="none"/>
        </w:rPr>
        <w:t>验收</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14:paraId="01697CD2">
      <w:pPr>
        <w:adjustRightInd w:val="0"/>
        <w:snapToGrid w:val="0"/>
        <w:spacing w:line="360" w:lineRule="auto"/>
        <w:ind w:firstLine="480" w:firstLineChars="200"/>
        <w:rPr>
          <w:rFonts w:cs="宋体"/>
          <w:color w:val="auto"/>
          <w:sz w:val="24"/>
          <w:szCs w:val="24"/>
          <w:highlight w:val="none"/>
        </w:rPr>
      </w:pPr>
      <w:bookmarkStart w:id="569" w:name="_Toc280868704"/>
      <w:bookmarkStart w:id="570" w:name="_Toc280868705"/>
      <w:bookmarkStart w:id="571" w:name="_Toc280868706"/>
      <w:bookmarkStart w:id="572" w:name="_Toc280868707"/>
      <w:bookmarkStart w:id="573" w:name="_Toc280868708"/>
      <w:bookmarkStart w:id="574" w:name="_Toc280868709"/>
      <w:r>
        <w:rPr>
          <w:rFonts w:hint="eastAsia" w:cs="宋体"/>
          <w:color w:val="auto"/>
          <w:sz w:val="24"/>
          <w:szCs w:val="24"/>
          <w:highlight w:val="none"/>
        </w:rPr>
        <w:t xml:space="preserve">13.2.2 </w:t>
      </w:r>
      <w:r>
        <w:rPr>
          <w:rFonts w:hint="eastAsia" w:cs="宋体"/>
          <w:color w:val="auto"/>
          <w:sz w:val="24"/>
          <w:szCs w:val="24"/>
          <w:highlight w:val="none"/>
          <w:lang w:eastAsia="zh-CN"/>
        </w:rPr>
        <w:t>完工</w:t>
      </w:r>
      <w:r>
        <w:rPr>
          <w:rFonts w:hint="eastAsia" w:cs="宋体"/>
          <w:color w:val="auto"/>
          <w:sz w:val="24"/>
          <w:szCs w:val="24"/>
          <w:highlight w:val="none"/>
        </w:rPr>
        <w:t>验收程序</w:t>
      </w:r>
    </w:p>
    <w:bookmarkEnd w:id="569"/>
    <w:p w14:paraId="7FD4806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验收程序的约定：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511AFCC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不按照本项约定组织</w:t>
      </w:r>
      <w:r>
        <w:rPr>
          <w:rFonts w:hint="eastAsia" w:cs="宋体"/>
          <w:color w:val="auto"/>
          <w:sz w:val="24"/>
          <w:szCs w:val="24"/>
          <w:highlight w:val="none"/>
          <w:lang w:eastAsia="zh-CN"/>
        </w:rPr>
        <w:t>完工</w:t>
      </w:r>
      <w:r>
        <w:rPr>
          <w:rFonts w:hint="eastAsia" w:cs="宋体"/>
          <w:color w:val="auto"/>
          <w:sz w:val="24"/>
          <w:szCs w:val="24"/>
          <w:highlight w:val="none"/>
        </w:rPr>
        <w:t>验收、颁发工程接收证书的违约金的计算方法：</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70"/>
    <w:p w14:paraId="3374334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13.2.5 移交、接收全部与部分工程</w:t>
      </w:r>
    </w:p>
    <w:bookmarkEnd w:id="571"/>
    <w:p w14:paraId="0AD74DA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向</w:t>
      </w:r>
      <w:r>
        <w:rPr>
          <w:rFonts w:hint="eastAsia" w:cs="宋体"/>
          <w:color w:val="auto"/>
          <w:sz w:val="24"/>
          <w:szCs w:val="24"/>
          <w:highlight w:val="none"/>
          <w:lang w:eastAsia="zh-CN"/>
        </w:rPr>
        <w:t>甲方</w:t>
      </w:r>
      <w:r>
        <w:rPr>
          <w:rFonts w:hint="eastAsia" w:cs="宋体"/>
          <w:color w:val="auto"/>
          <w:sz w:val="24"/>
          <w:szCs w:val="24"/>
          <w:highlight w:val="none"/>
        </w:rPr>
        <w:t>移交工程的期限：</w:t>
      </w:r>
      <w:r>
        <w:rPr>
          <w:rFonts w:hint="eastAsia" w:cs="宋体"/>
          <w:color w:val="auto"/>
          <w:sz w:val="24"/>
          <w:szCs w:val="24"/>
          <w:highlight w:val="none"/>
          <w:u w:val="single"/>
        </w:rPr>
        <w:t>颁发工程接收证书后7天内完成工程的移交</w:t>
      </w:r>
      <w:r>
        <w:rPr>
          <w:rFonts w:hint="eastAsia" w:cs="宋体"/>
          <w:color w:val="auto"/>
          <w:sz w:val="24"/>
          <w:szCs w:val="24"/>
          <w:highlight w:val="none"/>
        </w:rPr>
        <w:t>。</w:t>
      </w:r>
    </w:p>
    <w:p w14:paraId="56335D5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未按本合同约定接收全部或部分工程的，违约金的计算方法为：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自应当接收工程之日起，承担工程照管、成品保护、保管等与工程有关的各项费用</w:t>
      </w:r>
      <w:r>
        <w:rPr>
          <w:rFonts w:hint="eastAsia" w:cs="宋体"/>
          <w:color w:val="auto"/>
          <w:sz w:val="24"/>
          <w:szCs w:val="24"/>
          <w:highlight w:val="none"/>
        </w:rPr>
        <w:t>。</w:t>
      </w:r>
    </w:p>
    <w:bookmarkEnd w:id="572"/>
    <w:p w14:paraId="7DE7801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未按时移交工程的，违约金的计算方法为：</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应承担工程照管、成品保护、保管等与工程有关的各项费用</w:t>
      </w:r>
      <w:r>
        <w:rPr>
          <w:rFonts w:hint="eastAsia" w:cs="宋体"/>
          <w:color w:val="auto"/>
          <w:sz w:val="24"/>
          <w:szCs w:val="24"/>
          <w:highlight w:val="none"/>
        </w:rPr>
        <w:t>。</w:t>
      </w:r>
    </w:p>
    <w:p w14:paraId="6C44390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13.3 工程试车</w:t>
      </w:r>
    </w:p>
    <w:bookmarkEnd w:id="573"/>
    <w:p w14:paraId="31DE5D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13.3.1 试车程序</w:t>
      </w:r>
    </w:p>
    <w:p w14:paraId="13834FA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工程试车内容：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6FA102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（1）单机无负荷试车费用由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68E713D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（2）无负荷联动试车费用由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3BF51E6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13.3.3 投料试车</w:t>
      </w:r>
    </w:p>
    <w:p w14:paraId="720DE80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关于投料试车相关事项的约定：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67466C9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13.6 </w:t>
      </w:r>
      <w:r>
        <w:rPr>
          <w:rFonts w:hint="eastAsia" w:cs="宋体"/>
          <w:bCs/>
          <w:color w:val="auto"/>
          <w:sz w:val="24"/>
          <w:szCs w:val="24"/>
          <w:highlight w:val="none"/>
          <w:lang w:eastAsia="zh-CN"/>
        </w:rPr>
        <w:t>完工</w:t>
      </w:r>
      <w:r>
        <w:rPr>
          <w:rFonts w:hint="eastAsia" w:cs="宋体"/>
          <w:bCs/>
          <w:color w:val="auto"/>
          <w:sz w:val="24"/>
          <w:szCs w:val="24"/>
          <w:highlight w:val="none"/>
        </w:rPr>
        <w:t>退场</w:t>
      </w:r>
    </w:p>
    <w:p w14:paraId="12D8F31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13.6.1 </w:t>
      </w:r>
      <w:r>
        <w:rPr>
          <w:rFonts w:hint="eastAsia" w:cs="宋体"/>
          <w:color w:val="auto"/>
          <w:sz w:val="24"/>
          <w:szCs w:val="24"/>
          <w:highlight w:val="none"/>
          <w:lang w:eastAsia="zh-CN"/>
        </w:rPr>
        <w:t>完工</w:t>
      </w:r>
      <w:r>
        <w:rPr>
          <w:rFonts w:hint="eastAsia" w:cs="宋体"/>
          <w:color w:val="auto"/>
          <w:sz w:val="24"/>
          <w:szCs w:val="24"/>
          <w:highlight w:val="none"/>
        </w:rPr>
        <w:t>退场</w:t>
      </w:r>
    </w:p>
    <w:p w14:paraId="4FEB898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退场的期限：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2F994AF">
      <w:pPr>
        <w:snapToGrid w:val="0"/>
        <w:spacing w:before="312" w:beforeLines="100" w:after="312" w:afterLines="100" w:line="360" w:lineRule="auto"/>
        <w:outlineLvl w:val="2"/>
        <w:rPr>
          <w:rFonts w:cs="宋体"/>
          <w:color w:val="auto"/>
          <w:sz w:val="24"/>
          <w:szCs w:val="24"/>
          <w:highlight w:val="none"/>
        </w:rPr>
      </w:pPr>
      <w:bookmarkStart w:id="575" w:name="_Toc351203646"/>
      <w:r>
        <w:rPr>
          <w:rFonts w:hint="eastAsia" w:cs="宋体"/>
          <w:color w:val="auto"/>
          <w:sz w:val="24"/>
          <w:szCs w:val="24"/>
          <w:highlight w:val="none"/>
        </w:rPr>
        <w:t xml:space="preserve">14. </w:t>
      </w:r>
      <w:r>
        <w:rPr>
          <w:rFonts w:hint="eastAsia" w:cs="宋体"/>
          <w:color w:val="auto"/>
          <w:sz w:val="24"/>
          <w:szCs w:val="24"/>
          <w:highlight w:val="none"/>
          <w:lang w:eastAsia="zh-CN"/>
        </w:rPr>
        <w:t>完工</w:t>
      </w:r>
      <w:r>
        <w:rPr>
          <w:rFonts w:hint="eastAsia" w:cs="宋体"/>
          <w:color w:val="auto"/>
          <w:sz w:val="24"/>
          <w:szCs w:val="24"/>
          <w:highlight w:val="none"/>
        </w:rPr>
        <w:t>结算</w:t>
      </w:r>
      <w:bookmarkEnd w:id="575"/>
    </w:p>
    <w:p w14:paraId="6504DB4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14.1 </w:t>
      </w:r>
      <w:r>
        <w:rPr>
          <w:rFonts w:hint="eastAsia" w:cs="宋体"/>
          <w:bCs/>
          <w:color w:val="auto"/>
          <w:sz w:val="24"/>
          <w:szCs w:val="24"/>
          <w:highlight w:val="none"/>
          <w:lang w:eastAsia="zh-CN"/>
        </w:rPr>
        <w:t>完工</w:t>
      </w:r>
      <w:r>
        <w:rPr>
          <w:rFonts w:hint="eastAsia" w:cs="宋体"/>
          <w:bCs/>
          <w:color w:val="auto"/>
          <w:sz w:val="24"/>
          <w:szCs w:val="24"/>
          <w:highlight w:val="none"/>
        </w:rPr>
        <w:t>结算申请</w:t>
      </w:r>
    </w:p>
    <w:p w14:paraId="41886EC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w:t>
      </w:r>
      <w:r>
        <w:rPr>
          <w:rFonts w:hint="eastAsia" w:cs="宋体"/>
          <w:color w:val="auto"/>
          <w:sz w:val="24"/>
          <w:szCs w:val="24"/>
          <w:highlight w:val="none"/>
          <w:lang w:eastAsia="zh-CN"/>
        </w:rPr>
        <w:t>完工</w:t>
      </w:r>
      <w:r>
        <w:rPr>
          <w:rFonts w:hint="eastAsia" w:cs="宋体"/>
          <w:color w:val="auto"/>
          <w:sz w:val="24"/>
          <w:szCs w:val="24"/>
          <w:highlight w:val="none"/>
        </w:rPr>
        <w:t>结算申请单的期限：</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应在工程</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验收合格后28天内</w:t>
      </w:r>
      <w:r>
        <w:rPr>
          <w:rFonts w:hint="eastAsia" w:cs="宋体"/>
          <w:color w:val="auto"/>
          <w:sz w:val="24"/>
          <w:szCs w:val="24"/>
          <w:highlight w:val="none"/>
        </w:rPr>
        <w:t>。</w:t>
      </w:r>
    </w:p>
    <w:p w14:paraId="5ED3E67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完工</w:t>
      </w:r>
      <w:r>
        <w:rPr>
          <w:rFonts w:hint="eastAsia" w:cs="宋体"/>
          <w:color w:val="auto"/>
          <w:sz w:val="24"/>
          <w:szCs w:val="24"/>
          <w:highlight w:val="none"/>
        </w:rPr>
        <w:t>结算申请单应包括的内容：</w:t>
      </w:r>
      <w:r>
        <w:rPr>
          <w:rFonts w:hint="eastAsia" w:cs="宋体"/>
          <w:color w:val="auto"/>
          <w:sz w:val="24"/>
          <w:szCs w:val="24"/>
          <w:highlight w:val="none"/>
          <w:u w:val="single"/>
        </w:rPr>
        <w:t>执行通用条款</w:t>
      </w:r>
      <w:r>
        <w:rPr>
          <w:rFonts w:hint="eastAsia" w:cs="宋体"/>
          <w:color w:val="auto"/>
          <w:sz w:val="24"/>
          <w:szCs w:val="24"/>
          <w:highlight w:val="none"/>
        </w:rPr>
        <w:t>。</w:t>
      </w:r>
    </w:p>
    <w:p w14:paraId="6B871D4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14.2 </w:t>
      </w:r>
      <w:r>
        <w:rPr>
          <w:rFonts w:hint="eastAsia" w:cs="宋体"/>
          <w:bCs/>
          <w:color w:val="auto"/>
          <w:sz w:val="24"/>
          <w:szCs w:val="24"/>
          <w:highlight w:val="none"/>
          <w:lang w:eastAsia="zh-CN"/>
        </w:rPr>
        <w:t>完工</w:t>
      </w:r>
      <w:r>
        <w:rPr>
          <w:rFonts w:hint="eastAsia" w:cs="宋体"/>
          <w:bCs/>
          <w:color w:val="auto"/>
          <w:sz w:val="24"/>
          <w:szCs w:val="24"/>
          <w:highlight w:val="none"/>
        </w:rPr>
        <w:t>结算审核</w:t>
      </w:r>
    </w:p>
    <w:p w14:paraId="0F6B8E62">
      <w:pPr>
        <w:adjustRightInd w:val="0"/>
        <w:snapToGrid w:val="0"/>
        <w:spacing w:line="360" w:lineRule="auto"/>
        <w:ind w:firstLine="480" w:firstLineChars="200"/>
        <w:rPr>
          <w:rFonts w:hint="eastAsia" w:cs="宋体"/>
          <w:strike w:val="0"/>
          <w:dstrike w:val="0"/>
          <w:color w:val="auto"/>
          <w:sz w:val="24"/>
          <w:szCs w:val="24"/>
          <w:highlight w:val="none"/>
          <w:u w:val="single"/>
          <w:lang w:val="en-US" w:eastAsia="zh-CN"/>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完工</w:t>
      </w:r>
      <w:r>
        <w:rPr>
          <w:rFonts w:hint="eastAsia" w:cs="宋体"/>
          <w:color w:val="auto"/>
          <w:sz w:val="24"/>
          <w:szCs w:val="24"/>
          <w:highlight w:val="none"/>
        </w:rPr>
        <w:t>付款申请单的期限：</w:t>
      </w:r>
      <w:r>
        <w:rPr>
          <w:rFonts w:hint="eastAsia" w:cs="宋体"/>
          <w:strike w:val="0"/>
          <w:dstrike w:val="0"/>
          <w:color w:val="auto"/>
          <w:sz w:val="24"/>
          <w:szCs w:val="24"/>
          <w:highlight w:val="none"/>
          <w:u w:val="single"/>
          <w:lang w:val="en-US" w:eastAsia="zh-CN"/>
        </w:rPr>
        <w:t>/</w:t>
      </w:r>
    </w:p>
    <w:p w14:paraId="1B70E5E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付款的期限：</w:t>
      </w:r>
      <w:r>
        <w:rPr>
          <w:rFonts w:hint="eastAsia" w:cs="宋体"/>
          <w:strike w:val="0"/>
          <w:dstrike w:val="0"/>
          <w:color w:val="auto"/>
          <w:sz w:val="24"/>
          <w:szCs w:val="24"/>
          <w:highlight w:val="none"/>
          <w:u w:val="single"/>
          <w:lang w:eastAsia="zh-CN"/>
        </w:rPr>
        <w:t>甲方</w:t>
      </w:r>
      <w:r>
        <w:rPr>
          <w:rFonts w:hint="eastAsia" w:cs="宋体"/>
          <w:strike w:val="0"/>
          <w:dstrike w:val="0"/>
          <w:color w:val="auto"/>
          <w:sz w:val="24"/>
          <w:szCs w:val="24"/>
          <w:highlight w:val="none"/>
          <w:u w:val="single"/>
        </w:rPr>
        <w:t>应在收到</w:t>
      </w:r>
      <w:r>
        <w:rPr>
          <w:rFonts w:hint="eastAsia" w:cs="宋体"/>
          <w:strike w:val="0"/>
          <w:dstrike w:val="0"/>
          <w:color w:val="auto"/>
          <w:sz w:val="24"/>
          <w:szCs w:val="24"/>
          <w:highlight w:val="none"/>
          <w:u w:val="single"/>
          <w:lang w:val="en-US" w:eastAsia="zh-CN"/>
        </w:rPr>
        <w:t>乙方</w:t>
      </w:r>
      <w:r>
        <w:rPr>
          <w:rFonts w:hint="eastAsia" w:cs="宋体"/>
          <w:strike w:val="0"/>
          <w:dstrike w:val="0"/>
          <w:color w:val="auto"/>
          <w:sz w:val="24"/>
          <w:szCs w:val="24"/>
          <w:highlight w:val="none"/>
          <w:u w:val="single"/>
        </w:rPr>
        <w:t>提交的经审核的</w:t>
      </w:r>
      <w:r>
        <w:rPr>
          <w:rFonts w:hint="eastAsia" w:cs="宋体"/>
          <w:strike w:val="0"/>
          <w:dstrike w:val="0"/>
          <w:color w:val="auto"/>
          <w:sz w:val="24"/>
          <w:szCs w:val="24"/>
          <w:highlight w:val="none"/>
          <w:u w:val="single"/>
          <w:lang w:eastAsia="zh-CN"/>
        </w:rPr>
        <w:t>完工</w:t>
      </w:r>
      <w:r>
        <w:rPr>
          <w:rFonts w:hint="eastAsia" w:cs="宋体"/>
          <w:strike w:val="0"/>
          <w:dstrike w:val="0"/>
          <w:color w:val="auto"/>
          <w:sz w:val="24"/>
          <w:szCs w:val="24"/>
          <w:highlight w:val="none"/>
          <w:u w:val="single"/>
        </w:rPr>
        <w:t>结算申请单后</w:t>
      </w:r>
      <w:r>
        <w:rPr>
          <w:rFonts w:hint="eastAsia" w:cs="宋体"/>
          <w:strike w:val="0"/>
          <w:dstrike w:val="0"/>
          <w:color w:val="auto"/>
          <w:sz w:val="24"/>
          <w:szCs w:val="24"/>
          <w:highlight w:val="none"/>
          <w:u w:val="single"/>
          <w:lang w:eastAsia="zh-CN"/>
        </w:rPr>
        <w:t>，</w:t>
      </w:r>
      <w:r>
        <w:rPr>
          <w:rFonts w:hint="eastAsia" w:cs="宋体"/>
          <w:strike w:val="0"/>
          <w:dstrike w:val="0"/>
          <w:color w:val="auto"/>
          <w:sz w:val="24"/>
          <w:szCs w:val="24"/>
          <w:highlight w:val="none"/>
          <w:u w:val="single"/>
          <w:lang w:val="en-US" w:eastAsia="zh-CN"/>
        </w:rPr>
        <w:t>按规定及时支付</w:t>
      </w:r>
      <w:r>
        <w:rPr>
          <w:rFonts w:hint="eastAsia" w:cs="宋体"/>
          <w:color w:val="auto"/>
          <w:sz w:val="24"/>
          <w:szCs w:val="24"/>
          <w:highlight w:val="none"/>
          <w:u w:val="single"/>
          <w:lang w:val="en-US" w:eastAsia="zh-CN"/>
        </w:rPr>
        <w:t>结算价款</w:t>
      </w:r>
      <w:r>
        <w:rPr>
          <w:rFonts w:hint="eastAsia" w:cs="宋体"/>
          <w:color w:val="auto"/>
          <w:sz w:val="24"/>
          <w:szCs w:val="24"/>
          <w:highlight w:val="none"/>
        </w:rPr>
        <w:t>。</w:t>
      </w:r>
    </w:p>
    <w:p w14:paraId="2411DAC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付款证书异议部分复核的方式和程序：</w:t>
      </w:r>
      <w:r>
        <w:rPr>
          <w:rFonts w:hint="eastAsia" w:cs="宋体"/>
          <w:color w:val="auto"/>
          <w:sz w:val="24"/>
          <w:szCs w:val="24"/>
          <w:highlight w:val="none"/>
          <w:u w:val="single"/>
        </w:rPr>
        <w:t>执行通用条款</w:t>
      </w:r>
      <w:r>
        <w:rPr>
          <w:rFonts w:hint="eastAsia" w:cs="宋体"/>
          <w:color w:val="auto"/>
          <w:sz w:val="24"/>
          <w:szCs w:val="24"/>
          <w:highlight w:val="none"/>
        </w:rPr>
        <w:t>。</w:t>
      </w:r>
    </w:p>
    <w:p w14:paraId="6EBAFAB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 最终结清</w:t>
      </w:r>
    </w:p>
    <w:p w14:paraId="0195998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14.4.1 最终结清申请单</w:t>
      </w:r>
    </w:p>
    <w:p w14:paraId="22F5F16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提交最终结清申请单的份数：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B64038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提交最终结算申请单的期限：</w:t>
      </w:r>
      <w:r>
        <w:rPr>
          <w:rFonts w:hint="eastAsia" w:cs="宋体"/>
          <w:color w:val="auto"/>
          <w:sz w:val="24"/>
          <w:szCs w:val="24"/>
          <w:highlight w:val="none"/>
          <w:u w:val="single"/>
        </w:rPr>
        <w:t>缺陷责任期终止证书颁发后7天内</w:t>
      </w:r>
      <w:r>
        <w:rPr>
          <w:rFonts w:hint="eastAsia" w:cs="宋体"/>
          <w:color w:val="auto"/>
          <w:sz w:val="24"/>
          <w:szCs w:val="24"/>
          <w:highlight w:val="none"/>
        </w:rPr>
        <w:t xml:space="preserve">。 </w:t>
      </w:r>
    </w:p>
    <w:p w14:paraId="6E17627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14.4.2 最终结清证书和支付</w:t>
      </w:r>
    </w:p>
    <w:p w14:paraId="321F771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eastAsia="zh-CN"/>
        </w:rPr>
        <w:t>甲方</w:t>
      </w:r>
      <w:r>
        <w:rPr>
          <w:rFonts w:hint="eastAsia" w:cs="宋体"/>
          <w:color w:val="auto"/>
          <w:sz w:val="24"/>
          <w:szCs w:val="24"/>
          <w:highlight w:val="none"/>
        </w:rPr>
        <w:t>完成最终结清申请单的审批并颁发最终结清证书的期限：</w:t>
      </w:r>
      <w:r>
        <w:rPr>
          <w:rFonts w:hint="eastAsia" w:cs="宋体"/>
          <w:color w:val="auto"/>
          <w:sz w:val="24"/>
          <w:szCs w:val="24"/>
          <w:highlight w:val="none"/>
          <w:u w:val="single"/>
        </w:rPr>
        <w:t>收到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提交的最终结清申请单后14天内</w:t>
      </w:r>
      <w:r>
        <w:rPr>
          <w:rFonts w:hint="eastAsia" w:cs="宋体"/>
          <w:color w:val="auto"/>
          <w:sz w:val="24"/>
          <w:szCs w:val="24"/>
          <w:highlight w:val="none"/>
        </w:rPr>
        <w:t>。</w:t>
      </w:r>
    </w:p>
    <w:p w14:paraId="407BD49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完成支付的期限：</w:t>
      </w:r>
      <w:r>
        <w:rPr>
          <w:rFonts w:hint="eastAsia" w:cs="宋体"/>
          <w:color w:val="auto"/>
          <w:sz w:val="24"/>
          <w:szCs w:val="24"/>
          <w:highlight w:val="none"/>
          <w:u w:val="single"/>
        </w:rPr>
        <w:t>颁发最终结清证书后7天内完成支付</w:t>
      </w:r>
      <w:r>
        <w:rPr>
          <w:rFonts w:hint="eastAsia" w:cs="宋体"/>
          <w:color w:val="auto"/>
          <w:sz w:val="24"/>
          <w:szCs w:val="24"/>
          <w:highlight w:val="none"/>
        </w:rPr>
        <w:t>。</w:t>
      </w:r>
    </w:p>
    <w:bookmarkEnd w:id="562"/>
    <w:bookmarkEnd w:id="563"/>
    <w:bookmarkEnd w:id="564"/>
    <w:bookmarkEnd w:id="565"/>
    <w:bookmarkEnd w:id="566"/>
    <w:bookmarkEnd w:id="567"/>
    <w:bookmarkEnd w:id="568"/>
    <w:bookmarkEnd w:id="574"/>
    <w:p w14:paraId="1ADC38CF">
      <w:pPr>
        <w:snapToGrid w:val="0"/>
        <w:spacing w:before="312" w:beforeLines="100" w:after="312" w:afterLines="100" w:line="360" w:lineRule="auto"/>
        <w:outlineLvl w:val="2"/>
        <w:rPr>
          <w:rFonts w:cs="宋体"/>
          <w:color w:val="auto"/>
          <w:sz w:val="24"/>
          <w:szCs w:val="24"/>
          <w:highlight w:val="none"/>
        </w:rPr>
      </w:pPr>
      <w:bookmarkStart w:id="576" w:name="_Toc351203647"/>
      <w:bookmarkStart w:id="577" w:name="_Toc267251483"/>
      <w:bookmarkStart w:id="578" w:name="_Toc267251484"/>
      <w:bookmarkStart w:id="579" w:name="_Toc267251482"/>
      <w:bookmarkStart w:id="580" w:name="_Toc267251485"/>
      <w:bookmarkStart w:id="581" w:name="_Toc267251486"/>
      <w:bookmarkStart w:id="582" w:name="_Toc267251488"/>
      <w:bookmarkStart w:id="583" w:name="_Toc267251489"/>
      <w:bookmarkStart w:id="584" w:name="_Toc267251490"/>
      <w:bookmarkStart w:id="585" w:name="_Toc267251501"/>
      <w:bookmarkStart w:id="586" w:name="_Toc267251491"/>
      <w:bookmarkStart w:id="587" w:name="_Toc267251492"/>
      <w:bookmarkStart w:id="588" w:name="_Toc267251496"/>
      <w:bookmarkStart w:id="589" w:name="_Toc267251499"/>
      <w:bookmarkStart w:id="590" w:name="_Toc267251495"/>
      <w:bookmarkStart w:id="591" w:name="_Toc267251502"/>
      <w:bookmarkStart w:id="592" w:name="_Toc267251498"/>
      <w:bookmarkStart w:id="593" w:name="_Toc267251503"/>
      <w:bookmarkStart w:id="594" w:name="_Toc267251493"/>
      <w:bookmarkStart w:id="595" w:name="_Toc267251494"/>
      <w:bookmarkStart w:id="596" w:name="_Toc267251497"/>
      <w:bookmarkStart w:id="597" w:name="_Toc267251504"/>
      <w:bookmarkStart w:id="598" w:name="_Toc267251506"/>
      <w:bookmarkStart w:id="599" w:name="_Toc267251507"/>
      <w:bookmarkStart w:id="600" w:name="_Toc267251508"/>
      <w:bookmarkStart w:id="601" w:name="_Toc267251511"/>
      <w:bookmarkStart w:id="602" w:name="_Toc267251510"/>
      <w:bookmarkStart w:id="603" w:name="_Toc267251509"/>
      <w:bookmarkStart w:id="604" w:name="_Toc267251513"/>
      <w:bookmarkStart w:id="605" w:name="_Toc267251515"/>
      <w:bookmarkStart w:id="606" w:name="_Toc267251514"/>
      <w:r>
        <w:rPr>
          <w:rFonts w:hint="eastAsia" w:cs="宋体"/>
          <w:color w:val="auto"/>
          <w:sz w:val="24"/>
          <w:szCs w:val="24"/>
          <w:highlight w:val="none"/>
        </w:rPr>
        <w:t>15. 缺陷责任期与保修</w:t>
      </w:r>
      <w:bookmarkEnd w:id="576"/>
    </w:p>
    <w:p w14:paraId="0AFF760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15.2 缺陷责任期</w:t>
      </w:r>
      <w:bookmarkEnd w:id="577"/>
    </w:p>
    <w:p w14:paraId="2F7EFCA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缺陷责任期的具体期限：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671A27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15.3 质量保证金</w:t>
      </w:r>
    </w:p>
    <w:p w14:paraId="21989CE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关于是否扣留质量保证金的约定：</w:t>
      </w:r>
      <w:r>
        <w:rPr>
          <w:rFonts w:hint="eastAsia" w:cs="宋体"/>
          <w:color w:val="auto"/>
          <w:sz w:val="24"/>
          <w:szCs w:val="24"/>
          <w:highlight w:val="none"/>
          <w:u w:val="single"/>
          <w:lang w:val="en-US" w:eastAsia="zh-CN"/>
        </w:rPr>
        <w:t>否</w:t>
      </w:r>
      <w:r>
        <w:rPr>
          <w:rFonts w:hint="eastAsia" w:cs="宋体"/>
          <w:color w:val="auto"/>
          <w:sz w:val="24"/>
          <w:szCs w:val="24"/>
          <w:highlight w:val="none"/>
          <w:u w:val="single"/>
        </w:rPr>
        <w:t xml:space="preserve"> </w:t>
      </w:r>
      <w:r>
        <w:rPr>
          <w:rFonts w:hint="eastAsia" w:cs="宋体"/>
          <w:color w:val="auto"/>
          <w:sz w:val="24"/>
          <w:szCs w:val="24"/>
          <w:highlight w:val="none"/>
        </w:rPr>
        <w:t>。在工程项目</w:t>
      </w:r>
      <w:r>
        <w:rPr>
          <w:rFonts w:hint="eastAsia" w:cs="宋体"/>
          <w:color w:val="auto"/>
          <w:sz w:val="24"/>
          <w:szCs w:val="24"/>
          <w:highlight w:val="none"/>
          <w:lang w:eastAsia="zh-CN"/>
        </w:rPr>
        <w:t>完工</w:t>
      </w:r>
      <w:r>
        <w:rPr>
          <w:rFonts w:hint="eastAsia" w:cs="宋体"/>
          <w:color w:val="auto"/>
          <w:sz w:val="24"/>
          <w:szCs w:val="24"/>
          <w:highlight w:val="none"/>
        </w:rPr>
        <w:t>前，</w:t>
      </w:r>
      <w:r>
        <w:rPr>
          <w:rFonts w:hint="eastAsia" w:cs="宋体"/>
          <w:color w:val="auto"/>
          <w:sz w:val="24"/>
          <w:szCs w:val="24"/>
          <w:highlight w:val="none"/>
          <w:lang w:eastAsia="zh-CN"/>
        </w:rPr>
        <w:t>乙方</w:t>
      </w:r>
      <w:r>
        <w:rPr>
          <w:rFonts w:hint="eastAsia" w:cs="宋体"/>
          <w:color w:val="auto"/>
          <w:sz w:val="24"/>
          <w:szCs w:val="24"/>
          <w:highlight w:val="none"/>
        </w:rPr>
        <w:t>按专用合同条款第3.7款提供履约保证金的，</w:t>
      </w:r>
      <w:r>
        <w:rPr>
          <w:rFonts w:hint="eastAsia" w:cs="宋体"/>
          <w:color w:val="auto"/>
          <w:sz w:val="24"/>
          <w:szCs w:val="24"/>
          <w:highlight w:val="none"/>
          <w:lang w:eastAsia="zh-CN"/>
        </w:rPr>
        <w:t>甲方</w:t>
      </w:r>
      <w:r>
        <w:rPr>
          <w:rFonts w:hint="eastAsia" w:cs="宋体"/>
          <w:color w:val="auto"/>
          <w:sz w:val="24"/>
          <w:szCs w:val="24"/>
          <w:highlight w:val="none"/>
        </w:rPr>
        <w:t>不得同时预留工程质量保证金。</w:t>
      </w:r>
    </w:p>
    <w:p w14:paraId="3614CBD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15.3.1 </w:t>
      </w:r>
      <w:r>
        <w:rPr>
          <w:rFonts w:hint="eastAsia" w:cs="宋体"/>
          <w:color w:val="auto"/>
          <w:sz w:val="24"/>
          <w:szCs w:val="24"/>
          <w:highlight w:val="none"/>
          <w:lang w:eastAsia="zh-CN"/>
        </w:rPr>
        <w:t>乙方</w:t>
      </w:r>
      <w:r>
        <w:rPr>
          <w:rFonts w:hint="eastAsia" w:cs="宋体"/>
          <w:color w:val="auto"/>
          <w:sz w:val="24"/>
          <w:szCs w:val="24"/>
          <w:highlight w:val="none"/>
        </w:rPr>
        <w:t>提供质量保证金的方式</w:t>
      </w:r>
    </w:p>
    <w:p w14:paraId="10020DF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质量保证金可采用以下任意一种方式：</w:t>
      </w:r>
    </w:p>
    <w:p w14:paraId="6374AAD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（1）由银行业金融机构、工程担保公司、保险机构出具银行保函、工程质量保险等担保方式，担保/保证金额为：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862087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9E66DB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（3）其他方式：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D74570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15.3.2 质量保证金的扣留 </w:t>
      </w:r>
    </w:p>
    <w:p w14:paraId="0B0B8BB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质量保证金的扣留采取以下第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3</w:t>
      </w:r>
      <w:r>
        <w:rPr>
          <w:rFonts w:hint="eastAsia" w:cs="宋体"/>
          <w:color w:val="auto"/>
          <w:sz w:val="24"/>
          <w:szCs w:val="24"/>
          <w:highlight w:val="none"/>
          <w:u w:val="single"/>
        </w:rPr>
        <w:t xml:space="preserve"> </w:t>
      </w:r>
      <w:r>
        <w:rPr>
          <w:rFonts w:hint="eastAsia" w:cs="宋体"/>
          <w:color w:val="auto"/>
          <w:sz w:val="24"/>
          <w:szCs w:val="24"/>
          <w:highlight w:val="none"/>
        </w:rPr>
        <w:t>种方式：</w:t>
      </w:r>
    </w:p>
    <w:p w14:paraId="3F73471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（1）在支付工程进度款时逐次扣留，在此情形下，质量保证金的计算基数不包括预付款的支付、扣回以及价格调整的金额；</w:t>
      </w:r>
    </w:p>
    <w:p w14:paraId="075E787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（2）工程</w:t>
      </w:r>
      <w:r>
        <w:rPr>
          <w:rFonts w:hint="eastAsia" w:cs="宋体"/>
          <w:color w:val="auto"/>
          <w:sz w:val="24"/>
          <w:szCs w:val="24"/>
          <w:highlight w:val="none"/>
          <w:lang w:eastAsia="zh-CN"/>
        </w:rPr>
        <w:t>完工</w:t>
      </w:r>
      <w:r>
        <w:rPr>
          <w:rFonts w:hint="eastAsia" w:cs="宋体"/>
          <w:color w:val="auto"/>
          <w:sz w:val="24"/>
          <w:szCs w:val="24"/>
          <w:highlight w:val="none"/>
        </w:rPr>
        <w:t>结算时一次性扣留质量保证金；</w:t>
      </w:r>
    </w:p>
    <w:p w14:paraId="0F6210D0">
      <w:pPr>
        <w:adjustRightInd w:val="0"/>
        <w:snapToGrid w:val="0"/>
        <w:spacing w:line="360" w:lineRule="auto"/>
        <w:ind w:firstLine="480" w:firstLineChars="200"/>
        <w:jc w:val="left"/>
        <w:rPr>
          <w:rFonts w:hint="eastAsia"/>
          <w:color w:val="auto"/>
          <w:sz w:val="24"/>
          <w:szCs w:val="24"/>
          <w:highlight w:val="none"/>
          <w:lang w:eastAsia="zh-CN"/>
        </w:rPr>
      </w:pPr>
      <w:r>
        <w:rPr>
          <w:rFonts w:hint="eastAsia" w:cs="宋体"/>
          <w:color w:val="auto"/>
          <w:sz w:val="24"/>
          <w:szCs w:val="24"/>
          <w:highlight w:val="none"/>
        </w:rPr>
        <w:t>（3）其他扣留方式：</w:t>
      </w:r>
    </w:p>
    <w:p w14:paraId="125FB9B4">
      <w:pPr>
        <w:adjustRightInd w:val="0"/>
        <w:snapToGrid w:val="0"/>
        <w:spacing w:line="360" w:lineRule="auto"/>
        <w:ind w:firstLine="480" w:firstLineChars="200"/>
        <w:rPr>
          <w:rFonts w:hint="eastAsia" w:cs="宋体"/>
          <w:b w:val="0"/>
          <w:bCs w:val="0"/>
          <w:color w:val="auto"/>
          <w:sz w:val="24"/>
          <w:szCs w:val="24"/>
          <w:highlight w:val="none"/>
          <w:u w:val="none"/>
        </w:rPr>
      </w:pPr>
      <w:r>
        <w:rPr>
          <w:rFonts w:hint="eastAsia" w:cs="宋体"/>
          <w:color w:val="auto"/>
          <w:sz w:val="24"/>
          <w:szCs w:val="24"/>
          <w:highlight w:val="none"/>
        </w:rPr>
        <w:t>关于质量保证金的补充约定：</w:t>
      </w:r>
      <w:r>
        <w:rPr>
          <w:rFonts w:hint="eastAsia"/>
          <w:color w:val="auto"/>
          <w:sz w:val="24"/>
          <w:szCs w:val="24"/>
          <w:highlight w:val="none"/>
          <w:lang w:val="en-US" w:eastAsia="zh-CN"/>
        </w:rPr>
        <w:t>由银行业金融机构、工程担保公司、保险机构出具银行保函、工程质量保险等担保方式；</w:t>
      </w:r>
      <w:r>
        <w:rPr>
          <w:rFonts w:hint="eastAsia"/>
          <w:color w:val="auto"/>
          <w:sz w:val="24"/>
          <w:szCs w:val="24"/>
          <w:highlight w:val="none"/>
        </w:rPr>
        <w:t>转账的方式缴纳</w:t>
      </w:r>
      <w:r>
        <w:rPr>
          <w:rFonts w:hint="eastAsia"/>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rPr>
        <w:t>在工程项目完工前，乙方按甲方要求提供履约保证金的，可在工程进入缺陷责任期时按照多退少补原则转为质量保证金</w:t>
      </w:r>
      <w:r>
        <w:rPr>
          <w:rFonts w:hint="eastAsia" w:cs="宋体"/>
          <w:color w:val="auto"/>
          <w:sz w:val="24"/>
          <w:szCs w:val="24"/>
          <w:highlight w:val="none"/>
        </w:rPr>
        <w:t>。</w:t>
      </w:r>
    </w:p>
    <w:bookmarkEnd w:id="578"/>
    <w:bookmarkEnd w:id="579"/>
    <w:p w14:paraId="37EB38F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15.4 保修</w:t>
      </w:r>
    </w:p>
    <w:bookmarkEnd w:id="580"/>
    <w:p w14:paraId="130E288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15.4.1 保修责任</w:t>
      </w:r>
    </w:p>
    <w:p w14:paraId="294D964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工程保修期为：</w:t>
      </w:r>
      <w:r>
        <w:rPr>
          <w:rFonts w:hint="eastAsia" w:cs="宋体"/>
          <w:color w:val="auto"/>
          <w:sz w:val="24"/>
          <w:szCs w:val="24"/>
          <w:highlight w:val="none"/>
          <w:u w:val="single"/>
        </w:rPr>
        <w:t>执行《工程质量保修书》规定</w:t>
      </w:r>
      <w:r>
        <w:rPr>
          <w:rFonts w:hint="eastAsia" w:cs="宋体"/>
          <w:color w:val="auto"/>
          <w:sz w:val="24"/>
          <w:szCs w:val="24"/>
          <w:highlight w:val="none"/>
        </w:rPr>
        <w:t>。</w:t>
      </w:r>
    </w:p>
    <w:p w14:paraId="416DC63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15.4.3 修复通知</w:t>
      </w:r>
    </w:p>
    <w:p w14:paraId="65F3A05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收到保修通知并到达工程现场的合理时间：</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581"/>
    <w:bookmarkEnd w:id="582"/>
    <w:bookmarkEnd w:id="583"/>
    <w:bookmarkEnd w:id="584"/>
    <w:p w14:paraId="55BFE697">
      <w:pPr>
        <w:snapToGrid w:val="0"/>
        <w:spacing w:before="312" w:beforeLines="100" w:after="312" w:afterLines="100" w:line="360" w:lineRule="auto"/>
        <w:outlineLvl w:val="2"/>
        <w:rPr>
          <w:rFonts w:cs="宋体"/>
          <w:color w:val="auto"/>
          <w:sz w:val="24"/>
          <w:szCs w:val="24"/>
          <w:highlight w:val="none"/>
        </w:rPr>
      </w:pPr>
      <w:bookmarkStart w:id="607" w:name="_Toc351203648"/>
      <w:bookmarkStart w:id="608" w:name="_Toc280868717"/>
      <w:bookmarkStart w:id="609" w:name="_Toc280868718"/>
      <w:r>
        <w:rPr>
          <w:rFonts w:hint="eastAsia" w:cs="宋体"/>
          <w:color w:val="auto"/>
          <w:sz w:val="24"/>
          <w:szCs w:val="24"/>
          <w:highlight w:val="none"/>
        </w:rPr>
        <w:t>16. 违约</w:t>
      </w:r>
      <w:bookmarkEnd w:id="607"/>
    </w:p>
    <w:p w14:paraId="0F5E5A8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16.1 </w:t>
      </w:r>
      <w:r>
        <w:rPr>
          <w:rFonts w:hint="eastAsia" w:cs="宋体"/>
          <w:bCs/>
          <w:color w:val="auto"/>
          <w:sz w:val="24"/>
          <w:szCs w:val="24"/>
          <w:highlight w:val="none"/>
          <w:lang w:eastAsia="zh-CN"/>
        </w:rPr>
        <w:t>甲方</w:t>
      </w:r>
      <w:r>
        <w:rPr>
          <w:rFonts w:hint="eastAsia" w:cs="宋体"/>
          <w:bCs/>
          <w:color w:val="auto"/>
          <w:sz w:val="24"/>
          <w:szCs w:val="24"/>
          <w:highlight w:val="none"/>
        </w:rPr>
        <w:t>违约</w:t>
      </w:r>
    </w:p>
    <w:p w14:paraId="122FD8F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16.1.1 </w:t>
      </w:r>
      <w:r>
        <w:rPr>
          <w:rFonts w:hint="eastAsia" w:cs="宋体"/>
          <w:color w:val="auto"/>
          <w:sz w:val="24"/>
          <w:szCs w:val="24"/>
          <w:highlight w:val="none"/>
          <w:lang w:eastAsia="zh-CN"/>
        </w:rPr>
        <w:t>甲方</w:t>
      </w:r>
      <w:r>
        <w:rPr>
          <w:rFonts w:hint="eastAsia" w:cs="宋体"/>
          <w:color w:val="auto"/>
          <w:sz w:val="24"/>
          <w:szCs w:val="24"/>
          <w:highlight w:val="none"/>
        </w:rPr>
        <w:t>违约的情形</w:t>
      </w:r>
    </w:p>
    <w:p w14:paraId="3F3EC1C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27ABA3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16.1.2 </w:t>
      </w:r>
      <w:r>
        <w:rPr>
          <w:rFonts w:hint="eastAsia" w:cs="宋体"/>
          <w:color w:val="auto"/>
          <w:sz w:val="24"/>
          <w:szCs w:val="24"/>
          <w:highlight w:val="none"/>
          <w:lang w:eastAsia="zh-CN"/>
        </w:rPr>
        <w:t>甲方</w:t>
      </w:r>
      <w:r>
        <w:rPr>
          <w:rFonts w:hint="eastAsia" w:cs="宋体"/>
          <w:color w:val="auto"/>
          <w:sz w:val="24"/>
          <w:szCs w:val="24"/>
          <w:highlight w:val="none"/>
        </w:rPr>
        <w:t>违约的责任</w:t>
      </w:r>
    </w:p>
    <w:p w14:paraId="1D646CF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违约责任的承担方式和计算方法：</w:t>
      </w:r>
    </w:p>
    <w:p w14:paraId="49594A5C">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（1）因</w:t>
      </w:r>
      <w:r>
        <w:rPr>
          <w:rFonts w:hint="eastAsia" w:cs="宋体"/>
          <w:color w:val="auto"/>
          <w:sz w:val="24"/>
          <w:szCs w:val="24"/>
          <w:highlight w:val="none"/>
          <w:lang w:eastAsia="zh-CN"/>
        </w:rPr>
        <w:t>甲方</w:t>
      </w:r>
      <w:r>
        <w:rPr>
          <w:rFonts w:hint="eastAsia" w:cs="宋体"/>
          <w:color w:val="auto"/>
          <w:sz w:val="24"/>
          <w:szCs w:val="24"/>
          <w:highlight w:val="none"/>
        </w:rPr>
        <w:t>原因未能在计划开工日期前7天内下达开工通知的违约责任：</w:t>
      </w:r>
      <w:r>
        <w:rPr>
          <w:rFonts w:hint="eastAsia" w:cs="宋体"/>
          <w:color w:val="auto"/>
          <w:sz w:val="24"/>
          <w:szCs w:val="24"/>
          <w:highlight w:val="none"/>
          <w:u w:val="single"/>
        </w:rPr>
        <w:t xml:space="preserve"> 双方协商</w:t>
      </w:r>
    </w:p>
    <w:p w14:paraId="6E2FDBB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07B9DC55">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（2）因</w:t>
      </w:r>
      <w:r>
        <w:rPr>
          <w:rFonts w:hint="eastAsia" w:cs="宋体"/>
          <w:color w:val="auto"/>
          <w:sz w:val="24"/>
          <w:szCs w:val="24"/>
          <w:highlight w:val="none"/>
          <w:lang w:eastAsia="zh-CN"/>
        </w:rPr>
        <w:t>甲方</w:t>
      </w:r>
      <w:r>
        <w:rPr>
          <w:rFonts w:hint="eastAsia" w:cs="宋体"/>
          <w:color w:val="auto"/>
          <w:sz w:val="24"/>
          <w:szCs w:val="24"/>
          <w:highlight w:val="none"/>
        </w:rPr>
        <w:t>原因未能按合同约定支付合同价款的违约责任：</w:t>
      </w:r>
      <w:r>
        <w:rPr>
          <w:rFonts w:hint="eastAsia" w:cs="宋体"/>
          <w:color w:val="auto"/>
          <w:sz w:val="24"/>
          <w:szCs w:val="24"/>
          <w:highlight w:val="none"/>
          <w:u w:val="single"/>
        </w:rPr>
        <w:t xml:space="preserve"> 双方协商</w:t>
      </w:r>
    </w:p>
    <w:p w14:paraId="06299F6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0B7940F7">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（3）</w:t>
      </w:r>
      <w:r>
        <w:rPr>
          <w:rFonts w:hint="eastAsia" w:cs="宋体"/>
          <w:color w:val="auto"/>
          <w:sz w:val="24"/>
          <w:szCs w:val="24"/>
          <w:highlight w:val="none"/>
          <w:lang w:eastAsia="zh-CN"/>
        </w:rPr>
        <w:t>甲方</w:t>
      </w:r>
      <w:r>
        <w:rPr>
          <w:rFonts w:hint="eastAsia" w:cs="宋体"/>
          <w:color w:val="auto"/>
          <w:sz w:val="24"/>
          <w:szCs w:val="24"/>
          <w:highlight w:val="none"/>
        </w:rPr>
        <w:t>违反第10.1款〔变更的范围〕第（2）项约定，自行实施被取消的工作或转由他人实施的违约责任：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11F4826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w:t>
      </w:r>
      <w:r>
        <w:rPr>
          <w:rFonts w:hint="eastAsia" w:cs="宋体"/>
          <w:color w:val="auto"/>
          <w:sz w:val="24"/>
          <w:szCs w:val="24"/>
          <w:highlight w:val="none"/>
          <w:lang w:eastAsia="zh-CN"/>
        </w:rPr>
        <w:t>甲方</w:t>
      </w:r>
      <w:r>
        <w:rPr>
          <w:rFonts w:hint="eastAsia" w:cs="宋体"/>
          <w:color w:val="auto"/>
          <w:sz w:val="24"/>
          <w:szCs w:val="24"/>
          <w:highlight w:val="none"/>
        </w:rPr>
        <w:t>提供的材料、工程设备的规格、数量或质量不符合合同约定，或因</w:t>
      </w:r>
      <w:r>
        <w:rPr>
          <w:rFonts w:hint="eastAsia" w:cs="宋体"/>
          <w:color w:val="auto"/>
          <w:sz w:val="24"/>
          <w:szCs w:val="24"/>
          <w:highlight w:val="none"/>
          <w:lang w:eastAsia="zh-CN"/>
        </w:rPr>
        <w:t>甲方</w:t>
      </w:r>
      <w:r>
        <w:rPr>
          <w:rFonts w:hint="eastAsia" w:cs="宋体"/>
          <w:color w:val="auto"/>
          <w:sz w:val="24"/>
          <w:szCs w:val="24"/>
          <w:highlight w:val="none"/>
        </w:rPr>
        <w:t>原因导致交货日期延误或交货地点变更等情况的违约责任：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274F9E9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（5）因</w:t>
      </w:r>
      <w:r>
        <w:rPr>
          <w:rFonts w:hint="eastAsia" w:cs="宋体"/>
          <w:color w:val="auto"/>
          <w:sz w:val="24"/>
          <w:szCs w:val="24"/>
          <w:highlight w:val="none"/>
          <w:lang w:eastAsia="zh-CN"/>
        </w:rPr>
        <w:t>甲方</w:t>
      </w:r>
      <w:r>
        <w:rPr>
          <w:rFonts w:hint="eastAsia" w:cs="宋体"/>
          <w:color w:val="auto"/>
          <w:sz w:val="24"/>
          <w:szCs w:val="24"/>
          <w:highlight w:val="none"/>
        </w:rPr>
        <w:t>违反合同约定造成暂停施工的违约责任：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01D7657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w:t>
      </w:r>
      <w:r>
        <w:rPr>
          <w:rFonts w:hint="eastAsia" w:cs="宋体"/>
          <w:color w:val="auto"/>
          <w:sz w:val="24"/>
          <w:szCs w:val="24"/>
          <w:highlight w:val="none"/>
          <w:lang w:eastAsia="zh-CN"/>
        </w:rPr>
        <w:t>甲方</w:t>
      </w:r>
      <w:r>
        <w:rPr>
          <w:rFonts w:hint="eastAsia" w:cs="宋体"/>
          <w:color w:val="auto"/>
          <w:sz w:val="24"/>
          <w:szCs w:val="24"/>
          <w:highlight w:val="none"/>
        </w:rPr>
        <w:t>无正当理由没有在约定期限内发出复工指示，导致</w:t>
      </w:r>
      <w:r>
        <w:rPr>
          <w:rFonts w:hint="eastAsia" w:cs="宋体"/>
          <w:color w:val="auto"/>
          <w:sz w:val="24"/>
          <w:szCs w:val="24"/>
          <w:highlight w:val="none"/>
          <w:lang w:eastAsia="zh-CN"/>
        </w:rPr>
        <w:t>乙方</w:t>
      </w:r>
      <w:r>
        <w:rPr>
          <w:rFonts w:hint="eastAsia" w:cs="宋体"/>
          <w:color w:val="auto"/>
          <w:sz w:val="24"/>
          <w:szCs w:val="24"/>
          <w:highlight w:val="none"/>
        </w:rPr>
        <w:t>无法复工的违约责任：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122C73F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（7）其他：</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61E0885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16.1.3 因</w:t>
      </w:r>
      <w:r>
        <w:rPr>
          <w:rFonts w:hint="eastAsia" w:cs="宋体"/>
          <w:color w:val="auto"/>
          <w:sz w:val="24"/>
          <w:szCs w:val="24"/>
          <w:highlight w:val="none"/>
          <w:lang w:eastAsia="zh-CN"/>
        </w:rPr>
        <w:t>甲方</w:t>
      </w:r>
      <w:r>
        <w:rPr>
          <w:rFonts w:hint="eastAsia" w:cs="宋体"/>
          <w:color w:val="auto"/>
          <w:sz w:val="24"/>
          <w:szCs w:val="24"/>
          <w:highlight w:val="none"/>
        </w:rPr>
        <w:t>违约解除合同</w:t>
      </w:r>
    </w:p>
    <w:p w14:paraId="082F8AB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按16.1.1项〔</w:t>
      </w:r>
      <w:r>
        <w:rPr>
          <w:rFonts w:hint="eastAsia" w:cs="宋体"/>
          <w:color w:val="auto"/>
          <w:sz w:val="24"/>
          <w:szCs w:val="24"/>
          <w:highlight w:val="none"/>
          <w:lang w:eastAsia="zh-CN"/>
        </w:rPr>
        <w:t>甲方</w:t>
      </w:r>
      <w:r>
        <w:rPr>
          <w:rFonts w:hint="eastAsia" w:cs="宋体"/>
          <w:color w:val="auto"/>
          <w:sz w:val="24"/>
          <w:szCs w:val="24"/>
          <w:highlight w:val="none"/>
        </w:rPr>
        <w:t>违约的情形〕约定暂停施工满</w:t>
      </w:r>
      <w:r>
        <w:rPr>
          <w:rFonts w:hint="eastAsia" w:cs="宋体"/>
          <w:color w:val="auto"/>
          <w:sz w:val="24"/>
          <w:szCs w:val="24"/>
          <w:highlight w:val="none"/>
          <w:u w:val="single"/>
        </w:rPr>
        <w:t>28</w:t>
      </w:r>
      <w:r>
        <w:rPr>
          <w:rFonts w:hint="eastAsia" w:cs="宋体"/>
          <w:color w:val="auto"/>
          <w:sz w:val="24"/>
          <w:szCs w:val="24"/>
          <w:highlight w:val="none"/>
        </w:rPr>
        <w:t>天后</w:t>
      </w:r>
      <w:r>
        <w:rPr>
          <w:rFonts w:hint="eastAsia" w:cs="宋体"/>
          <w:color w:val="auto"/>
          <w:sz w:val="24"/>
          <w:szCs w:val="24"/>
          <w:highlight w:val="none"/>
          <w:lang w:eastAsia="zh-CN"/>
        </w:rPr>
        <w:t>甲方</w:t>
      </w:r>
      <w:r>
        <w:rPr>
          <w:rFonts w:hint="eastAsia" w:cs="宋体"/>
          <w:color w:val="auto"/>
          <w:sz w:val="24"/>
          <w:szCs w:val="24"/>
          <w:highlight w:val="none"/>
        </w:rPr>
        <w:t>仍不纠正其违约行为并致使合同目的不能实现的，</w:t>
      </w:r>
      <w:r>
        <w:rPr>
          <w:rFonts w:hint="eastAsia" w:cs="宋体"/>
          <w:color w:val="auto"/>
          <w:sz w:val="24"/>
          <w:szCs w:val="24"/>
          <w:highlight w:val="none"/>
          <w:lang w:eastAsia="zh-CN"/>
        </w:rPr>
        <w:t>乙方</w:t>
      </w:r>
      <w:r>
        <w:rPr>
          <w:rFonts w:hint="eastAsia" w:cs="宋体"/>
          <w:color w:val="auto"/>
          <w:sz w:val="24"/>
          <w:szCs w:val="24"/>
          <w:highlight w:val="none"/>
        </w:rPr>
        <w:t>有权解除合同。</w:t>
      </w:r>
    </w:p>
    <w:p w14:paraId="0B75742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16.2 </w:t>
      </w:r>
      <w:r>
        <w:rPr>
          <w:rFonts w:hint="eastAsia" w:cs="宋体"/>
          <w:bCs/>
          <w:color w:val="auto"/>
          <w:sz w:val="24"/>
          <w:szCs w:val="24"/>
          <w:highlight w:val="none"/>
          <w:lang w:eastAsia="zh-CN"/>
        </w:rPr>
        <w:t>乙方</w:t>
      </w:r>
      <w:r>
        <w:rPr>
          <w:rFonts w:hint="eastAsia" w:cs="宋体"/>
          <w:bCs/>
          <w:color w:val="auto"/>
          <w:sz w:val="24"/>
          <w:szCs w:val="24"/>
          <w:highlight w:val="none"/>
        </w:rPr>
        <w:t>违约</w:t>
      </w:r>
    </w:p>
    <w:p w14:paraId="4F1ABEB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16.2.1 </w:t>
      </w:r>
      <w:r>
        <w:rPr>
          <w:rFonts w:hint="eastAsia" w:cs="宋体"/>
          <w:color w:val="auto"/>
          <w:sz w:val="24"/>
          <w:szCs w:val="24"/>
          <w:highlight w:val="none"/>
          <w:lang w:eastAsia="zh-CN"/>
        </w:rPr>
        <w:t>乙方</w:t>
      </w:r>
      <w:r>
        <w:rPr>
          <w:rFonts w:hint="eastAsia" w:cs="宋体"/>
          <w:color w:val="auto"/>
          <w:sz w:val="24"/>
          <w:szCs w:val="24"/>
          <w:highlight w:val="none"/>
        </w:rPr>
        <w:t>违约的情形</w:t>
      </w:r>
    </w:p>
    <w:p w14:paraId="2E0C9AA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BCD51A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16.2.2 </w:t>
      </w:r>
      <w:r>
        <w:rPr>
          <w:rFonts w:hint="eastAsia" w:cs="宋体"/>
          <w:color w:val="auto"/>
          <w:sz w:val="24"/>
          <w:szCs w:val="24"/>
          <w:highlight w:val="none"/>
          <w:lang w:eastAsia="zh-CN"/>
        </w:rPr>
        <w:t>乙方</w:t>
      </w:r>
      <w:r>
        <w:rPr>
          <w:rFonts w:hint="eastAsia" w:cs="宋体"/>
          <w:color w:val="auto"/>
          <w:sz w:val="24"/>
          <w:szCs w:val="24"/>
          <w:highlight w:val="none"/>
        </w:rPr>
        <w:t>违约的责任</w:t>
      </w:r>
    </w:p>
    <w:p w14:paraId="4E4C106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违约责任的承担方式和计算方法：</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F6BF0A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16.2.3 因</w:t>
      </w:r>
      <w:r>
        <w:rPr>
          <w:rFonts w:hint="eastAsia" w:cs="宋体"/>
          <w:color w:val="auto"/>
          <w:sz w:val="24"/>
          <w:szCs w:val="24"/>
          <w:highlight w:val="none"/>
          <w:lang w:eastAsia="zh-CN"/>
        </w:rPr>
        <w:t>乙方</w:t>
      </w:r>
      <w:r>
        <w:rPr>
          <w:rFonts w:hint="eastAsia" w:cs="宋体"/>
          <w:color w:val="auto"/>
          <w:sz w:val="24"/>
          <w:szCs w:val="24"/>
          <w:highlight w:val="none"/>
        </w:rPr>
        <w:t>违约解除合同</w:t>
      </w:r>
    </w:p>
    <w:p w14:paraId="6E85F70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违约解除合同的特别约定：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6E247F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继续使用</w:t>
      </w:r>
      <w:r>
        <w:rPr>
          <w:rFonts w:hint="eastAsia" w:cs="宋体"/>
          <w:color w:val="auto"/>
          <w:sz w:val="24"/>
          <w:szCs w:val="24"/>
          <w:highlight w:val="none"/>
          <w:lang w:eastAsia="zh-CN"/>
        </w:rPr>
        <w:t>乙方</w:t>
      </w:r>
      <w:r>
        <w:rPr>
          <w:rFonts w:hint="eastAsia" w:cs="宋体"/>
          <w:color w:val="auto"/>
          <w:sz w:val="24"/>
          <w:szCs w:val="24"/>
          <w:highlight w:val="none"/>
        </w:rPr>
        <w:t>在施工现场的材料、设备、临时工程、</w:t>
      </w:r>
      <w:r>
        <w:rPr>
          <w:rFonts w:hint="eastAsia" w:cs="宋体"/>
          <w:color w:val="auto"/>
          <w:sz w:val="24"/>
          <w:szCs w:val="24"/>
          <w:highlight w:val="none"/>
          <w:lang w:eastAsia="zh-CN"/>
        </w:rPr>
        <w:t>乙方</w:t>
      </w:r>
      <w:r>
        <w:rPr>
          <w:rFonts w:hint="eastAsia" w:cs="宋体"/>
          <w:color w:val="auto"/>
          <w:sz w:val="24"/>
          <w:szCs w:val="24"/>
          <w:highlight w:val="none"/>
        </w:rPr>
        <w:t>文件和由</w:t>
      </w:r>
      <w:r>
        <w:rPr>
          <w:rFonts w:hint="eastAsia" w:cs="宋体"/>
          <w:color w:val="auto"/>
          <w:sz w:val="24"/>
          <w:szCs w:val="24"/>
          <w:highlight w:val="none"/>
          <w:lang w:eastAsia="zh-CN"/>
        </w:rPr>
        <w:t>乙方</w:t>
      </w:r>
      <w:r>
        <w:rPr>
          <w:rFonts w:hint="eastAsia" w:cs="宋体"/>
          <w:color w:val="auto"/>
          <w:sz w:val="24"/>
          <w:szCs w:val="24"/>
          <w:highlight w:val="none"/>
        </w:rPr>
        <w:t>或以其名义编制的其他文件的费用承担方式：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23187B1">
      <w:pPr>
        <w:snapToGrid w:val="0"/>
        <w:spacing w:before="312" w:beforeLines="100" w:after="312" w:afterLines="100" w:line="360" w:lineRule="auto"/>
        <w:outlineLvl w:val="2"/>
        <w:rPr>
          <w:rFonts w:cs="宋体"/>
          <w:color w:val="auto"/>
          <w:sz w:val="24"/>
          <w:szCs w:val="24"/>
          <w:highlight w:val="none"/>
        </w:rPr>
      </w:pPr>
      <w:bookmarkStart w:id="610" w:name="_Toc351203649"/>
      <w:r>
        <w:rPr>
          <w:rFonts w:hint="eastAsia" w:cs="宋体"/>
          <w:color w:val="auto"/>
          <w:sz w:val="24"/>
          <w:szCs w:val="24"/>
          <w:highlight w:val="none"/>
        </w:rPr>
        <w:t>17. 不可抗力</w:t>
      </w:r>
      <w:bookmarkEnd w:id="610"/>
      <w:r>
        <w:rPr>
          <w:rFonts w:hint="eastAsia" w:cs="宋体"/>
          <w:color w:val="auto"/>
          <w:sz w:val="24"/>
          <w:szCs w:val="24"/>
          <w:highlight w:val="none"/>
        </w:rPr>
        <w:t xml:space="preserve"> </w:t>
      </w:r>
      <w:bookmarkEnd w:id="608"/>
    </w:p>
    <w:p w14:paraId="682DB5A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17.1 不可抗力的确认</w:t>
      </w:r>
    </w:p>
    <w:p w14:paraId="30DDF9D1">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除通用合同条款约定的不可抗力事件之外，视为不可抗力的其他情形：</w:t>
      </w:r>
      <w:r>
        <w:rPr>
          <w:rFonts w:hint="eastAsia" w:cs="宋体"/>
          <w:color w:val="auto"/>
          <w:sz w:val="24"/>
          <w:szCs w:val="24"/>
          <w:highlight w:val="none"/>
          <w:u w:val="single"/>
        </w:rPr>
        <w:t>执行通用条款</w:t>
      </w:r>
      <w:r>
        <w:rPr>
          <w:rFonts w:hint="eastAsia" w:cs="宋体"/>
          <w:color w:val="auto"/>
          <w:sz w:val="24"/>
          <w:szCs w:val="24"/>
          <w:highlight w:val="none"/>
        </w:rPr>
        <w:t>。</w:t>
      </w:r>
    </w:p>
    <w:p w14:paraId="3D32BC9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17.4 因不可抗力解除合同</w:t>
      </w:r>
    </w:p>
    <w:p w14:paraId="649D3F5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合同解除后，</w:t>
      </w:r>
      <w:r>
        <w:rPr>
          <w:rFonts w:hint="eastAsia" w:cs="宋体"/>
          <w:color w:val="auto"/>
          <w:sz w:val="24"/>
          <w:szCs w:val="24"/>
          <w:highlight w:val="none"/>
          <w:lang w:eastAsia="zh-CN"/>
        </w:rPr>
        <w:t>甲方</w:t>
      </w:r>
      <w:r>
        <w:rPr>
          <w:rFonts w:hint="eastAsia" w:cs="宋体"/>
          <w:color w:val="auto"/>
          <w:sz w:val="24"/>
          <w:szCs w:val="24"/>
          <w:highlight w:val="none"/>
        </w:rPr>
        <w:t>应在商定或确定</w:t>
      </w:r>
      <w:r>
        <w:rPr>
          <w:rFonts w:hint="eastAsia" w:cs="宋体"/>
          <w:color w:val="auto"/>
          <w:sz w:val="24"/>
          <w:szCs w:val="24"/>
          <w:highlight w:val="none"/>
          <w:lang w:eastAsia="zh-CN"/>
        </w:rPr>
        <w:t>甲方</w:t>
      </w:r>
      <w:r>
        <w:rPr>
          <w:rFonts w:hint="eastAsia" w:cs="宋体"/>
          <w:color w:val="auto"/>
          <w:sz w:val="24"/>
          <w:szCs w:val="24"/>
          <w:highlight w:val="none"/>
        </w:rPr>
        <w:t>应支付款项后</w:t>
      </w:r>
      <w:r>
        <w:rPr>
          <w:rFonts w:hint="eastAsia" w:cs="宋体"/>
          <w:color w:val="auto"/>
          <w:sz w:val="24"/>
          <w:szCs w:val="24"/>
          <w:highlight w:val="none"/>
          <w:u w:val="single"/>
        </w:rPr>
        <w:t>28</w:t>
      </w:r>
      <w:r>
        <w:rPr>
          <w:rFonts w:hint="eastAsia" w:cs="宋体"/>
          <w:color w:val="auto"/>
          <w:sz w:val="24"/>
          <w:szCs w:val="24"/>
          <w:highlight w:val="none"/>
        </w:rPr>
        <w:t>天内完成款项的支付。</w:t>
      </w:r>
    </w:p>
    <w:p w14:paraId="6D3DFCF6">
      <w:pPr>
        <w:snapToGrid w:val="0"/>
        <w:spacing w:before="312" w:beforeLines="100" w:after="312" w:afterLines="100" w:line="360" w:lineRule="auto"/>
        <w:outlineLvl w:val="2"/>
        <w:rPr>
          <w:rFonts w:cs="宋体"/>
          <w:color w:val="auto"/>
          <w:sz w:val="24"/>
          <w:szCs w:val="24"/>
          <w:highlight w:val="none"/>
        </w:rPr>
      </w:pPr>
      <w:bookmarkStart w:id="611" w:name="_Toc351203650"/>
      <w:r>
        <w:rPr>
          <w:rFonts w:hint="eastAsia" w:cs="宋体"/>
          <w:color w:val="auto"/>
          <w:sz w:val="24"/>
          <w:szCs w:val="24"/>
          <w:highlight w:val="none"/>
        </w:rPr>
        <w:t>18. 保险</w:t>
      </w:r>
      <w:bookmarkEnd w:id="611"/>
    </w:p>
    <w:bookmarkEnd w:id="609"/>
    <w:p w14:paraId="4B77D84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18.1 工程保险</w:t>
      </w:r>
    </w:p>
    <w:p w14:paraId="3BFE6D4D">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关于工程保险的特别约定：</w:t>
      </w:r>
      <w:r>
        <w:rPr>
          <w:rFonts w:hint="eastAsia" w:cs="宋体"/>
          <w:b/>
          <w:color w:val="auto"/>
          <w:sz w:val="24"/>
          <w:szCs w:val="24"/>
          <w:highlight w:val="none"/>
          <w:u w:val="single"/>
        </w:rPr>
        <w:t xml:space="preserve">  </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应投保</w:t>
      </w:r>
      <w:r>
        <w:rPr>
          <w:rFonts w:hint="eastAsia" w:cs="宋体"/>
          <w:b/>
          <w:color w:val="auto"/>
          <w:sz w:val="24"/>
          <w:szCs w:val="24"/>
          <w:highlight w:val="none"/>
          <w:u w:val="single"/>
          <w:lang w:val="en-US" w:eastAsia="zh-CN"/>
        </w:rPr>
        <w:t>建筑</w:t>
      </w:r>
      <w:r>
        <w:rPr>
          <w:rFonts w:hint="eastAsia" w:cs="宋体"/>
          <w:b/>
          <w:color w:val="auto"/>
          <w:sz w:val="24"/>
          <w:szCs w:val="24"/>
          <w:highlight w:val="none"/>
          <w:u w:val="single"/>
        </w:rPr>
        <w:t xml:space="preserve">工程一切险或安装工程一切险  </w:t>
      </w:r>
      <w:r>
        <w:rPr>
          <w:rFonts w:hint="eastAsia" w:cs="宋体"/>
          <w:b/>
          <w:color w:val="auto"/>
          <w:sz w:val="24"/>
          <w:szCs w:val="24"/>
          <w:highlight w:val="none"/>
        </w:rPr>
        <w:t>。</w:t>
      </w:r>
    </w:p>
    <w:p w14:paraId="765807C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18.3 其他保险</w:t>
      </w:r>
    </w:p>
    <w:p w14:paraId="167AF174">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关于其他保险的约定：</w:t>
      </w:r>
      <w:r>
        <w:rPr>
          <w:rFonts w:hint="eastAsia" w:ascii="宋体" w:hAnsi="宋体" w:eastAsia="宋体" w:cs="宋体"/>
          <w:b/>
          <w:bCs/>
          <w:color w:val="auto"/>
          <w:sz w:val="24"/>
          <w:szCs w:val="24"/>
          <w:highlight w:val="none"/>
          <w:u w:val="single"/>
          <w:lang w:eastAsia="zh-CN"/>
        </w:rPr>
        <w:t>乙方</w:t>
      </w:r>
      <w:r>
        <w:rPr>
          <w:rFonts w:hint="eastAsia" w:ascii="宋体" w:hAnsi="宋体" w:eastAsia="宋体" w:cs="宋体"/>
          <w:b/>
          <w:bCs/>
          <w:color w:val="auto"/>
          <w:sz w:val="24"/>
          <w:szCs w:val="24"/>
          <w:highlight w:val="none"/>
          <w:u w:val="single"/>
        </w:rPr>
        <w:t>须为</w:t>
      </w:r>
      <w:r>
        <w:rPr>
          <w:rFonts w:hint="eastAsia" w:cs="宋体"/>
          <w:b/>
          <w:bCs/>
          <w:color w:val="auto"/>
          <w:sz w:val="24"/>
          <w:szCs w:val="24"/>
          <w:highlight w:val="none"/>
          <w:u w:val="single"/>
          <w:lang w:val="en-US" w:eastAsia="zh-CN"/>
        </w:rPr>
        <w:t>本项目</w:t>
      </w:r>
      <w:r>
        <w:rPr>
          <w:rFonts w:hint="eastAsia" w:cs="宋体"/>
          <w:b/>
          <w:bCs/>
          <w:color w:val="auto"/>
          <w:sz w:val="24"/>
          <w:szCs w:val="24"/>
          <w:highlight w:val="none"/>
          <w:u w:val="single"/>
        </w:rPr>
        <w:t>所有从业人员购买以下保险（二者任选其一）：雇主责任险或</w:t>
      </w:r>
      <w:r>
        <w:rPr>
          <w:rFonts w:hint="eastAsia" w:cs="宋体"/>
          <w:b/>
          <w:bCs/>
          <w:color w:val="auto"/>
          <w:sz w:val="24"/>
          <w:szCs w:val="24"/>
          <w:highlight w:val="none"/>
          <w:u w:val="single"/>
          <w:lang w:eastAsia="zh-CN"/>
        </w:rPr>
        <w:t>团体意外险</w:t>
      </w:r>
      <w:r>
        <w:rPr>
          <w:rFonts w:hint="eastAsia" w:cs="宋体"/>
          <w:b/>
          <w:bCs/>
          <w:color w:val="auto"/>
          <w:sz w:val="24"/>
          <w:szCs w:val="24"/>
          <w:highlight w:val="none"/>
          <w:u w:val="single"/>
        </w:rPr>
        <w:t>，其保险费已包含在签约合同价中。</w:t>
      </w:r>
    </w:p>
    <w:p w14:paraId="1241355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是否应为其施工设备等办理财产保险：</w:t>
      </w:r>
      <w:r>
        <w:rPr>
          <w:rFonts w:hint="eastAsia" w:cs="宋体"/>
          <w:color w:val="auto"/>
          <w:sz w:val="24"/>
          <w:szCs w:val="24"/>
          <w:highlight w:val="none"/>
          <w:u w:val="single"/>
        </w:rPr>
        <w:t>执行通用条款</w:t>
      </w:r>
      <w:r>
        <w:rPr>
          <w:rFonts w:hint="eastAsia" w:cs="宋体"/>
          <w:color w:val="auto"/>
          <w:sz w:val="24"/>
          <w:szCs w:val="24"/>
          <w:highlight w:val="none"/>
        </w:rPr>
        <w:t>。</w:t>
      </w:r>
    </w:p>
    <w:p w14:paraId="0670967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18.7 通知义务</w:t>
      </w:r>
    </w:p>
    <w:p w14:paraId="16AEE6EB">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关于变更保险合同时的通知义务的约定：</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85"/>
    <w:bookmarkEnd w:id="586"/>
    <w:bookmarkEnd w:id="587"/>
    <w:bookmarkEnd w:id="588"/>
    <w:bookmarkEnd w:id="589"/>
    <w:bookmarkEnd w:id="590"/>
    <w:bookmarkEnd w:id="591"/>
    <w:bookmarkEnd w:id="592"/>
    <w:bookmarkEnd w:id="593"/>
    <w:bookmarkEnd w:id="594"/>
    <w:bookmarkEnd w:id="595"/>
    <w:bookmarkEnd w:id="596"/>
    <w:p w14:paraId="0D7B3FAC">
      <w:pPr>
        <w:snapToGrid w:val="0"/>
        <w:spacing w:before="312" w:beforeLines="100" w:after="312" w:afterLines="100" w:line="360" w:lineRule="auto"/>
        <w:outlineLvl w:val="2"/>
        <w:rPr>
          <w:rFonts w:cs="宋体"/>
          <w:color w:val="auto"/>
          <w:sz w:val="24"/>
          <w:szCs w:val="24"/>
          <w:highlight w:val="none"/>
        </w:rPr>
      </w:pPr>
      <w:bookmarkStart w:id="612" w:name="_Toc351203651"/>
      <w:r>
        <w:rPr>
          <w:rFonts w:hint="eastAsia" w:cs="宋体"/>
          <w:color w:val="auto"/>
          <w:sz w:val="24"/>
          <w:szCs w:val="24"/>
          <w:highlight w:val="none"/>
        </w:rPr>
        <w:t>20. 争议解决</w:t>
      </w:r>
      <w:bookmarkEnd w:id="612"/>
    </w:p>
    <w:bookmarkEnd w:id="597"/>
    <w:bookmarkEnd w:id="598"/>
    <w:p w14:paraId="56E212B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20.3 争</w:t>
      </w:r>
      <w:bookmarkEnd w:id="599"/>
      <w:r>
        <w:rPr>
          <w:rFonts w:hint="eastAsia" w:cs="宋体"/>
          <w:bCs/>
          <w:color w:val="auto"/>
          <w:sz w:val="24"/>
          <w:szCs w:val="24"/>
          <w:highlight w:val="none"/>
        </w:rPr>
        <w:t>议评审</w:t>
      </w:r>
    </w:p>
    <w:p w14:paraId="5242CF1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合同当事人是否同意将工程争议提交争议评审小组决定：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F7A0AC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20.3.1 争议评审小组的确定</w:t>
      </w:r>
    </w:p>
    <w:p w14:paraId="4582999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争议评审小组成员的确定：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BD9830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选定争议评审员的期限：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C7906A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争议评审小组成员的报酬承担方式：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75AC32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其他事项的约定：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716967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20.3.2 争议评审小组的决定</w:t>
      </w:r>
    </w:p>
    <w:p w14:paraId="3DA02D6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合同当事人关于本项的约定：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C10F74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20.4 仲裁或诉讼</w:t>
      </w:r>
      <w:bookmarkEnd w:id="600"/>
    </w:p>
    <w:bookmarkEnd w:id="601"/>
    <w:bookmarkEnd w:id="602"/>
    <w:bookmarkEnd w:id="603"/>
    <w:bookmarkEnd w:id="604"/>
    <w:bookmarkEnd w:id="605"/>
    <w:bookmarkEnd w:id="606"/>
    <w:p w14:paraId="676673E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因合同及合同有关事项发生的争议，按下列</w:t>
      </w:r>
      <w:r>
        <w:rPr>
          <w:rFonts w:hint="eastAsia" w:cs="宋体"/>
          <w:b/>
          <w:bCs/>
          <w:color w:val="auto"/>
          <w:sz w:val="24"/>
          <w:szCs w:val="24"/>
          <w:highlight w:val="none"/>
        </w:rPr>
        <w:t>第</w:t>
      </w:r>
      <w:r>
        <w:rPr>
          <w:rFonts w:hint="eastAsia" w:cs="宋体"/>
          <w:b/>
          <w:bCs/>
          <w:color w:val="auto"/>
          <w:sz w:val="24"/>
          <w:szCs w:val="24"/>
          <w:highlight w:val="none"/>
          <w:u w:val="single"/>
        </w:rPr>
        <w:t xml:space="preserve"> 2 </w:t>
      </w:r>
      <w:r>
        <w:rPr>
          <w:rFonts w:hint="eastAsia" w:cs="宋体"/>
          <w:b/>
          <w:bCs/>
          <w:color w:val="auto"/>
          <w:sz w:val="24"/>
          <w:szCs w:val="24"/>
          <w:highlight w:val="none"/>
        </w:rPr>
        <w:t>种</w:t>
      </w:r>
      <w:r>
        <w:rPr>
          <w:rFonts w:hint="eastAsia" w:cs="宋体"/>
          <w:color w:val="auto"/>
          <w:sz w:val="24"/>
          <w:szCs w:val="24"/>
          <w:highlight w:val="none"/>
        </w:rPr>
        <w:t>方式解决：</w:t>
      </w:r>
    </w:p>
    <w:p w14:paraId="54B154C9">
      <w:pPr>
        <w:numPr>
          <w:ilvl w:val="0"/>
          <w:numId w:val="7"/>
        </w:num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向</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 xml:space="preserve">法人证书登记的住所地 </w:t>
      </w:r>
      <w:r>
        <w:rPr>
          <w:rFonts w:hint="eastAsia" w:cs="宋体"/>
          <w:color w:val="auto"/>
          <w:sz w:val="24"/>
          <w:szCs w:val="24"/>
          <w:highlight w:val="none"/>
        </w:rPr>
        <w:t>仲裁委员会申请仲裁；</w:t>
      </w:r>
    </w:p>
    <w:p w14:paraId="3F0987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（2）向</w:t>
      </w:r>
      <w:r>
        <w:rPr>
          <w:rFonts w:hint="eastAsia"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法人证书登记的住所地</w:t>
      </w:r>
      <w:r>
        <w:rPr>
          <w:rFonts w:hint="eastAsia" w:cs="宋体"/>
          <w:color w:val="auto"/>
          <w:sz w:val="24"/>
          <w:szCs w:val="24"/>
          <w:highlight w:val="none"/>
        </w:rPr>
        <w:t>人民法院起诉。</w:t>
      </w:r>
    </w:p>
    <w:p w14:paraId="686E1FA3">
      <w:pPr>
        <w:snapToGrid w:val="0"/>
        <w:spacing w:before="312" w:beforeLines="100" w:after="312" w:afterLines="100" w:line="360" w:lineRule="auto"/>
        <w:outlineLvl w:val="2"/>
        <w:rPr>
          <w:rFonts w:hint="eastAsia" w:cs="宋体"/>
          <w:color w:val="auto"/>
          <w:sz w:val="24"/>
          <w:szCs w:val="24"/>
          <w:highlight w:val="none"/>
        </w:rPr>
      </w:pPr>
      <w:r>
        <w:rPr>
          <w:rFonts w:hint="eastAsia" w:cs="宋体"/>
          <w:color w:val="auto"/>
          <w:sz w:val="24"/>
          <w:szCs w:val="24"/>
          <w:highlight w:val="none"/>
        </w:rPr>
        <w:t xml:space="preserve">21. 补充条款 </w:t>
      </w:r>
    </w:p>
    <w:p w14:paraId="70A480CF">
      <w:pPr>
        <w:pStyle w:val="19"/>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微软简标宋"/>
          <w:color w:val="auto"/>
          <w:sz w:val="24"/>
          <w:szCs w:val="24"/>
          <w:highlight w:val="none"/>
          <w:lang w:val="en-US" w:eastAsia="zh-CN"/>
        </w:rPr>
      </w:pP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1CF5C1DA">
      <w:pPr>
        <w:snapToGrid w:val="0"/>
        <w:spacing w:line="360" w:lineRule="auto"/>
        <w:rPr>
          <w:rFonts w:cs="宋体"/>
          <w:b/>
          <w:color w:val="auto"/>
          <w:sz w:val="24"/>
          <w:szCs w:val="24"/>
          <w:highlight w:val="none"/>
        </w:rPr>
      </w:pPr>
    </w:p>
    <w:p w14:paraId="1D4AE58F">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 xml:space="preserve">：  （公章）                           </w:t>
      </w:r>
      <w:r>
        <w:rPr>
          <w:rFonts w:hint="eastAsia" w:cs="宋体"/>
          <w:color w:val="auto"/>
          <w:sz w:val="24"/>
          <w:szCs w:val="24"/>
          <w:highlight w:val="none"/>
          <w:lang w:eastAsia="zh-CN"/>
        </w:rPr>
        <w:t>乙方</w:t>
      </w:r>
      <w:r>
        <w:rPr>
          <w:rFonts w:hint="eastAsia" w:cs="宋体"/>
          <w:color w:val="auto"/>
          <w:sz w:val="24"/>
          <w:szCs w:val="24"/>
          <w:highlight w:val="none"/>
        </w:rPr>
        <w:t>：  （公章）</w:t>
      </w:r>
    </w:p>
    <w:p w14:paraId="53B6EB16">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7A702E3F">
      <w:pPr>
        <w:snapToGrid w:val="0"/>
        <w:spacing w:line="360" w:lineRule="auto"/>
        <w:rPr>
          <w:rFonts w:cs="宋体"/>
          <w:color w:val="auto"/>
          <w:sz w:val="24"/>
          <w:szCs w:val="24"/>
          <w:highlight w:val="none"/>
        </w:rPr>
      </w:pPr>
      <w:r>
        <w:rPr>
          <w:rFonts w:hint="eastAsia" w:cs="宋体"/>
          <w:color w:val="auto"/>
          <w:sz w:val="24"/>
          <w:szCs w:val="24"/>
          <w:highlight w:val="none"/>
        </w:rPr>
        <w:t>（签字）                                  （签字）</w:t>
      </w:r>
    </w:p>
    <w:p w14:paraId="106E6328">
      <w:pPr>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w:t>
      </w:r>
    </w:p>
    <w:p w14:paraId="76EC88E7">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7AF56DEB">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098F7F89">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0E11D672">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723BC3B9">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492B14FD">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20A66BE9">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 xml:space="preserve">   </w:t>
      </w:r>
    </w:p>
    <w:p w14:paraId="61A42A87">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0E6C0FCF">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bookmarkEnd w:id="79"/>
    <w:p w14:paraId="280007AE">
      <w:pPr>
        <w:spacing w:before="312" w:beforeLines="100" w:after="312" w:afterLines="100"/>
        <w:outlineLvl w:val="2"/>
        <w:rPr>
          <w:rFonts w:ascii="Times New Roman" w:eastAsia="黑体"/>
          <w:color w:val="auto"/>
          <w:sz w:val="24"/>
          <w:szCs w:val="24"/>
          <w:highlight w:val="none"/>
        </w:rPr>
      </w:pPr>
      <w:r>
        <w:rPr>
          <w:rFonts w:hint="eastAsia" w:cs="宋体"/>
          <w:bCs/>
          <w:color w:val="auto"/>
          <w:sz w:val="24"/>
          <w:szCs w:val="24"/>
          <w:highlight w:val="none"/>
        </w:rPr>
        <w:br w:type="page"/>
      </w:r>
      <w:bookmarkStart w:id="613" w:name="_Toc128950236"/>
      <w:r>
        <w:rPr>
          <w:rFonts w:hint="eastAsia" w:ascii="Times New Roman" w:eastAsia="黑体"/>
          <w:color w:val="auto"/>
          <w:sz w:val="24"/>
          <w:szCs w:val="24"/>
          <w:highlight w:val="none"/>
        </w:rPr>
        <w:t>附</w:t>
      </w:r>
      <w:bookmarkStart w:id="614" w:name="_Toc296944564"/>
      <w:bookmarkStart w:id="615" w:name="_Toc296503225"/>
      <w:bookmarkStart w:id="616" w:name="_Toc296347224"/>
      <w:bookmarkStart w:id="617" w:name="_Toc296346726"/>
      <w:bookmarkStart w:id="618" w:name="_Toc296891265"/>
      <w:bookmarkStart w:id="619" w:name="_Toc267261692"/>
      <w:bookmarkStart w:id="620" w:name="_Toc296891053"/>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1</w:t>
      </w:r>
      <w:r>
        <w:rPr>
          <w:rFonts w:hint="eastAsia" w:ascii="Times New Roman" w:eastAsia="黑体"/>
          <w:color w:val="auto"/>
          <w:sz w:val="24"/>
          <w:szCs w:val="24"/>
          <w:highlight w:val="none"/>
        </w:rPr>
        <w:t>：</w:t>
      </w:r>
      <w:bookmarkEnd w:id="613"/>
      <w:bookmarkEnd w:id="614"/>
      <w:bookmarkEnd w:id="615"/>
      <w:bookmarkEnd w:id="616"/>
      <w:bookmarkEnd w:id="617"/>
      <w:bookmarkEnd w:id="618"/>
      <w:bookmarkEnd w:id="619"/>
      <w:bookmarkEnd w:id="620"/>
      <w:bookmarkStart w:id="621" w:name="_Toc128950238"/>
      <w:bookmarkStart w:id="622" w:name="_Toc128950243"/>
      <w:r>
        <w:rPr>
          <w:rFonts w:hint="eastAsia" w:ascii="Times New Roman" w:eastAsia="黑体"/>
          <w:color w:val="auto"/>
          <w:sz w:val="24"/>
          <w:szCs w:val="24"/>
          <w:highlight w:val="none"/>
        </w:rPr>
        <w:t>廉政协议</w:t>
      </w:r>
    </w:p>
    <w:p w14:paraId="42195B96">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廉政协议书</w:t>
      </w:r>
    </w:p>
    <w:p w14:paraId="6C7B10D0">
      <w:pPr>
        <w:widowControl/>
        <w:adjustRightInd w:val="0"/>
        <w:snapToGrid w:val="0"/>
        <w:spacing w:line="360" w:lineRule="auto"/>
        <w:ind w:firstLine="400" w:firstLineChars="200"/>
        <w:jc w:val="left"/>
        <w:rPr>
          <w:rFonts w:hint="default" w:ascii="Times New Roman" w:hAnsi="Times New Roman" w:cs="Times New Roman"/>
          <w:color w:val="auto"/>
          <w:kern w:val="0"/>
          <w:szCs w:val="21"/>
          <w:highlight w:val="none"/>
        </w:rPr>
      </w:pPr>
      <w:bookmarkStart w:id="623" w:name="OLE_LINK11"/>
      <w:bookmarkStart w:id="624" w:name="OLE_LINK10"/>
    </w:p>
    <w:bookmarkEnd w:id="623"/>
    <w:bookmarkEnd w:id="624"/>
    <w:p w14:paraId="0044C7C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为促进双方诚信经营、廉洁从业，防范商业贿赂，保护国家、集体和当事人的合法权益，根据国家有关法律法规和安徽省廉政建设的规定，</w:t>
      </w:r>
      <w:r>
        <w:rPr>
          <w:rFonts w:hint="eastAsia" w:cs="宋体"/>
          <w:color w:val="auto"/>
          <w:sz w:val="24"/>
          <w:szCs w:val="24"/>
          <w:highlight w:val="none"/>
          <w:u w:val="single"/>
        </w:rPr>
        <w:t xml:space="preserve">     </w:t>
      </w:r>
      <w:r>
        <w:rPr>
          <w:rFonts w:hint="eastAsia" w:cs="宋体"/>
          <w:color w:val="auto"/>
          <w:sz w:val="24"/>
          <w:szCs w:val="24"/>
          <w:highlight w:val="none"/>
        </w:rPr>
        <w:t>（以下称甲方）与</w:t>
      </w:r>
      <w:r>
        <w:rPr>
          <w:rFonts w:hint="eastAsia" w:cs="宋体"/>
          <w:color w:val="auto"/>
          <w:sz w:val="24"/>
          <w:szCs w:val="24"/>
          <w:highlight w:val="none"/>
          <w:u w:val="single"/>
        </w:rPr>
        <w:t xml:space="preserve">             （</w:t>
      </w:r>
      <w:r>
        <w:rPr>
          <w:rFonts w:hint="eastAsia" w:cs="宋体"/>
          <w:color w:val="auto"/>
          <w:sz w:val="24"/>
          <w:szCs w:val="24"/>
          <w:highlight w:val="none"/>
        </w:rPr>
        <w:t>以下称乙方），特此订立本协议共同遵照执行。</w:t>
      </w:r>
    </w:p>
    <w:p w14:paraId="134A0DF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第一条 甲乙双方的权利和义务</w:t>
      </w:r>
    </w:p>
    <w:p w14:paraId="67F7460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58F3182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（二）严格执行</w:t>
      </w:r>
      <w:r>
        <w:rPr>
          <w:rFonts w:hint="eastAsia" w:cs="宋体"/>
          <w:color w:val="auto"/>
          <w:sz w:val="24"/>
          <w:szCs w:val="24"/>
          <w:highlight w:val="none"/>
          <w:u w:val="single"/>
        </w:rPr>
        <w:t xml:space="preserve">                                </w:t>
      </w:r>
      <w:r>
        <w:rPr>
          <w:rFonts w:hint="eastAsia" w:cs="宋体"/>
          <w:color w:val="auto"/>
          <w:sz w:val="24"/>
          <w:szCs w:val="24"/>
          <w:highlight w:val="none"/>
        </w:rPr>
        <w:t>的合同要求，自觉履行合同约定的相关义务。</w:t>
      </w:r>
    </w:p>
    <w:p w14:paraId="4C83959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（三）在业务活动中坚持公开、公正、诚信、透明的原则，不得损害国家、集体利益。</w:t>
      </w:r>
    </w:p>
    <w:p w14:paraId="7AFB428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（四）建立健全廉政制度，开展廉政教育，公布举报电话，监督并认真查处违法违纪行为。</w:t>
      </w:r>
    </w:p>
    <w:p w14:paraId="2AB1295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（五）发现对方在业务活动中有违反廉政规定的行为，应及时提醒对方纠正。情节严重的，应向其上级有关部门举报、建议给予处理，并有权要求告知处理结果。</w:t>
      </w:r>
    </w:p>
    <w:p w14:paraId="7793AC4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第二条 甲方的义务</w:t>
      </w:r>
    </w:p>
    <w:p w14:paraId="7296F1C6">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（一）甲方及其工作人员不得索要或接受乙方的礼金、有价证券和贵重物品，不得在乙方报销任何应由甲方单位或个人支付的费用等。</w:t>
      </w:r>
    </w:p>
    <w:p w14:paraId="480EE8F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718BC67F">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 甲方及其工作人员不得要求或者接受乙方为其住房装修、婚丧嫁娶活动、配偶子女工作安排以及出国出境、旅游等提供方便等。</w:t>
      </w:r>
    </w:p>
    <w:p w14:paraId="7288300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 甲方工作人员不得在乙方有股权关联的企业兼职，不得向乙方介绍家属或者亲友从事与甲方业务有关的经济活动。</w:t>
      </w:r>
    </w:p>
    <w:p w14:paraId="2BE7BD3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（五）甲方工作人员不得以明显低于市场的价格向乙方购买房屋、汽车等物品；不得以明显高于市场的价格向乙方出售房屋、汽车等物品；不得以其他交易形式非法收受请托人财物。</w:t>
      </w:r>
    </w:p>
    <w:p w14:paraId="0F0B454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（六）甲方工作人员不得利用职务之便收受乙方以回扣、手续费、加班费、咨询费、劳务费、协调费、辛苦费等各种名义给予或赠送的钱物。</w:t>
      </w:r>
    </w:p>
    <w:p w14:paraId="3CC0FFD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（七）甲方工作人员不得接受乙方给予或赠送的干股或红利。</w:t>
      </w:r>
    </w:p>
    <w:p w14:paraId="4F42F21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（八）甲方任何人不得以个人的名义向乙方推荐设备、部件等供货商以及其他合作单位。</w:t>
      </w:r>
    </w:p>
    <w:p w14:paraId="07E6D3A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第三条 乙方的义务</w:t>
      </w:r>
    </w:p>
    <w:p w14:paraId="67800EC0">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（一）乙方不得以任何理由向甲方及其工作人员行贿或馈赠礼金、有价证券、贵重礼品。</w:t>
      </w:r>
    </w:p>
    <w:p w14:paraId="7BD1CFC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（二）乙方不得以任何名义为甲方及其工作人员报销应由甲方单位或个人支付的任何费用。</w:t>
      </w:r>
    </w:p>
    <w:p w14:paraId="27B7A3C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（三）乙方不得以任何理由安排甲方工作人员参加可能影响相关业务公开、公正、公平性的宴请及娱乐活动。</w:t>
      </w:r>
    </w:p>
    <w:p w14:paraId="279AF3D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（四）乙方不得为甲方单位和个人购置或提供通讯工具和高档办公用品等物品，也不得为甲方提供与工作无关的房屋、汽车等。</w:t>
      </w:r>
    </w:p>
    <w:p w14:paraId="64F1B13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（五）乙方不得与甲方工作人员就合同中的质量、数量、价格、工程量、验收等条款进行私下商谈或者达成默契。</w:t>
      </w:r>
    </w:p>
    <w:p w14:paraId="6F205CC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（六）乙方不得以回扣、手续费、加班费、咨询费、劳务费、协调费、辛苦费等各种名义向甲方工作人员给予或赠送钱物。</w:t>
      </w:r>
    </w:p>
    <w:p w14:paraId="1F90FAC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（七）乙方不得向甲方工作人员提供干股或红利。</w:t>
      </w:r>
    </w:p>
    <w:p w14:paraId="3A2F35D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第四条 违约责任</w:t>
      </w:r>
    </w:p>
    <w:p w14:paraId="19E0021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31E4D66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（二）乙方及其工作人员违反本协议第一、三条规定。根据具体情节和造成的后果，甲方有权对乙方采取以下一种或多种处理办法：</w:t>
      </w:r>
    </w:p>
    <w:p w14:paraId="56422B6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1. 全额收取乙方合同履约保证金不予退还； </w:t>
      </w:r>
    </w:p>
    <w:p w14:paraId="45A308C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 追究乙方其他违约责任；</w:t>
      </w:r>
    </w:p>
    <w:p w14:paraId="09F1C13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 终止或解除双方已签订的包括本合同在内的所有合同；</w:t>
      </w:r>
    </w:p>
    <w:p w14:paraId="1604857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 乙方一定期限内（6个月至3年，具体由甲方根据情况而定）不得参与甲方作为发包人（业主）的工程项目投标。</w:t>
      </w:r>
    </w:p>
    <w:p w14:paraId="3418448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甲方作出的处理意见，乙方应无条件接受并承担给甲方造成的损失，全额返还通过不正当手段从甲方获取的非法所得，并承担相应的法律责任。</w:t>
      </w:r>
    </w:p>
    <w:p w14:paraId="06B993D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第五条 双方约定</w:t>
      </w:r>
    </w:p>
    <w:p w14:paraId="5281486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4C89A3D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第六条  本协议有效期为甲乙双方签署之日起至合同终止。  </w:t>
      </w:r>
    </w:p>
    <w:p w14:paraId="0E4879A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第七条  本协议作为合同的附件，与本合同具有同等法律效力。</w:t>
      </w:r>
    </w:p>
    <w:p w14:paraId="633CC21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 </w:t>
      </w:r>
    </w:p>
    <w:p w14:paraId="30F2F96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甲方（盖章）： </w:t>
      </w:r>
      <w:r>
        <w:rPr>
          <w:rFonts w:hint="eastAsia" w:cs="宋体"/>
          <w:color w:val="auto"/>
          <w:sz w:val="24"/>
          <w:szCs w:val="24"/>
          <w:highlight w:val="none"/>
          <w:u w:val="single"/>
        </w:rPr>
        <w:t xml:space="preserve">                  </w:t>
      </w:r>
      <w:r>
        <w:rPr>
          <w:rFonts w:hint="eastAsia" w:cs="宋体"/>
          <w:color w:val="auto"/>
          <w:sz w:val="24"/>
          <w:szCs w:val="24"/>
          <w:highlight w:val="none"/>
        </w:rPr>
        <w:t xml:space="preserve">     乙方（盖章）：</w:t>
      </w:r>
      <w:r>
        <w:rPr>
          <w:rFonts w:hint="eastAsia" w:cs="宋体"/>
          <w:color w:val="auto"/>
          <w:sz w:val="24"/>
          <w:szCs w:val="24"/>
          <w:highlight w:val="none"/>
          <w:u w:val="single"/>
        </w:rPr>
        <w:t xml:space="preserve">             </w:t>
      </w:r>
    </w:p>
    <w:p w14:paraId="5810118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法定代表人或                          法定代表人或</w:t>
      </w:r>
    </w:p>
    <w:p w14:paraId="20CD456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         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w:t>
      </w:r>
    </w:p>
    <w:p w14:paraId="1A1BA25B">
      <w:pPr>
        <w:spacing w:before="312" w:beforeLines="100" w:after="312" w:afterLines="100"/>
        <w:outlineLvl w:val="9"/>
        <w:rPr>
          <w:rFonts w:hint="eastAsia" w:ascii="Times New Roman" w:eastAsia="黑体"/>
          <w:color w:val="auto"/>
          <w:sz w:val="24"/>
          <w:szCs w:val="24"/>
          <w:highlight w:val="none"/>
        </w:rPr>
      </w:pPr>
    </w:p>
    <w:p w14:paraId="576EC577">
      <w:pPr>
        <w:rPr>
          <w:color w:val="auto"/>
          <w:highlight w:val="none"/>
        </w:rPr>
      </w:pPr>
    </w:p>
    <w:p w14:paraId="6AFCC611">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349036A2">
      <w:pPr>
        <w:spacing w:before="156" w:beforeLines="50" w:after="156" w:afterLines="50" w:line="360" w:lineRule="auto"/>
        <w:jc w:val="left"/>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2</w:t>
      </w:r>
      <w:r>
        <w:rPr>
          <w:rFonts w:hint="eastAsia" w:ascii="Times New Roman" w:eastAsia="黑体"/>
          <w:color w:val="auto"/>
          <w:sz w:val="24"/>
          <w:szCs w:val="24"/>
          <w:highlight w:val="none"/>
        </w:rPr>
        <w:t>：</w:t>
      </w:r>
      <w:r>
        <w:rPr>
          <w:rFonts w:hint="eastAsia" w:ascii="Times New Roman" w:eastAsia="黑体"/>
          <w:color w:val="auto"/>
          <w:sz w:val="24"/>
          <w:szCs w:val="24"/>
          <w:highlight w:val="none"/>
          <w:lang w:val="en-US" w:eastAsia="zh-CN"/>
        </w:rPr>
        <w:t>安全生产合同</w:t>
      </w:r>
      <w:bookmarkStart w:id="625" w:name="_Toc11475"/>
      <w:bookmarkStart w:id="626" w:name="_Toc23792"/>
      <w:bookmarkStart w:id="627" w:name="bookmark1864"/>
    </w:p>
    <w:p w14:paraId="20C88DE4">
      <w:pPr>
        <w:spacing w:before="156" w:beforeLines="50" w:after="156" w:afterLines="50" w:line="360" w:lineRule="auto"/>
        <w:jc w:val="center"/>
        <w:rPr>
          <w:rFonts w:cs="宋体"/>
          <w:b/>
          <w:color w:val="auto"/>
          <w:sz w:val="28"/>
          <w:szCs w:val="28"/>
          <w:highlight w:val="none"/>
        </w:rPr>
      </w:pPr>
      <w:r>
        <w:rPr>
          <w:rFonts w:hint="eastAsia" w:cs="宋体"/>
          <w:b/>
          <w:color w:val="auto"/>
          <w:sz w:val="28"/>
          <w:szCs w:val="28"/>
          <w:highlight w:val="none"/>
        </w:rPr>
        <w:t>安全生产合同</w:t>
      </w:r>
      <w:bookmarkEnd w:id="625"/>
      <w:bookmarkEnd w:id="626"/>
    </w:p>
    <w:p w14:paraId="062A403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（项目名称）合同的实施过程中创造安全、高效的施工环境，切实搞好本项目的安全管理工作，本项目</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”）特此签订安全生产合同：</w:t>
      </w:r>
    </w:p>
    <w:bookmarkEnd w:id="627"/>
    <w:p w14:paraId="320E0D68">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bookmarkStart w:id="628" w:name="bookmark1868"/>
      <w:r>
        <w:rPr>
          <w:rFonts w:hint="eastAsia" w:asciiTheme="minorEastAsia" w:hAnsiTheme="minorEastAsia" w:eastAsiaTheme="minorEastAsia" w:cstheme="minorEastAsia"/>
          <w:bCs/>
          <w:color w:val="auto"/>
          <w:sz w:val="24"/>
          <w:szCs w:val="24"/>
          <w:highlight w:val="none"/>
          <w:lang w:eastAsia="zh-CN"/>
        </w:rPr>
        <w:t>一</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职责</w:t>
      </w:r>
    </w:p>
    <w:p w14:paraId="70E9485A">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依据《中华人民共和国安全生产法》等法律法规规定责任，全面履行自己应有的权利和义务。</w:t>
      </w:r>
    </w:p>
    <w:p w14:paraId="4DD570E2">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对</w:t>
      </w:r>
      <w:r>
        <w:rPr>
          <w:rFonts w:hint="eastAsia" w:asciiTheme="minorEastAsia" w:hAnsiTheme="minorEastAsia" w:eastAsiaTheme="minorEastAsia" w:cstheme="minorEastAsia"/>
          <w:bCs/>
          <w:color w:val="auto"/>
          <w:sz w:val="24"/>
          <w:szCs w:val="24"/>
          <w:highlight w:val="none"/>
          <w:lang w:eastAsia="zh-CN"/>
        </w:rPr>
        <w:t>乙方施工</w:t>
      </w:r>
      <w:r>
        <w:rPr>
          <w:rFonts w:hint="eastAsia" w:asciiTheme="minorEastAsia" w:hAnsiTheme="minorEastAsia" w:eastAsiaTheme="minorEastAsia" w:cstheme="minorEastAsia"/>
          <w:bCs/>
          <w:color w:val="auto"/>
          <w:sz w:val="24"/>
          <w:szCs w:val="24"/>
          <w:highlight w:val="none"/>
        </w:rPr>
        <w:t>安全具有监督、检查和指导的权利。</w:t>
      </w:r>
    </w:p>
    <w:bookmarkEnd w:id="628"/>
    <w:p w14:paraId="4C40AD2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w:t>
      </w:r>
      <w:bookmarkStart w:id="629" w:name="bookmark1869"/>
      <w:bookmarkEnd w:id="629"/>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职责</w:t>
      </w:r>
    </w:p>
    <w:p w14:paraId="10F37448">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要严格执行国家已发布的有关法律法规和地方政府有关安全管理的规定，严格各项安全生产的规章制度和方案。</w:t>
      </w:r>
    </w:p>
    <w:p w14:paraId="5C50C89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b w:val="0"/>
          <w:bCs/>
          <w:color w:val="auto"/>
          <w:kern w:val="2"/>
          <w:sz w:val="24"/>
          <w:szCs w:val="24"/>
          <w:highlight w:val="none"/>
          <w:lang w:val="en-US" w:eastAsia="zh-CN" w:bidi="ar-SA"/>
        </w:rPr>
        <w:t>必须</w:t>
      </w:r>
      <w:r>
        <w:rPr>
          <w:rFonts w:hint="eastAsia" w:asciiTheme="minorEastAsia" w:hAnsiTheme="minorEastAsia" w:eastAsiaTheme="minorEastAsia" w:cstheme="minorEastAsia"/>
          <w:color w:val="auto"/>
          <w:sz w:val="24"/>
          <w:szCs w:val="24"/>
          <w:highlight w:val="none"/>
          <w:lang w:val="en-US" w:eastAsia="zh-CN"/>
        </w:rPr>
        <w:t>严格</w:t>
      </w:r>
      <w:r>
        <w:rPr>
          <w:rFonts w:hint="eastAsia" w:asciiTheme="minorEastAsia" w:hAnsiTheme="minorEastAsia" w:eastAsiaTheme="minorEastAsia" w:cstheme="minorEastAsia"/>
          <w:b w:val="0"/>
          <w:bCs w:val="0"/>
          <w:color w:val="auto"/>
          <w:sz w:val="24"/>
          <w:szCs w:val="24"/>
          <w:highlight w:val="none"/>
          <w:lang w:val="en-US" w:eastAsia="zh-CN"/>
        </w:rPr>
        <w:t>执行安全技术交底</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color w:val="auto"/>
          <w:kern w:val="2"/>
          <w:sz w:val="24"/>
          <w:szCs w:val="24"/>
          <w:highlight w:val="none"/>
          <w:lang w:val="en-US" w:eastAsia="zh-CN" w:bidi="ar-SA"/>
        </w:rPr>
        <w:t>明确各级人员的安全生产责任，</w:t>
      </w:r>
      <w:r>
        <w:rPr>
          <w:rFonts w:hint="eastAsia" w:asciiTheme="minorEastAsia" w:hAnsiTheme="minorEastAsia" w:eastAsiaTheme="minorEastAsia" w:cstheme="minorEastAsia"/>
          <w:color w:val="auto"/>
          <w:sz w:val="24"/>
          <w:szCs w:val="24"/>
          <w:highlight w:val="none"/>
        </w:rPr>
        <w:t>对所有参与现场</w:t>
      </w:r>
      <w:r>
        <w:rPr>
          <w:rFonts w:hint="eastAsia" w:asciiTheme="minorEastAsia" w:hAnsiTheme="minorEastAsia" w:eastAsiaTheme="minorEastAsia" w:cstheme="minorEastAsia"/>
          <w:color w:val="auto"/>
          <w:sz w:val="24"/>
          <w:szCs w:val="24"/>
          <w:highlight w:val="none"/>
          <w:lang w:val="en-US" w:eastAsia="zh-CN"/>
        </w:rPr>
        <w:t>作业</w:t>
      </w:r>
      <w:r>
        <w:rPr>
          <w:rFonts w:hint="eastAsia" w:asciiTheme="minorEastAsia" w:hAnsiTheme="minorEastAsia" w:eastAsiaTheme="minorEastAsia" w:cstheme="minorEastAsia"/>
          <w:color w:val="auto"/>
          <w:sz w:val="24"/>
          <w:szCs w:val="24"/>
          <w:highlight w:val="none"/>
        </w:rPr>
        <w:t>的人员进行安全教育，使其具备安全意识和应对突发情况的能力。临水临空等安全风险较大的作业应有现场安全监督人员现场监督，并通知管理单位技术人员到场。</w:t>
      </w:r>
    </w:p>
    <w:p w14:paraId="253B023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等特殊工种的人员，并将特种作业人员名单和特种作业证上报</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审查，无证人员禁止从事特种作业；施工现场如出现特种作业无证操作现象时，</w:t>
      </w:r>
      <w:r>
        <w:rPr>
          <w:rFonts w:hint="eastAsia" w:asciiTheme="minorEastAsia" w:hAnsiTheme="minorEastAsia" w:eastAsiaTheme="minorEastAsia" w:cstheme="minorEastAsia"/>
          <w:color w:val="auto"/>
          <w:sz w:val="24"/>
          <w:szCs w:val="24"/>
          <w:highlight w:val="none"/>
          <w:lang w:eastAsia="zh-CN"/>
        </w:rPr>
        <w:t>项目负责人</w:t>
      </w:r>
      <w:r>
        <w:rPr>
          <w:rFonts w:hint="eastAsia" w:asciiTheme="minorEastAsia" w:hAnsiTheme="minorEastAsia" w:eastAsiaTheme="minorEastAsia" w:cstheme="minorEastAsia"/>
          <w:color w:val="auto"/>
          <w:sz w:val="24"/>
          <w:szCs w:val="24"/>
          <w:highlight w:val="none"/>
        </w:rPr>
        <w:t>必须承担管理责任。</w:t>
      </w:r>
    </w:p>
    <w:p w14:paraId="77B9E69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水上及临水作业，操作人员必须穿戴好救生衣，不得穿带钉易滑的硬底鞋，每次工作前对所用的救生衣进行检查确保其安全有效，禁止单人独自作业，室外作业时，当风力较大，影响作业安全时，立即停止作业，人员在船上走动或操作时，船只要固定牢靠，船上配备救生圈等救生器具。</w:t>
      </w:r>
    </w:p>
    <w:p w14:paraId="43FD3738">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现场临时用电，严格执行国家相关标准规定。清洁电气设备时停电作业，电源箱或开关握柄挂“有人操作，严禁合闸”的警示牌，并设专人看管，现场临时架设的线路，严禁搭在钢筋、脚手架上，必须安设绝缘支承物。</w:t>
      </w:r>
    </w:p>
    <w:p w14:paraId="43897B7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高空作业时，禁止穿硬底和带钉易滑的鞋，患有心脏病、高血压、精神病、癫痫病</w:t>
      </w:r>
      <w:r>
        <w:rPr>
          <w:rFonts w:hint="eastAsia" w:asciiTheme="minorEastAsia" w:hAnsiTheme="minorEastAsia" w:eastAsiaTheme="minorEastAsia" w:cstheme="minorEastAsia"/>
          <w:color w:val="auto"/>
          <w:sz w:val="24"/>
          <w:szCs w:val="24"/>
          <w:highlight w:val="none"/>
          <w:lang w:eastAsia="zh-CN"/>
        </w:rPr>
        <w:t>患者</w:t>
      </w:r>
      <w:r>
        <w:rPr>
          <w:rFonts w:hint="eastAsia" w:asciiTheme="minorEastAsia" w:hAnsiTheme="minorEastAsia" w:eastAsiaTheme="minorEastAsia" w:cstheme="minorEastAsia"/>
          <w:color w:val="auto"/>
          <w:sz w:val="24"/>
          <w:szCs w:val="24"/>
          <w:highlight w:val="none"/>
        </w:rPr>
        <w:t>禁止从事高空操作，高空作业操作人员要系安全带，并且安全带要固定牢靠。</w:t>
      </w:r>
    </w:p>
    <w:p w14:paraId="01F420B4">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遇高温天气，应结合天气、</w:t>
      </w:r>
      <w:r>
        <w:rPr>
          <w:rFonts w:hint="eastAsia" w:asciiTheme="minorEastAsia" w:hAnsiTheme="minorEastAsia" w:eastAsiaTheme="minorEastAsia" w:cstheme="minorEastAsia"/>
          <w:color w:val="auto"/>
          <w:sz w:val="24"/>
          <w:szCs w:val="24"/>
          <w:highlight w:val="none"/>
          <w:lang w:val="en-US" w:eastAsia="zh-CN"/>
        </w:rPr>
        <w:t>施工</w:t>
      </w:r>
      <w:r>
        <w:rPr>
          <w:rFonts w:hint="eastAsia" w:asciiTheme="minorEastAsia" w:hAnsiTheme="minorEastAsia" w:eastAsiaTheme="minorEastAsia" w:cstheme="minorEastAsia"/>
          <w:color w:val="auto"/>
          <w:sz w:val="24"/>
          <w:szCs w:val="24"/>
          <w:highlight w:val="none"/>
        </w:rPr>
        <w:t>进度等实际情况，加强作业人员身心关怀，合理安排作业时间，及时安排休息避暑，并配备防暑降温等</w:t>
      </w:r>
      <w:r>
        <w:rPr>
          <w:rFonts w:hint="eastAsia" w:asciiTheme="minorEastAsia" w:hAnsiTheme="minorEastAsia" w:eastAsiaTheme="minorEastAsia" w:cstheme="minorEastAsia"/>
          <w:color w:val="auto"/>
          <w:sz w:val="24"/>
          <w:szCs w:val="24"/>
          <w:highlight w:val="none"/>
          <w:lang w:eastAsia="zh-CN"/>
        </w:rPr>
        <w:t>必需的</w:t>
      </w:r>
      <w:r>
        <w:rPr>
          <w:rFonts w:hint="eastAsia" w:asciiTheme="minorEastAsia" w:hAnsiTheme="minorEastAsia" w:eastAsiaTheme="minorEastAsia" w:cstheme="minorEastAsia"/>
          <w:color w:val="auto"/>
          <w:sz w:val="24"/>
          <w:szCs w:val="24"/>
          <w:highlight w:val="none"/>
        </w:rPr>
        <w:t>应急药品、物品，避免人员中暑、疲劳作业等情况。</w:t>
      </w:r>
    </w:p>
    <w:p w14:paraId="23D385B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操作人员上岗，必须按规定穿戴防护用品。施工负责人和安全检查员应随时检查劳动防护用品的穿戴情况，不按规定穿戴防护用品的人员不得上岗。</w:t>
      </w:r>
    </w:p>
    <w:p w14:paraId="681F6685">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应根据工程特点，合理安排身体素质、技术水平高、安全责任心强的人员上岗，施工过程中职业健康、环境保护、劳动卫生、安全生产等有关工作，做到安全文明施工，坚决防范各类安全事故发生</w:t>
      </w:r>
      <w:r>
        <w:rPr>
          <w:rFonts w:hint="eastAsia" w:asciiTheme="minorEastAsia" w:hAnsiTheme="minorEastAsia" w:eastAsiaTheme="minorEastAsia" w:cstheme="minorEastAsia"/>
          <w:color w:val="auto"/>
          <w:sz w:val="24"/>
          <w:szCs w:val="24"/>
          <w:highlight w:val="none"/>
          <w:lang w:eastAsia="zh-CN"/>
        </w:rPr>
        <w:t>。</w:t>
      </w:r>
    </w:p>
    <w:p w14:paraId="11A797F3">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安全生产费用专款专用、据实支付，由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严格按照《企业安全生产费用提取和使用管理办法》规定的支出范围使用，</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在申请办理工程开工安全生产措施备案时，保证安全生产的措施方案应包含安全生产费用使用计划。</w:t>
      </w:r>
    </w:p>
    <w:p w14:paraId="73364B50">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乙方</w:t>
      </w:r>
      <w:r>
        <w:rPr>
          <w:rFonts w:hint="eastAsia" w:asciiTheme="minorEastAsia" w:hAnsiTheme="minorEastAsia" w:eastAsiaTheme="minorEastAsia" w:cstheme="minorEastAsia"/>
          <w:b/>
          <w:bCs/>
          <w:color w:val="auto"/>
          <w:sz w:val="24"/>
          <w:szCs w:val="24"/>
          <w:highlight w:val="none"/>
        </w:rPr>
        <w:t>不得违章指挥或强令作业人员冒险作业，也不能强迫作业人员超体能连续工作。作业过程中，应加强人员管理，确保人员工作安全，防范安全生产事故，</w:t>
      </w:r>
      <w:r>
        <w:rPr>
          <w:rFonts w:hint="eastAsia" w:asciiTheme="minorEastAsia" w:hAnsiTheme="minorEastAsia" w:eastAsiaTheme="minorEastAsia" w:cstheme="minorEastAsia"/>
          <w:b/>
          <w:bCs/>
          <w:color w:val="auto"/>
          <w:sz w:val="24"/>
          <w:szCs w:val="24"/>
          <w:highlight w:val="none"/>
          <w:lang w:val="en-US" w:eastAsia="zh-CN"/>
        </w:rPr>
        <w:t>乙方在履行本合同过程中发生的任何工伤或意外伤亡等，均由乙方负责处理并承担全部费用；若因此给甲方或第三方造成损失，由乙方予以全额赔偿。</w:t>
      </w:r>
    </w:p>
    <w:p w14:paraId="049D824D">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12.项目实施前，本项目所有从业人员购买以下保险（二者任选其一）：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cstheme="minorEastAsia"/>
          <w:b/>
          <w:bCs/>
          <w:color w:val="auto"/>
          <w:sz w:val="24"/>
          <w:szCs w:val="24"/>
          <w:highlight w:val="none"/>
          <w:lang w:val="en-US" w:eastAsia="zh-CN"/>
        </w:rPr>
        <w:t>，其保险费已包含在签约合同价中。</w:t>
      </w:r>
    </w:p>
    <w:p w14:paraId="3CC01D78">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cs="宋体"/>
          <w:b/>
          <w:bCs/>
          <w:color w:val="auto"/>
          <w:sz w:val="24"/>
          <w:szCs w:val="24"/>
          <w:highlight w:val="none"/>
        </w:rPr>
        <w:t>乙方承诺，作业过程中如出现作业人员未有效佩戴现场安全防护</w:t>
      </w:r>
      <w:r>
        <w:rPr>
          <w:rFonts w:hint="eastAsia" w:cs="宋体"/>
          <w:b/>
          <w:bCs/>
          <w:color w:val="auto"/>
          <w:sz w:val="24"/>
          <w:szCs w:val="24"/>
          <w:highlight w:val="none"/>
          <w:lang w:eastAsia="zh-CN"/>
        </w:rPr>
        <w:t>必需的</w:t>
      </w:r>
      <w:r>
        <w:rPr>
          <w:rFonts w:hint="eastAsia" w:cs="宋体"/>
          <w:b/>
          <w:bCs/>
          <w:color w:val="auto"/>
          <w:sz w:val="24"/>
          <w:szCs w:val="24"/>
          <w:highlight w:val="none"/>
        </w:rPr>
        <w:t>安全帽、安全绳、救生衣以及其他</w:t>
      </w:r>
      <w:r>
        <w:rPr>
          <w:rFonts w:hint="eastAsia" w:cs="宋体"/>
          <w:b/>
          <w:bCs/>
          <w:color w:val="auto"/>
          <w:sz w:val="24"/>
          <w:szCs w:val="24"/>
          <w:highlight w:val="none"/>
          <w:lang w:eastAsia="zh-CN"/>
        </w:rPr>
        <w:t>必需的</w:t>
      </w:r>
      <w:r>
        <w:rPr>
          <w:rFonts w:hint="eastAsia" w:cs="宋体"/>
          <w:b/>
          <w:bCs/>
          <w:color w:val="auto"/>
          <w:sz w:val="24"/>
          <w:szCs w:val="24"/>
          <w:highlight w:val="none"/>
          <w:lang w:val="en-US" w:eastAsia="zh-CN"/>
        </w:rPr>
        <w:t>作业</w:t>
      </w:r>
      <w:r>
        <w:rPr>
          <w:rFonts w:hint="eastAsia" w:cs="宋体"/>
          <w:b/>
          <w:bCs/>
          <w:color w:val="auto"/>
          <w:sz w:val="24"/>
          <w:szCs w:val="24"/>
          <w:highlight w:val="none"/>
        </w:rPr>
        <w:t>防护等安全防护用品，发生不安全行为的，每出现一次，从完工结算价中自愿核减1000元，减完为止。</w:t>
      </w:r>
    </w:p>
    <w:p w14:paraId="1C49932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本合同由双方法定代表人或其授权的代理人签署并加盖单位章后生效，全部工程</w:t>
      </w:r>
      <w:r>
        <w:rPr>
          <w:rFonts w:hint="eastAsia" w:asciiTheme="minorEastAsia" w:hAnsiTheme="minorEastAsia" w:eastAsiaTheme="minorEastAsia" w:cstheme="minorEastAsia"/>
          <w:color w:val="auto"/>
          <w:sz w:val="24"/>
          <w:szCs w:val="24"/>
          <w:highlight w:val="none"/>
          <w:lang w:eastAsia="zh-CN"/>
        </w:rPr>
        <w:t>完工</w:t>
      </w:r>
      <w:r>
        <w:rPr>
          <w:rFonts w:hint="eastAsia" w:asciiTheme="minorEastAsia" w:hAnsiTheme="minorEastAsia" w:eastAsiaTheme="minorEastAsia" w:cstheme="minorEastAsia"/>
          <w:color w:val="auto"/>
          <w:sz w:val="24"/>
          <w:szCs w:val="24"/>
          <w:highlight w:val="none"/>
        </w:rPr>
        <w:t>验收后失效。</w:t>
      </w:r>
    </w:p>
    <w:p w14:paraId="035A2ED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本合同正本—式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份，合同双方各执正本—份，副本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份，当正本与副本的内容不一致时，以正本为准。</w:t>
      </w:r>
    </w:p>
    <w:p w14:paraId="68D5D5F0">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（盖单位章）          </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4B2BA62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  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p>
    <w:p w14:paraId="4D0D359E">
      <w:pPr>
        <w:spacing w:line="360" w:lineRule="auto"/>
        <w:ind w:firstLine="840"/>
        <w:rPr>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4F89740B">
      <w:pPr>
        <w:spacing w:before="312" w:beforeLines="100" w:after="312" w:afterLines="100"/>
        <w:outlineLvl w:val="9"/>
        <w:rPr>
          <w:rFonts w:hint="default" w:ascii="Times New Roman" w:eastAsia="黑体"/>
          <w:color w:val="auto"/>
          <w:sz w:val="24"/>
          <w:szCs w:val="24"/>
          <w:highlight w:val="none"/>
          <w:lang w:val="en-US" w:eastAsia="zh-CN"/>
        </w:rPr>
      </w:pPr>
    </w:p>
    <w:p w14:paraId="0941BED2">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462164B8">
      <w:pPr>
        <w:spacing w:before="312" w:beforeLines="100" w:after="312" w:afterLines="100"/>
        <w:outlineLvl w:val="2"/>
        <w:rPr>
          <w:rFonts w:hint="eastAsia" w:ascii="Times New Roman" w:hAnsi="宋体" w:eastAsia="黑体" w:cs="宋体"/>
          <w:color w:val="auto"/>
          <w:sz w:val="24"/>
          <w:szCs w:val="24"/>
          <w:highlight w:val="none"/>
          <w:lang w:val="en-US" w:eastAsia="zh-CN"/>
        </w:rPr>
      </w:pPr>
      <w:r>
        <w:rPr>
          <w:rFonts w:hint="eastAsia" w:ascii="Times New Roman" w:hAnsi="宋体" w:eastAsia="黑体" w:cs="宋体"/>
          <w:color w:val="auto"/>
          <w:sz w:val="24"/>
          <w:szCs w:val="24"/>
          <w:highlight w:val="none"/>
          <w:lang w:val="en-US" w:eastAsia="zh-CN"/>
        </w:rPr>
        <w:t>附</w:t>
      </w:r>
      <w:bookmarkStart w:id="630" w:name="_Toc267261693"/>
      <w:bookmarkStart w:id="631" w:name="_Toc296891054"/>
      <w:bookmarkStart w:id="632" w:name="_Toc296944565"/>
      <w:bookmarkStart w:id="633" w:name="_Toc296347225"/>
      <w:bookmarkStart w:id="634" w:name="_Toc296891266"/>
      <w:bookmarkStart w:id="635" w:name="_Toc296503226"/>
      <w:bookmarkStart w:id="636" w:name="_Toc296346727"/>
      <w:r>
        <w:rPr>
          <w:rFonts w:hint="eastAsia" w:ascii="Times New Roman" w:hAnsi="宋体" w:eastAsia="黑体" w:cs="宋体"/>
          <w:color w:val="auto"/>
          <w:sz w:val="24"/>
          <w:szCs w:val="24"/>
          <w:highlight w:val="none"/>
          <w:lang w:val="en-US" w:eastAsia="zh-CN"/>
        </w:rPr>
        <w:t>件3：</w:t>
      </w:r>
      <w:bookmarkEnd w:id="630"/>
      <w:bookmarkEnd w:id="631"/>
      <w:bookmarkEnd w:id="632"/>
      <w:bookmarkEnd w:id="633"/>
      <w:bookmarkEnd w:id="634"/>
      <w:bookmarkEnd w:id="635"/>
      <w:bookmarkEnd w:id="636"/>
      <w:r>
        <w:rPr>
          <w:rFonts w:hint="eastAsia" w:ascii="Times New Roman" w:hAnsi="宋体" w:eastAsia="黑体" w:cs="宋体"/>
          <w:color w:val="auto"/>
          <w:sz w:val="24"/>
          <w:szCs w:val="24"/>
          <w:highlight w:val="none"/>
          <w:lang w:val="en-US" w:eastAsia="zh-CN"/>
        </w:rPr>
        <w:t>工程质量保修书</w:t>
      </w:r>
      <w:bookmarkEnd w:id="621"/>
    </w:p>
    <w:p w14:paraId="1B696EAD">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工程质量保修书</w:t>
      </w:r>
    </w:p>
    <w:p w14:paraId="6BC25927">
      <w:pPr>
        <w:adjustRightInd w:val="0"/>
        <w:snapToGrid w:val="0"/>
        <w:spacing w:line="360" w:lineRule="auto"/>
        <w:ind w:firstLine="480" w:firstLineChars="200"/>
        <w:rPr>
          <w:rFonts w:cs="宋体"/>
          <w:color w:val="auto"/>
          <w:position w:val="14"/>
          <w:sz w:val="24"/>
          <w:szCs w:val="24"/>
          <w:highlight w:val="none"/>
        </w:rPr>
      </w:pPr>
      <w:r>
        <w:rPr>
          <w:rFonts w:hint="eastAsia" w:cs="宋体"/>
          <w:bCs/>
          <w:color w:val="auto"/>
          <w:position w:val="14"/>
          <w:sz w:val="24"/>
          <w:szCs w:val="24"/>
          <w:highlight w:val="none"/>
          <w:lang w:eastAsia="zh-CN"/>
        </w:rPr>
        <w:t>甲方</w:t>
      </w:r>
      <w:r>
        <w:rPr>
          <w:rFonts w:hint="eastAsia" w:cs="宋体"/>
          <w:color w:val="auto"/>
          <w:position w:val="14"/>
          <w:sz w:val="24"/>
          <w:szCs w:val="24"/>
          <w:highlight w:val="none"/>
        </w:rPr>
        <w:t>：_______________________________</w:t>
      </w:r>
    </w:p>
    <w:p w14:paraId="08737B9A">
      <w:pPr>
        <w:widowControl/>
        <w:adjustRightInd w:val="0"/>
        <w:snapToGrid w:val="0"/>
        <w:spacing w:line="360" w:lineRule="auto"/>
        <w:ind w:firstLine="480" w:firstLineChars="200"/>
        <w:jc w:val="left"/>
        <w:rPr>
          <w:rFonts w:cs="宋体"/>
          <w:color w:val="auto"/>
          <w:position w:val="14"/>
          <w:sz w:val="24"/>
          <w:szCs w:val="24"/>
          <w:highlight w:val="none"/>
        </w:rPr>
      </w:pPr>
      <w:r>
        <w:rPr>
          <w:rFonts w:hint="eastAsia" w:cs="宋体"/>
          <w:bCs/>
          <w:color w:val="auto"/>
          <w:position w:val="14"/>
          <w:sz w:val="24"/>
          <w:szCs w:val="24"/>
          <w:highlight w:val="none"/>
          <w:lang w:eastAsia="zh-CN"/>
        </w:rPr>
        <w:t>乙方</w:t>
      </w:r>
      <w:r>
        <w:rPr>
          <w:rFonts w:hint="eastAsia" w:cs="宋体"/>
          <w:color w:val="auto"/>
          <w:position w:val="14"/>
          <w:sz w:val="24"/>
          <w:szCs w:val="24"/>
          <w:highlight w:val="none"/>
        </w:rPr>
        <w:t>：_______________________________</w:t>
      </w:r>
    </w:p>
    <w:p w14:paraId="275D6E1F">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根据《中华人民共和国建筑法》</w:t>
      </w:r>
      <w:r>
        <w:rPr>
          <w:rFonts w:hint="eastAsia" w:cs="宋体"/>
          <w:color w:val="auto"/>
          <w:position w:val="6"/>
          <w:sz w:val="24"/>
          <w:szCs w:val="24"/>
          <w:highlight w:val="none"/>
          <w:lang w:val="en-US" w:eastAsia="zh-CN"/>
        </w:rPr>
        <w:t>等</w:t>
      </w:r>
      <w:r>
        <w:rPr>
          <w:rFonts w:hint="eastAsia" w:cs="宋体"/>
          <w:color w:val="auto"/>
          <w:position w:val="6"/>
          <w:sz w:val="24"/>
          <w:szCs w:val="24"/>
          <w:highlight w:val="none"/>
        </w:rPr>
        <w:t>，经协商一致，对______________________工程签订工程质量保修书。</w:t>
      </w:r>
    </w:p>
    <w:p w14:paraId="196A64C2">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一、工程质量保修范围和内容</w:t>
      </w:r>
    </w:p>
    <w:p w14:paraId="7DDA79A5">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按照有关法律、法规、规章的管理规定，双方约定由施工单位在质量保修期内，承担本工程的质量保修责任。</w:t>
      </w:r>
    </w:p>
    <w:p w14:paraId="30424318">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质量保修范围和内容：______________________。</w:t>
      </w:r>
      <w:r>
        <w:rPr>
          <w:rFonts w:hint="eastAsia" w:cs="宋体"/>
          <w:bCs/>
          <w:color w:val="auto"/>
          <w:position w:val="6"/>
          <w:sz w:val="24"/>
          <w:szCs w:val="24"/>
          <w:highlight w:val="none"/>
        </w:rPr>
        <w:t>因不可抗力或使用不当造成的质量缺陷，不属保修范围。</w:t>
      </w:r>
    </w:p>
    <w:p w14:paraId="009FB037">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二、质量保修期</w:t>
      </w:r>
    </w:p>
    <w:p w14:paraId="410DD914">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双方按照有关法律、法规、规章的管理规定，约定本工程的质量保修期如下：</w:t>
      </w:r>
    </w:p>
    <w:p w14:paraId="6A4BF1B6">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1. 主体结构和基础工程，为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7A7FDBCB">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2.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36E9836C">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3.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56026C95">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 xml:space="preserve">4. _____________工程，为 </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59A710A9">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质量保修期自工程</w:t>
      </w:r>
      <w:r>
        <w:rPr>
          <w:rFonts w:hint="eastAsia" w:cs="宋体"/>
          <w:color w:val="auto"/>
          <w:position w:val="6"/>
          <w:sz w:val="24"/>
          <w:szCs w:val="24"/>
          <w:highlight w:val="none"/>
          <w:lang w:eastAsia="zh-CN"/>
        </w:rPr>
        <w:t>完工</w:t>
      </w:r>
      <w:r>
        <w:rPr>
          <w:rFonts w:hint="eastAsia" w:cs="宋体"/>
          <w:color w:val="auto"/>
          <w:position w:val="6"/>
          <w:sz w:val="24"/>
          <w:szCs w:val="24"/>
          <w:highlight w:val="none"/>
        </w:rPr>
        <w:t>验收合格之日起计算。</w:t>
      </w:r>
    </w:p>
    <w:p w14:paraId="131009A2">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三、缺陷责任期</w:t>
      </w:r>
    </w:p>
    <w:p w14:paraId="5200249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工程缺陷责任期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12个月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，缺</w:t>
      </w:r>
      <w:r>
        <w:rPr>
          <w:rFonts w:hint="eastAsia" w:cs="宋体"/>
          <w:color w:val="auto"/>
          <w:sz w:val="24"/>
          <w:szCs w:val="24"/>
          <w:highlight w:val="none"/>
        </w:rPr>
        <w:t>陷责任期自工程</w:t>
      </w:r>
      <w:r>
        <w:rPr>
          <w:rFonts w:hint="eastAsia" w:cs="宋体"/>
          <w:color w:val="auto"/>
          <w:sz w:val="24"/>
          <w:szCs w:val="24"/>
          <w:highlight w:val="none"/>
          <w:lang w:eastAsia="zh-CN"/>
        </w:rPr>
        <w:t>完工</w:t>
      </w:r>
      <w:r>
        <w:rPr>
          <w:rFonts w:hint="eastAsia" w:cs="宋体"/>
          <w:color w:val="auto"/>
          <w:sz w:val="24"/>
          <w:szCs w:val="24"/>
          <w:highlight w:val="none"/>
        </w:rPr>
        <w:t>验收合格之日起计算。单位工程先于全部工程进行验收，单位工程缺陷责任期自单位工程验收合格之日起算。</w:t>
      </w:r>
    </w:p>
    <w:p w14:paraId="0D56FE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缺陷责任期终止后，</w:t>
      </w:r>
      <w:r>
        <w:rPr>
          <w:rFonts w:hint="eastAsia" w:cs="宋体"/>
          <w:color w:val="auto"/>
          <w:sz w:val="24"/>
          <w:szCs w:val="24"/>
          <w:highlight w:val="none"/>
          <w:lang w:eastAsia="zh-CN"/>
        </w:rPr>
        <w:t>甲方</w:t>
      </w:r>
      <w:r>
        <w:rPr>
          <w:rFonts w:hint="eastAsia" w:cs="宋体"/>
          <w:color w:val="auto"/>
          <w:sz w:val="24"/>
          <w:szCs w:val="24"/>
          <w:highlight w:val="none"/>
        </w:rPr>
        <w:t>应退还剩余的质量保证金。</w:t>
      </w:r>
    </w:p>
    <w:p w14:paraId="414E998D">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color w:val="auto"/>
          <w:sz w:val="24"/>
          <w:szCs w:val="24"/>
          <w:highlight w:val="none"/>
        </w:rPr>
        <w:t>四、质量保修责任</w:t>
      </w:r>
    </w:p>
    <w:p w14:paraId="5C941096">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1. 属于保修范围、内容的项目，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应当在接到保修通知之日起7天内派人保修。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不在约定期限内派人保修的，</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可以委托他人修理。</w:t>
      </w:r>
    </w:p>
    <w:p w14:paraId="5F7D61BB">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2. 发生紧急抢修事故的，</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在接到事故通知后，应当立即到达事故现场抢修。</w:t>
      </w:r>
    </w:p>
    <w:p w14:paraId="51C9C963">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3. 对于涉及结构安全的质量问题，应当立即向当地建设行政主管部门报告，采取安全防范措施；由原设计单位或者具有相应资质等级的设计单位提出保修方案，</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实施保修。</w:t>
      </w:r>
    </w:p>
    <w:p w14:paraId="353EFA11">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4. 质量保修完成后，由</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组织验收。</w:t>
      </w:r>
    </w:p>
    <w:p w14:paraId="560F7AFE">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五、保修费用</w:t>
      </w:r>
    </w:p>
    <w:p w14:paraId="0830D286">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保修费用由造成质量缺陷的责任方承担。</w:t>
      </w:r>
    </w:p>
    <w:p w14:paraId="1A7EDA5C">
      <w:pPr>
        <w:widowControl/>
        <w:adjustRightInd w:val="0"/>
        <w:snapToGrid w:val="0"/>
        <w:spacing w:line="360" w:lineRule="auto"/>
        <w:ind w:firstLine="480" w:firstLineChars="200"/>
        <w:jc w:val="left"/>
        <w:rPr>
          <w:rFonts w:cs="宋体"/>
          <w:b/>
          <w:color w:val="auto"/>
          <w:sz w:val="24"/>
          <w:szCs w:val="24"/>
          <w:highlight w:val="none"/>
        </w:rPr>
      </w:pPr>
      <w:r>
        <w:rPr>
          <w:rFonts w:hint="eastAsia" w:cs="宋体"/>
          <w:bCs/>
          <w:color w:val="auto"/>
          <w:position w:val="6"/>
          <w:sz w:val="24"/>
          <w:szCs w:val="24"/>
          <w:highlight w:val="none"/>
        </w:rPr>
        <w:t>六、</w:t>
      </w:r>
      <w:r>
        <w:rPr>
          <w:rFonts w:hint="eastAsia" w:cs="宋体"/>
          <w:b/>
          <w:color w:val="auto"/>
          <w:sz w:val="24"/>
          <w:szCs w:val="24"/>
          <w:highlight w:val="none"/>
        </w:rPr>
        <w:t>双方约定的其他工程质量保修事项：</w:t>
      </w:r>
      <w:r>
        <w:rPr>
          <w:rFonts w:hint="eastAsia" w:cs="宋体"/>
          <w:b/>
          <w:color w:val="auto"/>
          <w:sz w:val="24"/>
          <w:szCs w:val="24"/>
          <w:highlight w:val="none"/>
          <w:u w:val="single"/>
        </w:rPr>
        <w:t xml:space="preserve">             </w:t>
      </w:r>
      <w:r>
        <w:rPr>
          <w:rFonts w:hint="eastAsia" w:cs="宋体"/>
          <w:b/>
          <w:color w:val="auto"/>
          <w:sz w:val="24"/>
          <w:szCs w:val="24"/>
          <w:highlight w:val="none"/>
        </w:rPr>
        <w:t>。</w:t>
      </w:r>
    </w:p>
    <w:p w14:paraId="3C171AC2">
      <w:pPr>
        <w:widowControl/>
        <w:adjustRightInd w:val="0"/>
        <w:snapToGrid w:val="0"/>
        <w:spacing w:line="360" w:lineRule="auto"/>
        <w:ind w:firstLine="480" w:firstLineChars="200"/>
        <w:jc w:val="left"/>
        <w:rPr>
          <w:rFonts w:cs="宋体"/>
          <w:bCs/>
          <w:color w:val="auto"/>
          <w:sz w:val="24"/>
          <w:szCs w:val="24"/>
          <w:highlight w:val="none"/>
        </w:rPr>
      </w:pPr>
      <w:r>
        <w:rPr>
          <w:rFonts w:hint="eastAsia" w:cs="宋体"/>
          <w:bCs/>
          <w:color w:val="auto"/>
          <w:position w:val="6"/>
          <w:sz w:val="24"/>
          <w:szCs w:val="24"/>
          <w:highlight w:val="none"/>
        </w:rPr>
        <w:t>本工程质量保修书，由施工合同</w:t>
      </w:r>
      <w:r>
        <w:rPr>
          <w:rFonts w:hint="eastAsia" w:cs="宋体"/>
          <w:bCs/>
          <w:color w:val="auto"/>
          <w:position w:val="6"/>
          <w:sz w:val="24"/>
          <w:szCs w:val="24"/>
          <w:highlight w:val="none"/>
          <w:lang w:eastAsia="zh-CN"/>
        </w:rPr>
        <w:t>甲方</w:t>
      </w:r>
      <w:r>
        <w:rPr>
          <w:rFonts w:hint="eastAsia" w:cs="宋体"/>
          <w:bCs/>
          <w:color w:val="auto"/>
          <w:position w:val="6"/>
          <w:sz w:val="24"/>
          <w:szCs w:val="24"/>
          <w:highlight w:val="none"/>
        </w:rPr>
        <w:t>、</w:t>
      </w:r>
      <w:r>
        <w:rPr>
          <w:rFonts w:hint="eastAsia" w:cs="宋体"/>
          <w:bCs/>
          <w:color w:val="auto"/>
          <w:position w:val="6"/>
          <w:sz w:val="24"/>
          <w:szCs w:val="24"/>
          <w:highlight w:val="none"/>
          <w:lang w:eastAsia="zh-CN"/>
        </w:rPr>
        <w:t>乙方</w:t>
      </w:r>
      <w:r>
        <w:rPr>
          <w:rFonts w:hint="eastAsia" w:cs="宋体"/>
          <w:bCs/>
          <w:color w:val="auto"/>
          <w:position w:val="6"/>
          <w:sz w:val="24"/>
          <w:szCs w:val="24"/>
          <w:highlight w:val="none"/>
        </w:rPr>
        <w:t>双方在</w:t>
      </w:r>
      <w:r>
        <w:rPr>
          <w:rFonts w:hint="eastAsia" w:cs="宋体"/>
          <w:bCs/>
          <w:color w:val="auto"/>
          <w:position w:val="6"/>
          <w:sz w:val="24"/>
          <w:szCs w:val="24"/>
          <w:highlight w:val="none"/>
          <w:lang w:eastAsia="zh-CN"/>
        </w:rPr>
        <w:t>完工</w:t>
      </w:r>
      <w:r>
        <w:rPr>
          <w:rFonts w:hint="eastAsia" w:cs="宋体"/>
          <w:bCs/>
          <w:color w:val="auto"/>
          <w:position w:val="6"/>
          <w:sz w:val="24"/>
          <w:szCs w:val="24"/>
          <w:highlight w:val="none"/>
        </w:rPr>
        <w:t>验收前共同签署，作为施工合同附件，其有效期限至保修期满。</w:t>
      </w:r>
    </w:p>
    <w:p w14:paraId="230658AE">
      <w:pPr>
        <w:adjustRightInd w:val="0"/>
        <w:snapToGrid w:val="0"/>
        <w:spacing w:line="360" w:lineRule="auto"/>
        <w:ind w:firstLine="420"/>
        <w:rPr>
          <w:rFonts w:cs="宋体"/>
          <w:color w:val="auto"/>
          <w:sz w:val="24"/>
          <w:szCs w:val="24"/>
          <w:highlight w:val="none"/>
        </w:rPr>
      </w:pPr>
    </w:p>
    <w:p w14:paraId="7289198D">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（公章）：</w:t>
      </w:r>
      <w:r>
        <w:rPr>
          <w:rFonts w:hint="eastAsia" w:cs="宋体"/>
          <w:color w:val="auto"/>
          <w:sz w:val="24"/>
          <w:szCs w:val="24"/>
          <w:highlight w:val="none"/>
          <w:u w:val="single"/>
        </w:rPr>
        <w:t xml:space="preserve">        </w:t>
      </w:r>
      <w:r>
        <w:rPr>
          <w:rFonts w:hint="eastAsia" w:cs="宋体"/>
          <w:color w:val="auto"/>
          <w:sz w:val="24"/>
          <w:szCs w:val="24"/>
          <w:highlight w:val="none"/>
        </w:rPr>
        <w:t xml:space="preserve">           </w:t>
      </w:r>
      <w:r>
        <w:rPr>
          <w:rFonts w:hint="eastAsia" w:cs="宋体"/>
          <w:color w:val="auto"/>
          <w:sz w:val="24"/>
          <w:szCs w:val="24"/>
          <w:highlight w:val="none"/>
          <w:lang w:eastAsia="zh-CN"/>
        </w:rPr>
        <w:t>乙方</w:t>
      </w:r>
      <w:r>
        <w:rPr>
          <w:rFonts w:hint="eastAsia" w:cs="宋体"/>
          <w:color w:val="auto"/>
          <w:sz w:val="24"/>
          <w:szCs w:val="24"/>
          <w:highlight w:val="none"/>
        </w:rPr>
        <w:t>（公章）：</w:t>
      </w:r>
      <w:r>
        <w:rPr>
          <w:rFonts w:hint="eastAsia" w:cs="宋体"/>
          <w:color w:val="auto"/>
          <w:sz w:val="24"/>
          <w:szCs w:val="24"/>
          <w:highlight w:val="none"/>
          <w:u w:val="single"/>
        </w:rPr>
        <w:t xml:space="preserve">        </w:t>
      </w:r>
    </w:p>
    <w:p w14:paraId="19EF1878">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w:t>
      </w:r>
    </w:p>
    <w:p w14:paraId="0D8E2CED">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法定代表人（签字）：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法定代表人（签字）：</w:t>
      </w:r>
      <w:r>
        <w:rPr>
          <w:rFonts w:hint="eastAsia" w:cs="宋体"/>
          <w:color w:val="auto"/>
          <w:sz w:val="24"/>
          <w:szCs w:val="24"/>
          <w:highlight w:val="none"/>
          <w:u w:val="single"/>
        </w:rPr>
        <w:t xml:space="preserve">       </w:t>
      </w:r>
    </w:p>
    <w:p w14:paraId="62545202">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委托代理人（签字）：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委托代理人（签字）：</w:t>
      </w:r>
      <w:r>
        <w:rPr>
          <w:rFonts w:hint="eastAsia" w:cs="宋体"/>
          <w:color w:val="auto"/>
          <w:sz w:val="24"/>
          <w:szCs w:val="24"/>
          <w:highlight w:val="none"/>
          <w:u w:val="single"/>
        </w:rPr>
        <w:t xml:space="preserve">       </w:t>
      </w:r>
    </w:p>
    <w:p w14:paraId="307A523F">
      <w:pPr>
        <w:adjustRightInd w:val="0"/>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0DD782A9">
      <w:pPr>
        <w:adjustRightInd w:val="0"/>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32C3F9A5">
      <w:pPr>
        <w:adjustRightInd w:val="0"/>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72B5FC31">
      <w:pPr>
        <w:adjustRightInd w:val="0"/>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12CD13C3">
      <w:pPr>
        <w:adjustRightInd w:val="0"/>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34160D9B">
      <w:pPr>
        <w:spacing w:before="312" w:beforeLines="100" w:after="312" w:afterLines="100"/>
        <w:outlineLvl w:val="2"/>
        <w:rPr>
          <w:rFonts w:ascii="Times New Roman" w:eastAsia="黑体"/>
          <w:color w:val="auto"/>
          <w:sz w:val="24"/>
          <w:szCs w:val="24"/>
          <w:highlight w:val="none"/>
        </w:rPr>
      </w:pPr>
      <w:r>
        <w:rPr>
          <w:rFonts w:ascii="Times New Roman" w:eastAsia="黑体"/>
          <w:b/>
          <w:bCs/>
          <w:color w:val="auto"/>
          <w:sz w:val="24"/>
          <w:szCs w:val="24"/>
          <w:highlight w:val="none"/>
        </w:rPr>
        <w:br w:type="page"/>
      </w:r>
      <w:r>
        <w:rPr>
          <w:rFonts w:hint="eastAsia" w:ascii="Times New Roman" w:hAnsi="宋体" w:eastAsia="黑体" w:cs="宋体"/>
          <w:color w:val="auto"/>
          <w:sz w:val="24"/>
          <w:szCs w:val="24"/>
          <w:highlight w:val="none"/>
          <w:lang w:val="en-US" w:eastAsia="zh-CN" w:bidi="ar-SA"/>
        </w:rPr>
        <w:t>附</w:t>
      </w:r>
      <w:bookmarkStart w:id="637" w:name="_Toc296503231"/>
      <w:bookmarkStart w:id="638" w:name="_Toc296347230"/>
      <w:bookmarkStart w:id="639" w:name="_Toc296891271"/>
      <w:bookmarkStart w:id="640" w:name="_Toc296346732"/>
      <w:bookmarkStart w:id="641" w:name="_Toc296944570"/>
      <w:bookmarkStart w:id="642" w:name="_Toc296891059"/>
      <w:r>
        <w:rPr>
          <w:rFonts w:hint="eastAsia" w:ascii="Times New Roman" w:hAnsi="宋体" w:eastAsia="黑体" w:cs="宋体"/>
          <w:color w:val="auto"/>
          <w:sz w:val="24"/>
          <w:szCs w:val="24"/>
          <w:highlight w:val="none"/>
          <w:lang w:val="en-US" w:eastAsia="zh-CN" w:bidi="ar-SA"/>
        </w:rPr>
        <w:t>件4：</w:t>
      </w:r>
      <w:bookmarkEnd w:id="622"/>
      <w:bookmarkEnd w:id="637"/>
      <w:bookmarkEnd w:id="638"/>
      <w:bookmarkEnd w:id="639"/>
      <w:bookmarkEnd w:id="640"/>
      <w:bookmarkEnd w:id="641"/>
      <w:bookmarkEnd w:id="642"/>
      <w:r>
        <w:rPr>
          <w:rFonts w:hint="eastAsia" w:ascii="Times New Roman" w:eastAsia="黑体"/>
          <w:color w:val="auto"/>
          <w:sz w:val="24"/>
          <w:szCs w:val="24"/>
          <w:highlight w:val="none"/>
        </w:rPr>
        <w:t>项目经理质量终身责任制承诺</w:t>
      </w:r>
    </w:p>
    <w:p w14:paraId="04546FE4">
      <w:pPr>
        <w:spacing w:before="156" w:beforeLines="50" w:after="156" w:afterLines="50" w:line="360" w:lineRule="auto"/>
        <w:jc w:val="center"/>
        <w:rPr>
          <w:rFonts w:cs="宋体"/>
          <w:b/>
          <w:color w:val="auto"/>
          <w:sz w:val="24"/>
          <w:szCs w:val="24"/>
          <w:highlight w:val="none"/>
        </w:rPr>
      </w:pPr>
      <w:bookmarkStart w:id="643" w:name="_Toc19417"/>
      <w:bookmarkStart w:id="644" w:name="_Toc14540"/>
      <w:bookmarkStart w:id="645" w:name="_Toc128950250"/>
      <w:r>
        <w:rPr>
          <w:rFonts w:hint="eastAsia" w:cs="宋体"/>
          <w:b/>
          <w:color w:val="auto"/>
          <w:sz w:val="24"/>
          <w:szCs w:val="24"/>
          <w:highlight w:val="none"/>
        </w:rPr>
        <w:t>项目经理质量终身责任制承诺</w:t>
      </w:r>
      <w:bookmarkEnd w:id="643"/>
      <w:bookmarkEnd w:id="644"/>
      <w:bookmarkEnd w:id="645"/>
    </w:p>
    <w:p w14:paraId="099DD115">
      <w:pPr>
        <w:spacing w:line="360" w:lineRule="auto"/>
        <w:rPr>
          <w:rFonts w:cs="宋体"/>
          <w:bCs/>
          <w:color w:val="auto"/>
          <w:sz w:val="24"/>
          <w:szCs w:val="24"/>
          <w:highlight w:val="none"/>
        </w:rPr>
      </w:pPr>
      <w:r>
        <w:rPr>
          <w:rFonts w:hint="eastAsia" w:cs="宋体"/>
          <w:bCs/>
          <w:color w:val="auto"/>
          <w:sz w:val="24"/>
          <w:szCs w:val="24"/>
          <w:highlight w:val="none"/>
        </w:rPr>
        <w:t>致：</w:t>
      </w:r>
      <w:r>
        <w:rPr>
          <w:rFonts w:hint="eastAsia" w:cs="宋体"/>
          <w:bCs/>
          <w:color w:val="auto"/>
          <w:sz w:val="24"/>
          <w:szCs w:val="24"/>
          <w:highlight w:val="none"/>
          <w:u w:val="single"/>
        </w:rPr>
        <w:t>（采购人）</w:t>
      </w:r>
    </w:p>
    <w:p w14:paraId="2BFE3054">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本人作为施工项目经理，承担相关质量终身责任，现郑重承诺如下：</w:t>
      </w:r>
    </w:p>
    <w:p w14:paraId="10015A1F">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一、在取得施工许可证后进行施工。</w:t>
      </w:r>
    </w:p>
    <w:p w14:paraId="09824C50">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二、严格执行施工规范及标准。</w:t>
      </w:r>
    </w:p>
    <w:p w14:paraId="61C89EE2">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三、严格按规定配备施工项目部关键岗位人员，并确保所有人员到岗履职。</w:t>
      </w:r>
    </w:p>
    <w:p w14:paraId="579A4B86">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四、严格按照经施工图审查机构审查合格的工程设计文件及合同约定的质量标准精心组织施工。</w:t>
      </w:r>
    </w:p>
    <w:p w14:paraId="3D3B9CB9">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五、施工中采用合格的建筑材料、建筑构配件和设备等，并严格按规定执行见证取样制度。</w:t>
      </w:r>
    </w:p>
    <w:p w14:paraId="337F3FFC">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六、建立、健全质量检查、验收制度，严格工序管理，做好隐蔽工程质量的检查和记录。</w:t>
      </w:r>
    </w:p>
    <w:p w14:paraId="0902998B">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七、对施工中出现的质量问题，及时进行整改。严格依法依规履行义务。</w:t>
      </w:r>
    </w:p>
    <w:p w14:paraId="2428B080">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八、履行相关工程质量检查、验收及事故处理等职责。</w:t>
      </w:r>
    </w:p>
    <w:p w14:paraId="37F40CE3">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九、履行其他法律法规规定的职责。</w:t>
      </w:r>
    </w:p>
    <w:p w14:paraId="47ED6887">
      <w:pPr>
        <w:spacing w:line="360" w:lineRule="auto"/>
        <w:ind w:left="342" w:leftChars="171" w:firstLine="720" w:firstLineChars="300"/>
        <w:rPr>
          <w:rFonts w:cs="宋体"/>
          <w:bCs/>
          <w:color w:val="auto"/>
          <w:sz w:val="24"/>
          <w:szCs w:val="24"/>
          <w:highlight w:val="none"/>
        </w:rPr>
      </w:pPr>
    </w:p>
    <w:p w14:paraId="3F899953">
      <w:pPr>
        <w:spacing w:line="360" w:lineRule="auto"/>
        <w:ind w:left="342" w:leftChars="171" w:firstLine="720" w:firstLineChars="300"/>
        <w:rPr>
          <w:rFonts w:cs="宋体"/>
          <w:bCs/>
          <w:color w:val="auto"/>
          <w:sz w:val="24"/>
          <w:szCs w:val="24"/>
          <w:highlight w:val="none"/>
        </w:rPr>
      </w:pPr>
    </w:p>
    <w:p w14:paraId="2B9B7AD7">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项目经理：</w:t>
      </w:r>
      <w:r>
        <w:rPr>
          <w:rFonts w:hint="eastAsia" w:cs="宋体"/>
          <w:bCs/>
          <w:color w:val="auto"/>
          <w:sz w:val="24"/>
          <w:szCs w:val="24"/>
          <w:highlight w:val="none"/>
          <w:u w:val="single"/>
        </w:rPr>
        <w:t xml:space="preserve">                   </w:t>
      </w:r>
      <w:r>
        <w:rPr>
          <w:rFonts w:hint="eastAsia" w:cs="宋体"/>
          <w:bCs/>
          <w:color w:val="auto"/>
          <w:sz w:val="24"/>
          <w:szCs w:val="24"/>
          <w:highlight w:val="none"/>
        </w:rPr>
        <w:t>（签字）</w:t>
      </w:r>
    </w:p>
    <w:p w14:paraId="2F5CBBD8">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日期：_____年____月____日</w:t>
      </w:r>
    </w:p>
    <w:p w14:paraId="40A65135">
      <w:pPr>
        <w:pStyle w:val="19"/>
        <w:rPr>
          <w:rFonts w:ascii="宋体" w:hAnsi="宋体" w:eastAsia="宋体" w:cs="宋体"/>
          <w:bCs/>
          <w:color w:val="auto"/>
          <w:sz w:val="24"/>
          <w:szCs w:val="24"/>
          <w:highlight w:val="none"/>
        </w:rPr>
      </w:pPr>
    </w:p>
    <w:p w14:paraId="01A42B88">
      <w:pPr>
        <w:pStyle w:val="272"/>
        <w:ind w:left="210" w:right="210" w:firstLine="210"/>
        <w:rPr>
          <w:rFonts w:hint="eastAsia" w:ascii="宋体" w:hAnsi="宋体" w:eastAsia="宋体" w:cs="宋体"/>
          <w:color w:val="auto"/>
          <w:sz w:val="24"/>
          <w:szCs w:val="24"/>
          <w:highlight w:val="none"/>
        </w:rPr>
        <w:sectPr>
          <w:footerReference r:id="rId5" w:type="default"/>
          <w:pgSz w:w="11906" w:h="16838"/>
          <w:pgMar w:top="1361" w:right="1361" w:bottom="1361" w:left="1361" w:header="851" w:footer="992" w:gutter="0"/>
          <w:pgNumType w:fmt="decimal" w:start="1"/>
          <w:cols w:space="720" w:num="1"/>
          <w:docGrid w:type="lines" w:linePitch="312" w:charSpace="0"/>
        </w:sectPr>
      </w:pPr>
    </w:p>
    <w:p w14:paraId="53884F4C">
      <w:pPr>
        <w:spacing w:before="312" w:beforeLines="100" w:after="312" w:afterLines="100"/>
        <w:outlineLvl w:val="2"/>
        <w:rPr>
          <w:rFonts w:hint="eastAsia" w:ascii="Times New Roman" w:hAnsi="宋体" w:eastAsia="黑体" w:cs="宋体"/>
          <w:color w:val="auto"/>
          <w:sz w:val="24"/>
          <w:szCs w:val="24"/>
          <w:highlight w:val="none"/>
        </w:rPr>
      </w:pPr>
      <w:bookmarkStart w:id="646" w:name="_Toc128950244"/>
      <w:r>
        <w:rPr>
          <w:rFonts w:hint="eastAsia" w:ascii="Times New Roman" w:eastAsia="黑体"/>
          <w:color w:val="auto"/>
          <w:sz w:val="24"/>
          <w:szCs w:val="24"/>
          <w:highlight w:val="none"/>
        </w:rPr>
        <w:t>附件</w:t>
      </w:r>
      <w:r>
        <w:rPr>
          <w:rFonts w:hint="eastAsia" w:ascii="Times New Roman" w:hAnsi="宋体" w:eastAsia="黑体" w:cs="宋体"/>
          <w:color w:val="auto"/>
          <w:sz w:val="24"/>
          <w:szCs w:val="24"/>
          <w:highlight w:val="none"/>
          <w:lang w:val="en-US" w:eastAsia="zh-CN"/>
        </w:rPr>
        <w:t>5</w:t>
      </w:r>
      <w:r>
        <w:rPr>
          <w:rFonts w:hint="eastAsia" w:ascii="Times New Roman" w:hAnsi="宋体" w:eastAsia="黑体" w:cs="宋体"/>
          <w:color w:val="auto"/>
          <w:sz w:val="24"/>
          <w:szCs w:val="24"/>
          <w:highlight w:val="none"/>
        </w:rPr>
        <w:t>：</w:t>
      </w:r>
      <w:r>
        <w:rPr>
          <w:rFonts w:hint="eastAsia" w:ascii="Times New Roman" w:hAnsi="宋体" w:eastAsia="黑体" w:cs="宋体"/>
          <w:color w:val="auto"/>
          <w:sz w:val="24"/>
          <w:szCs w:val="24"/>
          <w:highlight w:val="none"/>
          <w:lang w:eastAsia="zh-CN"/>
        </w:rPr>
        <w:t>乙方</w:t>
      </w:r>
      <w:r>
        <w:rPr>
          <w:rFonts w:hint="eastAsia" w:ascii="Times New Roman" w:hAnsi="宋体" w:eastAsia="黑体" w:cs="宋体"/>
          <w:color w:val="auto"/>
          <w:sz w:val="24"/>
          <w:szCs w:val="24"/>
          <w:highlight w:val="none"/>
        </w:rPr>
        <w:t>主要施工管理人员表</w:t>
      </w:r>
    </w:p>
    <w:p w14:paraId="0374FADE">
      <w:pPr>
        <w:spacing w:line="360" w:lineRule="auto"/>
        <w:jc w:val="center"/>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24CA4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6EC45E7F">
            <w:pPr>
              <w:keepNext/>
              <w:spacing w:line="360" w:lineRule="auto"/>
              <w:jc w:val="center"/>
              <w:rPr>
                <w:rFonts w:cs="宋体"/>
                <w:color w:val="auto"/>
                <w:sz w:val="24"/>
                <w:szCs w:val="24"/>
                <w:highlight w:val="none"/>
              </w:rPr>
            </w:pPr>
            <w:r>
              <w:rPr>
                <w:rFonts w:hint="eastAsia" w:cs="宋体"/>
                <w:color w:val="auto"/>
                <w:sz w:val="24"/>
                <w:szCs w:val="24"/>
                <w:highlight w:val="none"/>
              </w:rPr>
              <w:t>名称</w:t>
            </w:r>
          </w:p>
        </w:tc>
        <w:tc>
          <w:tcPr>
            <w:tcW w:w="627" w:type="pct"/>
            <w:tcBorders>
              <w:top w:val="single" w:color="auto" w:sz="12" w:space="0"/>
              <w:bottom w:val="double" w:color="auto" w:sz="6" w:space="0"/>
            </w:tcBorders>
            <w:vAlign w:val="center"/>
          </w:tcPr>
          <w:p w14:paraId="25A61205">
            <w:pPr>
              <w:keepNext/>
              <w:spacing w:line="360" w:lineRule="auto"/>
              <w:jc w:val="center"/>
              <w:rPr>
                <w:rFonts w:cs="宋体"/>
                <w:color w:val="auto"/>
                <w:sz w:val="24"/>
                <w:szCs w:val="24"/>
                <w:highlight w:val="none"/>
              </w:rPr>
            </w:pPr>
            <w:r>
              <w:rPr>
                <w:rFonts w:hint="eastAsia" w:cs="宋体"/>
                <w:color w:val="auto"/>
                <w:sz w:val="24"/>
                <w:szCs w:val="24"/>
                <w:highlight w:val="none"/>
              </w:rPr>
              <w:t>姓名</w:t>
            </w:r>
          </w:p>
        </w:tc>
        <w:tc>
          <w:tcPr>
            <w:tcW w:w="502" w:type="pct"/>
            <w:tcBorders>
              <w:top w:val="single" w:color="auto" w:sz="12" w:space="0"/>
              <w:bottom w:val="double" w:color="auto" w:sz="6" w:space="0"/>
            </w:tcBorders>
            <w:vAlign w:val="center"/>
          </w:tcPr>
          <w:p w14:paraId="40D00F6A">
            <w:pPr>
              <w:keepNext/>
              <w:spacing w:line="360" w:lineRule="auto"/>
              <w:jc w:val="center"/>
              <w:rPr>
                <w:rFonts w:cs="宋体"/>
                <w:color w:val="auto"/>
                <w:sz w:val="24"/>
                <w:szCs w:val="24"/>
                <w:highlight w:val="none"/>
              </w:rPr>
            </w:pPr>
            <w:r>
              <w:rPr>
                <w:rFonts w:hint="eastAsia" w:cs="宋体"/>
                <w:color w:val="auto"/>
                <w:sz w:val="24"/>
                <w:szCs w:val="24"/>
                <w:highlight w:val="none"/>
              </w:rPr>
              <w:t>职务</w:t>
            </w:r>
          </w:p>
        </w:tc>
        <w:tc>
          <w:tcPr>
            <w:tcW w:w="502" w:type="pct"/>
            <w:tcBorders>
              <w:top w:val="single" w:color="auto" w:sz="12" w:space="0"/>
              <w:bottom w:val="double" w:color="auto" w:sz="6" w:space="0"/>
            </w:tcBorders>
            <w:vAlign w:val="center"/>
          </w:tcPr>
          <w:p w14:paraId="0F829E78">
            <w:pPr>
              <w:keepNext/>
              <w:spacing w:line="360" w:lineRule="auto"/>
              <w:jc w:val="center"/>
              <w:rPr>
                <w:rFonts w:cs="宋体"/>
                <w:color w:val="auto"/>
                <w:sz w:val="24"/>
                <w:szCs w:val="24"/>
                <w:highlight w:val="none"/>
              </w:rPr>
            </w:pPr>
            <w:r>
              <w:rPr>
                <w:rFonts w:hint="eastAsia" w:cs="宋体"/>
                <w:color w:val="auto"/>
                <w:sz w:val="24"/>
                <w:szCs w:val="24"/>
                <w:highlight w:val="none"/>
              </w:rPr>
              <w:t>职称</w:t>
            </w:r>
          </w:p>
        </w:tc>
        <w:tc>
          <w:tcPr>
            <w:tcW w:w="1281" w:type="pct"/>
            <w:tcBorders>
              <w:top w:val="single" w:color="auto" w:sz="12" w:space="0"/>
              <w:bottom w:val="double" w:color="auto" w:sz="6" w:space="0"/>
            </w:tcBorders>
            <w:vAlign w:val="center"/>
          </w:tcPr>
          <w:p w14:paraId="5BD6D119">
            <w:pPr>
              <w:keepNext/>
              <w:spacing w:line="360" w:lineRule="auto"/>
              <w:jc w:val="center"/>
              <w:rPr>
                <w:rFonts w:cs="宋体"/>
                <w:color w:val="auto"/>
                <w:sz w:val="24"/>
                <w:szCs w:val="24"/>
                <w:highlight w:val="none"/>
              </w:rPr>
            </w:pPr>
            <w:r>
              <w:rPr>
                <w:rFonts w:hint="eastAsia" w:cs="宋体"/>
                <w:color w:val="auto"/>
                <w:sz w:val="24"/>
                <w:szCs w:val="24"/>
                <w:highlight w:val="none"/>
              </w:rPr>
              <w:t>主要资历、经验及承担过的项目</w:t>
            </w:r>
          </w:p>
        </w:tc>
        <w:tc>
          <w:tcPr>
            <w:tcW w:w="1151" w:type="pct"/>
            <w:tcBorders>
              <w:top w:val="single" w:color="auto" w:sz="12" w:space="0"/>
              <w:bottom w:val="double" w:color="auto" w:sz="6" w:space="0"/>
            </w:tcBorders>
            <w:vAlign w:val="center"/>
          </w:tcPr>
          <w:p w14:paraId="7D0BF5EB">
            <w:pPr>
              <w:keepNext/>
              <w:spacing w:line="360" w:lineRule="auto"/>
              <w:jc w:val="center"/>
              <w:rPr>
                <w:rFonts w:cs="宋体"/>
                <w:color w:val="auto"/>
                <w:sz w:val="24"/>
                <w:szCs w:val="24"/>
                <w:highlight w:val="none"/>
              </w:rPr>
            </w:pPr>
            <w:r>
              <w:rPr>
                <w:rFonts w:hint="eastAsia" w:cs="宋体"/>
                <w:color w:val="auto"/>
                <w:sz w:val="24"/>
                <w:szCs w:val="24"/>
                <w:highlight w:val="none"/>
              </w:rPr>
              <w:t>身份证号码</w:t>
            </w:r>
          </w:p>
        </w:tc>
      </w:tr>
      <w:tr w14:paraId="52A0E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4C7FD408">
            <w:pPr>
              <w:keepNext/>
              <w:spacing w:line="360" w:lineRule="auto"/>
              <w:jc w:val="center"/>
              <w:rPr>
                <w:rFonts w:cs="宋体"/>
                <w:color w:val="auto"/>
                <w:sz w:val="24"/>
                <w:szCs w:val="24"/>
                <w:highlight w:val="none"/>
              </w:rPr>
            </w:pPr>
            <w:r>
              <w:rPr>
                <w:rFonts w:hint="eastAsia" w:cs="宋体"/>
                <w:color w:val="auto"/>
                <w:sz w:val="24"/>
                <w:szCs w:val="24"/>
                <w:highlight w:val="none"/>
              </w:rPr>
              <w:t>一、总部人员</w:t>
            </w:r>
          </w:p>
        </w:tc>
        <w:tc>
          <w:tcPr>
            <w:tcW w:w="1151" w:type="pct"/>
            <w:tcBorders>
              <w:top w:val="double" w:color="auto" w:sz="6" w:space="0"/>
            </w:tcBorders>
            <w:vAlign w:val="center"/>
          </w:tcPr>
          <w:p w14:paraId="64EAFE9E">
            <w:pPr>
              <w:keepNext/>
              <w:spacing w:line="360" w:lineRule="auto"/>
              <w:jc w:val="center"/>
              <w:rPr>
                <w:rFonts w:cs="宋体"/>
                <w:color w:val="auto"/>
                <w:sz w:val="24"/>
                <w:szCs w:val="24"/>
                <w:highlight w:val="none"/>
              </w:rPr>
            </w:pPr>
          </w:p>
        </w:tc>
      </w:tr>
      <w:tr w14:paraId="2F989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50DCC7FF">
            <w:pPr>
              <w:spacing w:line="360" w:lineRule="auto"/>
              <w:jc w:val="center"/>
              <w:rPr>
                <w:rFonts w:cs="宋体"/>
                <w:color w:val="auto"/>
                <w:sz w:val="24"/>
                <w:szCs w:val="24"/>
                <w:highlight w:val="none"/>
              </w:rPr>
            </w:pPr>
            <w:r>
              <w:rPr>
                <w:rFonts w:hint="eastAsia" w:cs="宋体"/>
                <w:color w:val="auto"/>
                <w:sz w:val="24"/>
                <w:szCs w:val="24"/>
                <w:highlight w:val="none"/>
              </w:rPr>
              <w:t>项目主管</w:t>
            </w:r>
          </w:p>
        </w:tc>
        <w:tc>
          <w:tcPr>
            <w:tcW w:w="627" w:type="pct"/>
            <w:tcBorders>
              <w:top w:val="nil"/>
            </w:tcBorders>
            <w:vAlign w:val="center"/>
          </w:tcPr>
          <w:p w14:paraId="7E04C308">
            <w:pPr>
              <w:keepNext/>
              <w:spacing w:line="360" w:lineRule="auto"/>
              <w:jc w:val="center"/>
              <w:rPr>
                <w:rFonts w:cs="宋体"/>
                <w:color w:val="auto"/>
                <w:sz w:val="24"/>
                <w:szCs w:val="24"/>
                <w:highlight w:val="none"/>
              </w:rPr>
            </w:pPr>
          </w:p>
        </w:tc>
        <w:tc>
          <w:tcPr>
            <w:tcW w:w="502" w:type="pct"/>
            <w:tcBorders>
              <w:top w:val="nil"/>
            </w:tcBorders>
            <w:vAlign w:val="center"/>
          </w:tcPr>
          <w:p w14:paraId="16C4730A">
            <w:pPr>
              <w:keepNext/>
              <w:spacing w:line="360" w:lineRule="auto"/>
              <w:jc w:val="center"/>
              <w:rPr>
                <w:rFonts w:cs="宋体"/>
                <w:color w:val="auto"/>
                <w:sz w:val="24"/>
                <w:szCs w:val="24"/>
                <w:highlight w:val="none"/>
              </w:rPr>
            </w:pPr>
          </w:p>
        </w:tc>
        <w:tc>
          <w:tcPr>
            <w:tcW w:w="502" w:type="pct"/>
            <w:tcBorders>
              <w:top w:val="nil"/>
            </w:tcBorders>
            <w:vAlign w:val="center"/>
          </w:tcPr>
          <w:p w14:paraId="2CAD33B1">
            <w:pPr>
              <w:keepNext/>
              <w:spacing w:line="360" w:lineRule="auto"/>
              <w:jc w:val="center"/>
              <w:rPr>
                <w:rFonts w:cs="宋体"/>
                <w:color w:val="auto"/>
                <w:sz w:val="24"/>
                <w:szCs w:val="24"/>
                <w:highlight w:val="none"/>
              </w:rPr>
            </w:pPr>
          </w:p>
        </w:tc>
        <w:tc>
          <w:tcPr>
            <w:tcW w:w="1281" w:type="pct"/>
            <w:tcBorders>
              <w:top w:val="nil"/>
            </w:tcBorders>
            <w:vAlign w:val="center"/>
          </w:tcPr>
          <w:p w14:paraId="26370760">
            <w:pPr>
              <w:keepNext/>
              <w:spacing w:line="360" w:lineRule="auto"/>
              <w:jc w:val="center"/>
              <w:rPr>
                <w:rFonts w:cs="宋体"/>
                <w:color w:val="auto"/>
                <w:sz w:val="24"/>
                <w:szCs w:val="24"/>
                <w:highlight w:val="none"/>
              </w:rPr>
            </w:pPr>
          </w:p>
        </w:tc>
        <w:tc>
          <w:tcPr>
            <w:tcW w:w="1151" w:type="pct"/>
            <w:tcBorders>
              <w:top w:val="nil"/>
            </w:tcBorders>
            <w:vAlign w:val="center"/>
          </w:tcPr>
          <w:p w14:paraId="2CE5A2E3">
            <w:pPr>
              <w:keepNext/>
              <w:spacing w:line="360" w:lineRule="auto"/>
              <w:jc w:val="center"/>
              <w:rPr>
                <w:rFonts w:cs="宋体"/>
                <w:color w:val="auto"/>
                <w:sz w:val="24"/>
                <w:szCs w:val="24"/>
                <w:highlight w:val="none"/>
              </w:rPr>
            </w:pPr>
          </w:p>
        </w:tc>
      </w:tr>
      <w:tr w14:paraId="60630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039479A6">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10EC0BE0">
            <w:pPr>
              <w:keepNext/>
              <w:spacing w:line="360" w:lineRule="auto"/>
              <w:jc w:val="center"/>
              <w:rPr>
                <w:rFonts w:cs="宋体"/>
                <w:color w:val="auto"/>
                <w:sz w:val="24"/>
                <w:szCs w:val="24"/>
                <w:highlight w:val="none"/>
              </w:rPr>
            </w:pPr>
          </w:p>
        </w:tc>
        <w:tc>
          <w:tcPr>
            <w:tcW w:w="502" w:type="pct"/>
            <w:vAlign w:val="center"/>
          </w:tcPr>
          <w:p w14:paraId="4834BB1C">
            <w:pPr>
              <w:keepNext/>
              <w:spacing w:line="360" w:lineRule="auto"/>
              <w:jc w:val="center"/>
              <w:rPr>
                <w:rFonts w:cs="宋体"/>
                <w:color w:val="auto"/>
                <w:sz w:val="24"/>
                <w:szCs w:val="24"/>
                <w:highlight w:val="none"/>
              </w:rPr>
            </w:pPr>
          </w:p>
        </w:tc>
        <w:tc>
          <w:tcPr>
            <w:tcW w:w="502" w:type="pct"/>
            <w:vAlign w:val="center"/>
          </w:tcPr>
          <w:p w14:paraId="376D782B">
            <w:pPr>
              <w:keepNext/>
              <w:spacing w:line="360" w:lineRule="auto"/>
              <w:jc w:val="center"/>
              <w:rPr>
                <w:rFonts w:cs="宋体"/>
                <w:color w:val="auto"/>
                <w:sz w:val="24"/>
                <w:szCs w:val="24"/>
                <w:highlight w:val="none"/>
              </w:rPr>
            </w:pPr>
          </w:p>
        </w:tc>
        <w:tc>
          <w:tcPr>
            <w:tcW w:w="1281" w:type="pct"/>
            <w:vAlign w:val="center"/>
          </w:tcPr>
          <w:p w14:paraId="376EB263">
            <w:pPr>
              <w:keepNext/>
              <w:spacing w:line="360" w:lineRule="auto"/>
              <w:jc w:val="center"/>
              <w:rPr>
                <w:rFonts w:cs="宋体"/>
                <w:color w:val="auto"/>
                <w:sz w:val="24"/>
                <w:szCs w:val="24"/>
                <w:highlight w:val="none"/>
              </w:rPr>
            </w:pPr>
          </w:p>
        </w:tc>
        <w:tc>
          <w:tcPr>
            <w:tcW w:w="1151" w:type="pct"/>
            <w:vAlign w:val="center"/>
          </w:tcPr>
          <w:p w14:paraId="329F72D2">
            <w:pPr>
              <w:keepNext/>
              <w:spacing w:line="360" w:lineRule="auto"/>
              <w:jc w:val="center"/>
              <w:rPr>
                <w:rFonts w:cs="宋体"/>
                <w:color w:val="auto"/>
                <w:sz w:val="24"/>
                <w:szCs w:val="24"/>
                <w:highlight w:val="none"/>
              </w:rPr>
            </w:pPr>
          </w:p>
        </w:tc>
      </w:tr>
      <w:tr w14:paraId="24658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2467F3B">
            <w:pPr>
              <w:spacing w:line="360" w:lineRule="auto"/>
              <w:jc w:val="center"/>
              <w:rPr>
                <w:rFonts w:cs="宋体"/>
                <w:color w:val="auto"/>
                <w:sz w:val="24"/>
                <w:szCs w:val="24"/>
                <w:highlight w:val="none"/>
              </w:rPr>
            </w:pPr>
          </w:p>
        </w:tc>
        <w:tc>
          <w:tcPr>
            <w:tcW w:w="627" w:type="pct"/>
            <w:vAlign w:val="center"/>
          </w:tcPr>
          <w:p w14:paraId="419E57BD">
            <w:pPr>
              <w:keepNext/>
              <w:spacing w:line="360" w:lineRule="auto"/>
              <w:jc w:val="center"/>
              <w:rPr>
                <w:rFonts w:cs="宋体"/>
                <w:color w:val="auto"/>
                <w:sz w:val="24"/>
                <w:szCs w:val="24"/>
                <w:highlight w:val="none"/>
              </w:rPr>
            </w:pPr>
          </w:p>
        </w:tc>
        <w:tc>
          <w:tcPr>
            <w:tcW w:w="502" w:type="pct"/>
            <w:vAlign w:val="center"/>
          </w:tcPr>
          <w:p w14:paraId="3BCBC8B9">
            <w:pPr>
              <w:keepNext/>
              <w:spacing w:line="360" w:lineRule="auto"/>
              <w:jc w:val="center"/>
              <w:rPr>
                <w:rFonts w:cs="宋体"/>
                <w:color w:val="auto"/>
                <w:sz w:val="24"/>
                <w:szCs w:val="24"/>
                <w:highlight w:val="none"/>
              </w:rPr>
            </w:pPr>
          </w:p>
        </w:tc>
        <w:tc>
          <w:tcPr>
            <w:tcW w:w="502" w:type="pct"/>
            <w:vAlign w:val="center"/>
          </w:tcPr>
          <w:p w14:paraId="15BDB4F6">
            <w:pPr>
              <w:keepNext/>
              <w:spacing w:line="360" w:lineRule="auto"/>
              <w:jc w:val="center"/>
              <w:rPr>
                <w:rFonts w:cs="宋体"/>
                <w:color w:val="auto"/>
                <w:sz w:val="24"/>
                <w:szCs w:val="24"/>
                <w:highlight w:val="none"/>
              </w:rPr>
            </w:pPr>
          </w:p>
        </w:tc>
        <w:tc>
          <w:tcPr>
            <w:tcW w:w="1281" w:type="pct"/>
            <w:vAlign w:val="center"/>
          </w:tcPr>
          <w:p w14:paraId="0EBB099A">
            <w:pPr>
              <w:keepNext/>
              <w:spacing w:line="360" w:lineRule="auto"/>
              <w:jc w:val="center"/>
              <w:rPr>
                <w:rFonts w:cs="宋体"/>
                <w:color w:val="auto"/>
                <w:sz w:val="24"/>
                <w:szCs w:val="24"/>
                <w:highlight w:val="none"/>
              </w:rPr>
            </w:pPr>
          </w:p>
        </w:tc>
        <w:tc>
          <w:tcPr>
            <w:tcW w:w="1151" w:type="pct"/>
            <w:vAlign w:val="center"/>
          </w:tcPr>
          <w:p w14:paraId="0A08FCB2">
            <w:pPr>
              <w:keepNext/>
              <w:spacing w:line="360" w:lineRule="auto"/>
              <w:jc w:val="center"/>
              <w:rPr>
                <w:rFonts w:cs="宋体"/>
                <w:color w:val="auto"/>
                <w:sz w:val="24"/>
                <w:szCs w:val="24"/>
                <w:highlight w:val="none"/>
              </w:rPr>
            </w:pPr>
          </w:p>
        </w:tc>
      </w:tr>
      <w:tr w14:paraId="51143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5BDA5668">
            <w:pPr>
              <w:spacing w:line="360" w:lineRule="auto"/>
              <w:jc w:val="center"/>
              <w:rPr>
                <w:rFonts w:cs="宋体"/>
                <w:color w:val="auto"/>
                <w:sz w:val="24"/>
                <w:szCs w:val="24"/>
                <w:highlight w:val="none"/>
              </w:rPr>
            </w:pPr>
          </w:p>
        </w:tc>
        <w:tc>
          <w:tcPr>
            <w:tcW w:w="627" w:type="pct"/>
            <w:vAlign w:val="center"/>
          </w:tcPr>
          <w:p w14:paraId="4DD7046C">
            <w:pPr>
              <w:keepNext/>
              <w:spacing w:line="360" w:lineRule="auto"/>
              <w:jc w:val="center"/>
              <w:rPr>
                <w:rFonts w:cs="宋体"/>
                <w:color w:val="auto"/>
                <w:sz w:val="24"/>
                <w:szCs w:val="24"/>
                <w:highlight w:val="none"/>
              </w:rPr>
            </w:pPr>
          </w:p>
        </w:tc>
        <w:tc>
          <w:tcPr>
            <w:tcW w:w="502" w:type="pct"/>
            <w:vAlign w:val="center"/>
          </w:tcPr>
          <w:p w14:paraId="52CED0A9">
            <w:pPr>
              <w:keepNext/>
              <w:spacing w:line="360" w:lineRule="auto"/>
              <w:jc w:val="center"/>
              <w:rPr>
                <w:rFonts w:cs="宋体"/>
                <w:color w:val="auto"/>
                <w:sz w:val="24"/>
                <w:szCs w:val="24"/>
                <w:highlight w:val="none"/>
              </w:rPr>
            </w:pPr>
          </w:p>
        </w:tc>
        <w:tc>
          <w:tcPr>
            <w:tcW w:w="502" w:type="pct"/>
            <w:vAlign w:val="center"/>
          </w:tcPr>
          <w:p w14:paraId="399E8408">
            <w:pPr>
              <w:keepNext/>
              <w:spacing w:line="360" w:lineRule="auto"/>
              <w:jc w:val="center"/>
              <w:rPr>
                <w:rFonts w:cs="宋体"/>
                <w:color w:val="auto"/>
                <w:sz w:val="24"/>
                <w:szCs w:val="24"/>
                <w:highlight w:val="none"/>
              </w:rPr>
            </w:pPr>
          </w:p>
        </w:tc>
        <w:tc>
          <w:tcPr>
            <w:tcW w:w="1281" w:type="pct"/>
            <w:vAlign w:val="center"/>
          </w:tcPr>
          <w:p w14:paraId="1C6C6852">
            <w:pPr>
              <w:keepNext/>
              <w:spacing w:line="360" w:lineRule="auto"/>
              <w:jc w:val="center"/>
              <w:rPr>
                <w:rFonts w:cs="宋体"/>
                <w:color w:val="auto"/>
                <w:sz w:val="24"/>
                <w:szCs w:val="24"/>
                <w:highlight w:val="none"/>
              </w:rPr>
            </w:pPr>
          </w:p>
        </w:tc>
        <w:tc>
          <w:tcPr>
            <w:tcW w:w="1151" w:type="pct"/>
            <w:vAlign w:val="center"/>
          </w:tcPr>
          <w:p w14:paraId="3BC50829">
            <w:pPr>
              <w:keepNext/>
              <w:spacing w:line="360" w:lineRule="auto"/>
              <w:jc w:val="center"/>
              <w:rPr>
                <w:rFonts w:cs="宋体"/>
                <w:color w:val="auto"/>
                <w:sz w:val="24"/>
                <w:szCs w:val="24"/>
                <w:highlight w:val="none"/>
              </w:rPr>
            </w:pPr>
          </w:p>
        </w:tc>
      </w:tr>
      <w:tr w14:paraId="77E83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1EF74CA5">
            <w:pPr>
              <w:keepNext/>
              <w:spacing w:line="360" w:lineRule="auto"/>
              <w:jc w:val="center"/>
              <w:rPr>
                <w:rFonts w:cs="宋体"/>
                <w:color w:val="auto"/>
                <w:sz w:val="24"/>
                <w:szCs w:val="24"/>
                <w:highlight w:val="none"/>
              </w:rPr>
            </w:pPr>
            <w:r>
              <w:rPr>
                <w:rFonts w:hint="eastAsia" w:cs="宋体"/>
                <w:color w:val="auto"/>
                <w:sz w:val="24"/>
                <w:szCs w:val="24"/>
                <w:highlight w:val="none"/>
              </w:rPr>
              <w:t>二、现场人员</w:t>
            </w:r>
          </w:p>
        </w:tc>
        <w:tc>
          <w:tcPr>
            <w:tcW w:w="1151" w:type="pct"/>
            <w:vAlign w:val="center"/>
          </w:tcPr>
          <w:p w14:paraId="497C7712">
            <w:pPr>
              <w:keepNext/>
              <w:spacing w:line="360" w:lineRule="auto"/>
              <w:jc w:val="center"/>
              <w:rPr>
                <w:rFonts w:cs="宋体"/>
                <w:color w:val="auto"/>
                <w:sz w:val="24"/>
                <w:szCs w:val="24"/>
                <w:highlight w:val="none"/>
              </w:rPr>
            </w:pPr>
          </w:p>
        </w:tc>
      </w:tr>
      <w:tr w14:paraId="65C46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2A09E47">
            <w:pPr>
              <w:spacing w:line="360" w:lineRule="auto"/>
              <w:jc w:val="center"/>
              <w:rPr>
                <w:rFonts w:cs="宋体"/>
                <w:color w:val="auto"/>
                <w:sz w:val="24"/>
                <w:szCs w:val="24"/>
                <w:highlight w:val="none"/>
              </w:rPr>
            </w:pPr>
            <w:r>
              <w:rPr>
                <w:rFonts w:hint="eastAsia" w:cs="宋体"/>
                <w:color w:val="auto"/>
                <w:sz w:val="24"/>
                <w:szCs w:val="24"/>
                <w:highlight w:val="none"/>
              </w:rPr>
              <w:t>项目经理</w:t>
            </w:r>
          </w:p>
        </w:tc>
        <w:tc>
          <w:tcPr>
            <w:tcW w:w="627" w:type="pct"/>
            <w:vAlign w:val="center"/>
          </w:tcPr>
          <w:p w14:paraId="2A281DD0">
            <w:pPr>
              <w:keepNext/>
              <w:spacing w:line="360" w:lineRule="auto"/>
              <w:jc w:val="center"/>
              <w:rPr>
                <w:rFonts w:cs="宋体"/>
                <w:color w:val="auto"/>
                <w:sz w:val="24"/>
                <w:szCs w:val="24"/>
                <w:highlight w:val="none"/>
              </w:rPr>
            </w:pPr>
          </w:p>
        </w:tc>
        <w:tc>
          <w:tcPr>
            <w:tcW w:w="502" w:type="pct"/>
            <w:vAlign w:val="center"/>
          </w:tcPr>
          <w:p w14:paraId="54B01E1C">
            <w:pPr>
              <w:keepNext/>
              <w:spacing w:line="360" w:lineRule="auto"/>
              <w:jc w:val="center"/>
              <w:rPr>
                <w:rFonts w:cs="宋体"/>
                <w:color w:val="auto"/>
                <w:sz w:val="24"/>
                <w:szCs w:val="24"/>
                <w:highlight w:val="none"/>
              </w:rPr>
            </w:pPr>
          </w:p>
        </w:tc>
        <w:tc>
          <w:tcPr>
            <w:tcW w:w="502" w:type="pct"/>
            <w:vAlign w:val="center"/>
          </w:tcPr>
          <w:p w14:paraId="4A540ACB">
            <w:pPr>
              <w:keepNext/>
              <w:spacing w:line="360" w:lineRule="auto"/>
              <w:jc w:val="center"/>
              <w:rPr>
                <w:rFonts w:cs="宋体"/>
                <w:color w:val="auto"/>
                <w:sz w:val="24"/>
                <w:szCs w:val="24"/>
                <w:highlight w:val="none"/>
              </w:rPr>
            </w:pPr>
          </w:p>
        </w:tc>
        <w:tc>
          <w:tcPr>
            <w:tcW w:w="1281" w:type="pct"/>
            <w:vAlign w:val="center"/>
          </w:tcPr>
          <w:p w14:paraId="18F0498C">
            <w:pPr>
              <w:keepNext/>
              <w:spacing w:line="360" w:lineRule="auto"/>
              <w:jc w:val="center"/>
              <w:rPr>
                <w:rFonts w:cs="宋体"/>
                <w:color w:val="auto"/>
                <w:sz w:val="24"/>
                <w:szCs w:val="24"/>
                <w:highlight w:val="none"/>
              </w:rPr>
            </w:pPr>
          </w:p>
        </w:tc>
        <w:tc>
          <w:tcPr>
            <w:tcW w:w="1151" w:type="pct"/>
            <w:vAlign w:val="center"/>
          </w:tcPr>
          <w:p w14:paraId="10468FDF">
            <w:pPr>
              <w:keepNext/>
              <w:spacing w:line="360" w:lineRule="auto"/>
              <w:jc w:val="center"/>
              <w:rPr>
                <w:rFonts w:cs="宋体"/>
                <w:color w:val="auto"/>
                <w:sz w:val="24"/>
                <w:szCs w:val="24"/>
                <w:highlight w:val="none"/>
              </w:rPr>
            </w:pPr>
          </w:p>
        </w:tc>
      </w:tr>
      <w:tr w14:paraId="5F4FF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3BA7FD7">
            <w:pPr>
              <w:spacing w:line="360" w:lineRule="auto"/>
              <w:jc w:val="center"/>
              <w:rPr>
                <w:rFonts w:cs="宋体"/>
                <w:color w:val="auto"/>
                <w:sz w:val="24"/>
                <w:szCs w:val="24"/>
                <w:highlight w:val="none"/>
              </w:rPr>
            </w:pPr>
            <w:r>
              <w:rPr>
                <w:rFonts w:hint="eastAsia" w:cs="宋体"/>
                <w:color w:val="auto"/>
                <w:sz w:val="24"/>
                <w:szCs w:val="24"/>
                <w:highlight w:val="none"/>
              </w:rPr>
              <w:t>项目副经理</w:t>
            </w:r>
          </w:p>
        </w:tc>
        <w:tc>
          <w:tcPr>
            <w:tcW w:w="627" w:type="pct"/>
            <w:vAlign w:val="center"/>
          </w:tcPr>
          <w:p w14:paraId="204890B9">
            <w:pPr>
              <w:keepNext/>
              <w:spacing w:line="360" w:lineRule="auto"/>
              <w:jc w:val="center"/>
              <w:rPr>
                <w:rFonts w:cs="宋体"/>
                <w:color w:val="auto"/>
                <w:sz w:val="24"/>
                <w:szCs w:val="24"/>
                <w:highlight w:val="none"/>
              </w:rPr>
            </w:pPr>
          </w:p>
        </w:tc>
        <w:tc>
          <w:tcPr>
            <w:tcW w:w="502" w:type="pct"/>
            <w:vAlign w:val="center"/>
          </w:tcPr>
          <w:p w14:paraId="6DEA1E19">
            <w:pPr>
              <w:keepNext/>
              <w:spacing w:line="360" w:lineRule="auto"/>
              <w:jc w:val="center"/>
              <w:rPr>
                <w:rFonts w:cs="宋体"/>
                <w:color w:val="auto"/>
                <w:sz w:val="24"/>
                <w:szCs w:val="24"/>
                <w:highlight w:val="none"/>
              </w:rPr>
            </w:pPr>
          </w:p>
        </w:tc>
        <w:tc>
          <w:tcPr>
            <w:tcW w:w="502" w:type="pct"/>
            <w:vAlign w:val="center"/>
          </w:tcPr>
          <w:p w14:paraId="66770BAA">
            <w:pPr>
              <w:keepNext/>
              <w:spacing w:line="360" w:lineRule="auto"/>
              <w:jc w:val="center"/>
              <w:rPr>
                <w:rFonts w:cs="宋体"/>
                <w:color w:val="auto"/>
                <w:sz w:val="24"/>
                <w:szCs w:val="24"/>
                <w:highlight w:val="none"/>
              </w:rPr>
            </w:pPr>
          </w:p>
        </w:tc>
        <w:tc>
          <w:tcPr>
            <w:tcW w:w="1281" w:type="pct"/>
            <w:vAlign w:val="center"/>
          </w:tcPr>
          <w:p w14:paraId="11F1E312">
            <w:pPr>
              <w:keepNext/>
              <w:spacing w:line="360" w:lineRule="auto"/>
              <w:jc w:val="center"/>
              <w:rPr>
                <w:rFonts w:cs="宋体"/>
                <w:color w:val="auto"/>
                <w:sz w:val="24"/>
                <w:szCs w:val="24"/>
                <w:highlight w:val="none"/>
              </w:rPr>
            </w:pPr>
          </w:p>
        </w:tc>
        <w:tc>
          <w:tcPr>
            <w:tcW w:w="1151" w:type="pct"/>
            <w:vAlign w:val="center"/>
          </w:tcPr>
          <w:p w14:paraId="5635AA54">
            <w:pPr>
              <w:keepNext/>
              <w:spacing w:line="360" w:lineRule="auto"/>
              <w:jc w:val="center"/>
              <w:rPr>
                <w:rFonts w:cs="宋体"/>
                <w:color w:val="auto"/>
                <w:sz w:val="24"/>
                <w:szCs w:val="24"/>
                <w:highlight w:val="none"/>
              </w:rPr>
            </w:pPr>
          </w:p>
        </w:tc>
      </w:tr>
      <w:tr w14:paraId="31544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3CA3E8A">
            <w:pPr>
              <w:spacing w:line="360" w:lineRule="auto"/>
              <w:jc w:val="center"/>
              <w:rPr>
                <w:rFonts w:cs="宋体"/>
                <w:color w:val="auto"/>
                <w:sz w:val="24"/>
                <w:szCs w:val="24"/>
                <w:highlight w:val="none"/>
              </w:rPr>
            </w:pPr>
            <w:r>
              <w:rPr>
                <w:rFonts w:hint="eastAsia" w:cs="宋体"/>
                <w:color w:val="auto"/>
                <w:sz w:val="24"/>
                <w:szCs w:val="24"/>
                <w:highlight w:val="none"/>
              </w:rPr>
              <w:t>项目技术负责人</w:t>
            </w:r>
          </w:p>
        </w:tc>
        <w:tc>
          <w:tcPr>
            <w:tcW w:w="627" w:type="pct"/>
            <w:vAlign w:val="center"/>
          </w:tcPr>
          <w:p w14:paraId="6E0AF690">
            <w:pPr>
              <w:keepNext/>
              <w:spacing w:line="360" w:lineRule="auto"/>
              <w:jc w:val="center"/>
              <w:rPr>
                <w:rFonts w:cs="宋体"/>
                <w:color w:val="auto"/>
                <w:sz w:val="24"/>
                <w:szCs w:val="24"/>
                <w:highlight w:val="none"/>
              </w:rPr>
            </w:pPr>
          </w:p>
        </w:tc>
        <w:tc>
          <w:tcPr>
            <w:tcW w:w="502" w:type="pct"/>
            <w:vAlign w:val="center"/>
          </w:tcPr>
          <w:p w14:paraId="4FF2A3D5">
            <w:pPr>
              <w:keepNext/>
              <w:spacing w:line="360" w:lineRule="auto"/>
              <w:jc w:val="center"/>
              <w:rPr>
                <w:rFonts w:cs="宋体"/>
                <w:color w:val="auto"/>
                <w:sz w:val="24"/>
                <w:szCs w:val="24"/>
                <w:highlight w:val="none"/>
              </w:rPr>
            </w:pPr>
          </w:p>
        </w:tc>
        <w:tc>
          <w:tcPr>
            <w:tcW w:w="502" w:type="pct"/>
            <w:vAlign w:val="center"/>
          </w:tcPr>
          <w:p w14:paraId="74B70E61">
            <w:pPr>
              <w:keepNext/>
              <w:spacing w:line="360" w:lineRule="auto"/>
              <w:jc w:val="center"/>
              <w:rPr>
                <w:rFonts w:cs="宋体"/>
                <w:color w:val="auto"/>
                <w:sz w:val="24"/>
                <w:szCs w:val="24"/>
                <w:highlight w:val="none"/>
              </w:rPr>
            </w:pPr>
          </w:p>
        </w:tc>
        <w:tc>
          <w:tcPr>
            <w:tcW w:w="1281" w:type="pct"/>
            <w:vAlign w:val="center"/>
          </w:tcPr>
          <w:p w14:paraId="416B14FD">
            <w:pPr>
              <w:keepNext/>
              <w:spacing w:line="360" w:lineRule="auto"/>
              <w:jc w:val="center"/>
              <w:rPr>
                <w:rFonts w:cs="宋体"/>
                <w:color w:val="auto"/>
                <w:sz w:val="24"/>
                <w:szCs w:val="24"/>
                <w:highlight w:val="none"/>
              </w:rPr>
            </w:pPr>
          </w:p>
        </w:tc>
        <w:tc>
          <w:tcPr>
            <w:tcW w:w="1151" w:type="pct"/>
            <w:vAlign w:val="center"/>
          </w:tcPr>
          <w:p w14:paraId="5631B5BF">
            <w:pPr>
              <w:keepNext/>
              <w:spacing w:line="360" w:lineRule="auto"/>
              <w:jc w:val="center"/>
              <w:rPr>
                <w:rFonts w:cs="宋体"/>
                <w:color w:val="auto"/>
                <w:sz w:val="24"/>
                <w:szCs w:val="24"/>
                <w:highlight w:val="none"/>
              </w:rPr>
            </w:pPr>
          </w:p>
        </w:tc>
      </w:tr>
      <w:tr w14:paraId="0D6BC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38F62FC">
            <w:pPr>
              <w:spacing w:line="360" w:lineRule="auto"/>
              <w:jc w:val="center"/>
              <w:rPr>
                <w:rFonts w:cs="宋体"/>
                <w:color w:val="auto"/>
                <w:sz w:val="24"/>
                <w:szCs w:val="24"/>
                <w:highlight w:val="none"/>
              </w:rPr>
            </w:pPr>
            <w:r>
              <w:rPr>
                <w:rFonts w:hint="eastAsia" w:cs="宋体"/>
                <w:color w:val="auto"/>
                <w:sz w:val="24"/>
                <w:szCs w:val="24"/>
                <w:highlight w:val="none"/>
              </w:rPr>
              <w:t>施工员</w:t>
            </w:r>
          </w:p>
        </w:tc>
        <w:tc>
          <w:tcPr>
            <w:tcW w:w="627" w:type="pct"/>
            <w:vAlign w:val="center"/>
          </w:tcPr>
          <w:p w14:paraId="124C66EF">
            <w:pPr>
              <w:keepNext/>
              <w:spacing w:line="360" w:lineRule="auto"/>
              <w:jc w:val="center"/>
              <w:rPr>
                <w:rFonts w:cs="宋体"/>
                <w:color w:val="auto"/>
                <w:sz w:val="24"/>
                <w:szCs w:val="24"/>
                <w:highlight w:val="none"/>
              </w:rPr>
            </w:pPr>
          </w:p>
        </w:tc>
        <w:tc>
          <w:tcPr>
            <w:tcW w:w="502" w:type="pct"/>
            <w:vAlign w:val="center"/>
          </w:tcPr>
          <w:p w14:paraId="1E9DA62F">
            <w:pPr>
              <w:keepNext/>
              <w:spacing w:line="360" w:lineRule="auto"/>
              <w:jc w:val="center"/>
              <w:rPr>
                <w:rFonts w:cs="宋体"/>
                <w:color w:val="auto"/>
                <w:sz w:val="24"/>
                <w:szCs w:val="24"/>
                <w:highlight w:val="none"/>
              </w:rPr>
            </w:pPr>
          </w:p>
        </w:tc>
        <w:tc>
          <w:tcPr>
            <w:tcW w:w="502" w:type="pct"/>
            <w:vAlign w:val="center"/>
          </w:tcPr>
          <w:p w14:paraId="4EAEE03B">
            <w:pPr>
              <w:keepNext/>
              <w:spacing w:line="360" w:lineRule="auto"/>
              <w:jc w:val="center"/>
              <w:rPr>
                <w:rFonts w:cs="宋体"/>
                <w:color w:val="auto"/>
                <w:sz w:val="24"/>
                <w:szCs w:val="24"/>
                <w:highlight w:val="none"/>
              </w:rPr>
            </w:pPr>
          </w:p>
        </w:tc>
        <w:tc>
          <w:tcPr>
            <w:tcW w:w="1281" w:type="pct"/>
            <w:vAlign w:val="center"/>
          </w:tcPr>
          <w:p w14:paraId="3BF1B37D">
            <w:pPr>
              <w:keepNext/>
              <w:spacing w:line="360" w:lineRule="auto"/>
              <w:jc w:val="center"/>
              <w:rPr>
                <w:rFonts w:cs="宋体"/>
                <w:color w:val="auto"/>
                <w:sz w:val="24"/>
                <w:szCs w:val="24"/>
                <w:highlight w:val="none"/>
              </w:rPr>
            </w:pPr>
          </w:p>
        </w:tc>
        <w:tc>
          <w:tcPr>
            <w:tcW w:w="1151" w:type="pct"/>
            <w:vAlign w:val="center"/>
          </w:tcPr>
          <w:p w14:paraId="45044F76">
            <w:pPr>
              <w:keepNext/>
              <w:spacing w:line="360" w:lineRule="auto"/>
              <w:jc w:val="center"/>
              <w:rPr>
                <w:rFonts w:cs="宋体"/>
                <w:color w:val="auto"/>
                <w:sz w:val="24"/>
                <w:szCs w:val="24"/>
                <w:highlight w:val="none"/>
              </w:rPr>
            </w:pPr>
          </w:p>
        </w:tc>
      </w:tr>
      <w:tr w14:paraId="6178C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0FA5CFF">
            <w:pPr>
              <w:spacing w:line="360" w:lineRule="auto"/>
              <w:jc w:val="center"/>
              <w:rPr>
                <w:rFonts w:cs="宋体"/>
                <w:color w:val="auto"/>
                <w:sz w:val="24"/>
                <w:szCs w:val="24"/>
                <w:highlight w:val="none"/>
              </w:rPr>
            </w:pPr>
            <w:r>
              <w:rPr>
                <w:rFonts w:hint="eastAsia" w:cs="宋体"/>
                <w:color w:val="auto"/>
                <w:sz w:val="24"/>
                <w:szCs w:val="24"/>
                <w:highlight w:val="none"/>
              </w:rPr>
              <w:t>质检员（质量员）</w:t>
            </w:r>
          </w:p>
        </w:tc>
        <w:tc>
          <w:tcPr>
            <w:tcW w:w="627" w:type="pct"/>
            <w:vAlign w:val="center"/>
          </w:tcPr>
          <w:p w14:paraId="5A3B1B66">
            <w:pPr>
              <w:keepNext/>
              <w:spacing w:line="360" w:lineRule="auto"/>
              <w:jc w:val="center"/>
              <w:rPr>
                <w:rFonts w:cs="宋体"/>
                <w:color w:val="auto"/>
                <w:sz w:val="24"/>
                <w:szCs w:val="24"/>
                <w:highlight w:val="none"/>
              </w:rPr>
            </w:pPr>
          </w:p>
        </w:tc>
        <w:tc>
          <w:tcPr>
            <w:tcW w:w="502" w:type="pct"/>
            <w:vAlign w:val="center"/>
          </w:tcPr>
          <w:p w14:paraId="15EB8F2B">
            <w:pPr>
              <w:keepNext/>
              <w:spacing w:line="360" w:lineRule="auto"/>
              <w:jc w:val="center"/>
              <w:rPr>
                <w:rFonts w:cs="宋体"/>
                <w:color w:val="auto"/>
                <w:sz w:val="24"/>
                <w:szCs w:val="24"/>
                <w:highlight w:val="none"/>
              </w:rPr>
            </w:pPr>
          </w:p>
        </w:tc>
        <w:tc>
          <w:tcPr>
            <w:tcW w:w="502" w:type="pct"/>
            <w:vAlign w:val="center"/>
          </w:tcPr>
          <w:p w14:paraId="6B51888C">
            <w:pPr>
              <w:keepNext/>
              <w:spacing w:line="360" w:lineRule="auto"/>
              <w:jc w:val="center"/>
              <w:rPr>
                <w:rFonts w:cs="宋体"/>
                <w:color w:val="auto"/>
                <w:sz w:val="24"/>
                <w:szCs w:val="24"/>
                <w:highlight w:val="none"/>
              </w:rPr>
            </w:pPr>
          </w:p>
        </w:tc>
        <w:tc>
          <w:tcPr>
            <w:tcW w:w="1281" w:type="pct"/>
            <w:vAlign w:val="center"/>
          </w:tcPr>
          <w:p w14:paraId="0505645C">
            <w:pPr>
              <w:keepNext/>
              <w:spacing w:line="360" w:lineRule="auto"/>
              <w:jc w:val="center"/>
              <w:rPr>
                <w:rFonts w:cs="宋体"/>
                <w:color w:val="auto"/>
                <w:sz w:val="24"/>
                <w:szCs w:val="24"/>
                <w:highlight w:val="none"/>
              </w:rPr>
            </w:pPr>
          </w:p>
        </w:tc>
        <w:tc>
          <w:tcPr>
            <w:tcW w:w="1151" w:type="pct"/>
            <w:vAlign w:val="center"/>
          </w:tcPr>
          <w:p w14:paraId="0E9FCC6C">
            <w:pPr>
              <w:keepNext/>
              <w:spacing w:line="360" w:lineRule="auto"/>
              <w:jc w:val="center"/>
              <w:rPr>
                <w:rFonts w:cs="宋体"/>
                <w:color w:val="auto"/>
                <w:sz w:val="24"/>
                <w:szCs w:val="24"/>
                <w:highlight w:val="none"/>
              </w:rPr>
            </w:pPr>
          </w:p>
        </w:tc>
      </w:tr>
      <w:tr w14:paraId="2FB31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05DFE51D">
            <w:pPr>
              <w:spacing w:line="360" w:lineRule="auto"/>
              <w:jc w:val="center"/>
              <w:rPr>
                <w:rFonts w:cs="宋体"/>
                <w:color w:val="auto"/>
                <w:sz w:val="24"/>
                <w:szCs w:val="24"/>
                <w:highlight w:val="none"/>
              </w:rPr>
            </w:pPr>
            <w:r>
              <w:rPr>
                <w:rFonts w:hint="eastAsia" w:cs="宋体"/>
                <w:color w:val="auto"/>
                <w:sz w:val="24"/>
                <w:szCs w:val="24"/>
                <w:highlight w:val="none"/>
              </w:rPr>
              <w:t>安全员</w:t>
            </w:r>
          </w:p>
        </w:tc>
        <w:tc>
          <w:tcPr>
            <w:tcW w:w="627" w:type="pct"/>
            <w:vAlign w:val="center"/>
          </w:tcPr>
          <w:p w14:paraId="70872F34">
            <w:pPr>
              <w:keepNext/>
              <w:spacing w:line="360" w:lineRule="auto"/>
              <w:jc w:val="center"/>
              <w:rPr>
                <w:rFonts w:cs="宋体"/>
                <w:color w:val="auto"/>
                <w:sz w:val="24"/>
                <w:szCs w:val="24"/>
                <w:highlight w:val="none"/>
              </w:rPr>
            </w:pPr>
          </w:p>
        </w:tc>
        <w:tc>
          <w:tcPr>
            <w:tcW w:w="502" w:type="pct"/>
            <w:vAlign w:val="center"/>
          </w:tcPr>
          <w:p w14:paraId="097AE78D">
            <w:pPr>
              <w:keepNext/>
              <w:spacing w:line="360" w:lineRule="auto"/>
              <w:jc w:val="center"/>
              <w:rPr>
                <w:rFonts w:cs="宋体"/>
                <w:color w:val="auto"/>
                <w:sz w:val="24"/>
                <w:szCs w:val="24"/>
                <w:highlight w:val="none"/>
              </w:rPr>
            </w:pPr>
          </w:p>
        </w:tc>
        <w:tc>
          <w:tcPr>
            <w:tcW w:w="502" w:type="pct"/>
            <w:vAlign w:val="center"/>
          </w:tcPr>
          <w:p w14:paraId="02D4170E">
            <w:pPr>
              <w:keepNext/>
              <w:spacing w:line="360" w:lineRule="auto"/>
              <w:jc w:val="center"/>
              <w:rPr>
                <w:rFonts w:cs="宋体"/>
                <w:color w:val="auto"/>
                <w:sz w:val="24"/>
                <w:szCs w:val="24"/>
                <w:highlight w:val="none"/>
              </w:rPr>
            </w:pPr>
          </w:p>
        </w:tc>
        <w:tc>
          <w:tcPr>
            <w:tcW w:w="1281" w:type="pct"/>
            <w:vAlign w:val="center"/>
          </w:tcPr>
          <w:p w14:paraId="1E449DCF">
            <w:pPr>
              <w:keepNext/>
              <w:spacing w:line="360" w:lineRule="auto"/>
              <w:jc w:val="center"/>
              <w:rPr>
                <w:rFonts w:cs="宋体"/>
                <w:color w:val="auto"/>
                <w:sz w:val="24"/>
                <w:szCs w:val="24"/>
                <w:highlight w:val="none"/>
              </w:rPr>
            </w:pPr>
          </w:p>
        </w:tc>
        <w:tc>
          <w:tcPr>
            <w:tcW w:w="1151" w:type="pct"/>
            <w:vAlign w:val="center"/>
          </w:tcPr>
          <w:p w14:paraId="70C6004A">
            <w:pPr>
              <w:keepNext/>
              <w:spacing w:line="360" w:lineRule="auto"/>
              <w:jc w:val="center"/>
              <w:rPr>
                <w:rFonts w:cs="宋体"/>
                <w:color w:val="auto"/>
                <w:sz w:val="24"/>
                <w:szCs w:val="24"/>
                <w:highlight w:val="none"/>
              </w:rPr>
            </w:pPr>
          </w:p>
        </w:tc>
      </w:tr>
      <w:tr w14:paraId="1C380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57779A25">
            <w:pPr>
              <w:spacing w:line="360" w:lineRule="auto"/>
              <w:jc w:val="center"/>
              <w:rPr>
                <w:rFonts w:cs="宋体"/>
                <w:color w:val="auto"/>
                <w:sz w:val="24"/>
                <w:szCs w:val="24"/>
                <w:highlight w:val="none"/>
              </w:rPr>
            </w:pPr>
            <w:r>
              <w:rPr>
                <w:rFonts w:hint="eastAsia" w:cs="宋体"/>
                <w:color w:val="auto"/>
                <w:sz w:val="24"/>
                <w:szCs w:val="24"/>
                <w:highlight w:val="none"/>
              </w:rPr>
              <w:t>资料员</w:t>
            </w:r>
          </w:p>
        </w:tc>
        <w:tc>
          <w:tcPr>
            <w:tcW w:w="627" w:type="pct"/>
            <w:vAlign w:val="center"/>
          </w:tcPr>
          <w:p w14:paraId="69BE6CCA">
            <w:pPr>
              <w:keepNext/>
              <w:spacing w:line="360" w:lineRule="auto"/>
              <w:jc w:val="center"/>
              <w:rPr>
                <w:rFonts w:cs="宋体"/>
                <w:color w:val="auto"/>
                <w:sz w:val="24"/>
                <w:szCs w:val="24"/>
                <w:highlight w:val="none"/>
              </w:rPr>
            </w:pPr>
          </w:p>
        </w:tc>
        <w:tc>
          <w:tcPr>
            <w:tcW w:w="502" w:type="pct"/>
            <w:vAlign w:val="center"/>
          </w:tcPr>
          <w:p w14:paraId="46A19F24">
            <w:pPr>
              <w:keepNext/>
              <w:spacing w:line="360" w:lineRule="auto"/>
              <w:jc w:val="center"/>
              <w:rPr>
                <w:rFonts w:cs="宋体"/>
                <w:color w:val="auto"/>
                <w:sz w:val="24"/>
                <w:szCs w:val="24"/>
                <w:highlight w:val="none"/>
              </w:rPr>
            </w:pPr>
          </w:p>
        </w:tc>
        <w:tc>
          <w:tcPr>
            <w:tcW w:w="502" w:type="pct"/>
            <w:vAlign w:val="center"/>
          </w:tcPr>
          <w:p w14:paraId="2D092A48">
            <w:pPr>
              <w:keepNext/>
              <w:spacing w:line="360" w:lineRule="auto"/>
              <w:jc w:val="center"/>
              <w:rPr>
                <w:rFonts w:cs="宋体"/>
                <w:color w:val="auto"/>
                <w:sz w:val="24"/>
                <w:szCs w:val="24"/>
                <w:highlight w:val="none"/>
              </w:rPr>
            </w:pPr>
          </w:p>
        </w:tc>
        <w:tc>
          <w:tcPr>
            <w:tcW w:w="1281" w:type="pct"/>
            <w:vAlign w:val="center"/>
          </w:tcPr>
          <w:p w14:paraId="37767327">
            <w:pPr>
              <w:keepNext/>
              <w:spacing w:line="360" w:lineRule="auto"/>
              <w:jc w:val="center"/>
              <w:rPr>
                <w:rFonts w:cs="宋体"/>
                <w:color w:val="auto"/>
                <w:sz w:val="24"/>
                <w:szCs w:val="24"/>
                <w:highlight w:val="none"/>
              </w:rPr>
            </w:pPr>
          </w:p>
        </w:tc>
        <w:tc>
          <w:tcPr>
            <w:tcW w:w="1151" w:type="pct"/>
            <w:vAlign w:val="center"/>
          </w:tcPr>
          <w:p w14:paraId="76CD021A">
            <w:pPr>
              <w:keepNext/>
              <w:spacing w:line="360" w:lineRule="auto"/>
              <w:jc w:val="center"/>
              <w:rPr>
                <w:rFonts w:cs="宋体"/>
                <w:color w:val="auto"/>
                <w:sz w:val="24"/>
                <w:szCs w:val="24"/>
                <w:highlight w:val="none"/>
              </w:rPr>
            </w:pPr>
          </w:p>
        </w:tc>
      </w:tr>
      <w:tr w14:paraId="280CA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78752A4D">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4AF973A3">
            <w:pPr>
              <w:keepNext/>
              <w:spacing w:line="360" w:lineRule="auto"/>
              <w:jc w:val="center"/>
              <w:rPr>
                <w:rFonts w:cs="宋体"/>
                <w:color w:val="auto"/>
                <w:sz w:val="24"/>
                <w:szCs w:val="24"/>
                <w:highlight w:val="none"/>
              </w:rPr>
            </w:pPr>
          </w:p>
        </w:tc>
        <w:tc>
          <w:tcPr>
            <w:tcW w:w="502" w:type="pct"/>
            <w:vAlign w:val="center"/>
          </w:tcPr>
          <w:p w14:paraId="5C110839">
            <w:pPr>
              <w:keepNext/>
              <w:spacing w:line="360" w:lineRule="auto"/>
              <w:jc w:val="center"/>
              <w:rPr>
                <w:rFonts w:cs="宋体"/>
                <w:color w:val="auto"/>
                <w:sz w:val="24"/>
                <w:szCs w:val="24"/>
                <w:highlight w:val="none"/>
              </w:rPr>
            </w:pPr>
          </w:p>
        </w:tc>
        <w:tc>
          <w:tcPr>
            <w:tcW w:w="502" w:type="pct"/>
            <w:vAlign w:val="center"/>
          </w:tcPr>
          <w:p w14:paraId="7A6144FE">
            <w:pPr>
              <w:keepNext/>
              <w:spacing w:line="360" w:lineRule="auto"/>
              <w:jc w:val="center"/>
              <w:rPr>
                <w:rFonts w:cs="宋体"/>
                <w:color w:val="auto"/>
                <w:sz w:val="24"/>
                <w:szCs w:val="24"/>
                <w:highlight w:val="none"/>
              </w:rPr>
            </w:pPr>
          </w:p>
        </w:tc>
        <w:tc>
          <w:tcPr>
            <w:tcW w:w="1281" w:type="pct"/>
            <w:vAlign w:val="center"/>
          </w:tcPr>
          <w:p w14:paraId="62D97404">
            <w:pPr>
              <w:keepNext/>
              <w:spacing w:line="360" w:lineRule="auto"/>
              <w:jc w:val="center"/>
              <w:rPr>
                <w:rFonts w:cs="宋体"/>
                <w:color w:val="auto"/>
                <w:sz w:val="24"/>
                <w:szCs w:val="24"/>
                <w:highlight w:val="none"/>
              </w:rPr>
            </w:pPr>
          </w:p>
        </w:tc>
        <w:tc>
          <w:tcPr>
            <w:tcW w:w="1151" w:type="pct"/>
            <w:vAlign w:val="center"/>
          </w:tcPr>
          <w:p w14:paraId="47FFE593">
            <w:pPr>
              <w:keepNext/>
              <w:spacing w:line="360" w:lineRule="auto"/>
              <w:jc w:val="center"/>
              <w:rPr>
                <w:rFonts w:cs="宋体"/>
                <w:color w:val="auto"/>
                <w:sz w:val="24"/>
                <w:szCs w:val="24"/>
                <w:highlight w:val="none"/>
              </w:rPr>
            </w:pPr>
          </w:p>
        </w:tc>
      </w:tr>
      <w:tr w14:paraId="0FFD2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37" w:type="pct"/>
            <w:vMerge w:val="continue"/>
            <w:vAlign w:val="center"/>
          </w:tcPr>
          <w:p w14:paraId="27F9B9D9">
            <w:pPr>
              <w:keepNext/>
              <w:spacing w:line="360" w:lineRule="auto"/>
              <w:jc w:val="center"/>
              <w:rPr>
                <w:rFonts w:cs="宋体"/>
                <w:color w:val="auto"/>
                <w:sz w:val="24"/>
                <w:szCs w:val="24"/>
                <w:highlight w:val="none"/>
              </w:rPr>
            </w:pPr>
          </w:p>
        </w:tc>
        <w:tc>
          <w:tcPr>
            <w:tcW w:w="627" w:type="pct"/>
            <w:tcBorders>
              <w:bottom w:val="nil"/>
            </w:tcBorders>
            <w:vAlign w:val="center"/>
          </w:tcPr>
          <w:p w14:paraId="76F0F866">
            <w:pPr>
              <w:keepNext/>
              <w:spacing w:line="360" w:lineRule="auto"/>
              <w:jc w:val="center"/>
              <w:rPr>
                <w:rFonts w:cs="宋体"/>
                <w:color w:val="auto"/>
                <w:sz w:val="24"/>
                <w:szCs w:val="24"/>
                <w:highlight w:val="none"/>
              </w:rPr>
            </w:pPr>
          </w:p>
        </w:tc>
        <w:tc>
          <w:tcPr>
            <w:tcW w:w="502" w:type="pct"/>
            <w:tcBorders>
              <w:bottom w:val="nil"/>
            </w:tcBorders>
            <w:vAlign w:val="center"/>
          </w:tcPr>
          <w:p w14:paraId="14A515F2">
            <w:pPr>
              <w:keepNext/>
              <w:spacing w:line="360" w:lineRule="auto"/>
              <w:jc w:val="center"/>
              <w:rPr>
                <w:rFonts w:cs="宋体"/>
                <w:color w:val="auto"/>
                <w:sz w:val="24"/>
                <w:szCs w:val="24"/>
                <w:highlight w:val="none"/>
              </w:rPr>
            </w:pPr>
          </w:p>
        </w:tc>
        <w:tc>
          <w:tcPr>
            <w:tcW w:w="502" w:type="pct"/>
            <w:tcBorders>
              <w:bottom w:val="nil"/>
            </w:tcBorders>
            <w:vAlign w:val="center"/>
          </w:tcPr>
          <w:p w14:paraId="65FB9DFB">
            <w:pPr>
              <w:keepNext/>
              <w:spacing w:line="360" w:lineRule="auto"/>
              <w:jc w:val="center"/>
              <w:rPr>
                <w:rFonts w:cs="宋体"/>
                <w:color w:val="auto"/>
                <w:sz w:val="24"/>
                <w:szCs w:val="24"/>
                <w:highlight w:val="none"/>
              </w:rPr>
            </w:pPr>
          </w:p>
        </w:tc>
        <w:tc>
          <w:tcPr>
            <w:tcW w:w="1281" w:type="pct"/>
            <w:tcBorders>
              <w:bottom w:val="nil"/>
            </w:tcBorders>
            <w:vAlign w:val="center"/>
          </w:tcPr>
          <w:p w14:paraId="29EC4B8B">
            <w:pPr>
              <w:keepNext/>
              <w:spacing w:line="360" w:lineRule="auto"/>
              <w:jc w:val="center"/>
              <w:rPr>
                <w:rFonts w:cs="宋体"/>
                <w:color w:val="auto"/>
                <w:sz w:val="24"/>
                <w:szCs w:val="24"/>
                <w:highlight w:val="none"/>
              </w:rPr>
            </w:pPr>
          </w:p>
        </w:tc>
        <w:tc>
          <w:tcPr>
            <w:tcW w:w="1151" w:type="pct"/>
            <w:tcBorders>
              <w:bottom w:val="nil"/>
            </w:tcBorders>
            <w:vAlign w:val="center"/>
          </w:tcPr>
          <w:p w14:paraId="1CDA3098">
            <w:pPr>
              <w:keepNext/>
              <w:spacing w:line="360" w:lineRule="auto"/>
              <w:jc w:val="center"/>
              <w:rPr>
                <w:rFonts w:cs="宋体"/>
                <w:color w:val="auto"/>
                <w:sz w:val="24"/>
                <w:szCs w:val="24"/>
                <w:highlight w:val="none"/>
              </w:rPr>
            </w:pPr>
          </w:p>
        </w:tc>
      </w:tr>
      <w:tr w14:paraId="4B856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5631ACF6">
            <w:pPr>
              <w:keepNext/>
              <w:spacing w:line="360" w:lineRule="auto"/>
              <w:jc w:val="center"/>
              <w:rPr>
                <w:rFonts w:cs="宋体"/>
                <w:color w:val="auto"/>
                <w:sz w:val="24"/>
                <w:szCs w:val="24"/>
                <w:highlight w:val="none"/>
              </w:rPr>
            </w:pPr>
          </w:p>
        </w:tc>
        <w:tc>
          <w:tcPr>
            <w:tcW w:w="627" w:type="pct"/>
            <w:vAlign w:val="center"/>
          </w:tcPr>
          <w:p w14:paraId="31D71C4A">
            <w:pPr>
              <w:keepNext/>
              <w:spacing w:line="360" w:lineRule="auto"/>
              <w:jc w:val="center"/>
              <w:rPr>
                <w:rFonts w:cs="宋体"/>
                <w:color w:val="auto"/>
                <w:sz w:val="24"/>
                <w:szCs w:val="24"/>
                <w:highlight w:val="none"/>
              </w:rPr>
            </w:pPr>
          </w:p>
        </w:tc>
        <w:tc>
          <w:tcPr>
            <w:tcW w:w="502" w:type="pct"/>
            <w:vAlign w:val="center"/>
          </w:tcPr>
          <w:p w14:paraId="6895A115">
            <w:pPr>
              <w:keepNext/>
              <w:spacing w:line="360" w:lineRule="auto"/>
              <w:jc w:val="center"/>
              <w:rPr>
                <w:rFonts w:cs="宋体"/>
                <w:color w:val="auto"/>
                <w:sz w:val="24"/>
                <w:szCs w:val="24"/>
                <w:highlight w:val="none"/>
              </w:rPr>
            </w:pPr>
          </w:p>
        </w:tc>
        <w:tc>
          <w:tcPr>
            <w:tcW w:w="502" w:type="pct"/>
            <w:vAlign w:val="center"/>
          </w:tcPr>
          <w:p w14:paraId="5597519D">
            <w:pPr>
              <w:keepNext/>
              <w:spacing w:line="360" w:lineRule="auto"/>
              <w:jc w:val="center"/>
              <w:rPr>
                <w:rFonts w:cs="宋体"/>
                <w:color w:val="auto"/>
                <w:sz w:val="24"/>
                <w:szCs w:val="24"/>
                <w:highlight w:val="none"/>
              </w:rPr>
            </w:pPr>
          </w:p>
        </w:tc>
        <w:tc>
          <w:tcPr>
            <w:tcW w:w="1281" w:type="pct"/>
            <w:vAlign w:val="center"/>
          </w:tcPr>
          <w:p w14:paraId="7299263F">
            <w:pPr>
              <w:keepNext/>
              <w:spacing w:line="360" w:lineRule="auto"/>
              <w:jc w:val="center"/>
              <w:rPr>
                <w:rFonts w:cs="宋体"/>
                <w:color w:val="auto"/>
                <w:sz w:val="24"/>
                <w:szCs w:val="24"/>
                <w:highlight w:val="none"/>
              </w:rPr>
            </w:pPr>
          </w:p>
        </w:tc>
        <w:tc>
          <w:tcPr>
            <w:tcW w:w="1151" w:type="pct"/>
            <w:vAlign w:val="center"/>
          </w:tcPr>
          <w:p w14:paraId="2FA92384">
            <w:pPr>
              <w:keepNext/>
              <w:spacing w:line="360" w:lineRule="auto"/>
              <w:jc w:val="center"/>
              <w:rPr>
                <w:rFonts w:cs="宋体"/>
                <w:color w:val="auto"/>
                <w:sz w:val="24"/>
                <w:szCs w:val="24"/>
                <w:highlight w:val="none"/>
              </w:rPr>
            </w:pPr>
          </w:p>
        </w:tc>
      </w:tr>
      <w:tr w14:paraId="2327C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357C6B2">
            <w:pPr>
              <w:keepNext/>
              <w:spacing w:line="360" w:lineRule="auto"/>
              <w:jc w:val="center"/>
              <w:rPr>
                <w:rFonts w:cs="宋体"/>
                <w:color w:val="auto"/>
                <w:sz w:val="24"/>
                <w:szCs w:val="24"/>
                <w:highlight w:val="none"/>
              </w:rPr>
            </w:pPr>
          </w:p>
        </w:tc>
        <w:tc>
          <w:tcPr>
            <w:tcW w:w="627" w:type="pct"/>
            <w:vAlign w:val="center"/>
          </w:tcPr>
          <w:p w14:paraId="3FCD3DD8">
            <w:pPr>
              <w:keepNext/>
              <w:spacing w:line="360" w:lineRule="auto"/>
              <w:jc w:val="center"/>
              <w:rPr>
                <w:rFonts w:cs="宋体"/>
                <w:color w:val="auto"/>
                <w:sz w:val="24"/>
                <w:szCs w:val="24"/>
                <w:highlight w:val="none"/>
              </w:rPr>
            </w:pPr>
          </w:p>
        </w:tc>
        <w:tc>
          <w:tcPr>
            <w:tcW w:w="502" w:type="pct"/>
            <w:vAlign w:val="center"/>
          </w:tcPr>
          <w:p w14:paraId="314569AE">
            <w:pPr>
              <w:keepNext/>
              <w:spacing w:line="360" w:lineRule="auto"/>
              <w:jc w:val="center"/>
              <w:rPr>
                <w:rFonts w:cs="宋体"/>
                <w:color w:val="auto"/>
                <w:sz w:val="24"/>
                <w:szCs w:val="24"/>
                <w:highlight w:val="none"/>
              </w:rPr>
            </w:pPr>
          </w:p>
        </w:tc>
        <w:tc>
          <w:tcPr>
            <w:tcW w:w="502" w:type="pct"/>
            <w:vAlign w:val="center"/>
          </w:tcPr>
          <w:p w14:paraId="20B81D53">
            <w:pPr>
              <w:keepNext/>
              <w:spacing w:line="360" w:lineRule="auto"/>
              <w:jc w:val="center"/>
              <w:rPr>
                <w:rFonts w:cs="宋体"/>
                <w:color w:val="auto"/>
                <w:sz w:val="24"/>
                <w:szCs w:val="24"/>
                <w:highlight w:val="none"/>
              </w:rPr>
            </w:pPr>
          </w:p>
        </w:tc>
        <w:tc>
          <w:tcPr>
            <w:tcW w:w="1281" w:type="pct"/>
            <w:vAlign w:val="center"/>
          </w:tcPr>
          <w:p w14:paraId="063DB00E">
            <w:pPr>
              <w:keepNext/>
              <w:spacing w:line="360" w:lineRule="auto"/>
              <w:jc w:val="center"/>
              <w:rPr>
                <w:rFonts w:cs="宋体"/>
                <w:color w:val="auto"/>
                <w:sz w:val="24"/>
                <w:szCs w:val="24"/>
                <w:highlight w:val="none"/>
              </w:rPr>
            </w:pPr>
          </w:p>
        </w:tc>
        <w:tc>
          <w:tcPr>
            <w:tcW w:w="1151" w:type="pct"/>
            <w:vAlign w:val="center"/>
          </w:tcPr>
          <w:p w14:paraId="296659AD">
            <w:pPr>
              <w:keepNext/>
              <w:spacing w:line="360" w:lineRule="auto"/>
              <w:jc w:val="center"/>
              <w:rPr>
                <w:rFonts w:cs="宋体"/>
                <w:color w:val="auto"/>
                <w:sz w:val="24"/>
                <w:szCs w:val="24"/>
                <w:highlight w:val="none"/>
              </w:rPr>
            </w:pPr>
          </w:p>
        </w:tc>
      </w:tr>
      <w:tr w14:paraId="37133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5456927F">
            <w:pPr>
              <w:keepNext/>
              <w:spacing w:line="360" w:lineRule="auto"/>
              <w:jc w:val="center"/>
              <w:rPr>
                <w:rFonts w:cs="宋体"/>
                <w:color w:val="auto"/>
                <w:sz w:val="24"/>
                <w:szCs w:val="24"/>
                <w:highlight w:val="none"/>
              </w:rPr>
            </w:pPr>
          </w:p>
        </w:tc>
        <w:tc>
          <w:tcPr>
            <w:tcW w:w="627" w:type="pct"/>
            <w:vAlign w:val="center"/>
          </w:tcPr>
          <w:p w14:paraId="4763E272">
            <w:pPr>
              <w:keepNext/>
              <w:spacing w:line="360" w:lineRule="auto"/>
              <w:jc w:val="center"/>
              <w:rPr>
                <w:rFonts w:cs="宋体"/>
                <w:color w:val="auto"/>
                <w:sz w:val="24"/>
                <w:szCs w:val="24"/>
                <w:highlight w:val="none"/>
              </w:rPr>
            </w:pPr>
          </w:p>
        </w:tc>
        <w:tc>
          <w:tcPr>
            <w:tcW w:w="502" w:type="pct"/>
            <w:vAlign w:val="center"/>
          </w:tcPr>
          <w:p w14:paraId="302A3032">
            <w:pPr>
              <w:keepNext/>
              <w:spacing w:line="360" w:lineRule="auto"/>
              <w:jc w:val="center"/>
              <w:rPr>
                <w:rFonts w:cs="宋体"/>
                <w:color w:val="auto"/>
                <w:sz w:val="24"/>
                <w:szCs w:val="24"/>
                <w:highlight w:val="none"/>
              </w:rPr>
            </w:pPr>
          </w:p>
        </w:tc>
        <w:tc>
          <w:tcPr>
            <w:tcW w:w="502" w:type="pct"/>
            <w:vAlign w:val="center"/>
          </w:tcPr>
          <w:p w14:paraId="6F1C86DA">
            <w:pPr>
              <w:keepNext/>
              <w:spacing w:line="360" w:lineRule="auto"/>
              <w:jc w:val="center"/>
              <w:rPr>
                <w:rFonts w:cs="宋体"/>
                <w:color w:val="auto"/>
                <w:sz w:val="24"/>
                <w:szCs w:val="24"/>
                <w:highlight w:val="none"/>
              </w:rPr>
            </w:pPr>
          </w:p>
        </w:tc>
        <w:tc>
          <w:tcPr>
            <w:tcW w:w="1281" w:type="pct"/>
            <w:vAlign w:val="center"/>
          </w:tcPr>
          <w:p w14:paraId="102A0016">
            <w:pPr>
              <w:keepNext/>
              <w:spacing w:line="360" w:lineRule="auto"/>
              <w:jc w:val="center"/>
              <w:rPr>
                <w:rFonts w:cs="宋体"/>
                <w:color w:val="auto"/>
                <w:sz w:val="24"/>
                <w:szCs w:val="24"/>
                <w:highlight w:val="none"/>
              </w:rPr>
            </w:pPr>
          </w:p>
        </w:tc>
        <w:tc>
          <w:tcPr>
            <w:tcW w:w="1151" w:type="pct"/>
            <w:vAlign w:val="center"/>
          </w:tcPr>
          <w:p w14:paraId="32E1ACC4">
            <w:pPr>
              <w:keepNext/>
              <w:spacing w:line="360" w:lineRule="auto"/>
              <w:jc w:val="center"/>
              <w:rPr>
                <w:rFonts w:cs="宋体"/>
                <w:color w:val="auto"/>
                <w:sz w:val="24"/>
                <w:szCs w:val="24"/>
                <w:highlight w:val="none"/>
              </w:rPr>
            </w:pPr>
          </w:p>
        </w:tc>
      </w:tr>
      <w:tr w14:paraId="1DA92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1DECADEB">
            <w:pPr>
              <w:keepNext/>
              <w:spacing w:line="360" w:lineRule="auto"/>
              <w:jc w:val="center"/>
              <w:rPr>
                <w:rFonts w:cs="宋体"/>
                <w:color w:val="auto"/>
                <w:sz w:val="24"/>
                <w:szCs w:val="24"/>
                <w:highlight w:val="none"/>
              </w:rPr>
            </w:pPr>
          </w:p>
        </w:tc>
        <w:tc>
          <w:tcPr>
            <w:tcW w:w="627" w:type="pct"/>
            <w:tcBorders>
              <w:bottom w:val="single" w:color="auto" w:sz="12" w:space="0"/>
            </w:tcBorders>
            <w:vAlign w:val="center"/>
          </w:tcPr>
          <w:p w14:paraId="0B864E5F">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11F571B4">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128719D7">
            <w:pPr>
              <w:keepNext/>
              <w:spacing w:line="360" w:lineRule="auto"/>
              <w:jc w:val="center"/>
              <w:rPr>
                <w:rFonts w:cs="宋体"/>
                <w:color w:val="auto"/>
                <w:sz w:val="24"/>
                <w:szCs w:val="24"/>
                <w:highlight w:val="none"/>
              </w:rPr>
            </w:pPr>
          </w:p>
        </w:tc>
        <w:tc>
          <w:tcPr>
            <w:tcW w:w="1281" w:type="pct"/>
            <w:tcBorders>
              <w:bottom w:val="single" w:color="auto" w:sz="12" w:space="0"/>
            </w:tcBorders>
            <w:vAlign w:val="center"/>
          </w:tcPr>
          <w:p w14:paraId="0D471DA3">
            <w:pPr>
              <w:keepNext/>
              <w:spacing w:line="360" w:lineRule="auto"/>
              <w:jc w:val="center"/>
              <w:rPr>
                <w:rFonts w:cs="宋体"/>
                <w:color w:val="auto"/>
                <w:sz w:val="24"/>
                <w:szCs w:val="24"/>
                <w:highlight w:val="none"/>
              </w:rPr>
            </w:pPr>
          </w:p>
        </w:tc>
        <w:tc>
          <w:tcPr>
            <w:tcW w:w="1151" w:type="pct"/>
            <w:tcBorders>
              <w:bottom w:val="single" w:color="auto" w:sz="12" w:space="0"/>
            </w:tcBorders>
            <w:vAlign w:val="center"/>
          </w:tcPr>
          <w:p w14:paraId="565F5CD0">
            <w:pPr>
              <w:keepNext/>
              <w:spacing w:line="360" w:lineRule="auto"/>
              <w:jc w:val="center"/>
              <w:rPr>
                <w:rFonts w:cs="宋体"/>
                <w:color w:val="auto"/>
                <w:sz w:val="24"/>
                <w:szCs w:val="24"/>
                <w:highlight w:val="none"/>
              </w:rPr>
            </w:pPr>
          </w:p>
        </w:tc>
      </w:tr>
    </w:tbl>
    <w:p w14:paraId="177B223F">
      <w:pPr>
        <w:spacing w:before="312" w:beforeLines="100" w:after="312" w:afterLines="100"/>
        <w:outlineLvl w:val="9"/>
        <w:rPr>
          <w:rFonts w:hint="eastAsia" w:ascii="Times New Roman" w:eastAsia="黑体"/>
          <w:color w:val="auto"/>
          <w:sz w:val="24"/>
          <w:szCs w:val="24"/>
          <w:highlight w:val="none"/>
        </w:rPr>
      </w:pPr>
    </w:p>
    <w:p w14:paraId="3F46EA38">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67A1F0A9">
      <w:pPr>
        <w:spacing w:before="312" w:beforeLines="100" w:after="312" w:afterLines="100"/>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6</w:t>
      </w:r>
      <w:r>
        <w:rPr>
          <w:rFonts w:hint="eastAsia" w:ascii="Times New Roman" w:eastAsia="黑体"/>
          <w:color w:val="auto"/>
          <w:sz w:val="24"/>
          <w:szCs w:val="24"/>
          <w:highlight w:val="none"/>
        </w:rPr>
        <w:t>：履约保证金</w:t>
      </w:r>
      <w:bookmarkEnd w:id="646"/>
      <w:r>
        <w:rPr>
          <w:rFonts w:hint="eastAsia" w:ascii="Times New Roman" w:eastAsia="黑体"/>
          <w:color w:val="auto"/>
          <w:sz w:val="24"/>
          <w:szCs w:val="24"/>
          <w:highlight w:val="none"/>
          <w:lang w:val="en-US" w:eastAsia="zh-CN"/>
        </w:rPr>
        <w:t>格式</w:t>
      </w:r>
    </w:p>
    <w:p w14:paraId="1FF6E4DC">
      <w:pPr>
        <w:spacing w:line="360" w:lineRule="auto"/>
        <w:jc w:val="center"/>
        <w:rPr>
          <w:rFonts w:cs="宋体"/>
          <w:b/>
          <w:bCs/>
          <w:color w:val="auto"/>
          <w:sz w:val="24"/>
          <w:szCs w:val="24"/>
          <w:highlight w:val="none"/>
        </w:rPr>
      </w:pPr>
      <w:r>
        <w:rPr>
          <w:rFonts w:hint="eastAsia" w:cs="宋体"/>
          <w:b/>
          <w:bCs/>
          <w:color w:val="auto"/>
          <w:sz w:val="24"/>
          <w:szCs w:val="24"/>
          <w:highlight w:val="none"/>
        </w:rPr>
        <w:t>履约保函示范文本</w:t>
      </w:r>
    </w:p>
    <w:p w14:paraId="4A65EB7B">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5434F8A3">
      <w:pPr>
        <w:spacing w:line="360" w:lineRule="auto"/>
        <w:rPr>
          <w:rFonts w:ascii="Times New Roman"/>
          <w:color w:val="auto"/>
          <w:sz w:val="24"/>
          <w:szCs w:val="24"/>
          <w:highlight w:val="none"/>
        </w:rPr>
      </w:pPr>
    </w:p>
    <w:p w14:paraId="651A2E71">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750EE979">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乙方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，基于申请人的请求，开立人同意就申请人履行与受益人签订的基础合同项下的义务，向受益人提供不可撤销、不可转让的见索即付独立保函（以下简称“本保函”）。 </w:t>
      </w:r>
    </w:p>
    <w:p w14:paraId="58E9B231">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w:t>
      </w:r>
      <w:r>
        <w:rPr>
          <w:rFonts w:hint="eastAsia" w:cs="宋体"/>
          <w:color w:val="auto"/>
          <w:sz w:val="24"/>
          <w:szCs w:val="24"/>
          <w:highlight w:val="none"/>
          <w:lang w:eastAsia="zh-CN"/>
        </w:rPr>
        <w:t>乙方</w:t>
      </w:r>
      <w:r>
        <w:rPr>
          <w:rFonts w:hint="eastAsia" w:cs="宋体"/>
          <w:color w:val="auto"/>
          <w:sz w:val="24"/>
          <w:szCs w:val="24"/>
          <w:highlight w:val="none"/>
        </w:rPr>
        <w:t>未按照基础合同的约定履行义务，应当向受益人承担的违约责任和赔偿因此造成的损失、利息、律师费、诉讼费用等实现债权的费用。</w:t>
      </w:r>
    </w:p>
    <w:p w14:paraId="07535532">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2A6155AE">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三、本保函有效期自开立之日起至基础合同约定的缺陷责任期满之日止。 </w:t>
      </w:r>
    </w:p>
    <w:p w14:paraId="31D609CD">
      <w:pPr>
        <w:spacing w:line="360" w:lineRule="auto"/>
        <w:ind w:firstLine="480"/>
        <w:rPr>
          <w:rFonts w:cs="宋体"/>
          <w:color w:val="auto"/>
          <w:sz w:val="24"/>
          <w:szCs w:val="24"/>
          <w:highlight w:val="none"/>
        </w:rPr>
      </w:pPr>
      <w:bookmarkStart w:id="647" w:name="_Hlk40302764"/>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bookmarkEnd w:id="647"/>
    <w:p w14:paraId="779C0943">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6884EC2E">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4064DA4F">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01938A4A">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62B19B57">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AF249FB">
      <w:pPr>
        <w:spacing w:line="360" w:lineRule="auto"/>
        <w:ind w:firstLine="480" w:firstLineChars="200"/>
        <w:rPr>
          <w:rFonts w:cs="宋体"/>
          <w:color w:val="auto"/>
          <w:sz w:val="24"/>
          <w:szCs w:val="24"/>
          <w:highlight w:val="none"/>
        </w:rPr>
      </w:pPr>
      <w:bookmarkStart w:id="648" w:name="_Hlk40303486"/>
      <w:r>
        <w:rPr>
          <w:rFonts w:hint="eastAsia" w:cs="宋体"/>
          <w:color w:val="auto"/>
          <w:sz w:val="24"/>
          <w:szCs w:val="24"/>
          <w:highlight w:val="none"/>
        </w:rPr>
        <w:t>受益人发出的书面付款通知应由其法定代表人（负责人）或授权代理人签字并加盖公章。</w:t>
      </w:r>
      <w:bookmarkEnd w:id="648"/>
    </w:p>
    <w:p w14:paraId="336627AF">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五、本保函项下的权利不得转让，不得设定担保。受益人未经我方书面同意转 让本保函或其项下任何权利，对我方不发生法律效力。 </w:t>
      </w:r>
    </w:p>
    <w:p w14:paraId="09AB1BC6">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六、与本保函有关的基础合同不成立、不生效、无效、被撤销、被解除，不影响本保函的独立有效。 </w:t>
      </w:r>
    </w:p>
    <w:p w14:paraId="181492C7">
      <w:pPr>
        <w:spacing w:line="360" w:lineRule="auto"/>
        <w:ind w:firstLine="480" w:firstLineChars="200"/>
        <w:rPr>
          <w:rFonts w:cs="宋体"/>
          <w:color w:val="auto"/>
          <w:sz w:val="24"/>
          <w:szCs w:val="24"/>
          <w:highlight w:val="none"/>
        </w:rPr>
      </w:pPr>
      <w:bookmarkStart w:id="649" w:name="_Hlk40303383"/>
      <w:bookmarkStart w:id="650" w:name="_Hlk40354981"/>
      <w:r>
        <w:rPr>
          <w:rFonts w:hint="eastAsia" w:cs="宋体"/>
          <w:color w:val="auto"/>
          <w:sz w:val="24"/>
          <w:szCs w:val="24"/>
          <w:highlight w:val="none"/>
        </w:rPr>
        <w:t xml:space="preserve">七、本保函项下的义务和责任均在保函有效期到期后自动消灭。 </w:t>
      </w:r>
    </w:p>
    <w:p w14:paraId="6F3A7379">
      <w:pPr>
        <w:spacing w:line="360" w:lineRule="auto"/>
        <w:ind w:firstLine="480" w:firstLineChars="200"/>
        <w:rPr>
          <w:rFonts w:cs="宋体"/>
          <w:color w:val="auto"/>
          <w:sz w:val="24"/>
          <w:szCs w:val="24"/>
          <w:highlight w:val="none"/>
        </w:rPr>
      </w:pPr>
      <w:r>
        <w:rPr>
          <w:rFonts w:hint="eastAsia" w:cs="宋体"/>
          <w:color w:val="auto"/>
          <w:sz w:val="24"/>
          <w:szCs w:val="24"/>
          <w:highlight w:val="none"/>
        </w:rPr>
        <w:t>八、本保函适用的法律为中华人民共和国法律，因本保函产生的纠纷案件，</w:t>
      </w:r>
      <w:bookmarkEnd w:id="649"/>
      <w:r>
        <w:rPr>
          <w:rFonts w:hint="eastAsia" w:cs="宋体"/>
          <w:color w:val="auto"/>
          <w:sz w:val="24"/>
          <w:szCs w:val="24"/>
          <w:highlight w:val="none"/>
        </w:rPr>
        <w:t xml:space="preserve">由受益人所在地人民法院管辖。 </w:t>
      </w:r>
    </w:p>
    <w:bookmarkEnd w:id="650"/>
    <w:p w14:paraId="6148AEE9">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3047D98C">
      <w:pPr>
        <w:spacing w:line="360" w:lineRule="auto"/>
        <w:ind w:firstLine="480" w:firstLineChars="200"/>
        <w:rPr>
          <w:rFonts w:cs="宋体"/>
          <w:color w:val="auto"/>
          <w:sz w:val="24"/>
          <w:szCs w:val="24"/>
          <w:highlight w:val="none"/>
        </w:rPr>
      </w:pPr>
    </w:p>
    <w:p w14:paraId="4376B3D1">
      <w:pPr>
        <w:spacing w:line="360" w:lineRule="auto"/>
        <w:ind w:firstLine="480" w:firstLineChars="200"/>
        <w:rPr>
          <w:rFonts w:cs="宋体"/>
          <w:color w:val="auto"/>
          <w:sz w:val="24"/>
          <w:szCs w:val="24"/>
          <w:highlight w:val="none"/>
        </w:rPr>
      </w:pPr>
    </w:p>
    <w:p w14:paraId="2028960A">
      <w:pPr>
        <w:spacing w:line="360" w:lineRule="auto"/>
        <w:ind w:firstLine="480" w:firstLineChars="200"/>
        <w:rPr>
          <w:rFonts w:cs="宋体"/>
          <w:color w:val="auto"/>
          <w:sz w:val="24"/>
          <w:szCs w:val="24"/>
          <w:highlight w:val="none"/>
        </w:rPr>
      </w:pPr>
    </w:p>
    <w:p w14:paraId="3D82363C">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61224A5C">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0F44C666">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1401CEFA">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1A76A684">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58E4A570">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13152C5F">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04BD18D3">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Cs/>
          <w:color w:val="auto"/>
          <w:sz w:val="24"/>
          <w:szCs w:val="24"/>
          <w:highlight w:val="none"/>
        </w:rPr>
        <w:br w:type="page"/>
      </w:r>
      <w:bookmarkStart w:id="651" w:name="_Toc128950245"/>
      <w:bookmarkStart w:id="652" w:name="_Toc267261702"/>
      <w:bookmarkStart w:id="653" w:name="_Toc296891060"/>
      <w:bookmarkStart w:id="654" w:name="_Toc296346733"/>
      <w:bookmarkStart w:id="655" w:name="_Toc296891272"/>
      <w:bookmarkStart w:id="656" w:name="_Toc296503232"/>
      <w:bookmarkStart w:id="657" w:name="_Toc296347231"/>
      <w:bookmarkStart w:id="658" w:name="_Toc296944571"/>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7</w:t>
      </w:r>
      <w:r>
        <w:rPr>
          <w:rFonts w:hint="eastAsia" w:ascii="Times New Roman" w:eastAsia="黑体"/>
          <w:color w:val="auto"/>
          <w:sz w:val="24"/>
          <w:szCs w:val="24"/>
          <w:highlight w:val="none"/>
        </w:rPr>
        <w:t>：预付款担保</w:t>
      </w:r>
      <w:bookmarkEnd w:id="651"/>
      <w:r>
        <w:rPr>
          <w:rFonts w:hint="eastAsia" w:ascii="Times New Roman" w:eastAsia="黑体"/>
          <w:color w:val="auto"/>
          <w:sz w:val="24"/>
          <w:szCs w:val="24"/>
          <w:highlight w:val="none"/>
          <w:lang w:val="en-US" w:eastAsia="zh-CN"/>
        </w:rPr>
        <w:t>格式</w:t>
      </w:r>
    </w:p>
    <w:bookmarkEnd w:id="652"/>
    <w:bookmarkEnd w:id="653"/>
    <w:bookmarkEnd w:id="654"/>
    <w:bookmarkEnd w:id="655"/>
    <w:bookmarkEnd w:id="656"/>
    <w:bookmarkEnd w:id="657"/>
    <w:bookmarkEnd w:id="658"/>
    <w:p w14:paraId="25F32637">
      <w:pPr>
        <w:spacing w:line="360" w:lineRule="auto"/>
        <w:jc w:val="center"/>
        <w:rPr>
          <w:rFonts w:cs="宋体"/>
          <w:b/>
          <w:bCs/>
          <w:color w:val="auto"/>
          <w:sz w:val="24"/>
          <w:szCs w:val="24"/>
          <w:highlight w:val="none"/>
        </w:rPr>
      </w:pPr>
      <w:r>
        <w:rPr>
          <w:rFonts w:hint="eastAsia" w:cs="宋体"/>
          <w:b/>
          <w:bCs/>
          <w:color w:val="auto"/>
          <w:sz w:val="24"/>
          <w:szCs w:val="24"/>
          <w:highlight w:val="none"/>
        </w:rPr>
        <w:t>预付款保函示范文本</w:t>
      </w:r>
    </w:p>
    <w:p w14:paraId="794B9EC3">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32FB03D4">
      <w:pPr>
        <w:spacing w:line="360" w:lineRule="auto"/>
        <w:rPr>
          <w:rFonts w:ascii="Times New Roman"/>
          <w:color w:val="auto"/>
          <w:sz w:val="24"/>
          <w:szCs w:val="24"/>
          <w:highlight w:val="none"/>
        </w:rPr>
      </w:pPr>
    </w:p>
    <w:p w14:paraId="4BE452F4">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72C08DB9">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（以下简称“基础合同”），开立人根据主合同了解到申请人为主合同项下之</w:t>
      </w:r>
      <w:r>
        <w:rPr>
          <w:rFonts w:hint="eastAsia" w:cs="宋体"/>
          <w:color w:val="auto"/>
          <w:sz w:val="24"/>
          <w:szCs w:val="24"/>
          <w:highlight w:val="none"/>
          <w:lang w:eastAsia="zh-CN"/>
        </w:rPr>
        <w:t>乙方</w:t>
      </w:r>
      <w:r>
        <w:rPr>
          <w:rFonts w:hint="eastAsia" w:cs="宋体"/>
          <w:color w:val="auto"/>
          <w:sz w:val="24"/>
          <w:szCs w:val="24"/>
          <w:highlight w:val="none"/>
        </w:rPr>
        <w:t>，受益人为主合同项下之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，基于申请人的请求，开立人同意就申请人按照合同约定正确和合理地为合同目的使用预付款，向受益人提供不可撤销、不可转让的见索即付独立保函（以下简称“本保函”）。 </w:t>
      </w:r>
    </w:p>
    <w:p w14:paraId="14221B65">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一、本保函担保范围：申请人未按照合同约定正确和合理地为合同目的使用预付款，应当向受益人承担的违约责任和赔偿因此造成的损失、利息、律师费、诉讼费用等实现债权的费用。</w:t>
      </w:r>
    </w:p>
    <w:p w14:paraId="1E779036">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172F691">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w:t>
      </w:r>
      <w:r>
        <w:rPr>
          <w:rFonts w:hint="eastAsia" w:cs="宋体"/>
          <w:color w:val="auto"/>
          <w:sz w:val="24"/>
          <w:szCs w:val="24"/>
          <w:highlight w:val="none"/>
          <w:lang w:eastAsia="zh-CN"/>
        </w:rPr>
        <w:t>甲方</w:t>
      </w:r>
      <w:r>
        <w:rPr>
          <w:rFonts w:hint="eastAsia" w:cs="宋体"/>
          <w:color w:val="auto"/>
          <w:sz w:val="24"/>
          <w:szCs w:val="24"/>
          <w:highlight w:val="none"/>
        </w:rPr>
        <w:t>全额扣回预付款之日止。</w:t>
      </w:r>
    </w:p>
    <w:p w14:paraId="6ECE675D">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719DDA22">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020FDE53">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5AE73373">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2E6858A9">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1AF7328B">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1F779C7">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4453014A">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6711411C">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76E29CBD">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5FAFE93F">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八、本保函适用的法律为中华人民共和国法律，因本保函产生的纠纷案件，由受益人所在地人民法院管辖。 </w:t>
      </w:r>
    </w:p>
    <w:p w14:paraId="3406CB45">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50C893E3">
      <w:pPr>
        <w:spacing w:line="360" w:lineRule="auto"/>
        <w:ind w:firstLine="480" w:firstLineChars="200"/>
        <w:rPr>
          <w:rFonts w:cs="宋体"/>
          <w:color w:val="auto"/>
          <w:sz w:val="24"/>
          <w:szCs w:val="24"/>
          <w:highlight w:val="none"/>
        </w:rPr>
      </w:pPr>
    </w:p>
    <w:p w14:paraId="7B69F6AF">
      <w:pPr>
        <w:spacing w:line="360" w:lineRule="auto"/>
        <w:ind w:firstLine="480" w:firstLineChars="200"/>
        <w:rPr>
          <w:rFonts w:cs="宋体"/>
          <w:color w:val="auto"/>
          <w:sz w:val="24"/>
          <w:szCs w:val="24"/>
          <w:highlight w:val="none"/>
        </w:rPr>
      </w:pPr>
    </w:p>
    <w:p w14:paraId="52E25BFA">
      <w:pPr>
        <w:spacing w:line="360" w:lineRule="auto"/>
        <w:ind w:firstLine="480" w:firstLineChars="200"/>
        <w:rPr>
          <w:rFonts w:cs="宋体"/>
          <w:color w:val="auto"/>
          <w:sz w:val="24"/>
          <w:szCs w:val="24"/>
          <w:highlight w:val="none"/>
        </w:rPr>
      </w:pPr>
    </w:p>
    <w:p w14:paraId="3235147B">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7F0B251F">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6CC91F5E">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61453CF3">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0D864887">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4F34DB24">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31C35331">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0C10550A">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
          <w:bCs/>
          <w:color w:val="auto"/>
          <w:sz w:val="24"/>
          <w:szCs w:val="24"/>
          <w:highlight w:val="none"/>
        </w:rPr>
        <w:br w:type="page"/>
      </w:r>
      <w:bookmarkStart w:id="659" w:name="_Toc128950246"/>
      <w:r>
        <w:rPr>
          <w:rFonts w:hint="eastAsia" w:ascii="Times New Roman" w:eastAsia="黑体"/>
          <w:color w:val="auto"/>
          <w:sz w:val="24"/>
          <w:szCs w:val="24"/>
          <w:highlight w:val="none"/>
        </w:rPr>
        <w:t>附</w:t>
      </w:r>
      <w:bookmarkStart w:id="660" w:name="_Toc296891061"/>
      <w:bookmarkStart w:id="661" w:name="_Toc296944572"/>
      <w:bookmarkStart w:id="662" w:name="_Toc296346734"/>
      <w:bookmarkStart w:id="663" w:name="_Toc296503233"/>
      <w:bookmarkStart w:id="664" w:name="_Toc296347232"/>
      <w:bookmarkStart w:id="665" w:name="_Toc296891273"/>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8</w:t>
      </w:r>
      <w:r>
        <w:rPr>
          <w:rFonts w:hint="eastAsia" w:ascii="Times New Roman" w:eastAsia="黑体"/>
          <w:color w:val="auto"/>
          <w:sz w:val="24"/>
          <w:szCs w:val="24"/>
          <w:highlight w:val="none"/>
        </w:rPr>
        <w:t>：支付担保</w:t>
      </w:r>
      <w:bookmarkEnd w:id="659"/>
      <w:bookmarkEnd w:id="660"/>
      <w:bookmarkEnd w:id="661"/>
      <w:bookmarkEnd w:id="662"/>
      <w:bookmarkEnd w:id="663"/>
      <w:bookmarkEnd w:id="664"/>
      <w:bookmarkEnd w:id="665"/>
      <w:r>
        <w:rPr>
          <w:rFonts w:hint="eastAsia" w:ascii="Times New Roman" w:eastAsia="黑体"/>
          <w:color w:val="auto"/>
          <w:sz w:val="24"/>
          <w:szCs w:val="24"/>
          <w:highlight w:val="none"/>
          <w:lang w:val="en-US" w:eastAsia="zh-CN"/>
        </w:rPr>
        <w:t>格式</w:t>
      </w:r>
    </w:p>
    <w:p w14:paraId="59611CD0">
      <w:pPr>
        <w:spacing w:line="360" w:lineRule="auto"/>
        <w:jc w:val="center"/>
        <w:rPr>
          <w:rFonts w:cs="宋体"/>
          <w:b/>
          <w:bCs/>
          <w:color w:val="auto"/>
          <w:sz w:val="24"/>
          <w:szCs w:val="24"/>
          <w:highlight w:val="none"/>
        </w:rPr>
      </w:pPr>
      <w:r>
        <w:rPr>
          <w:rFonts w:hint="eastAsia" w:cs="宋体"/>
          <w:b/>
          <w:bCs/>
          <w:color w:val="auto"/>
          <w:sz w:val="24"/>
          <w:szCs w:val="24"/>
          <w:highlight w:val="none"/>
        </w:rPr>
        <w:t>支付保函示范文本</w:t>
      </w:r>
    </w:p>
    <w:p w14:paraId="2644530D">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0A8C97E5">
      <w:pPr>
        <w:spacing w:line="360" w:lineRule="auto"/>
        <w:rPr>
          <w:rFonts w:ascii="Times New Roman"/>
          <w:color w:val="auto"/>
          <w:sz w:val="24"/>
          <w:szCs w:val="24"/>
          <w:highlight w:val="none"/>
        </w:rPr>
      </w:pPr>
    </w:p>
    <w:p w14:paraId="22BD80F6">
      <w:pPr>
        <w:spacing w:line="360" w:lineRule="auto"/>
        <w:rPr>
          <w:rFonts w:cs="宋体"/>
          <w:color w:val="auto"/>
          <w:sz w:val="24"/>
          <w:szCs w:val="24"/>
          <w:highlight w:val="none"/>
        </w:rPr>
      </w:pPr>
      <w:bookmarkStart w:id="666" w:name="_Hlk40355074"/>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bookmarkEnd w:id="666"/>
    <w:p w14:paraId="16687A55">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甲方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乙方</w:t>
      </w:r>
      <w:r>
        <w:rPr>
          <w:rFonts w:hint="eastAsia" w:cs="宋体"/>
          <w:color w:val="auto"/>
          <w:sz w:val="24"/>
          <w:szCs w:val="24"/>
          <w:highlight w:val="none"/>
        </w:rPr>
        <w:t xml:space="preserve">，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660E3430">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一、本保函担保范围：申请人未履行基础合同约定的工程款支付义务，应当向受益人承担的违约责任和赔偿因此造成的损失、利息、律师费、诉讼费用等实现债权的费用。</w:t>
      </w:r>
    </w:p>
    <w:p w14:paraId="13D7CC7C">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698A45CD">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三、本保函有效期自开立之日起至基础合同约定的除工程质量保修金以外的全部工程结算款项支付之日后</w:t>
      </w:r>
      <w:r>
        <w:rPr>
          <w:rFonts w:hint="eastAsia" w:cs="宋体"/>
          <w:color w:val="auto"/>
          <w:sz w:val="24"/>
          <w:szCs w:val="24"/>
          <w:highlight w:val="none"/>
          <w:u w:val="single"/>
        </w:rPr>
        <w:t xml:space="preserve">    </w:t>
      </w:r>
      <w:r>
        <w:rPr>
          <w:rFonts w:hint="eastAsia" w:cs="宋体"/>
          <w:color w:val="auto"/>
          <w:sz w:val="24"/>
          <w:szCs w:val="24"/>
          <w:highlight w:val="none"/>
        </w:rPr>
        <w:t xml:space="preserve">日止。 </w:t>
      </w:r>
    </w:p>
    <w:p w14:paraId="2A7AD649">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6E291E50">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486B82D7">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3905EAF3">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7E266599">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4311470C">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F9B2A97">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58298140">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13C0848B">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5C70E9FC">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3AF0CD6F">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八、本保函适用的法律为中华人民共和国法律，因本保函产生的纠纷案件，由申请人所在地人民法院管辖。 </w:t>
      </w:r>
    </w:p>
    <w:p w14:paraId="526B1B3A">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1ABF8DB2">
      <w:pPr>
        <w:spacing w:line="360" w:lineRule="auto"/>
        <w:ind w:firstLine="480" w:firstLineChars="200"/>
        <w:rPr>
          <w:rFonts w:cs="宋体"/>
          <w:color w:val="auto"/>
          <w:sz w:val="24"/>
          <w:szCs w:val="24"/>
          <w:highlight w:val="none"/>
        </w:rPr>
      </w:pPr>
    </w:p>
    <w:p w14:paraId="1FB6F575">
      <w:pPr>
        <w:spacing w:line="360" w:lineRule="auto"/>
        <w:ind w:firstLine="480" w:firstLineChars="200"/>
        <w:rPr>
          <w:rFonts w:cs="宋体"/>
          <w:color w:val="auto"/>
          <w:sz w:val="24"/>
          <w:szCs w:val="24"/>
          <w:highlight w:val="none"/>
        </w:rPr>
      </w:pPr>
    </w:p>
    <w:p w14:paraId="3E401839">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107B9E7F">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29AF9BC5">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72B55B4F">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5E347ED0">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46131B60">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4E197674">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343CB70F">
      <w:pPr>
        <w:rPr>
          <w:b/>
          <w:color w:val="auto"/>
          <w:sz w:val="24"/>
          <w:szCs w:val="24"/>
          <w:highlight w:val="none"/>
        </w:rPr>
      </w:pPr>
      <w:r>
        <w:rPr>
          <w:rFonts w:ascii="Times New Roman" w:eastAsia="黑体"/>
          <w:bCs/>
          <w:color w:val="auto"/>
          <w:sz w:val="24"/>
          <w:szCs w:val="24"/>
          <w:highlight w:val="none"/>
        </w:rPr>
        <w:br w:type="page"/>
      </w:r>
    </w:p>
    <w:p w14:paraId="4546CE2A">
      <w:pPr>
        <w:spacing w:line="360" w:lineRule="auto"/>
        <w:jc w:val="center"/>
        <w:outlineLvl w:val="0"/>
        <w:rPr>
          <w:rFonts w:ascii="宋体" w:hAnsi="宋体" w:eastAsia="宋体"/>
          <w:b/>
          <w:color w:val="auto"/>
          <w:sz w:val="24"/>
          <w:szCs w:val="24"/>
          <w:highlight w:val="none"/>
        </w:rPr>
      </w:pPr>
      <w:bookmarkStart w:id="667" w:name="_Toc22734"/>
      <w:r>
        <w:rPr>
          <w:rFonts w:hint="eastAsia" w:ascii="宋体" w:hAnsi="宋体" w:eastAsia="宋体"/>
          <w:b/>
          <w:color w:val="auto"/>
          <w:sz w:val="24"/>
          <w:szCs w:val="24"/>
          <w:highlight w:val="none"/>
        </w:rPr>
        <w:t>第六章  响应文件格式</w:t>
      </w:r>
      <w:bookmarkEnd w:id="667"/>
    </w:p>
    <w:p w14:paraId="7C4D611A">
      <w:pPr>
        <w:spacing w:line="900" w:lineRule="exact"/>
        <w:jc w:val="center"/>
        <w:rPr>
          <w:rFonts w:ascii="宋体" w:hAnsi="宋体" w:eastAsia="宋体"/>
          <w:b/>
          <w:color w:val="auto"/>
          <w:sz w:val="24"/>
          <w:szCs w:val="24"/>
          <w:highlight w:val="none"/>
        </w:rPr>
      </w:pPr>
    </w:p>
    <w:p w14:paraId="56CBD223">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响</w:t>
      </w:r>
    </w:p>
    <w:p w14:paraId="40F0A277">
      <w:pPr>
        <w:spacing w:line="900" w:lineRule="exact"/>
        <w:jc w:val="center"/>
        <w:rPr>
          <w:rFonts w:ascii="宋体" w:hAnsi="宋体" w:eastAsia="宋体"/>
          <w:b/>
          <w:color w:val="auto"/>
          <w:sz w:val="72"/>
          <w:szCs w:val="72"/>
          <w:highlight w:val="none"/>
        </w:rPr>
      </w:pPr>
    </w:p>
    <w:p w14:paraId="0248267D">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应</w:t>
      </w:r>
    </w:p>
    <w:p w14:paraId="50D74418">
      <w:pPr>
        <w:spacing w:line="900" w:lineRule="exact"/>
        <w:jc w:val="center"/>
        <w:rPr>
          <w:rFonts w:ascii="宋体" w:hAnsi="宋体" w:eastAsia="宋体"/>
          <w:b/>
          <w:color w:val="auto"/>
          <w:sz w:val="72"/>
          <w:szCs w:val="72"/>
          <w:highlight w:val="none"/>
        </w:rPr>
      </w:pPr>
    </w:p>
    <w:p w14:paraId="3D9E34DE">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文</w:t>
      </w:r>
    </w:p>
    <w:p w14:paraId="0034A1B0">
      <w:pPr>
        <w:spacing w:line="900" w:lineRule="exact"/>
        <w:jc w:val="center"/>
        <w:rPr>
          <w:rFonts w:ascii="宋体" w:hAnsi="宋体" w:eastAsia="宋体"/>
          <w:b/>
          <w:color w:val="auto"/>
          <w:sz w:val="72"/>
          <w:szCs w:val="72"/>
          <w:highlight w:val="none"/>
        </w:rPr>
      </w:pPr>
    </w:p>
    <w:p w14:paraId="5F664E65">
      <w:pPr>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件</w:t>
      </w:r>
    </w:p>
    <w:p w14:paraId="680EA5A3">
      <w:pPr>
        <w:spacing w:after="156" w:afterLines="50"/>
        <w:jc w:val="center"/>
        <w:rPr>
          <w:rFonts w:ascii="宋体" w:hAnsi="宋体" w:eastAsia="宋体"/>
          <w:b/>
          <w:color w:val="auto"/>
          <w:sz w:val="24"/>
          <w:szCs w:val="24"/>
          <w:highlight w:val="none"/>
        </w:rPr>
      </w:pPr>
    </w:p>
    <w:p w14:paraId="4CEEE8C9">
      <w:pPr>
        <w:spacing w:after="156" w:afterLines="50" w:line="500" w:lineRule="exact"/>
        <w:jc w:val="center"/>
        <w:rPr>
          <w:rFonts w:ascii="宋体" w:hAnsi="宋体" w:eastAsia="宋体"/>
          <w:b/>
          <w:color w:val="auto"/>
          <w:sz w:val="28"/>
          <w:szCs w:val="28"/>
          <w:highlight w:val="none"/>
        </w:rPr>
      </w:pPr>
    </w:p>
    <w:p w14:paraId="72B83291">
      <w:pPr>
        <w:spacing w:line="360" w:lineRule="auto"/>
        <w:ind w:firstLine="435"/>
        <w:rPr>
          <w:rFonts w:hint="default" w:ascii="宋体" w:hAnsi="宋体" w:eastAsia="宋体"/>
          <w:b/>
          <w:color w:val="auto"/>
          <w:sz w:val="28"/>
          <w:szCs w:val="28"/>
          <w:highlight w:val="none"/>
          <w:u w:val="single"/>
          <w:lang w:val="en-US" w:eastAsia="zh-CN"/>
        </w:rPr>
      </w:pPr>
      <w:r>
        <w:rPr>
          <w:rFonts w:hint="eastAsia" w:ascii="宋体" w:hAnsi="宋体" w:eastAsia="宋体"/>
          <w:b/>
          <w:color w:val="auto"/>
          <w:sz w:val="28"/>
          <w:szCs w:val="28"/>
          <w:highlight w:val="none"/>
        </w:rPr>
        <w:t>项目名称：</w:t>
      </w:r>
      <w:r>
        <w:rPr>
          <w:rFonts w:hint="eastAsia"/>
          <w:b/>
          <w:color w:val="auto"/>
          <w:sz w:val="28"/>
          <w:szCs w:val="28"/>
          <w:highlight w:val="none"/>
          <w:u w:val="single"/>
          <w:lang w:eastAsia="zh-CN"/>
        </w:rPr>
        <w:t>2025年省淮河局基层管理所维修改造（第1包潘集基层管理所维修改造）</w:t>
      </w:r>
    </w:p>
    <w:p w14:paraId="1D496D2E">
      <w:pPr>
        <w:tabs>
          <w:tab w:val="left" w:pos="2410"/>
        </w:tabs>
        <w:autoSpaceDE w:val="0"/>
        <w:autoSpaceDN w:val="0"/>
        <w:adjustRightInd w:val="0"/>
        <w:snapToGrid w:val="0"/>
        <w:spacing w:line="360" w:lineRule="auto"/>
        <w:ind w:firstLine="1687" w:firstLineChars="600"/>
        <w:jc w:val="both"/>
        <w:outlineLvl w:val="9"/>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rPr>
        <w:t>项目编号：</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4DF73964">
      <w:pPr>
        <w:tabs>
          <w:tab w:val="left" w:pos="2410"/>
        </w:tabs>
        <w:autoSpaceDE w:val="0"/>
        <w:autoSpaceDN w:val="0"/>
        <w:adjustRightInd w:val="0"/>
        <w:snapToGrid w:val="0"/>
        <w:spacing w:line="360" w:lineRule="auto"/>
        <w:ind w:firstLine="1687" w:firstLineChars="600"/>
        <w:jc w:val="both"/>
        <w:outlineLvl w:val="9"/>
        <w:rPr>
          <w:rFonts w:ascii="宋体" w:hAnsi="宋体" w:eastAsia="宋体"/>
          <w:b/>
          <w:color w:val="auto"/>
          <w:sz w:val="28"/>
          <w:szCs w:val="28"/>
          <w:highlight w:val="none"/>
          <w:u w:val="single"/>
        </w:rPr>
      </w:pPr>
      <w:r>
        <w:rPr>
          <w:rFonts w:hint="eastAsia" w:ascii="宋体" w:hAnsi="宋体" w:eastAsia="宋体"/>
          <w:b/>
          <w:color w:val="auto"/>
          <w:sz w:val="28"/>
          <w:szCs w:val="28"/>
          <w:highlight w:val="none"/>
          <w:lang w:val="en-US" w:eastAsia="zh-CN"/>
        </w:rPr>
        <w:t>供 应 商</w:t>
      </w:r>
      <w:r>
        <w:rPr>
          <w:rFonts w:hint="eastAsia" w:ascii="宋体" w:hAnsi="宋体" w:eastAsia="宋体"/>
          <w:b/>
          <w:color w:val="auto"/>
          <w:sz w:val="28"/>
          <w:szCs w:val="28"/>
          <w:highlight w:val="none"/>
        </w:rPr>
        <w:t>：</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4281BB8A">
      <w:pPr>
        <w:spacing w:after="156" w:afterLines="50" w:line="500" w:lineRule="exact"/>
        <w:jc w:val="center"/>
        <w:outlineLvl w:val="9"/>
        <w:rPr>
          <w:rFonts w:ascii="宋体" w:hAnsi="宋体" w:eastAsia="宋体"/>
          <w:b/>
          <w:color w:val="auto"/>
          <w:sz w:val="28"/>
          <w:szCs w:val="28"/>
          <w:highlight w:val="none"/>
        </w:rPr>
      </w:pPr>
      <w:r>
        <w:rPr>
          <w:rFonts w:hint="eastAsia" w:ascii="宋体" w:hAnsi="宋体" w:eastAsia="宋体"/>
          <w:b/>
          <w:color w:val="auto"/>
          <w:sz w:val="28"/>
          <w:szCs w:val="28"/>
          <w:highlight w:val="none"/>
          <w:u w:val="single"/>
        </w:rPr>
        <w:t xml:space="preserve">    </w:t>
      </w:r>
      <w:bookmarkStart w:id="668" w:name="_Toc19892"/>
      <w:bookmarkStart w:id="669" w:name="_Toc24911"/>
      <w:r>
        <w:rPr>
          <w:rFonts w:hint="eastAsia" w:ascii="宋体" w:hAnsi="宋体" w:eastAsia="宋体"/>
          <w:b/>
          <w:color w:val="auto"/>
          <w:sz w:val="28"/>
          <w:szCs w:val="28"/>
          <w:highlight w:val="none"/>
        </w:rPr>
        <w:t>年</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月</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日</w:t>
      </w:r>
      <w:bookmarkEnd w:id="668"/>
      <w:bookmarkEnd w:id="669"/>
    </w:p>
    <w:p w14:paraId="60C86F28">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7C35C08E">
      <w:pPr>
        <w:spacing w:line="360" w:lineRule="auto"/>
        <w:jc w:val="center"/>
        <w:outlineLvl w:val="1"/>
        <w:rPr>
          <w:rFonts w:ascii="宋体" w:hAnsi="宋体" w:eastAsia="宋体"/>
          <w:b/>
          <w:color w:val="auto"/>
          <w:sz w:val="24"/>
          <w:szCs w:val="24"/>
          <w:highlight w:val="none"/>
        </w:rPr>
      </w:pPr>
      <w:bookmarkStart w:id="670" w:name="_Toc461053086"/>
      <w:bookmarkStart w:id="671" w:name="_Toc461056631"/>
      <w:bookmarkStart w:id="672" w:name="_Toc21496"/>
      <w:bookmarkStart w:id="673" w:name="_Toc28280"/>
      <w:bookmarkStart w:id="674" w:name="_Toc520983587"/>
      <w:r>
        <w:rPr>
          <w:rFonts w:hint="eastAsia" w:ascii="宋体" w:hAnsi="宋体" w:eastAsia="宋体"/>
          <w:b/>
          <w:color w:val="auto"/>
          <w:sz w:val="24"/>
          <w:szCs w:val="24"/>
          <w:highlight w:val="none"/>
        </w:rPr>
        <w:t>一</w:t>
      </w:r>
      <w:bookmarkEnd w:id="670"/>
      <w:bookmarkEnd w:id="671"/>
      <w:r>
        <w:rPr>
          <w:rFonts w:hint="eastAsia" w:ascii="宋体" w:hAnsi="宋体" w:eastAsia="宋体"/>
          <w:b/>
          <w:color w:val="auto"/>
          <w:sz w:val="24"/>
          <w:szCs w:val="24"/>
          <w:highlight w:val="none"/>
        </w:rPr>
        <w:t>、报价表格式</w:t>
      </w:r>
      <w:bookmarkEnd w:id="672"/>
      <w:bookmarkEnd w:id="673"/>
      <w:bookmarkEnd w:id="674"/>
    </w:p>
    <w:p w14:paraId="2BB3D23F">
      <w:pPr>
        <w:spacing w:before="156" w:beforeLines="50" w:after="156" w:afterLines="50" w:line="360" w:lineRule="auto"/>
        <w:jc w:val="left"/>
        <w:outlineLvl w:val="9"/>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1-1 报价表</w:t>
      </w:r>
    </w:p>
    <w:p w14:paraId="1E32AE1B">
      <w:pPr>
        <w:snapToGrid w:val="0"/>
        <w:spacing w:line="360" w:lineRule="auto"/>
        <w:jc w:val="lef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2025年省淮河局基层管理所维修改造（第1包潘集基层管理所维修改造）</w:t>
      </w:r>
    </w:p>
    <w:p w14:paraId="6D679704">
      <w:pPr>
        <w:snapToGrid w:val="0"/>
        <w:spacing w:after="156" w:afterLines="50" w:line="360" w:lineRule="auto"/>
        <w:jc w:val="left"/>
        <w:rPr>
          <w:rFonts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21BC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87B9954">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33CB0DA4">
            <w:pPr>
              <w:rPr>
                <w:rFonts w:ascii="宋体" w:hAnsi="宋体" w:eastAsia="宋体" w:cs="宋体"/>
                <w:b/>
                <w:color w:val="auto"/>
                <w:kern w:val="2"/>
                <w:sz w:val="24"/>
                <w:szCs w:val="24"/>
                <w:highlight w:val="none"/>
              </w:rPr>
            </w:pPr>
          </w:p>
        </w:tc>
      </w:tr>
      <w:tr w14:paraId="0645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BE47388">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2049ED9D">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2282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387575B">
            <w:pPr>
              <w:spacing w:line="360" w:lineRule="auto"/>
              <w:jc w:val="center"/>
              <w:rPr>
                <w:rFonts w:cs="@仿宋_GB2312"/>
                <w:b/>
                <w:color w:val="auto"/>
                <w:kern w:val="2"/>
                <w:sz w:val="24"/>
                <w:szCs w:val="24"/>
                <w:highlight w:val="none"/>
              </w:rPr>
            </w:pPr>
            <w:r>
              <w:rPr>
                <w:rFonts w:hint="eastAsia" w:cs="@仿宋_GB2312"/>
                <w:b/>
                <w:color w:val="auto"/>
                <w:kern w:val="2"/>
                <w:sz w:val="24"/>
                <w:szCs w:val="24"/>
                <w:highlight w:val="none"/>
              </w:rPr>
              <w:t>报价</w:t>
            </w:r>
          </w:p>
          <w:p w14:paraId="0F78FE7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14BAA3E9">
            <w:pPr>
              <w:snapToGrid w:val="0"/>
              <w:rPr>
                <w:rFonts w:ascii="宋体" w:hAnsi="宋体" w:eastAsia="宋体" w:cs="宋体"/>
                <w:color w:val="auto"/>
                <w:kern w:val="2"/>
                <w:sz w:val="24"/>
                <w:szCs w:val="24"/>
                <w:highlight w:val="none"/>
              </w:rPr>
            </w:pPr>
          </w:p>
          <w:p w14:paraId="0726825D">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25FBB6BB">
            <w:pPr>
              <w:spacing w:line="360" w:lineRule="auto"/>
              <w:ind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p w14:paraId="1AF6B2A0">
            <w:pPr>
              <w:snapToGrid w:val="0"/>
              <w:rPr>
                <w:rFonts w:ascii="宋体" w:hAnsi="宋体" w:eastAsia="宋体" w:cs="宋体"/>
                <w:b/>
                <w:color w:val="auto"/>
                <w:kern w:val="2"/>
                <w:sz w:val="24"/>
                <w:szCs w:val="24"/>
                <w:highlight w:val="none"/>
              </w:rPr>
            </w:pPr>
          </w:p>
        </w:tc>
      </w:tr>
      <w:tr w14:paraId="2A95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56A1D2E6">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3267CA55">
            <w:pPr>
              <w:snapToGrid w:val="0"/>
              <w:rPr>
                <w:rFonts w:hint="default" w:ascii="宋体" w:hAnsi="宋体" w:eastAsia="宋体" w:cs="宋体"/>
                <w:b/>
                <w:color w:val="auto"/>
                <w:kern w:val="2"/>
                <w:sz w:val="24"/>
                <w:szCs w:val="24"/>
                <w:highlight w:val="none"/>
                <w:lang w:val="en-US" w:eastAsia="zh-CN"/>
              </w:rPr>
            </w:pPr>
            <w:bookmarkStart w:id="675" w:name="OLE_LINK1"/>
            <w:r>
              <w:rPr>
                <w:rFonts w:hint="eastAsia" w:cs="宋体"/>
                <w:b w:val="0"/>
                <w:bCs/>
                <w:color w:val="auto"/>
                <w:kern w:val="2"/>
                <w:sz w:val="24"/>
                <w:szCs w:val="24"/>
                <w:highlight w:val="none"/>
                <w:lang w:val="en-US" w:eastAsia="zh-CN"/>
              </w:rPr>
              <w:t>合格</w:t>
            </w:r>
            <w:bookmarkEnd w:id="675"/>
          </w:p>
        </w:tc>
      </w:tr>
      <w:tr w14:paraId="5F15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410629BA">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2BCF59CD">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576D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2B0E44A">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629A954C">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669C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3" w:type="pct"/>
            <w:vAlign w:val="center"/>
          </w:tcPr>
          <w:p w14:paraId="05315C3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61E902B6">
            <w:pPr>
              <w:rPr>
                <w:rFonts w:ascii="宋体" w:hAnsi="宋体" w:eastAsia="宋体" w:cs="宋体"/>
                <w:b/>
                <w:color w:val="auto"/>
                <w:kern w:val="2"/>
                <w:sz w:val="24"/>
                <w:szCs w:val="24"/>
                <w:highlight w:val="none"/>
              </w:rPr>
            </w:pPr>
          </w:p>
        </w:tc>
      </w:tr>
    </w:tbl>
    <w:p w14:paraId="02F5A20E">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17C89C14">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160B3612">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775C544A">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0831A8AC">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59A1D638">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09C87BF5">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14:paraId="22360E09">
      <w:pPr>
        <w:adjustRightInd w:val="0"/>
        <w:snapToGrid w:val="0"/>
        <w:spacing w:line="360" w:lineRule="auto"/>
        <w:outlineLvl w:val="9"/>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 工程量清单报价书</w:t>
      </w:r>
    </w:p>
    <w:p w14:paraId="58AD4354">
      <w:pPr>
        <w:autoSpaceDE w:val="0"/>
        <w:autoSpaceDN w:val="0"/>
        <w:adjustRightInd w:val="0"/>
        <w:spacing w:before="20" w:after="20" w:line="360" w:lineRule="auto"/>
        <w:jc w:val="center"/>
        <w:rPr>
          <w:rFonts w:ascii="宋体" w:hAnsi="宋体" w:eastAsia="宋体" w:cs="宋体"/>
          <w:b/>
          <w:color w:val="auto"/>
          <w:sz w:val="24"/>
          <w:szCs w:val="24"/>
          <w:highlight w:val="none"/>
        </w:rPr>
      </w:pPr>
    </w:p>
    <w:p w14:paraId="1D3A9270">
      <w:pPr>
        <w:autoSpaceDE w:val="0"/>
        <w:autoSpaceDN w:val="0"/>
        <w:adjustRightInd w:val="0"/>
        <w:spacing w:before="20" w:after="20" w:line="360" w:lineRule="auto"/>
        <w:jc w:val="center"/>
        <w:outlineLvl w:val="9"/>
        <w:rPr>
          <w:rFonts w:ascii="宋体" w:hAnsi="宋体" w:eastAsia="宋体" w:cs="宋体"/>
          <w:b/>
          <w:color w:val="auto"/>
          <w:sz w:val="24"/>
          <w:szCs w:val="24"/>
          <w:highlight w:val="none"/>
        </w:rPr>
      </w:pPr>
      <w:bookmarkStart w:id="676" w:name="_Toc26702"/>
      <w:bookmarkStart w:id="677" w:name="_Toc1874"/>
      <w:r>
        <w:rPr>
          <w:rFonts w:hint="eastAsia" w:ascii="宋体" w:hAnsi="宋体" w:eastAsia="宋体" w:cs="宋体"/>
          <w:b/>
          <w:color w:val="auto"/>
          <w:sz w:val="24"/>
          <w:szCs w:val="24"/>
          <w:highlight w:val="none"/>
        </w:rPr>
        <w:t>工程量清单报价书</w:t>
      </w:r>
      <w:bookmarkEnd w:id="676"/>
      <w:bookmarkEnd w:id="677"/>
    </w:p>
    <w:p w14:paraId="71BC123A">
      <w:pPr>
        <w:adjustRightInd w:val="0"/>
        <w:snapToGrid w:val="0"/>
        <w:spacing w:line="360" w:lineRule="auto"/>
        <w:ind w:firstLine="482" w:firstLineChars="200"/>
        <w:jc w:val="center"/>
        <w:outlineLvl w:val="9"/>
        <w:rPr>
          <w:b/>
          <w:bCs/>
          <w:color w:val="auto"/>
          <w:sz w:val="24"/>
          <w:szCs w:val="24"/>
          <w:highlight w:val="none"/>
        </w:rPr>
      </w:pPr>
      <w:r>
        <w:rPr>
          <w:rFonts w:hint="eastAsia" w:ascii="宋体" w:hAnsi="宋体" w:eastAsia="宋体" w:cs="宋体"/>
          <w:b/>
          <w:color w:val="auto"/>
          <w:kern w:val="2"/>
          <w:sz w:val="24"/>
          <w:szCs w:val="24"/>
          <w:highlight w:val="none"/>
        </w:rPr>
        <w:t>（格式详见工程量清单）</w:t>
      </w:r>
    </w:p>
    <w:p w14:paraId="45B19B93">
      <w:pPr>
        <w:widowControl/>
        <w:jc w:val="left"/>
        <w:rPr>
          <w:b/>
          <w:bCs/>
          <w:color w:val="auto"/>
          <w:sz w:val="24"/>
          <w:szCs w:val="24"/>
          <w:highlight w:val="none"/>
        </w:rPr>
      </w:pPr>
      <w:r>
        <w:rPr>
          <w:b/>
          <w:bCs/>
          <w:color w:val="auto"/>
          <w:sz w:val="24"/>
          <w:szCs w:val="24"/>
          <w:highlight w:val="none"/>
        </w:rPr>
        <w:br w:type="page"/>
      </w:r>
    </w:p>
    <w:p w14:paraId="1C6B9660">
      <w:pPr>
        <w:spacing w:line="360" w:lineRule="auto"/>
        <w:jc w:val="center"/>
        <w:outlineLvl w:val="9"/>
        <w:rPr>
          <w:rFonts w:ascii="宋体" w:hAnsi="宋体" w:eastAsia="宋体"/>
          <w:b/>
          <w:color w:val="auto"/>
          <w:sz w:val="24"/>
          <w:szCs w:val="24"/>
          <w:highlight w:val="none"/>
        </w:rPr>
      </w:pPr>
      <w:bookmarkStart w:id="678" w:name="_Toc22341"/>
      <w:bookmarkStart w:id="679" w:name="_Toc520983588"/>
      <w:bookmarkStart w:id="680" w:name="_Toc20879"/>
      <w:r>
        <w:rPr>
          <w:rFonts w:hint="eastAsia" w:ascii="宋体" w:hAnsi="宋体" w:eastAsia="宋体"/>
          <w:b/>
          <w:color w:val="auto"/>
          <w:sz w:val="24"/>
          <w:szCs w:val="24"/>
          <w:highlight w:val="none"/>
          <w:lang w:val="en-US" w:eastAsia="zh-CN"/>
        </w:rPr>
        <w:t>1-3</w:t>
      </w:r>
      <w:r>
        <w:rPr>
          <w:rFonts w:hint="eastAsia" w:ascii="宋体" w:hAnsi="宋体" w:eastAsia="宋体"/>
          <w:b/>
          <w:color w:val="auto"/>
          <w:sz w:val="24"/>
          <w:szCs w:val="24"/>
          <w:highlight w:val="none"/>
        </w:rPr>
        <w:t>最后承诺报价表</w:t>
      </w:r>
      <w:bookmarkEnd w:id="678"/>
      <w:bookmarkEnd w:id="679"/>
      <w:bookmarkEnd w:id="680"/>
    </w:p>
    <w:p w14:paraId="3A5802A2">
      <w:pPr>
        <w:spacing w:before="156" w:beforeLines="50" w:after="156" w:afterLines="50" w:line="360" w:lineRule="auto"/>
        <w:ind w:firstLine="236" w:firstLineChars="98"/>
        <w:jc w:val="center"/>
        <w:outlineLvl w:val="9"/>
        <w:rPr>
          <w:b/>
          <w:color w:val="auto"/>
          <w:sz w:val="24"/>
          <w:szCs w:val="24"/>
          <w:highlight w:val="none"/>
        </w:rPr>
      </w:pPr>
      <w:bookmarkStart w:id="681" w:name="_Toc8562"/>
      <w:bookmarkStart w:id="682" w:name="_Toc13333"/>
      <w:r>
        <w:rPr>
          <w:rFonts w:hint="eastAsia"/>
          <w:b/>
          <w:color w:val="auto"/>
          <w:sz w:val="24"/>
          <w:szCs w:val="24"/>
          <w:highlight w:val="none"/>
        </w:rPr>
        <w:t>（第</w:t>
      </w:r>
      <w:r>
        <w:rPr>
          <w:rFonts w:hint="eastAsia"/>
          <w:b/>
          <w:color w:val="auto"/>
          <w:sz w:val="24"/>
          <w:szCs w:val="24"/>
          <w:highlight w:val="none"/>
          <w:u w:val="single"/>
        </w:rPr>
        <w:t xml:space="preserve">   </w:t>
      </w:r>
      <w:r>
        <w:rPr>
          <w:rFonts w:hint="eastAsia"/>
          <w:b/>
          <w:color w:val="auto"/>
          <w:sz w:val="24"/>
          <w:szCs w:val="24"/>
          <w:highlight w:val="none"/>
        </w:rPr>
        <w:t>次报价书）</w:t>
      </w:r>
      <w:bookmarkEnd w:id="681"/>
      <w:bookmarkEnd w:id="682"/>
    </w:p>
    <w:p w14:paraId="4FF3571B">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2025年省淮河局基层管理所维修改造（第1包潘集基层管理所维修改造）</w:t>
      </w:r>
    </w:p>
    <w:p w14:paraId="7E2C13EF">
      <w:pPr>
        <w:snapToGrid w:val="0"/>
        <w:spacing w:after="156" w:afterLines="50" w:line="360" w:lineRule="auto"/>
        <w:jc w:val="left"/>
        <w:rPr>
          <w:rFonts w:hint="default"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7876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1DDA458A">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390640D7">
            <w:pPr>
              <w:rPr>
                <w:rFonts w:ascii="宋体" w:hAnsi="宋体" w:eastAsia="宋体" w:cs="宋体"/>
                <w:b/>
                <w:color w:val="auto"/>
                <w:kern w:val="2"/>
                <w:sz w:val="24"/>
                <w:szCs w:val="24"/>
                <w:highlight w:val="none"/>
              </w:rPr>
            </w:pPr>
          </w:p>
        </w:tc>
      </w:tr>
      <w:tr w14:paraId="280F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4310B0A">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47664DCA">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51C9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7845E171">
            <w:pPr>
              <w:spacing w:line="360" w:lineRule="auto"/>
              <w:jc w:val="center"/>
              <w:rPr>
                <w:rFonts w:cs="@仿宋_GB2312"/>
                <w:b/>
                <w:color w:val="auto"/>
                <w:kern w:val="2"/>
                <w:sz w:val="24"/>
                <w:szCs w:val="24"/>
                <w:highlight w:val="none"/>
              </w:rPr>
            </w:pPr>
            <w:r>
              <w:rPr>
                <w:rFonts w:hint="eastAsia" w:cs="@仿宋_GB2312"/>
                <w:b/>
                <w:bCs/>
                <w:color w:val="auto"/>
                <w:kern w:val="2"/>
                <w:sz w:val="24"/>
                <w:szCs w:val="24"/>
                <w:highlight w:val="none"/>
              </w:rPr>
              <w:t>最后报价</w:t>
            </w:r>
          </w:p>
          <w:p w14:paraId="48C91DDF">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491" w:type="pct"/>
            <w:vAlign w:val="center"/>
          </w:tcPr>
          <w:p w14:paraId="0C3C29DF">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4EF5FC2C">
            <w:pPr>
              <w:spacing w:line="360" w:lineRule="auto"/>
              <w:ind w:right="-670"/>
              <w:rPr>
                <w:rFonts w:ascii="宋体" w:hAnsi="宋体" w:eastAsia="宋体" w:cs="宋体"/>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tc>
      </w:tr>
      <w:tr w14:paraId="0B35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6A19AD78">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491" w:type="pct"/>
            <w:vAlign w:val="center"/>
          </w:tcPr>
          <w:p w14:paraId="17875149">
            <w:pPr>
              <w:snapToGrid w:val="0"/>
              <w:rPr>
                <w:rFonts w:ascii="宋体" w:hAnsi="宋体" w:eastAsia="宋体" w:cs="宋体"/>
                <w:b/>
                <w:color w:val="auto"/>
                <w:kern w:val="2"/>
                <w:sz w:val="24"/>
                <w:szCs w:val="24"/>
                <w:highlight w:val="none"/>
              </w:rPr>
            </w:pPr>
            <w:r>
              <w:rPr>
                <w:rFonts w:hint="eastAsia" w:cs="宋体"/>
                <w:b w:val="0"/>
                <w:bCs/>
                <w:color w:val="auto"/>
                <w:kern w:val="2"/>
                <w:sz w:val="24"/>
                <w:szCs w:val="24"/>
                <w:highlight w:val="none"/>
                <w:lang w:val="en-US" w:eastAsia="zh-CN"/>
              </w:rPr>
              <w:t>合格</w:t>
            </w:r>
          </w:p>
        </w:tc>
      </w:tr>
      <w:tr w14:paraId="7547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9B43E47">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491" w:type="pct"/>
            <w:vAlign w:val="center"/>
          </w:tcPr>
          <w:p w14:paraId="7E41E367">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1513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26E407B">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2D32411D">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3B47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03F1F71A">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38E15133">
            <w:pPr>
              <w:rPr>
                <w:rFonts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0C48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9" w:type="pct"/>
            <w:vAlign w:val="center"/>
          </w:tcPr>
          <w:p w14:paraId="3C0F5401">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5B339CAF">
            <w:pPr>
              <w:rPr>
                <w:rFonts w:ascii="宋体" w:hAnsi="宋体" w:eastAsia="宋体" w:cs="宋体"/>
                <w:b/>
                <w:color w:val="auto"/>
                <w:kern w:val="2"/>
                <w:sz w:val="24"/>
                <w:szCs w:val="24"/>
                <w:highlight w:val="none"/>
              </w:rPr>
            </w:pPr>
          </w:p>
        </w:tc>
      </w:tr>
    </w:tbl>
    <w:p w14:paraId="7BF1FE36">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7F1571BA">
      <w:pPr>
        <w:spacing w:line="440" w:lineRule="exact"/>
        <w:ind w:firstLine="4800" w:firstLineChars="2000"/>
        <w:rPr>
          <w:rFonts w:ascii="宋体" w:hAnsi="宋体" w:eastAsia="宋体" w:cs="宋体"/>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0D146A0A">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06922738">
      <w:pPr>
        <w:spacing w:line="360" w:lineRule="auto"/>
        <w:ind w:firstLine="482" w:firstLineChars="200"/>
        <w:jc w:val="left"/>
        <w:rPr>
          <w:rFonts w:ascii="宋体" w:hAnsi="宋体" w:eastAsia="宋体"/>
          <w:bCs/>
          <w:color w:val="auto"/>
          <w:sz w:val="24"/>
          <w:szCs w:val="24"/>
          <w:highlight w:val="none"/>
        </w:rPr>
      </w:pPr>
      <w:r>
        <w:rPr>
          <w:rFonts w:hint="eastAsia" w:ascii="宋体" w:hAnsi="宋体" w:eastAsia="宋体"/>
          <w:b/>
          <w:bCs/>
          <w:color w:val="auto"/>
          <w:sz w:val="24"/>
          <w:szCs w:val="24"/>
          <w:highlight w:val="none"/>
        </w:rPr>
        <w:t>1.本页《报价表》由供应商在接到报价通知后依据磋商情况填写,并在规定</w:t>
      </w:r>
      <w:r>
        <w:rPr>
          <w:rFonts w:hint="eastAsia"/>
          <w:b/>
          <w:bCs/>
          <w:color w:val="auto"/>
          <w:sz w:val="24"/>
          <w:szCs w:val="24"/>
          <w:highlight w:val="none"/>
          <w:lang w:val="en-US" w:eastAsia="zh-CN"/>
        </w:rPr>
        <w:t>30分钟</w:t>
      </w:r>
      <w:r>
        <w:rPr>
          <w:rFonts w:hint="eastAsia" w:ascii="宋体" w:hAnsi="宋体" w:eastAsia="宋体"/>
          <w:b/>
          <w:bCs/>
          <w:color w:val="auto"/>
          <w:sz w:val="24"/>
          <w:szCs w:val="24"/>
          <w:highlight w:val="none"/>
        </w:rPr>
        <w:t>内提交。</w:t>
      </w:r>
      <w:r>
        <w:rPr>
          <w:rFonts w:hint="eastAsia" w:ascii="宋体" w:hAnsi="宋体" w:eastAsia="宋体"/>
          <w:color w:val="auto"/>
          <w:sz w:val="24"/>
          <w:szCs w:val="24"/>
          <w:highlight w:val="none"/>
        </w:rPr>
        <w:t>考虑磋商报价的方便，供应商在填写最后承诺报价后，（第一次报价-最后承诺报价）除以第一次报价后得出的优惠率视同为需求表中全部分项设备、</w:t>
      </w:r>
      <w:r>
        <w:rPr>
          <w:rFonts w:hint="eastAsia"/>
          <w:color w:val="auto"/>
          <w:sz w:val="24"/>
          <w:szCs w:val="24"/>
          <w:highlight w:val="none"/>
          <w:lang w:val="en-US" w:eastAsia="zh-CN"/>
        </w:rPr>
        <w:t>工作量的</w:t>
      </w:r>
      <w:r>
        <w:rPr>
          <w:rFonts w:hint="eastAsia" w:ascii="宋体" w:hAnsi="宋体" w:eastAsia="宋体"/>
          <w:color w:val="auto"/>
          <w:sz w:val="24"/>
          <w:szCs w:val="24"/>
          <w:highlight w:val="none"/>
        </w:rPr>
        <w:t>优惠浮动值（特定分项优惠除外），而不考虑措施项目清单和规费税金清单的金额改变。</w:t>
      </w:r>
      <w:r>
        <w:rPr>
          <w:rFonts w:hint="eastAsia" w:ascii="宋体" w:hAnsi="宋体" w:eastAsia="宋体"/>
          <w:bCs/>
          <w:color w:val="auto"/>
          <w:sz w:val="24"/>
          <w:szCs w:val="24"/>
          <w:highlight w:val="none"/>
        </w:rPr>
        <w:t>此优惠率调整原则适用于合同内价格的计算及项目增减、变更时价格的计算。</w:t>
      </w:r>
    </w:p>
    <w:p w14:paraId="1764A312">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2.如按照上述原则存在部分分项报价无法取整，合同价格按照最终承诺报价不变双方协商后修正部分分项报价单价</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并将调整后的分项单价作为结算依据</w:t>
      </w:r>
      <w:r>
        <w:rPr>
          <w:rFonts w:hint="eastAsia" w:ascii="宋体" w:hAnsi="宋体" w:eastAsia="宋体" w:cs="宋体"/>
          <w:b/>
          <w:bCs/>
          <w:color w:val="auto"/>
          <w:sz w:val="24"/>
          <w:szCs w:val="24"/>
          <w:highlight w:val="none"/>
        </w:rPr>
        <w:t>。</w:t>
      </w:r>
    </w:p>
    <w:p w14:paraId="4A064DA1">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3.表中大写金额与小写金额不一致的，以大写金额为准。</w:t>
      </w:r>
    </w:p>
    <w:p w14:paraId="3C9465A3">
      <w:pPr>
        <w:spacing w:line="360" w:lineRule="auto"/>
        <w:ind w:firstLine="482" w:firstLineChars="200"/>
        <w:jc w:val="left"/>
        <w:rPr>
          <w:bCs/>
          <w:color w:val="auto"/>
          <w:sz w:val="24"/>
          <w:szCs w:val="24"/>
          <w:highlight w:val="none"/>
        </w:rPr>
      </w:pPr>
      <w:r>
        <w:rPr>
          <w:rFonts w:hint="eastAsia" w:ascii="宋体" w:hAnsi="宋体" w:eastAsia="宋体" w:cs="宋体"/>
          <w:b/>
          <w:bCs/>
          <w:color w:val="auto"/>
          <w:sz w:val="24"/>
          <w:szCs w:val="24"/>
          <w:highlight w:val="none"/>
        </w:rPr>
        <w:t>4.</w:t>
      </w:r>
      <w:r>
        <w:rPr>
          <w:rFonts w:ascii="宋体" w:hAnsi="宋体" w:eastAsia="宋体" w:cs="宋体"/>
          <w:b/>
          <w:bCs/>
          <w:color w:val="auto"/>
          <w:sz w:val="24"/>
          <w:szCs w:val="24"/>
          <w:highlight w:val="none"/>
        </w:rPr>
        <w:t>供应商没有参与下一轮报价的，其上一轮报价视为下一轮报价。</w:t>
      </w:r>
      <w:r>
        <w:rPr>
          <w:bCs/>
          <w:color w:val="auto"/>
          <w:sz w:val="24"/>
          <w:szCs w:val="24"/>
          <w:highlight w:val="none"/>
        </w:rPr>
        <w:br w:type="page"/>
      </w:r>
    </w:p>
    <w:p w14:paraId="5BC463FB">
      <w:pPr>
        <w:keepNext/>
        <w:keepLines/>
        <w:spacing w:before="260" w:after="260" w:line="416" w:lineRule="auto"/>
        <w:jc w:val="center"/>
        <w:outlineLvl w:val="1"/>
        <w:rPr>
          <w:rFonts w:ascii="宋体" w:hAnsi="宋体" w:eastAsia="宋体" w:cs="@仿宋_GB2312"/>
          <w:b/>
          <w:bCs/>
          <w:color w:val="auto"/>
          <w:kern w:val="2"/>
          <w:sz w:val="24"/>
          <w:szCs w:val="24"/>
          <w:highlight w:val="none"/>
        </w:rPr>
      </w:pPr>
      <w:bookmarkStart w:id="683" w:name="_Toc22429"/>
      <w:bookmarkStart w:id="684" w:name="_Toc7943"/>
      <w:bookmarkStart w:id="685" w:name="_Toc520983591"/>
      <w:r>
        <w:rPr>
          <w:rFonts w:hint="eastAsia" w:ascii="宋体" w:hAnsi="宋体" w:eastAsia="宋体" w:cs="@仿宋_GB2312"/>
          <w:b/>
          <w:bCs/>
          <w:color w:val="auto"/>
          <w:kern w:val="2"/>
          <w:sz w:val="24"/>
          <w:szCs w:val="24"/>
          <w:highlight w:val="none"/>
          <w:lang w:val="en-US" w:eastAsia="zh-CN"/>
        </w:rPr>
        <w:t>二</w:t>
      </w:r>
      <w:r>
        <w:rPr>
          <w:rFonts w:hint="eastAsia" w:ascii="宋体" w:hAnsi="宋体" w:eastAsia="宋体" w:cs="@仿宋_GB2312"/>
          <w:b/>
          <w:bCs/>
          <w:color w:val="auto"/>
          <w:kern w:val="2"/>
          <w:sz w:val="24"/>
          <w:szCs w:val="24"/>
          <w:highlight w:val="none"/>
        </w:rPr>
        <w:t>、供应商综合情况简介</w:t>
      </w:r>
      <w:bookmarkEnd w:id="683"/>
      <w:bookmarkEnd w:id="684"/>
    </w:p>
    <w:p w14:paraId="4AD388C3">
      <w:pPr>
        <w:spacing w:before="156" w:beforeLines="50" w:after="156" w:afterLines="50" w:line="360" w:lineRule="auto"/>
        <w:ind w:firstLine="235" w:firstLineChars="98"/>
        <w:jc w:val="center"/>
        <w:rPr>
          <w:color w:val="auto"/>
          <w:sz w:val="24"/>
          <w:szCs w:val="24"/>
          <w:highlight w:val="none"/>
        </w:rPr>
      </w:pPr>
      <w:r>
        <w:rPr>
          <w:rFonts w:hint="eastAsia"/>
          <w:color w:val="auto"/>
          <w:sz w:val="24"/>
          <w:szCs w:val="24"/>
          <w:highlight w:val="none"/>
        </w:rPr>
        <w:t>（供应商可自行制作格式）</w:t>
      </w:r>
    </w:p>
    <w:p w14:paraId="14E1AFD6">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34146239">
      <w:pPr>
        <w:spacing w:line="360" w:lineRule="auto"/>
        <w:jc w:val="center"/>
        <w:outlineLvl w:val="1"/>
        <w:rPr>
          <w:rFonts w:ascii="宋体" w:hAnsi="宋体" w:eastAsia="宋体"/>
          <w:b/>
          <w:color w:val="auto"/>
          <w:sz w:val="24"/>
          <w:szCs w:val="24"/>
          <w:highlight w:val="none"/>
        </w:rPr>
      </w:pPr>
      <w:bookmarkStart w:id="686" w:name="_Toc28160"/>
      <w:bookmarkStart w:id="687" w:name="_Toc8006"/>
      <w:r>
        <w:rPr>
          <w:rFonts w:hint="eastAsia" w:ascii="宋体" w:hAnsi="宋体" w:eastAsia="宋体"/>
          <w:b/>
          <w:color w:val="auto"/>
          <w:sz w:val="24"/>
          <w:szCs w:val="24"/>
          <w:highlight w:val="none"/>
          <w:lang w:val="en-US" w:eastAsia="zh-CN"/>
        </w:rPr>
        <w:t>三</w:t>
      </w:r>
      <w:r>
        <w:rPr>
          <w:rFonts w:hint="eastAsia" w:ascii="宋体" w:hAnsi="宋体" w:eastAsia="宋体"/>
          <w:b/>
          <w:color w:val="auto"/>
          <w:sz w:val="24"/>
          <w:szCs w:val="24"/>
          <w:highlight w:val="none"/>
        </w:rPr>
        <w:t>、磋商响应函</w:t>
      </w:r>
      <w:bookmarkEnd w:id="685"/>
      <w:bookmarkEnd w:id="686"/>
      <w:bookmarkEnd w:id="687"/>
    </w:p>
    <w:p w14:paraId="729D0C01">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eastAsia="zh-CN"/>
        </w:rPr>
        <w:t>采购人</w:t>
      </w:r>
    </w:p>
    <w:p w14:paraId="725C1DE1">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0C47B479">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w:t>
      </w:r>
      <w:r>
        <w:rPr>
          <w:rFonts w:hint="eastAsia" w:cs="宋体"/>
          <w:bCs/>
          <w:color w:val="auto"/>
          <w:kern w:val="2"/>
          <w:sz w:val="24"/>
          <w:szCs w:val="24"/>
          <w:highlight w:val="none"/>
          <w:lang w:eastAsia="zh-CN"/>
        </w:rPr>
        <w:t>完工</w:t>
      </w:r>
      <w:r>
        <w:rPr>
          <w:rFonts w:hint="eastAsia" w:ascii="宋体" w:hAnsi="宋体" w:eastAsia="宋体" w:cs="宋体"/>
          <w:bCs/>
          <w:color w:val="auto"/>
          <w:kern w:val="2"/>
          <w:sz w:val="24"/>
          <w:szCs w:val="24"/>
          <w:highlight w:val="none"/>
        </w:rPr>
        <w:t>，并承担任何质量缺陷保修责任。</w:t>
      </w:r>
    </w:p>
    <w:p w14:paraId="25761581">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08C10447">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w:t>
      </w:r>
      <w:r>
        <w:rPr>
          <w:rFonts w:hint="eastAsia" w:cs="宋体"/>
          <w:color w:val="auto"/>
          <w:sz w:val="24"/>
          <w:szCs w:val="24"/>
          <w:highlight w:val="none"/>
          <w:lang w:eastAsia="zh-CN"/>
        </w:rPr>
        <w:t>完工</w:t>
      </w:r>
      <w:r>
        <w:rPr>
          <w:rFonts w:hint="eastAsia" w:ascii="宋体" w:hAnsi="宋体" w:eastAsia="宋体" w:cs="宋体"/>
          <w:color w:val="auto"/>
          <w:sz w:val="24"/>
          <w:szCs w:val="24"/>
          <w:highlight w:val="none"/>
        </w:rPr>
        <w:t>并移交整个工程。</w:t>
      </w:r>
    </w:p>
    <w:p w14:paraId="72D6034B">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635424C4">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01FC69AF">
      <w:pPr>
        <w:spacing w:line="360" w:lineRule="auto"/>
        <w:ind w:firstLine="435"/>
        <w:rPr>
          <w:rFonts w:hint="eastAsia" w:ascii="宋体" w:hAnsi="宋体" w:eastAsia="宋体"/>
          <w:b/>
          <w:bCs/>
          <w:color w:val="auto"/>
          <w:sz w:val="24"/>
          <w:szCs w:val="24"/>
          <w:highlight w:val="non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ascii="宋体" w:hAnsi="宋体" w:eastAsia="宋体" w:cs="宋体"/>
          <w:b/>
          <w:bCs/>
          <w:color w:val="auto"/>
          <w:sz w:val="24"/>
          <w:szCs w:val="24"/>
          <w:highlight w:val="none"/>
        </w:rPr>
        <w:t>我方在本项目响应中提供的投标授权委托代理人，以及投标文件中确定的项目管理人员，均与我单位具有劳动合同关系、且已依法缴纳社会保险。</w:t>
      </w:r>
    </w:p>
    <w:p w14:paraId="005E281A">
      <w:pPr>
        <w:pStyle w:val="53"/>
        <w:ind w:firstLine="200"/>
        <w:rPr>
          <w:color w:val="auto"/>
          <w:sz w:val="24"/>
          <w:szCs w:val="24"/>
          <w:highlight w:val="none"/>
          <w:lang w:val="en-US"/>
        </w:rPr>
      </w:pPr>
    </w:p>
    <w:p w14:paraId="46F756F1">
      <w:pPr>
        <w:spacing w:line="360" w:lineRule="auto"/>
        <w:ind w:firstLine="4800" w:firstLineChars="2000"/>
        <w:rPr>
          <w:rFonts w:cs="@仿宋_GB2312"/>
          <w:color w:val="auto"/>
          <w:kern w:val="2"/>
          <w:sz w:val="24"/>
          <w:szCs w:val="24"/>
          <w:highlight w:val="non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p>
    <w:p w14:paraId="4834022C">
      <w:pPr>
        <w:spacing w:line="360" w:lineRule="auto"/>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日          期：</w:t>
      </w:r>
      <w:r>
        <w:rPr>
          <w:rFonts w:hint="eastAsia" w:cs="@仿宋_GB2312"/>
          <w:color w:val="auto"/>
          <w:kern w:val="2"/>
          <w:sz w:val="24"/>
          <w:szCs w:val="24"/>
          <w:highlight w:val="none"/>
          <w:u w:val="single"/>
        </w:rPr>
        <w:t xml:space="preserve">             </w:t>
      </w:r>
    </w:p>
    <w:p w14:paraId="5081D1A6">
      <w:pPr>
        <w:widowControl/>
        <w:jc w:val="left"/>
        <w:rPr>
          <w:color w:val="auto"/>
          <w:sz w:val="24"/>
          <w:szCs w:val="24"/>
          <w:highlight w:val="none"/>
        </w:rPr>
      </w:pPr>
      <w:r>
        <w:rPr>
          <w:color w:val="auto"/>
          <w:sz w:val="24"/>
          <w:szCs w:val="24"/>
          <w:highlight w:val="none"/>
        </w:rPr>
        <w:br w:type="page"/>
      </w:r>
    </w:p>
    <w:p w14:paraId="13CD0157">
      <w:pPr>
        <w:spacing w:line="360" w:lineRule="auto"/>
        <w:jc w:val="center"/>
        <w:outlineLvl w:val="1"/>
        <w:rPr>
          <w:b/>
          <w:i/>
          <w:color w:val="auto"/>
          <w:sz w:val="24"/>
          <w:szCs w:val="24"/>
          <w:highlight w:val="none"/>
        </w:rPr>
      </w:pPr>
      <w:bookmarkStart w:id="688" w:name="_Toc2947"/>
      <w:bookmarkStart w:id="689" w:name="_Toc20728"/>
      <w:r>
        <w:rPr>
          <w:rFonts w:hint="eastAsia" w:ascii="宋体" w:hAnsi="宋体" w:eastAsia="宋体"/>
          <w:b/>
          <w:color w:val="auto"/>
          <w:sz w:val="24"/>
          <w:szCs w:val="24"/>
          <w:highlight w:val="none"/>
          <w:lang w:val="en-US" w:eastAsia="zh-CN"/>
        </w:rPr>
        <w:t>四</w:t>
      </w:r>
      <w:r>
        <w:rPr>
          <w:rFonts w:hint="eastAsia" w:ascii="宋体" w:hAnsi="宋体" w:eastAsia="宋体"/>
          <w:b/>
          <w:color w:val="auto"/>
          <w:sz w:val="24"/>
          <w:szCs w:val="24"/>
          <w:highlight w:val="none"/>
        </w:rPr>
        <w:t>、</w:t>
      </w:r>
      <w:bookmarkEnd w:id="688"/>
      <w:bookmarkStart w:id="690" w:name="_Toc8658"/>
      <w:r>
        <w:rPr>
          <w:rFonts w:hint="eastAsia" w:ascii="宋体" w:hAnsi="宋体" w:eastAsia="宋体"/>
          <w:b/>
          <w:color w:val="auto"/>
          <w:sz w:val="24"/>
          <w:szCs w:val="24"/>
          <w:highlight w:val="none"/>
          <w:lang w:val="en-US" w:eastAsia="zh-CN"/>
        </w:rPr>
        <w:t>供应商资格声明书</w:t>
      </w:r>
      <w:bookmarkEnd w:id="689"/>
      <w:r>
        <w:rPr>
          <w:rFonts w:hint="eastAsia" w:ascii="宋体" w:hAnsi="宋体" w:eastAsia="宋体"/>
          <w:b/>
          <w:color w:val="auto"/>
          <w:sz w:val="24"/>
          <w:szCs w:val="24"/>
          <w:highlight w:val="none"/>
          <w:lang w:val="en-US" w:eastAsia="zh-CN"/>
        </w:rPr>
        <w:t xml:space="preserve"> </w:t>
      </w:r>
    </w:p>
    <w:p w14:paraId="50ED720A">
      <w:pPr>
        <w:pStyle w:val="30"/>
        <w:spacing w:line="360" w:lineRule="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szCs w:val="24"/>
          <w:highlight w:val="none"/>
          <w:u w:val="single"/>
          <w:lang w:eastAsia="zh-CN"/>
        </w:rPr>
        <w:t>采购人</w:t>
      </w:r>
    </w:p>
    <w:p w14:paraId="2147AF7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在参与本次项目磋商中，我单位承诺：</w:t>
      </w:r>
    </w:p>
    <w:p w14:paraId="30904D8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（一）具有良好的商业信誉和健全的财务会计制度；</w:t>
      </w:r>
    </w:p>
    <w:p w14:paraId="3A2E1BC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（二）具有履行合同所</w:t>
      </w:r>
      <w:r>
        <w:rPr>
          <w:rFonts w:hint="eastAsia" w:cs="宋体"/>
          <w:color w:val="auto"/>
          <w:kern w:val="0"/>
          <w:sz w:val="24"/>
          <w:szCs w:val="24"/>
          <w:highlight w:val="none"/>
          <w:lang w:val="en-US" w:eastAsia="zh-CN"/>
        </w:rPr>
        <w:t>必需的</w:t>
      </w:r>
      <w:r>
        <w:rPr>
          <w:rFonts w:hint="eastAsia" w:ascii="宋体" w:hAnsi="宋体" w:eastAsia="宋体" w:cs="宋体"/>
          <w:color w:val="auto"/>
          <w:kern w:val="0"/>
          <w:sz w:val="24"/>
          <w:szCs w:val="24"/>
          <w:highlight w:val="none"/>
          <w:lang w:val="en-US" w:eastAsia="zh-CN"/>
        </w:rPr>
        <w:t>设备和专业技术能力；</w:t>
      </w:r>
    </w:p>
    <w:p w14:paraId="29B3CE3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（三）有依法缴纳税收和社会保障资金的良好记录；</w:t>
      </w:r>
    </w:p>
    <w:p w14:paraId="7AF588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E6F2B10">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0331EBD7">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63DC7C20">
      <w:pPr>
        <w:spacing w:line="360" w:lineRule="auto"/>
        <w:rPr>
          <w:rFonts w:hint="eastAsia"/>
          <w:color w:val="auto"/>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6751AC8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（八）我单位不存在为采购项目提供整体设计、规范编制或者项目管理、检测等服务后，再参加该采购项目的其他采购活动的情形（单一来源采购项目除外）；</w:t>
      </w:r>
    </w:p>
    <w:p w14:paraId="072FC72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CE8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88FADE6">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序号</w:t>
            </w:r>
          </w:p>
        </w:tc>
        <w:tc>
          <w:tcPr>
            <w:tcW w:w="2841" w:type="dxa"/>
          </w:tcPr>
          <w:p w14:paraId="32D3D9BD">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单位名称</w:t>
            </w:r>
          </w:p>
        </w:tc>
        <w:tc>
          <w:tcPr>
            <w:tcW w:w="2841" w:type="dxa"/>
          </w:tcPr>
          <w:p w14:paraId="18E6D401">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相互关系</w:t>
            </w:r>
          </w:p>
        </w:tc>
      </w:tr>
      <w:tr w14:paraId="0DC2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2AF393E">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1</w:t>
            </w:r>
          </w:p>
        </w:tc>
        <w:tc>
          <w:tcPr>
            <w:tcW w:w="2841" w:type="dxa"/>
          </w:tcPr>
          <w:p w14:paraId="44FF2BBB">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2F18B7D0">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r w14:paraId="065C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88EBA50">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2</w:t>
            </w:r>
          </w:p>
        </w:tc>
        <w:tc>
          <w:tcPr>
            <w:tcW w:w="2841" w:type="dxa"/>
          </w:tcPr>
          <w:p w14:paraId="055C18F6">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0F5F645A">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bl>
    <w:p w14:paraId="259C5E1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14:paraId="24A53813">
      <w:pPr>
        <w:spacing w:line="360" w:lineRule="auto"/>
        <w:ind w:firstLine="4800" w:firstLineChars="2000"/>
        <w:rPr>
          <w:rFonts w:ascii="宋体" w:hAnsi="宋体" w:eastAsia="宋体"/>
          <w:color w:val="auto"/>
          <w:sz w:val="24"/>
          <w:szCs w:val="24"/>
          <w:highlight w:val="none"/>
          <w:u w:val="single"/>
        </w:rPr>
      </w:pPr>
      <w:r>
        <w:rPr>
          <w:rFonts w:hint="eastAsia"/>
          <w:color w:val="auto"/>
          <w:sz w:val="24"/>
          <w:szCs w:val="24"/>
          <w:highlight w:val="none"/>
          <w:lang w:val="en-US" w:eastAsia="zh-CN"/>
        </w:rPr>
        <w:t>供应商</w:t>
      </w:r>
      <w:r>
        <w:rPr>
          <w:rFonts w:hint="eastAsia" w:ascii="宋体" w:hAnsi="宋体" w:eastAsia="宋体"/>
          <w:color w:val="auto"/>
          <w:sz w:val="24"/>
          <w:szCs w:val="24"/>
          <w:highlight w:val="none"/>
        </w:rPr>
        <w:t>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BA0248D">
      <w:pPr>
        <w:spacing w:line="360" w:lineRule="auto"/>
        <w:jc w:val="center"/>
        <w:outlineLvl w:val="9"/>
        <w:rPr>
          <w:rFonts w:hint="eastAsia" w:ascii="宋体" w:hAnsi="宋体" w:eastAsia="宋体"/>
          <w:b/>
          <w:color w:val="auto"/>
          <w:sz w:val="24"/>
          <w:szCs w:val="24"/>
          <w:highlight w:val="none"/>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r>
        <w:rPr>
          <w:rFonts w:hint="eastAsia"/>
          <w:color w:val="auto"/>
          <w:sz w:val="24"/>
          <w:szCs w:val="24"/>
          <w:highlight w:val="none"/>
          <w:lang w:val="en-US" w:eastAsia="zh-CN"/>
        </w:rPr>
        <w:t xml:space="preserve">                           </w:t>
      </w: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w:t>
      </w:r>
      <w:bookmarkEnd w:id="690"/>
    </w:p>
    <w:p w14:paraId="73C1F9D9">
      <w:pPr>
        <w:widowControl/>
        <w:jc w:val="center"/>
        <w:outlineLvl w:val="1"/>
        <w:rPr>
          <w:rFonts w:ascii="宋体" w:hAnsi="宋体" w:eastAsia="宋体"/>
          <w:b/>
          <w:color w:val="auto"/>
          <w:sz w:val="24"/>
          <w:szCs w:val="24"/>
          <w:highlight w:val="none"/>
          <w:u w:val="none"/>
        </w:rPr>
      </w:pPr>
      <w:bookmarkStart w:id="691" w:name="_Toc25503"/>
      <w:bookmarkStart w:id="692" w:name="_Toc909"/>
      <w:bookmarkStart w:id="693" w:name="_Toc204594911"/>
      <w:bookmarkStart w:id="694" w:name="_Toc121626298"/>
      <w:bookmarkStart w:id="695" w:name="_Toc520983594"/>
      <w:bookmarkStart w:id="696" w:name="_Toc516969106"/>
      <w:r>
        <w:rPr>
          <w:rFonts w:hint="eastAsia" w:ascii="宋体" w:hAnsi="宋体" w:eastAsia="宋体"/>
          <w:b/>
          <w:color w:val="auto"/>
          <w:sz w:val="24"/>
          <w:szCs w:val="24"/>
          <w:highlight w:val="none"/>
          <w:u w:val="none"/>
          <w:lang w:val="en-US" w:eastAsia="zh-CN"/>
        </w:rPr>
        <w:t>五</w:t>
      </w:r>
      <w:r>
        <w:rPr>
          <w:rFonts w:hint="eastAsia" w:ascii="宋体" w:hAnsi="宋体" w:eastAsia="宋体"/>
          <w:b/>
          <w:color w:val="auto"/>
          <w:sz w:val="24"/>
          <w:szCs w:val="24"/>
          <w:highlight w:val="none"/>
          <w:u w:val="none"/>
        </w:rPr>
        <w:t>、授权书</w:t>
      </w:r>
      <w:bookmarkEnd w:id="691"/>
      <w:bookmarkEnd w:id="692"/>
      <w:bookmarkEnd w:id="693"/>
      <w:bookmarkEnd w:id="694"/>
      <w:bookmarkEnd w:id="695"/>
      <w:bookmarkEnd w:id="696"/>
    </w:p>
    <w:p w14:paraId="61FE682C">
      <w:pPr>
        <w:spacing w:line="360" w:lineRule="auto"/>
        <w:jc w:val="center"/>
        <w:rPr>
          <w:rFonts w:ascii="宋体" w:hAnsi="宋体" w:eastAsia="宋体"/>
          <w:b/>
          <w:color w:val="auto"/>
          <w:sz w:val="24"/>
          <w:szCs w:val="24"/>
          <w:highlight w:val="none"/>
        </w:rPr>
      </w:pPr>
    </w:p>
    <w:p w14:paraId="0FB6B163">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本授权书声明：</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（供应商名称）授权</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（供应商授权代表姓名）代表我方参加本项目</w:t>
      </w:r>
      <w:r>
        <w:rPr>
          <w:rFonts w:hint="eastAsia" w:hAnsi="宋体" w:eastAsia="宋体"/>
          <w:bCs/>
          <w:color w:val="auto"/>
          <w:sz w:val="24"/>
          <w:szCs w:val="24"/>
          <w:highlight w:val="none"/>
        </w:rPr>
        <w:t>采购活动</w:t>
      </w:r>
      <w:r>
        <w:rPr>
          <w:rFonts w:hint="eastAsia" w:hAnsi="宋体" w:eastAsia="宋体"/>
          <w:color w:val="auto"/>
          <w:sz w:val="24"/>
          <w:szCs w:val="24"/>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0564EA37">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本授权书自出具之日起生效。</w:t>
      </w:r>
    </w:p>
    <w:p w14:paraId="48354CF6">
      <w:pPr>
        <w:pStyle w:val="28"/>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授权代表身份证明扫描件：</w:t>
      </w:r>
    </w:p>
    <w:p w14:paraId="78179403">
      <w:pPr>
        <w:pStyle w:val="28"/>
        <w:snapToGrid w:val="0"/>
        <w:spacing w:line="360" w:lineRule="auto"/>
        <w:ind w:firstLine="480" w:firstLineChars="200"/>
        <w:jc w:val="left"/>
        <w:rPr>
          <w:rFonts w:hAnsi="宋体" w:eastAsia="宋体"/>
          <w:color w:val="auto"/>
          <w:sz w:val="24"/>
          <w:szCs w:val="24"/>
          <w:highlight w:val="none"/>
        </w:rPr>
      </w:pPr>
    </w:p>
    <w:p w14:paraId="4BA0D8DE">
      <w:pPr>
        <w:pStyle w:val="28"/>
        <w:snapToGrid w:val="0"/>
        <w:spacing w:line="360" w:lineRule="auto"/>
        <w:ind w:firstLine="480" w:firstLineChars="200"/>
        <w:jc w:val="left"/>
        <w:rPr>
          <w:rFonts w:hAnsi="宋体" w:eastAsia="宋体"/>
          <w:color w:val="auto"/>
          <w:sz w:val="24"/>
          <w:szCs w:val="24"/>
          <w:highlight w:val="none"/>
        </w:rPr>
      </w:pPr>
    </w:p>
    <w:p w14:paraId="622601AB">
      <w:pPr>
        <w:pStyle w:val="28"/>
        <w:snapToGrid w:val="0"/>
        <w:spacing w:line="360" w:lineRule="auto"/>
        <w:ind w:firstLine="480" w:firstLineChars="200"/>
        <w:jc w:val="left"/>
        <w:rPr>
          <w:rFonts w:hAnsi="宋体" w:eastAsia="宋体"/>
          <w:color w:val="auto"/>
          <w:sz w:val="24"/>
          <w:szCs w:val="24"/>
          <w:highlight w:val="none"/>
        </w:rPr>
      </w:pPr>
    </w:p>
    <w:p w14:paraId="465948C8">
      <w:pPr>
        <w:pStyle w:val="28"/>
        <w:snapToGrid w:val="0"/>
        <w:spacing w:line="360" w:lineRule="auto"/>
        <w:ind w:firstLine="480" w:firstLineChars="200"/>
        <w:jc w:val="left"/>
        <w:rPr>
          <w:rFonts w:hAnsi="宋体" w:eastAsia="宋体"/>
          <w:color w:val="auto"/>
          <w:sz w:val="24"/>
          <w:szCs w:val="24"/>
          <w:highlight w:val="none"/>
        </w:rPr>
      </w:pPr>
    </w:p>
    <w:p w14:paraId="0848F0D8">
      <w:pPr>
        <w:pStyle w:val="28"/>
        <w:snapToGrid w:val="0"/>
        <w:spacing w:line="360" w:lineRule="auto"/>
        <w:ind w:firstLine="480" w:firstLineChars="200"/>
        <w:jc w:val="left"/>
        <w:rPr>
          <w:rFonts w:hAnsi="宋体" w:eastAsia="宋体"/>
          <w:color w:val="auto"/>
          <w:sz w:val="24"/>
          <w:szCs w:val="24"/>
          <w:highlight w:val="none"/>
          <w:u w:val="single"/>
        </w:rPr>
      </w:pPr>
      <w:r>
        <w:rPr>
          <w:rFonts w:hint="eastAsia" w:hAnsi="宋体" w:eastAsia="宋体"/>
          <w:color w:val="auto"/>
          <w:sz w:val="24"/>
          <w:szCs w:val="24"/>
          <w:highlight w:val="none"/>
        </w:rPr>
        <w:t>授权代表联系方式：</w:t>
      </w:r>
      <w:r>
        <w:rPr>
          <w:rFonts w:hint="eastAsia" w:hAnsi="宋体" w:eastAsia="宋体"/>
          <w:color w:val="auto"/>
          <w:sz w:val="24"/>
          <w:szCs w:val="24"/>
          <w:highlight w:val="none"/>
          <w:u w:val="single"/>
        </w:rPr>
        <w:t xml:space="preserve">          （请填写手机号码）</w:t>
      </w:r>
    </w:p>
    <w:p w14:paraId="4014ADFE">
      <w:pPr>
        <w:pStyle w:val="28"/>
        <w:snapToGrid w:val="0"/>
        <w:spacing w:line="360" w:lineRule="auto"/>
        <w:ind w:firstLine="480" w:firstLineChars="200"/>
        <w:jc w:val="left"/>
        <w:rPr>
          <w:rFonts w:hAnsi="宋体" w:eastAsia="宋体"/>
          <w:color w:val="auto"/>
          <w:sz w:val="24"/>
          <w:szCs w:val="24"/>
          <w:highlight w:val="none"/>
        </w:rPr>
      </w:pPr>
    </w:p>
    <w:p w14:paraId="5F82E802">
      <w:pPr>
        <w:spacing w:line="360" w:lineRule="auto"/>
        <w:ind w:firstLine="360" w:firstLineChars="150"/>
        <w:rPr>
          <w:color w:val="auto"/>
          <w:sz w:val="24"/>
          <w:szCs w:val="24"/>
          <w:highlight w:val="none"/>
        </w:rPr>
      </w:pPr>
      <w:r>
        <w:rPr>
          <w:rFonts w:hint="eastAsia"/>
          <w:color w:val="auto"/>
          <w:sz w:val="24"/>
          <w:szCs w:val="24"/>
          <w:highlight w:val="none"/>
        </w:rPr>
        <w:t>特此声明。</w:t>
      </w:r>
    </w:p>
    <w:p w14:paraId="4E576FF0">
      <w:pPr>
        <w:spacing w:line="360" w:lineRule="auto"/>
        <w:rPr>
          <w:color w:val="auto"/>
          <w:sz w:val="24"/>
          <w:szCs w:val="24"/>
          <w:highlight w:val="none"/>
        </w:rPr>
      </w:pPr>
    </w:p>
    <w:p w14:paraId="386CB1E1">
      <w:pPr>
        <w:spacing w:line="360" w:lineRule="auto"/>
        <w:jc w:val="center"/>
        <w:rPr>
          <w:bCs/>
          <w:color w:val="auto"/>
          <w:sz w:val="24"/>
          <w:szCs w:val="24"/>
          <w:highlight w:val="none"/>
        </w:rPr>
      </w:pPr>
      <w:r>
        <w:rPr>
          <w:rFonts w:hint="eastAsia"/>
          <w:bCs/>
          <w:color w:val="auto"/>
          <w:sz w:val="24"/>
          <w:szCs w:val="24"/>
          <w:highlight w:val="none"/>
          <w:lang w:val="en-US" w:eastAsia="zh-CN"/>
        </w:rPr>
        <w:t xml:space="preserve">                    </w:t>
      </w:r>
      <w:r>
        <w:rPr>
          <w:rFonts w:hint="eastAsia"/>
          <w:bCs/>
          <w:color w:val="auto"/>
          <w:sz w:val="24"/>
          <w:szCs w:val="24"/>
          <w:highlight w:val="none"/>
        </w:rPr>
        <w:t>供应商电子签章：</w:t>
      </w:r>
      <w:r>
        <w:rPr>
          <w:rFonts w:hint="eastAsia"/>
          <w:bCs/>
          <w:color w:val="auto"/>
          <w:sz w:val="24"/>
          <w:szCs w:val="24"/>
          <w:highlight w:val="none"/>
          <w:u w:val="single"/>
        </w:rPr>
        <w:t xml:space="preserve">                    </w:t>
      </w:r>
    </w:p>
    <w:p w14:paraId="6111F58B">
      <w:pPr>
        <w:spacing w:line="360" w:lineRule="auto"/>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日          期：</w:t>
      </w:r>
      <w:r>
        <w:rPr>
          <w:rFonts w:hint="eastAsia"/>
          <w:color w:val="auto"/>
          <w:sz w:val="24"/>
          <w:szCs w:val="24"/>
          <w:highlight w:val="none"/>
          <w:u w:val="single"/>
        </w:rPr>
        <w:t xml:space="preserve">                    </w:t>
      </w:r>
    </w:p>
    <w:p w14:paraId="56207C41">
      <w:pPr>
        <w:spacing w:line="360" w:lineRule="auto"/>
        <w:rPr>
          <w:color w:val="auto"/>
          <w:sz w:val="24"/>
          <w:szCs w:val="24"/>
          <w:highlight w:val="none"/>
        </w:rPr>
      </w:pPr>
    </w:p>
    <w:p w14:paraId="56577C98">
      <w:pPr>
        <w:pStyle w:val="28"/>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注：</w:t>
      </w:r>
    </w:p>
    <w:p w14:paraId="54566F3A">
      <w:pPr>
        <w:pStyle w:val="28"/>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1.本项目只允许有唯一的供应商授权代表，提供身份证明扫描件；</w:t>
      </w:r>
    </w:p>
    <w:p w14:paraId="2C053F8B">
      <w:pPr>
        <w:spacing w:line="360" w:lineRule="auto"/>
        <w:jc w:val="left"/>
        <w:rPr>
          <w:color w:val="auto"/>
          <w:sz w:val="24"/>
          <w:szCs w:val="24"/>
          <w:highlight w:val="none"/>
        </w:rPr>
      </w:pPr>
      <w:r>
        <w:rPr>
          <w:rFonts w:hint="eastAsia"/>
          <w:color w:val="auto"/>
          <w:sz w:val="24"/>
          <w:szCs w:val="24"/>
          <w:highlight w:val="none"/>
        </w:rPr>
        <w:t>2.法定代表人参加磋商的无需提供授权书，仅提供身份证明扫描件。</w:t>
      </w:r>
    </w:p>
    <w:p w14:paraId="113E631E">
      <w:pPr>
        <w:widowControl/>
        <w:jc w:val="left"/>
        <w:rPr>
          <w:color w:val="auto"/>
          <w:sz w:val="24"/>
          <w:szCs w:val="24"/>
          <w:highlight w:val="none"/>
        </w:rPr>
      </w:pPr>
      <w:r>
        <w:rPr>
          <w:color w:val="auto"/>
          <w:sz w:val="24"/>
          <w:szCs w:val="24"/>
          <w:highlight w:val="none"/>
        </w:rPr>
        <w:br w:type="page"/>
      </w:r>
    </w:p>
    <w:p w14:paraId="72AE58E9">
      <w:pPr>
        <w:keepNext/>
        <w:keepLines/>
        <w:spacing w:before="260" w:after="260" w:line="416" w:lineRule="auto"/>
        <w:jc w:val="center"/>
        <w:outlineLvl w:val="9"/>
        <w:rPr>
          <w:rFonts w:ascii="宋体" w:hAnsi="宋体" w:eastAsia="宋体" w:cs="@仿宋_GB2312"/>
          <w:b/>
          <w:bCs/>
          <w:color w:val="auto"/>
          <w:kern w:val="2"/>
          <w:sz w:val="24"/>
          <w:szCs w:val="24"/>
          <w:highlight w:val="none"/>
        </w:rPr>
      </w:pPr>
      <w:bookmarkStart w:id="697" w:name="_Toc32351"/>
      <w:bookmarkStart w:id="698" w:name="_Toc12223"/>
      <w:r>
        <w:rPr>
          <w:rFonts w:hint="eastAsia" w:ascii="宋体" w:hAnsi="宋体" w:eastAsia="宋体" w:cs="@仿宋_GB2312"/>
          <w:b/>
          <w:bCs/>
          <w:color w:val="auto"/>
          <w:kern w:val="2"/>
          <w:sz w:val="24"/>
          <w:szCs w:val="24"/>
          <w:highlight w:val="none"/>
        </w:rPr>
        <w:t>法定代表人身份证明书</w:t>
      </w:r>
      <w:bookmarkEnd w:id="697"/>
      <w:bookmarkEnd w:id="698"/>
    </w:p>
    <w:p w14:paraId="772301E9">
      <w:pPr>
        <w:autoSpaceDE w:val="0"/>
        <w:autoSpaceDN w:val="0"/>
        <w:adjustRightInd w:val="0"/>
        <w:spacing w:line="360" w:lineRule="auto"/>
        <w:jc w:val="center"/>
        <w:rPr>
          <w:rFonts w:ascii="@仿宋_GB2312" w:eastAsia="@仿宋_GB2312" w:cs="宋体"/>
          <w:b/>
          <w:color w:val="auto"/>
          <w:kern w:val="2"/>
          <w:sz w:val="24"/>
          <w:szCs w:val="24"/>
          <w:highlight w:val="none"/>
          <w:lang w:val="zh-CN"/>
        </w:rPr>
      </w:pPr>
    </w:p>
    <w:p w14:paraId="33B43F1A">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单位名称：</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04E07326">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单位性质：</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3FC09C98">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地    址：</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14955134">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成立时间：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月</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日</w:t>
      </w:r>
    </w:p>
    <w:p w14:paraId="6C744925">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经营期限：</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483B9EA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姓    名：</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性 </w:t>
      </w:r>
      <w:r>
        <w:rPr>
          <w:rFonts w:ascii="Calibri" w:hAnsi="Calibri" w:cs="Times New Roman"/>
          <w:color w:val="auto"/>
          <w:kern w:val="2"/>
          <w:sz w:val="24"/>
          <w:szCs w:val="24"/>
          <w:highlight w:val="none"/>
        </w:rPr>
        <w:t xml:space="preserve">  </w:t>
      </w:r>
      <w:r>
        <w:rPr>
          <w:rFonts w:hint="eastAsia" w:ascii="Calibri" w:hAnsi="Calibri" w:cs="Times New Roman"/>
          <w:color w:val="auto"/>
          <w:kern w:val="2"/>
          <w:sz w:val="24"/>
          <w:szCs w:val="24"/>
          <w:highlight w:val="none"/>
        </w:rPr>
        <w:t xml:space="preserve"> 别：</w:t>
      </w:r>
      <w:r>
        <w:rPr>
          <w:rFonts w:hint="eastAsia" w:ascii="Calibri" w:hAnsi="Calibri" w:cs="Times New Roman"/>
          <w:color w:val="auto"/>
          <w:kern w:val="2"/>
          <w:sz w:val="24"/>
          <w:szCs w:val="24"/>
          <w:highlight w:val="none"/>
          <w:u w:val="single"/>
        </w:rPr>
        <w:t xml:space="preserve">             </w:t>
      </w:r>
    </w:p>
    <w:p w14:paraId="7FF9EDB7">
      <w:pPr>
        <w:snapToGrid w:val="0"/>
        <w:spacing w:line="360" w:lineRule="auto"/>
        <w:ind w:firstLine="480" w:firstLineChars="200"/>
        <w:jc w:val="left"/>
        <w:rPr>
          <w:rFonts w:ascii="Calibri" w:hAnsi="Calibri" w:cs="Times New Roman"/>
          <w:color w:val="auto"/>
          <w:kern w:val="2"/>
          <w:sz w:val="24"/>
          <w:szCs w:val="24"/>
          <w:highlight w:val="none"/>
          <w:u w:val="single"/>
        </w:rPr>
      </w:pPr>
      <w:r>
        <w:rPr>
          <w:rFonts w:hint="eastAsia" w:ascii="Calibri" w:hAnsi="Calibri" w:cs="Times New Roman"/>
          <w:color w:val="auto"/>
          <w:kern w:val="2"/>
          <w:sz w:val="24"/>
          <w:szCs w:val="24"/>
          <w:highlight w:val="none"/>
        </w:rPr>
        <w:t>年    龄：</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职    务：</w:t>
      </w:r>
      <w:r>
        <w:rPr>
          <w:rFonts w:hint="eastAsia" w:ascii="Calibri" w:hAnsi="Calibri" w:cs="Times New Roman"/>
          <w:color w:val="auto"/>
          <w:kern w:val="2"/>
          <w:sz w:val="24"/>
          <w:szCs w:val="24"/>
          <w:highlight w:val="none"/>
          <w:u w:val="single"/>
        </w:rPr>
        <w:t xml:space="preserve">             </w:t>
      </w:r>
    </w:p>
    <w:p w14:paraId="7F58E877">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联系</w:t>
      </w:r>
      <w:r>
        <w:rPr>
          <w:rFonts w:ascii="Calibri" w:hAnsi="Calibri" w:cs="Times New Roman"/>
          <w:color w:val="auto"/>
          <w:kern w:val="2"/>
          <w:sz w:val="24"/>
          <w:szCs w:val="24"/>
          <w:highlight w:val="none"/>
        </w:rPr>
        <w:t>电话</w:t>
      </w:r>
      <w:r>
        <w:rPr>
          <w:rFonts w:hint="eastAsia" w:ascii="Calibri" w:hAnsi="Calibri" w:cs="Times New Roman"/>
          <w:color w:val="auto"/>
          <w:kern w:val="2"/>
          <w:sz w:val="24"/>
          <w:szCs w:val="24"/>
          <w:highlight w:val="none"/>
        </w:rPr>
        <w:t>：</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手机号码：</w:t>
      </w:r>
      <w:r>
        <w:rPr>
          <w:rFonts w:hint="eastAsia" w:ascii="Calibri" w:hAnsi="Calibri" w:cs="Times New Roman"/>
          <w:color w:val="auto"/>
          <w:kern w:val="2"/>
          <w:sz w:val="24"/>
          <w:szCs w:val="24"/>
          <w:highlight w:val="none"/>
          <w:u w:val="single"/>
        </w:rPr>
        <w:t xml:space="preserve">             </w:t>
      </w:r>
    </w:p>
    <w:p w14:paraId="20AA5FAE">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系  </w:t>
      </w:r>
      <w:r>
        <w:rPr>
          <w:rFonts w:hint="eastAsia" w:ascii="Calibri" w:hAnsi="Calibri" w:cs="Times New Roman"/>
          <w:color w:val="auto"/>
          <w:kern w:val="2"/>
          <w:sz w:val="24"/>
          <w:szCs w:val="24"/>
          <w:highlight w:val="none"/>
          <w:u w:val="single"/>
        </w:rPr>
        <w:t xml:space="preserve">   （供应商单位名称）       </w:t>
      </w:r>
      <w:r>
        <w:rPr>
          <w:rFonts w:hint="eastAsia" w:ascii="Calibri" w:hAnsi="Calibri" w:cs="Times New Roman"/>
          <w:color w:val="auto"/>
          <w:kern w:val="2"/>
          <w:sz w:val="24"/>
          <w:szCs w:val="24"/>
          <w:highlight w:val="none"/>
        </w:rPr>
        <w:t>的法定代表人。</w:t>
      </w:r>
    </w:p>
    <w:p w14:paraId="51606356">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333ABA28">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4DFE793E">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760BE07B">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53F230E9">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251C2F53">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65126B17">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45350F1F">
      <w:pPr>
        <w:widowControl/>
        <w:jc w:val="left"/>
        <w:rPr>
          <w:rFonts w:ascii="宋体" w:hAnsi="宋体" w:eastAsia="宋体" w:cs="@仿宋_GB2312"/>
          <w:b/>
          <w:bCs/>
          <w:color w:val="auto"/>
          <w:kern w:val="2"/>
          <w:sz w:val="24"/>
          <w:szCs w:val="24"/>
          <w:highlight w:val="none"/>
        </w:rPr>
      </w:pPr>
      <w:r>
        <w:rPr>
          <w:rFonts w:ascii="宋体" w:hAnsi="宋体" w:eastAsia="宋体" w:cs="@仿宋_GB2312"/>
          <w:color w:val="auto"/>
          <w:kern w:val="2"/>
          <w:sz w:val="24"/>
          <w:szCs w:val="24"/>
          <w:highlight w:val="none"/>
        </w:rPr>
        <w:br w:type="page"/>
      </w:r>
    </w:p>
    <w:p w14:paraId="24E012BF">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rPr>
      </w:pPr>
      <w:bookmarkStart w:id="699" w:name="_Toc20099"/>
      <w:bookmarkStart w:id="700" w:name="_Toc4373"/>
      <w:r>
        <w:rPr>
          <w:rFonts w:hint="eastAsia" w:ascii="宋体" w:hAnsi="宋体" w:eastAsia="宋体" w:cs="@仿宋_GB2312"/>
          <w:b/>
          <w:bCs/>
          <w:color w:val="auto"/>
          <w:kern w:val="2"/>
          <w:sz w:val="24"/>
          <w:szCs w:val="24"/>
          <w:highlight w:val="none"/>
          <w:lang w:val="en-US" w:eastAsia="zh-CN"/>
        </w:rPr>
        <w:t>六</w:t>
      </w:r>
      <w:r>
        <w:rPr>
          <w:rFonts w:hint="eastAsia" w:ascii="宋体" w:hAnsi="宋体" w:eastAsia="宋体" w:cs="@仿宋_GB2312"/>
          <w:b/>
          <w:bCs/>
          <w:color w:val="auto"/>
          <w:kern w:val="2"/>
          <w:sz w:val="24"/>
          <w:szCs w:val="24"/>
          <w:highlight w:val="none"/>
        </w:rPr>
        <w:t>、项目经理承诺书</w:t>
      </w:r>
      <w:bookmarkEnd w:id="699"/>
      <w:bookmarkEnd w:id="700"/>
    </w:p>
    <w:p w14:paraId="5ABC3E8F">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none"/>
          <w:lang w:eastAsia="zh-CN"/>
        </w:rPr>
        <w:t>采购人</w:t>
      </w:r>
    </w:p>
    <w:p w14:paraId="5F7035A2">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5B5DD63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w:t>
      </w:r>
      <w:r>
        <w:rPr>
          <w:rFonts w:hint="eastAsia" w:cs="宋体"/>
          <w:color w:val="auto"/>
          <w:kern w:val="2"/>
          <w:sz w:val="24"/>
          <w:szCs w:val="24"/>
          <w:highlight w:val="none"/>
          <w:lang w:eastAsia="zh-CN"/>
        </w:rPr>
        <w:t>完工</w:t>
      </w:r>
      <w:r>
        <w:rPr>
          <w:rFonts w:hint="eastAsia" w:cs="宋体"/>
          <w:color w:val="auto"/>
          <w:kern w:val="2"/>
          <w:sz w:val="24"/>
          <w:szCs w:val="24"/>
          <w:highlight w:val="none"/>
        </w:rPr>
        <w:t>相关资料证明）的本人签字均为该工程实施时段所签，真实无误，不存在虚假和挂靠现象，也不存在为磋商而造假的行为。</w:t>
      </w:r>
    </w:p>
    <w:p w14:paraId="2BC5B61C">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5C1CDC8E">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0ABA464E">
      <w:pPr>
        <w:spacing w:line="360" w:lineRule="auto"/>
        <w:ind w:firstLine="482" w:firstLineChars="200"/>
        <w:rPr>
          <w:rFonts w:hint="eastAsia"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四、</w:t>
      </w:r>
      <w:r>
        <w:rPr>
          <w:rFonts w:hint="eastAsia" w:cs="宋体"/>
          <w:b/>
          <w:bCs/>
          <w:color w:val="auto"/>
          <w:kern w:val="2"/>
          <w:sz w:val="24"/>
          <w:szCs w:val="24"/>
          <w:highlight w:val="none"/>
        </w:rPr>
        <w:t>本人声明</w:t>
      </w:r>
      <w:r>
        <w:rPr>
          <w:rFonts w:hint="eastAsia" w:cs="宋体"/>
          <w:b/>
          <w:bCs/>
          <w:color w:val="auto"/>
          <w:kern w:val="2"/>
          <w:sz w:val="24"/>
          <w:szCs w:val="24"/>
          <w:highlight w:val="none"/>
          <w:lang w:val="en-US" w:eastAsia="zh-CN"/>
        </w:rPr>
        <w:t>与我单位具有劳动合同关系、且已依法缴纳社会保险。</w:t>
      </w:r>
    </w:p>
    <w:p w14:paraId="415957DD">
      <w:pPr>
        <w:spacing w:line="360" w:lineRule="auto"/>
        <w:ind w:firstLine="480" w:firstLineChars="200"/>
        <w:rPr>
          <w:rFonts w:cs="宋体"/>
          <w:color w:val="auto"/>
          <w:kern w:val="2"/>
          <w:sz w:val="24"/>
          <w:szCs w:val="24"/>
          <w:highlight w:val="none"/>
        </w:rPr>
      </w:pPr>
    </w:p>
    <w:p w14:paraId="02E47C85">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44D35D3A">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0C1CD21F">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3D3E5346">
      <w:pPr>
        <w:spacing w:line="360" w:lineRule="auto"/>
        <w:ind w:firstLine="480" w:firstLineChars="200"/>
        <w:rPr>
          <w:rFonts w:cs="宋体"/>
          <w:color w:val="auto"/>
          <w:kern w:val="2"/>
          <w:sz w:val="24"/>
          <w:szCs w:val="24"/>
          <w:highlight w:val="none"/>
        </w:rPr>
      </w:pPr>
    </w:p>
    <w:p w14:paraId="7E0A820A">
      <w:pPr>
        <w:spacing w:line="360" w:lineRule="auto"/>
        <w:ind w:firstLine="480" w:firstLineChars="200"/>
        <w:rPr>
          <w:rFonts w:ascii="宋体" w:hAnsi="宋体" w:eastAsia="宋体" w:cs="宋体"/>
          <w:color w:val="auto"/>
          <w:kern w:val="2"/>
          <w:sz w:val="24"/>
          <w:szCs w:val="24"/>
          <w:highlight w:val="none"/>
        </w:rPr>
      </w:pPr>
      <w:r>
        <w:rPr>
          <w:rFonts w:hint="eastAsia" w:cs="宋体"/>
          <w:color w:val="auto"/>
          <w:kern w:val="2"/>
          <w:sz w:val="24"/>
          <w:szCs w:val="24"/>
          <w:highlight w:val="none"/>
        </w:rPr>
        <w:t>注：本页后附项目经理身份证明扫描件。</w:t>
      </w:r>
    </w:p>
    <w:p w14:paraId="424CEC3D">
      <w:pPr>
        <w:autoSpaceDE w:val="0"/>
        <w:autoSpaceDN w:val="0"/>
        <w:adjustRightInd w:val="0"/>
        <w:spacing w:line="360" w:lineRule="auto"/>
        <w:jc w:val="center"/>
        <w:rPr>
          <w:rFonts w:ascii="@仿宋_GB2312" w:eastAsia="@仿宋_GB2312" w:cs="宋体"/>
          <w:color w:val="auto"/>
          <w:kern w:val="2"/>
          <w:sz w:val="24"/>
          <w:szCs w:val="24"/>
          <w:highlight w:val="none"/>
          <w:lang w:val="zh-CN"/>
        </w:rPr>
      </w:pPr>
      <w:bookmarkStart w:id="701" w:name="_Toc438648628"/>
      <w:r>
        <w:rPr>
          <w:rFonts w:hint="eastAsia" w:ascii="@仿宋_GB2312" w:eastAsia="@仿宋_GB2312" w:cs="宋体"/>
          <w:b/>
          <w:color w:val="auto"/>
          <w:kern w:val="2"/>
          <w:sz w:val="24"/>
          <w:szCs w:val="24"/>
          <w:highlight w:val="none"/>
        </w:rPr>
        <w:br w:type="page"/>
      </w:r>
      <w:bookmarkEnd w:id="701"/>
    </w:p>
    <w:p w14:paraId="4BEC593D">
      <w:pPr>
        <w:numPr>
          <w:ilvl w:val="0"/>
          <w:numId w:val="8"/>
        </w:numPr>
        <w:spacing w:line="360" w:lineRule="auto"/>
        <w:jc w:val="center"/>
        <w:outlineLvl w:val="1"/>
        <w:rPr>
          <w:rFonts w:hint="eastAsia" w:ascii="宋体" w:hAnsi="宋体" w:eastAsia="宋体"/>
          <w:b/>
          <w:color w:val="auto"/>
          <w:sz w:val="24"/>
          <w:szCs w:val="24"/>
          <w:highlight w:val="none"/>
        </w:rPr>
      </w:pPr>
      <w:bookmarkStart w:id="702" w:name="_Toc31589"/>
      <w:bookmarkStart w:id="703" w:name="_Toc28359"/>
      <w:r>
        <w:rPr>
          <w:rFonts w:hint="eastAsia" w:ascii="宋体" w:hAnsi="宋体" w:eastAsia="宋体"/>
          <w:b/>
          <w:color w:val="auto"/>
          <w:sz w:val="24"/>
          <w:szCs w:val="24"/>
          <w:highlight w:val="none"/>
        </w:rPr>
        <w:t>中小企业声明函</w:t>
      </w:r>
      <w:bookmarkEnd w:id="702"/>
      <w:bookmarkEnd w:id="703"/>
    </w:p>
    <w:p w14:paraId="7F172D58">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b/>
          <w:bCs/>
          <w:color w:val="auto"/>
          <w:kern w:val="2"/>
          <w:sz w:val="24"/>
          <w:szCs w:val="24"/>
          <w:highlight w:val="none"/>
          <w:u w:val="single"/>
          <w:lang w:val="en-US" w:eastAsia="zh-CN"/>
        </w:rPr>
        <w:t>安徽省淮河河道管理局</w:t>
      </w:r>
      <w:r>
        <w:rPr>
          <w:rFonts w:hint="eastAsia" w:cs="@仿宋_GB2312"/>
          <w:color w:val="auto"/>
          <w:kern w:val="2"/>
          <w:sz w:val="24"/>
          <w:szCs w:val="24"/>
          <w:highlight w:val="none"/>
          <w:lang w:val="zh-CN"/>
        </w:rPr>
        <w:t>的</w:t>
      </w:r>
      <w:r>
        <w:rPr>
          <w:rFonts w:hint="eastAsia" w:cs="@仿宋_GB2312"/>
          <w:b/>
          <w:bCs/>
          <w:color w:val="auto"/>
          <w:kern w:val="2"/>
          <w:sz w:val="24"/>
          <w:szCs w:val="24"/>
          <w:highlight w:val="none"/>
          <w:u w:val="single"/>
          <w:lang w:val="en-US" w:eastAsia="zh-CN"/>
        </w:rPr>
        <w:t>2025年省淮河局基层管理所维修改造（第1包潘集基层管理所维修改造）</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75EE8E7E">
      <w:pPr>
        <w:spacing w:line="360" w:lineRule="auto"/>
        <w:ind w:firstLine="435"/>
        <w:rPr>
          <w:rFonts w:cs="@仿宋_GB2312"/>
          <w:color w:val="auto"/>
          <w:kern w:val="2"/>
          <w:sz w:val="24"/>
          <w:szCs w:val="24"/>
          <w:highlight w:val="none"/>
          <w:lang w:val="zh-CN"/>
        </w:rPr>
      </w:pPr>
      <w:r>
        <w:rPr>
          <w:rFonts w:hint="eastAsia" w:cs="@仿宋_GB2312"/>
          <w:b/>
          <w:bCs/>
          <w:color w:val="auto"/>
          <w:kern w:val="2"/>
          <w:sz w:val="24"/>
          <w:szCs w:val="24"/>
          <w:highlight w:val="none"/>
          <w:u w:val="single"/>
          <w:lang w:val="en-US" w:eastAsia="zh-CN"/>
        </w:rPr>
        <w:t>2025年省淮河局基层管理所维修改造（第1包潘集基层管理所维修改造）</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en-US" w:eastAsia="zh-CN"/>
        </w:rPr>
        <w:t xml:space="preserve"> </w:t>
      </w:r>
      <w:r>
        <w:rPr>
          <w:rFonts w:hint="eastAsia" w:cs="@仿宋_GB2312"/>
          <w:b/>
          <w:bCs/>
          <w:color w:val="auto"/>
          <w:kern w:val="2"/>
          <w:sz w:val="24"/>
          <w:szCs w:val="24"/>
          <w:highlight w:val="none"/>
          <w:u w:val="single"/>
          <w:lang w:val="en-US" w:eastAsia="zh-CN"/>
        </w:rPr>
        <w:t xml:space="preserve">建筑业 </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3B9AC9E5">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0B6209DA">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7D139C99">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201FA36A">
      <w:pPr>
        <w:spacing w:line="360" w:lineRule="auto"/>
        <w:ind w:firstLine="435"/>
        <w:rPr>
          <w:rFonts w:ascii="宋体" w:hAnsi="宋体" w:eastAsia="宋体" w:cs="@仿宋_GB2312"/>
          <w:color w:val="auto"/>
          <w:kern w:val="2"/>
          <w:sz w:val="24"/>
          <w:szCs w:val="24"/>
          <w:highlight w:val="none"/>
        </w:rPr>
      </w:pPr>
    </w:p>
    <w:p w14:paraId="5F01A4E7">
      <w:pPr>
        <w:spacing w:line="360" w:lineRule="auto"/>
        <w:ind w:firstLine="435"/>
        <w:rPr>
          <w:rFonts w:ascii="宋体" w:hAnsi="宋体" w:eastAsia="宋体" w:cs="@仿宋_GB2312"/>
          <w:color w:val="auto"/>
          <w:kern w:val="2"/>
          <w:sz w:val="24"/>
          <w:szCs w:val="24"/>
          <w:highlight w:val="none"/>
        </w:rPr>
      </w:pPr>
    </w:p>
    <w:p w14:paraId="470733B1">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04436EBD">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486593B9">
      <w:pPr>
        <w:tabs>
          <w:tab w:val="left" w:pos="4620"/>
        </w:tabs>
        <w:spacing w:line="360" w:lineRule="auto"/>
        <w:jc w:val="left"/>
        <w:rPr>
          <w:rFonts w:ascii="宋体" w:hAnsi="宋体" w:eastAsia="宋体" w:cs="@仿宋_GB2312"/>
          <w:color w:val="auto"/>
          <w:kern w:val="2"/>
          <w:sz w:val="24"/>
          <w:szCs w:val="24"/>
          <w:highlight w:val="none"/>
        </w:rPr>
      </w:pPr>
    </w:p>
    <w:p w14:paraId="695C67B0">
      <w:pPr>
        <w:tabs>
          <w:tab w:val="left" w:pos="4620"/>
        </w:tabs>
        <w:spacing w:line="360" w:lineRule="auto"/>
        <w:jc w:val="left"/>
        <w:rPr>
          <w:rFonts w:ascii="宋体" w:hAnsi="宋体" w:eastAsia="宋体" w:cs="@仿宋_GB2312"/>
          <w:color w:val="auto"/>
          <w:kern w:val="2"/>
          <w:sz w:val="24"/>
          <w:szCs w:val="24"/>
          <w:highlight w:val="none"/>
        </w:rPr>
      </w:pPr>
    </w:p>
    <w:p w14:paraId="765A3CD8">
      <w:pPr>
        <w:tabs>
          <w:tab w:val="left" w:pos="4620"/>
        </w:tabs>
        <w:spacing w:line="360" w:lineRule="auto"/>
        <w:jc w:val="left"/>
        <w:rPr>
          <w:rFonts w:ascii="宋体" w:hAnsi="宋体" w:eastAsia="宋体" w:cs="@仿宋_GB2312"/>
          <w:color w:val="auto"/>
          <w:kern w:val="2"/>
          <w:sz w:val="24"/>
          <w:szCs w:val="24"/>
          <w:highlight w:val="none"/>
        </w:rPr>
      </w:pPr>
    </w:p>
    <w:p w14:paraId="606C8D01">
      <w:pPr>
        <w:tabs>
          <w:tab w:val="left" w:pos="4620"/>
        </w:tabs>
        <w:spacing w:line="360" w:lineRule="auto"/>
        <w:jc w:val="left"/>
        <w:rPr>
          <w:rFonts w:ascii="宋体" w:hAnsi="宋体" w:eastAsia="宋体" w:cs="@仿宋_GB2312"/>
          <w:color w:val="auto"/>
          <w:kern w:val="2"/>
          <w:sz w:val="24"/>
          <w:szCs w:val="24"/>
          <w:highlight w:val="none"/>
        </w:rPr>
      </w:pPr>
    </w:p>
    <w:p w14:paraId="2AA493DA">
      <w:pPr>
        <w:tabs>
          <w:tab w:val="left" w:pos="4620"/>
        </w:tabs>
        <w:spacing w:line="360" w:lineRule="auto"/>
        <w:jc w:val="left"/>
        <w:rPr>
          <w:rFonts w:ascii="宋体" w:hAnsi="宋体" w:eastAsia="宋体" w:cs="@仿宋_GB2312"/>
          <w:color w:val="auto"/>
          <w:kern w:val="2"/>
          <w:sz w:val="24"/>
          <w:szCs w:val="24"/>
          <w:highlight w:val="none"/>
        </w:rPr>
      </w:pPr>
    </w:p>
    <w:p w14:paraId="5A69836C">
      <w:pPr>
        <w:tabs>
          <w:tab w:val="left" w:pos="4620"/>
        </w:tabs>
        <w:spacing w:line="360" w:lineRule="auto"/>
        <w:jc w:val="left"/>
        <w:rPr>
          <w:rFonts w:hint="eastAsia" w:ascii="宋体" w:hAnsi="宋体" w:eastAsia="宋体" w:cs="@仿宋_GB2312"/>
          <w:b/>
          <w:color w:val="auto"/>
          <w:kern w:val="2"/>
          <w:sz w:val="24"/>
          <w:szCs w:val="24"/>
          <w:highlight w:val="none"/>
          <w:lang w:eastAsia="zh-CN"/>
        </w:rPr>
      </w:pPr>
      <w:r>
        <w:rPr>
          <w:rFonts w:hint="eastAsia" w:ascii="宋体" w:hAnsi="宋体" w:eastAsia="宋体" w:cs="@仿宋_GB2312"/>
          <w:b/>
          <w:color w:val="auto"/>
          <w:kern w:val="2"/>
          <w:sz w:val="24"/>
          <w:szCs w:val="24"/>
          <w:highlight w:val="none"/>
          <w:lang w:eastAsia="zh-CN"/>
        </w:rPr>
        <w:t>注：</w:t>
      </w:r>
    </w:p>
    <w:p w14:paraId="283039A7">
      <w:pPr>
        <w:tabs>
          <w:tab w:val="left" w:pos="4620"/>
        </w:tabs>
        <w:spacing w:line="360" w:lineRule="auto"/>
        <w:jc w:val="left"/>
        <w:rPr>
          <w:rFonts w:ascii="宋体" w:hAnsi="宋体" w:eastAsia="宋体" w:cs="@仿宋_GB2312"/>
          <w:color w:val="auto"/>
          <w:kern w:val="2"/>
          <w:sz w:val="24"/>
          <w:szCs w:val="24"/>
          <w:highlight w:val="none"/>
        </w:rPr>
      </w:pPr>
      <w:r>
        <w:rPr>
          <w:rFonts w:ascii="宋体" w:hAnsi="宋体" w:eastAsia="宋体" w:cs="@仿宋_GB2312"/>
          <w:color w:val="auto"/>
          <w:kern w:val="2"/>
          <w:sz w:val="24"/>
          <w:szCs w:val="24"/>
          <w:highlight w:val="none"/>
        </w:rPr>
        <w:t>1.从业人员、营业收入、资产总额填报上一年数据，无上一年数据的新成立企业可不填报。</w:t>
      </w:r>
    </w:p>
    <w:p w14:paraId="232F2FEE">
      <w:pPr>
        <w:tabs>
          <w:tab w:val="left" w:pos="4620"/>
        </w:tabs>
        <w:spacing w:line="360" w:lineRule="auto"/>
        <w:jc w:val="left"/>
        <w:rPr>
          <w:rFonts w:cs="宋体"/>
          <w:b/>
          <w:bCs/>
          <w:color w:val="auto"/>
          <w:kern w:val="2"/>
          <w:sz w:val="24"/>
          <w:szCs w:val="24"/>
          <w:highlight w:val="none"/>
        </w:rPr>
      </w:pPr>
      <w:r>
        <w:rPr>
          <w:rFonts w:hint="eastAsia" w:cs="宋体"/>
          <w:b/>
          <w:bCs/>
          <w:color w:val="auto"/>
          <w:sz w:val="24"/>
          <w:szCs w:val="24"/>
          <w:highlight w:val="none"/>
        </w:rPr>
        <w:t>2.</w:t>
      </w:r>
      <w:r>
        <w:rPr>
          <w:rFonts w:hint="eastAsia" w:cs="宋体"/>
          <w:b/>
          <w:bCs/>
          <w:color w:val="auto"/>
          <w:kern w:val="2"/>
          <w:sz w:val="24"/>
          <w:szCs w:val="24"/>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4"/>
          <w:szCs w:val="24"/>
          <w:highlight w:val="none"/>
          <w:lang w:val="zh-CN"/>
        </w:rPr>
        <w:t>如有虚假，将依法承担相应责任。</w:t>
      </w:r>
      <w:r>
        <w:rPr>
          <w:rFonts w:hint="eastAsia" w:cs="宋体"/>
          <w:b/>
          <w:bCs/>
          <w:color w:val="auto"/>
          <w:kern w:val="2"/>
          <w:sz w:val="24"/>
          <w:szCs w:val="24"/>
          <w:highlight w:val="none"/>
        </w:rPr>
        <w:t>供应商自行登录工业和信息化部官网进行中小企业规模类型自测（查询网址https://www.miit.gov.cn/）。</w:t>
      </w:r>
    </w:p>
    <w:p w14:paraId="71CF3DF7">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3.上述“</w:t>
      </w:r>
      <w:r>
        <w:rPr>
          <w:rFonts w:hint="eastAsia" w:cs="宋体"/>
          <w:b/>
          <w:bCs/>
          <w:color w:val="auto"/>
          <w:kern w:val="2"/>
          <w:sz w:val="24"/>
          <w:szCs w:val="24"/>
          <w:highlight w:val="none"/>
          <w:u w:val="single"/>
          <w:lang w:val="zh-CN"/>
        </w:rPr>
        <w:t>标的名称</w:t>
      </w:r>
      <w:r>
        <w:rPr>
          <w:rFonts w:hint="eastAsia" w:cs="宋体"/>
          <w:b/>
          <w:bCs/>
          <w:color w:val="auto"/>
          <w:kern w:val="2"/>
          <w:sz w:val="24"/>
          <w:szCs w:val="24"/>
          <w:highlight w:val="none"/>
        </w:rPr>
        <w:t>”，详见第三章采购需求前附表中明确的“标的名称”。</w:t>
      </w:r>
    </w:p>
    <w:p w14:paraId="4819EBAC">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4.上述“</w:t>
      </w:r>
      <w:r>
        <w:rPr>
          <w:rFonts w:hint="eastAsia" w:cs="宋体"/>
          <w:b/>
          <w:bCs/>
          <w:color w:val="auto"/>
          <w:kern w:val="2"/>
          <w:sz w:val="24"/>
          <w:szCs w:val="24"/>
          <w:highlight w:val="none"/>
          <w:u w:val="single"/>
        </w:rPr>
        <w:t>采购文件中明确的所属行业</w:t>
      </w:r>
      <w:r>
        <w:rPr>
          <w:rFonts w:hint="eastAsia" w:cs="宋体"/>
          <w:b/>
          <w:bCs/>
          <w:color w:val="auto"/>
          <w:kern w:val="2"/>
          <w:sz w:val="24"/>
          <w:szCs w:val="24"/>
          <w:highlight w:val="none"/>
        </w:rPr>
        <w:t>”，详见第三章采购需求前附表中明确的“所属行业”。</w:t>
      </w:r>
    </w:p>
    <w:p w14:paraId="4C2D8A2B">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5．</w:t>
      </w:r>
      <w:r>
        <w:rPr>
          <w:rFonts w:hint="eastAsia" w:cs="宋体"/>
          <w:b/>
          <w:bCs/>
          <w:color w:val="auto"/>
          <w:sz w:val="24"/>
          <w:szCs w:val="24"/>
          <w:highlight w:val="none"/>
        </w:rPr>
        <w:t>填写示例：</w:t>
      </w:r>
      <w:r>
        <w:rPr>
          <w:rFonts w:hint="eastAsia" w:cs="宋体"/>
          <w:b/>
          <w:bCs/>
          <w:color w:val="auto"/>
          <w:sz w:val="24"/>
          <w:szCs w:val="24"/>
          <w:highlight w:val="none"/>
          <w:u w:val="single"/>
        </w:rPr>
        <w:t>某标的名称</w:t>
      </w:r>
      <w:r>
        <w:rPr>
          <w:rFonts w:hint="eastAsia" w:cs="宋体"/>
          <w:b/>
          <w:bCs/>
          <w:color w:val="auto"/>
          <w:sz w:val="24"/>
          <w:szCs w:val="24"/>
          <w:highlight w:val="none"/>
        </w:rPr>
        <w:t>（</w:t>
      </w:r>
      <w:r>
        <w:rPr>
          <w:rFonts w:hint="eastAsia" w:cs="宋体"/>
          <w:b/>
          <w:bCs/>
          <w:color w:val="auto"/>
          <w:sz w:val="24"/>
          <w:szCs w:val="24"/>
          <w:highlight w:val="none"/>
          <w:u w:val="single"/>
        </w:rPr>
        <w:t>填写第三章采购需求前附表中明确的“标的名称”</w:t>
      </w:r>
      <w:r>
        <w:rPr>
          <w:rFonts w:hint="eastAsia" w:cs="宋体"/>
          <w:b/>
          <w:bCs/>
          <w:color w:val="auto"/>
          <w:sz w:val="24"/>
          <w:szCs w:val="24"/>
          <w:highlight w:val="none"/>
        </w:rPr>
        <w:t>），属于</w:t>
      </w:r>
      <w:r>
        <w:rPr>
          <w:rFonts w:hint="eastAsia" w:cs="宋体"/>
          <w:b/>
          <w:bCs/>
          <w:color w:val="auto"/>
          <w:sz w:val="24"/>
          <w:szCs w:val="24"/>
          <w:highlight w:val="none"/>
          <w:u w:val="single"/>
        </w:rPr>
        <w:t>（填写第三章采购需求前附表中明确的“所属行业”，如建筑业）</w:t>
      </w:r>
      <w:r>
        <w:rPr>
          <w:rFonts w:hint="eastAsia" w:cs="宋体"/>
          <w:b/>
          <w:bCs/>
          <w:color w:val="auto"/>
          <w:sz w:val="24"/>
          <w:szCs w:val="24"/>
          <w:highlight w:val="none"/>
        </w:rPr>
        <w:t>行业；承接企业为</w:t>
      </w:r>
      <w:r>
        <w:rPr>
          <w:rFonts w:hint="eastAsia" w:cs="宋体"/>
          <w:b/>
          <w:bCs/>
          <w:color w:val="auto"/>
          <w:sz w:val="24"/>
          <w:szCs w:val="24"/>
          <w:highlight w:val="none"/>
          <w:u w:val="single"/>
          <w:lang w:val="zh-CN"/>
        </w:rPr>
        <w:t>某公司</w:t>
      </w:r>
      <w:r>
        <w:rPr>
          <w:rFonts w:hint="eastAsia" w:cs="宋体"/>
          <w:b/>
          <w:bCs/>
          <w:color w:val="auto"/>
          <w:sz w:val="24"/>
          <w:szCs w:val="24"/>
          <w:highlight w:val="none"/>
        </w:rPr>
        <w:t>，</w:t>
      </w:r>
      <w:r>
        <w:rPr>
          <w:rFonts w:hint="eastAsia" w:cs="宋体"/>
          <w:b/>
          <w:bCs/>
          <w:color w:val="auto"/>
          <w:sz w:val="24"/>
          <w:szCs w:val="24"/>
          <w:highlight w:val="none"/>
          <w:lang w:val="zh-CN"/>
        </w:rPr>
        <w:t>从业人员</w:t>
      </w:r>
      <w:r>
        <w:rPr>
          <w:rFonts w:hint="eastAsia" w:cs="宋体"/>
          <w:b/>
          <w:bCs/>
          <w:color w:val="auto"/>
          <w:sz w:val="24"/>
          <w:szCs w:val="24"/>
          <w:highlight w:val="none"/>
          <w:u w:val="single"/>
        </w:rPr>
        <w:t>100</w:t>
      </w:r>
      <w:r>
        <w:rPr>
          <w:rFonts w:hint="eastAsia" w:cs="宋体"/>
          <w:b/>
          <w:bCs/>
          <w:color w:val="auto"/>
          <w:sz w:val="24"/>
          <w:szCs w:val="24"/>
          <w:highlight w:val="none"/>
          <w:lang w:val="zh-CN"/>
        </w:rPr>
        <w:t>人</w:t>
      </w:r>
      <w:r>
        <w:rPr>
          <w:rFonts w:hint="eastAsia" w:cs="宋体"/>
          <w:b/>
          <w:bCs/>
          <w:color w:val="auto"/>
          <w:sz w:val="24"/>
          <w:szCs w:val="24"/>
          <w:highlight w:val="none"/>
        </w:rPr>
        <w:t>，</w:t>
      </w:r>
      <w:r>
        <w:rPr>
          <w:rFonts w:hint="eastAsia" w:cs="宋体"/>
          <w:b/>
          <w:bCs/>
          <w:color w:val="auto"/>
          <w:sz w:val="24"/>
          <w:szCs w:val="24"/>
          <w:highlight w:val="none"/>
          <w:lang w:val="zh-CN"/>
        </w:rPr>
        <w:t>营业收入为</w:t>
      </w:r>
      <w:r>
        <w:rPr>
          <w:rFonts w:hint="eastAsia" w:cs="宋体"/>
          <w:b/>
          <w:bCs/>
          <w:color w:val="auto"/>
          <w:sz w:val="24"/>
          <w:szCs w:val="24"/>
          <w:highlight w:val="none"/>
          <w:u w:val="single"/>
        </w:rPr>
        <w:t>10000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资产总额为</w:t>
      </w:r>
      <w:r>
        <w:rPr>
          <w:rFonts w:hint="eastAsia" w:cs="宋体"/>
          <w:b/>
          <w:bCs/>
          <w:color w:val="auto"/>
          <w:sz w:val="24"/>
          <w:szCs w:val="24"/>
          <w:highlight w:val="none"/>
          <w:u w:val="single"/>
        </w:rPr>
        <w:t>5000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属于</w:t>
      </w:r>
      <w:r>
        <w:rPr>
          <w:rFonts w:hint="eastAsia" w:cs="宋体"/>
          <w:b/>
          <w:bCs/>
          <w:color w:val="auto"/>
          <w:sz w:val="24"/>
          <w:szCs w:val="24"/>
          <w:highlight w:val="none"/>
        </w:rPr>
        <w:t>中</w:t>
      </w:r>
      <w:r>
        <w:rPr>
          <w:rFonts w:hint="eastAsia" w:cs="宋体"/>
          <w:b/>
          <w:bCs/>
          <w:color w:val="auto"/>
          <w:sz w:val="24"/>
          <w:szCs w:val="24"/>
          <w:highlight w:val="none"/>
          <w:u w:val="single"/>
          <w:lang w:val="zh-CN"/>
        </w:rPr>
        <w:t>型</w:t>
      </w:r>
      <w:r>
        <w:rPr>
          <w:rFonts w:hint="eastAsia" w:cs="宋体"/>
          <w:b/>
          <w:bCs/>
          <w:color w:val="auto"/>
          <w:sz w:val="24"/>
          <w:szCs w:val="24"/>
          <w:highlight w:val="none"/>
          <w:lang w:val="zh-CN"/>
        </w:rPr>
        <w:t>企业</w:t>
      </w:r>
      <w:r>
        <w:rPr>
          <w:rFonts w:hint="eastAsia" w:cs="宋体"/>
          <w:b/>
          <w:bCs/>
          <w:color w:val="auto"/>
          <w:sz w:val="24"/>
          <w:szCs w:val="24"/>
          <w:highlight w:val="none"/>
        </w:rPr>
        <w:t>[供应商自行登录工业和信息化部官网进行中小企业规模类型自测（查询网址https://www.miit.gov.cn/）]</w:t>
      </w:r>
      <w:r>
        <w:rPr>
          <w:rFonts w:hint="eastAsia" w:cs="宋体"/>
          <w:b/>
          <w:bCs/>
          <w:color w:val="auto"/>
          <w:kern w:val="2"/>
          <w:sz w:val="24"/>
          <w:szCs w:val="24"/>
          <w:highlight w:val="none"/>
          <w:lang w:val="zh-CN"/>
        </w:rPr>
        <w:t>。</w:t>
      </w:r>
    </w:p>
    <w:p w14:paraId="31FCD595">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581D34F4">
      <w:pPr>
        <w:spacing w:line="360" w:lineRule="auto"/>
        <w:jc w:val="center"/>
        <w:outlineLvl w:val="9"/>
        <w:rPr>
          <w:rFonts w:ascii="宋体" w:hAnsi="宋体" w:eastAsia="宋体"/>
          <w:b/>
          <w:color w:val="auto"/>
          <w:sz w:val="24"/>
          <w:szCs w:val="24"/>
          <w:highlight w:val="none"/>
        </w:rPr>
      </w:pPr>
      <w:bookmarkStart w:id="704" w:name="_Toc17154"/>
      <w:bookmarkStart w:id="705" w:name="_Toc17813"/>
      <w:r>
        <w:rPr>
          <w:rFonts w:hint="eastAsia" w:ascii="宋体" w:hAnsi="宋体" w:eastAsia="宋体"/>
          <w:b/>
          <w:color w:val="auto"/>
          <w:sz w:val="24"/>
          <w:szCs w:val="24"/>
          <w:highlight w:val="none"/>
        </w:rPr>
        <w:t>残疾人福利性单位声明函</w:t>
      </w:r>
      <w:bookmarkEnd w:id="704"/>
      <w:bookmarkEnd w:id="705"/>
    </w:p>
    <w:p w14:paraId="7228BDB9">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szCs w:val="24"/>
          <w:highlight w:val="none"/>
          <w:lang w:val="en-US" w:eastAsia="zh-CN"/>
        </w:rPr>
      </w:pPr>
      <w:r>
        <w:rPr>
          <w:rFonts w:hint="eastAsia" w:ascii="宋体" w:hAnsi="宋体" w:eastAsia="宋体"/>
          <w:b w:val="0"/>
          <w:i/>
          <w:color w:val="auto"/>
          <w:sz w:val="24"/>
          <w:szCs w:val="24"/>
          <w:highlight w:val="none"/>
          <w:lang w:val="en-US" w:eastAsia="zh-CN"/>
        </w:rPr>
        <w:t>（非残疾人福利性单位磋商，请删去“残疾人福利性单位声明函”）</w:t>
      </w:r>
    </w:p>
    <w:p w14:paraId="4D1E14E1">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4"/>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宋体" w:hAnsi="宋体" w:eastAsia="宋体"/>
          <w:color w:val="auto"/>
          <w:spacing w:val="6"/>
          <w:sz w:val="24"/>
          <w:szCs w:val="24"/>
          <w:highlight w:val="none"/>
        </w:rPr>
        <w:t>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单位的</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项目采购活动提供本单位制造的货物</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lang w:val="en-US" w:eastAsia="zh-CN"/>
        </w:rPr>
        <w:t>由本单位承担工程/提供服务</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rPr>
        <w:t>，或者提供其他残疾人福利性单位制造的货物（不包括使用非残疾人福利性单位注册商标的货物）。</w:t>
      </w:r>
    </w:p>
    <w:p w14:paraId="23473D32">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10237C03">
      <w:pPr>
        <w:spacing w:line="360" w:lineRule="auto"/>
        <w:ind w:firstLine="4228" w:firstLineChars="1762"/>
        <w:rPr>
          <w:rFonts w:cs="Times New Roman"/>
          <w:color w:val="auto"/>
          <w:kern w:val="2"/>
          <w:sz w:val="24"/>
          <w:szCs w:val="24"/>
          <w:highlight w:val="none"/>
        </w:rPr>
      </w:pPr>
    </w:p>
    <w:p w14:paraId="0CF52990">
      <w:pPr>
        <w:spacing w:line="360" w:lineRule="auto"/>
        <w:ind w:firstLine="4228" w:firstLineChars="1762"/>
        <w:rPr>
          <w:rFonts w:cs="Times New Roman"/>
          <w:color w:val="auto"/>
          <w:kern w:val="2"/>
          <w:sz w:val="24"/>
          <w:szCs w:val="24"/>
          <w:highlight w:val="none"/>
        </w:rPr>
      </w:pPr>
    </w:p>
    <w:p w14:paraId="4AF7B8E2">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34EBEB51">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32657B8F">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2DEEE9EE">
      <w:pPr>
        <w:spacing w:line="360" w:lineRule="auto"/>
        <w:jc w:val="center"/>
        <w:outlineLvl w:val="1"/>
        <w:rPr>
          <w:rFonts w:asciiTheme="minorEastAsia" w:hAnsiTheme="minorEastAsia" w:eastAsiaTheme="minorEastAsia"/>
          <w:b/>
          <w:bCs/>
          <w:color w:val="auto"/>
          <w:sz w:val="24"/>
          <w:highlight w:val="none"/>
        </w:rPr>
      </w:pPr>
      <w:bookmarkStart w:id="706" w:name="_Toc20592"/>
      <w:bookmarkStart w:id="707" w:name="_Toc2278"/>
      <w:bookmarkStart w:id="708" w:name="_Hlk44283088"/>
      <w:bookmarkStart w:id="709" w:name="_Toc8176"/>
      <w:bookmarkStart w:id="710" w:name="_Toc28645"/>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供应商</w:t>
      </w:r>
      <w:r>
        <w:rPr>
          <w:rFonts w:hint="eastAsia" w:asciiTheme="minorEastAsia" w:hAnsiTheme="minorEastAsia" w:eastAsiaTheme="minorEastAsia"/>
          <w:b/>
          <w:color w:val="auto"/>
          <w:sz w:val="24"/>
          <w:highlight w:val="none"/>
        </w:rPr>
        <w:t>诚信履约承诺函</w:t>
      </w:r>
      <w:bookmarkEnd w:id="706"/>
      <w:bookmarkEnd w:id="707"/>
    </w:p>
    <w:p w14:paraId="75D7C468">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致：采购人</w:t>
      </w:r>
    </w:p>
    <w:p w14:paraId="17A4C070">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若</w:t>
      </w:r>
      <w:r>
        <w:rPr>
          <w:rFonts w:hint="eastAsia" w:asciiTheme="minorEastAsia" w:hAnsiTheme="minorEastAsia" w:eastAsiaTheme="minorEastAsia"/>
          <w:bCs/>
          <w:color w:val="auto"/>
          <w:sz w:val="24"/>
          <w:highlight w:val="none"/>
        </w:rPr>
        <w:t>我单位被确定为本项目成交供应商，我单位承诺在合同签订及履约过程中将严格执行《中华人民共和国政府采购法》、《中华人民共和国政府采购法实施条例》及本项目采购文件</w:t>
      </w:r>
      <w:r>
        <w:rPr>
          <w:rFonts w:hint="eastAsia" w:asciiTheme="minorEastAsia" w:hAnsiTheme="minorEastAsia" w:eastAsiaTheme="minorEastAsia"/>
          <w:bCs/>
          <w:color w:val="auto"/>
          <w:sz w:val="24"/>
          <w:highlight w:val="none"/>
          <w:lang w:val="en-US" w:eastAsia="zh-CN"/>
        </w:rPr>
        <w:t>的</w:t>
      </w:r>
      <w:r>
        <w:rPr>
          <w:rFonts w:hint="eastAsia" w:asciiTheme="minorEastAsia" w:hAnsiTheme="minorEastAsia" w:eastAsiaTheme="minorEastAsia"/>
          <w:bCs/>
          <w:color w:val="auto"/>
          <w:sz w:val="24"/>
          <w:highlight w:val="none"/>
        </w:rPr>
        <w:t>相关规定，</w:t>
      </w:r>
      <w:r>
        <w:rPr>
          <w:rFonts w:hint="eastAsia" w:asciiTheme="minorEastAsia" w:hAnsiTheme="minorEastAsia" w:eastAsiaTheme="minorEastAsia"/>
          <w:bCs/>
          <w:color w:val="auto"/>
          <w:sz w:val="24"/>
          <w:highlight w:val="none"/>
          <w:lang w:val="en-US" w:eastAsia="zh-CN"/>
        </w:rPr>
        <w:t>并郑重承诺如下</w:t>
      </w:r>
      <w:r>
        <w:rPr>
          <w:rFonts w:hint="eastAsia" w:asciiTheme="minorEastAsia" w:hAnsiTheme="minorEastAsia" w:eastAsiaTheme="minorEastAsia"/>
          <w:bCs/>
          <w:color w:val="auto"/>
          <w:sz w:val="24"/>
          <w:highlight w:val="none"/>
        </w:rPr>
        <w:t>：</w:t>
      </w:r>
    </w:p>
    <w:p w14:paraId="3D49C8D3">
      <w:pPr>
        <w:numPr>
          <w:ilvl w:val="0"/>
          <w:numId w:val="0"/>
        </w:numPr>
        <w:spacing w:line="360" w:lineRule="auto"/>
        <w:ind w:firstLine="480" w:firstLineChars="200"/>
        <w:rPr>
          <w:rFonts w:hint="default" w:cs="@仿宋_GB2312" w:asciiTheme="minorEastAsia" w:hAnsiTheme="minorEastAsia" w:eastAsiaTheme="minorEastAsia"/>
          <w:bCs/>
          <w:color w:val="auto"/>
          <w:kern w:val="2"/>
          <w:sz w:val="24"/>
          <w:highlight w:val="none"/>
          <w:lang w:val="en-US" w:eastAsia="zh-CN" w:bidi="ar-SA"/>
        </w:rPr>
      </w:pPr>
      <w:r>
        <w:rPr>
          <w:rFonts w:hint="eastAsia" w:cs="@仿宋_GB2312" w:asciiTheme="minorEastAsia" w:hAnsiTheme="minorEastAsia" w:eastAsiaTheme="minorEastAsia"/>
          <w:bCs/>
          <w:color w:val="auto"/>
          <w:kern w:val="2"/>
          <w:sz w:val="24"/>
          <w:highlight w:val="none"/>
          <w:lang w:val="en-US" w:eastAsia="zh-CN" w:bidi="ar-SA"/>
        </w:rPr>
        <w:t>（1）我单位响应文件全部为真实、有效，若存在虚假响应，一经查实，无条件同意采购人取消我单位成交资格或合同甲方解除合同，同时愿意承担因此造成的一切损失和处罚，包括但不限于信用惩戒、限制响应资格等。</w:t>
      </w:r>
    </w:p>
    <w:p w14:paraId="492221A4">
      <w:pPr>
        <w:numPr>
          <w:ilvl w:val="0"/>
          <w:numId w:val="0"/>
        </w:numPr>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（2）</w:t>
      </w:r>
      <w:r>
        <w:rPr>
          <w:rFonts w:hint="eastAsia" w:asciiTheme="minorEastAsia" w:hAnsiTheme="minorEastAsia" w:eastAsiaTheme="minorEastAsia"/>
          <w:b/>
          <w:bCs w:val="0"/>
          <w:color w:val="auto"/>
          <w:sz w:val="24"/>
          <w:highlight w:val="none"/>
          <w:lang w:val="en-US" w:eastAsia="zh-CN"/>
        </w:rPr>
        <w:t>成交通知书发送之日起10日历天内，</w:t>
      </w:r>
      <w:r>
        <w:rPr>
          <w:rFonts w:hint="eastAsia" w:asciiTheme="minorEastAsia" w:hAnsiTheme="minorEastAsia" w:eastAsiaTheme="minorEastAsia"/>
          <w:bCs/>
          <w:color w:val="auto"/>
          <w:sz w:val="24"/>
          <w:highlight w:val="none"/>
          <w:lang w:val="en-US" w:eastAsia="zh-CN"/>
        </w:rPr>
        <w:t>按照响应文件提供自备机械设备、项目组成员，并为所有项目人员购买</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bCs/>
          <w:color w:val="auto"/>
          <w:sz w:val="24"/>
          <w:highlight w:val="none"/>
          <w:lang w:val="en-US" w:eastAsia="zh-CN"/>
        </w:rPr>
        <w:t>，进场作业前由甲方验证，若不能按时提供，无条件同意采购人取消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成交资格或合同甲方解除合同，同时愿意承担因此造成的一切损失和处罚，包括但不限于信用惩戒、限制响应资格等。</w:t>
      </w:r>
    </w:p>
    <w:p w14:paraId="1A5DC799">
      <w:pPr>
        <w:numPr>
          <w:ilvl w:val="0"/>
          <w:numId w:val="0"/>
        </w:numPr>
        <w:spacing w:line="360" w:lineRule="auto"/>
        <w:ind w:left="0" w:leftChars="0"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（3）</w:t>
      </w:r>
      <w:r>
        <w:rPr>
          <w:rFonts w:hint="eastAsia" w:asciiTheme="minorEastAsia" w:hAnsiTheme="minorEastAsia" w:eastAsiaTheme="minorEastAsia"/>
          <w:bCs/>
          <w:color w:val="auto"/>
          <w:sz w:val="24"/>
          <w:highlight w:val="none"/>
          <w:lang w:val="en-US" w:eastAsia="zh-CN"/>
        </w:rPr>
        <w:t>项目履约过程中，质量、进度及安全严格按照采购文件要求执行，并自愿服从合同甲方监管，若出现不服从现场监管，无条件同意采购人取消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成交资格或合同甲方解除合同，并愿意承担因此造成的一切损失和处罚，包括但不限于信用惩戒、限制响应资格等。</w:t>
      </w:r>
    </w:p>
    <w:p w14:paraId="46BC0026">
      <w:pPr>
        <w:spacing w:line="360" w:lineRule="auto"/>
        <w:ind w:firstLine="480"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4</w:t>
      </w:r>
      <w:r>
        <w:rPr>
          <w:rFonts w:hint="eastAsia" w:asciiTheme="minorEastAsia" w:hAnsiTheme="minorEastAsia" w:eastAsiaTheme="minorEastAsia"/>
          <w:bCs/>
          <w:color w:val="auto"/>
          <w:sz w:val="24"/>
          <w:highlight w:val="none"/>
          <w:lang w:eastAsia="zh-CN"/>
        </w:rPr>
        <w:t>）作业过程中如出现作业人员未有效佩戴现场安全防护必需的安全帽、安全绳、救生衣以及其他必需的作业防护等安全防护用品，发生不安全行为的，每出现一次，从</w:t>
      </w:r>
      <w:r>
        <w:rPr>
          <w:rFonts w:hint="eastAsia" w:asciiTheme="minorEastAsia" w:hAnsiTheme="minorEastAsia" w:eastAsiaTheme="minorEastAsia"/>
          <w:bCs/>
          <w:color w:val="auto"/>
          <w:sz w:val="24"/>
          <w:highlight w:val="none"/>
          <w:lang w:val="en-US" w:eastAsia="zh-CN"/>
        </w:rPr>
        <w:t>项目</w:t>
      </w:r>
      <w:r>
        <w:rPr>
          <w:rFonts w:hint="eastAsia" w:asciiTheme="minorEastAsia" w:hAnsiTheme="minorEastAsia" w:eastAsiaTheme="minorEastAsia"/>
          <w:bCs/>
          <w:color w:val="auto"/>
          <w:sz w:val="24"/>
          <w:highlight w:val="none"/>
          <w:lang w:eastAsia="zh-CN"/>
        </w:rPr>
        <w:t>结算价中自愿核减1000元，减完为止。</w:t>
      </w:r>
    </w:p>
    <w:p w14:paraId="214BD3DB">
      <w:pPr>
        <w:spacing w:line="360" w:lineRule="auto"/>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合同履约期间，</w:t>
      </w:r>
      <w:r>
        <w:rPr>
          <w:rFonts w:hint="eastAsia" w:asciiTheme="minorEastAsia" w:hAnsiTheme="minorEastAsia" w:eastAsiaTheme="minorEastAsia"/>
          <w:bCs/>
          <w:color w:val="auto"/>
          <w:sz w:val="24"/>
          <w:highlight w:val="none"/>
          <w:lang w:val="en-US" w:eastAsia="zh-CN"/>
        </w:rPr>
        <w:t>所有项目</w:t>
      </w:r>
      <w:r>
        <w:rPr>
          <w:rFonts w:hint="eastAsia" w:asciiTheme="minorEastAsia" w:hAnsiTheme="minorEastAsia" w:eastAsiaTheme="minorEastAsia"/>
          <w:bCs/>
          <w:color w:val="auto"/>
          <w:sz w:val="24"/>
          <w:highlight w:val="none"/>
        </w:rPr>
        <w:t>人员突发疾病、意外等造成的人员伤亡及财产损失均由</w:t>
      </w:r>
      <w:r>
        <w:rPr>
          <w:rFonts w:hint="eastAsia" w:asciiTheme="minorEastAsia" w:hAnsiTheme="minorEastAsia" w:eastAsiaTheme="minorEastAsia"/>
          <w:bCs/>
          <w:color w:val="auto"/>
          <w:sz w:val="24"/>
          <w:highlight w:val="none"/>
          <w:lang w:val="en-US" w:eastAsia="zh-CN"/>
        </w:rPr>
        <w:t>我单位</w:t>
      </w:r>
      <w:r>
        <w:rPr>
          <w:rFonts w:hint="eastAsia" w:asciiTheme="minorEastAsia" w:hAnsiTheme="minorEastAsia" w:eastAsiaTheme="minorEastAsia"/>
          <w:bCs/>
          <w:color w:val="auto"/>
          <w:sz w:val="24"/>
          <w:highlight w:val="none"/>
        </w:rPr>
        <w:t>负责</w:t>
      </w:r>
      <w:r>
        <w:rPr>
          <w:rFonts w:hint="eastAsia" w:asciiTheme="minorEastAsia" w:hAnsiTheme="minorEastAsia" w:eastAsiaTheme="minorEastAsia"/>
          <w:bCs/>
          <w:color w:val="auto"/>
          <w:sz w:val="24"/>
          <w:highlight w:val="none"/>
          <w:lang w:val="en-US" w:eastAsia="zh-CN"/>
        </w:rPr>
        <w:t>承担，并全额赔偿因此给采购人或第三方造成的损失。</w:t>
      </w:r>
    </w:p>
    <w:p w14:paraId="4AE3DFBD">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CN"/>
        </w:rPr>
        <w:t>6</w:t>
      </w:r>
      <w:r>
        <w:rPr>
          <w:rFonts w:hint="eastAsia" w:asciiTheme="minorEastAsia" w:hAnsiTheme="minorEastAsia" w:eastAsiaTheme="minorEastAsia"/>
          <w:bCs/>
          <w:color w:val="auto"/>
          <w:sz w:val="24"/>
          <w:highlight w:val="none"/>
        </w:rPr>
        <w:t>）在项目发生投诉、信访举报案件、履约存在争议时，拒绝协助配合调查的，无条件同意采购人取消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rPr>
        <w:t>成交资格或</w:t>
      </w:r>
      <w:r>
        <w:rPr>
          <w:rFonts w:hint="eastAsia" w:asciiTheme="minorEastAsia" w:hAnsiTheme="minorEastAsia" w:eastAsiaTheme="minorEastAsia"/>
          <w:bCs/>
          <w:color w:val="auto"/>
          <w:sz w:val="24"/>
          <w:highlight w:val="none"/>
          <w:lang w:eastAsia="zh-CN"/>
        </w:rPr>
        <w:t>合同甲方解除合同</w:t>
      </w:r>
      <w:r>
        <w:rPr>
          <w:rFonts w:hint="eastAsia" w:asciiTheme="minorEastAsia" w:hAnsiTheme="minorEastAsia" w:eastAsiaTheme="minorEastAsia"/>
          <w:bCs/>
          <w:color w:val="auto"/>
          <w:sz w:val="24"/>
          <w:highlight w:val="none"/>
        </w:rPr>
        <w:t>，并愿意承担因此造成的一切损失和处罚，包括但不限于信用惩戒、限制响应资格等。</w:t>
      </w:r>
    </w:p>
    <w:p w14:paraId="4188126E">
      <w:pPr>
        <w:spacing w:line="360" w:lineRule="auto"/>
        <w:rPr>
          <w:rFonts w:asciiTheme="minorEastAsia" w:hAnsiTheme="minorEastAsia" w:eastAsiaTheme="minorEastAsia"/>
          <w:bCs/>
          <w:color w:val="auto"/>
          <w:sz w:val="24"/>
          <w:highlight w:val="none"/>
        </w:rPr>
      </w:pPr>
    </w:p>
    <w:p w14:paraId="384BD249">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41939620">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bookmarkEnd w:id="708"/>
    <w:p w14:paraId="464073A2">
      <w:pPr>
        <w:rPr>
          <w:color w:val="auto"/>
          <w:highlight w:val="none"/>
        </w:rPr>
      </w:pPr>
    </w:p>
    <w:p w14:paraId="4657BE53">
      <w:pPr>
        <w:rPr>
          <w:rFonts w:hint="eastAsia"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br w:type="page"/>
      </w:r>
    </w:p>
    <w:p w14:paraId="0E42FC3B">
      <w:pPr>
        <w:spacing w:line="360" w:lineRule="auto"/>
        <w:jc w:val="center"/>
        <w:outlineLvl w:val="1"/>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九</w:t>
      </w:r>
      <w:r>
        <w:rPr>
          <w:rFonts w:hint="eastAsia" w:ascii="宋体" w:hAnsi="宋体" w:eastAsia="宋体"/>
          <w:b/>
          <w:color w:val="auto"/>
          <w:sz w:val="24"/>
          <w:szCs w:val="24"/>
          <w:highlight w:val="none"/>
        </w:rPr>
        <w:t>、其他相关证明材料</w:t>
      </w:r>
      <w:bookmarkEnd w:id="709"/>
      <w:bookmarkEnd w:id="710"/>
    </w:p>
    <w:p w14:paraId="7E9D76C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提供符合</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邀请、采购需求及评标方法和标准规定的相关证明文件。</w:t>
      </w:r>
    </w:p>
    <w:p w14:paraId="1B067006">
      <w:pPr>
        <w:spacing w:line="360" w:lineRule="auto"/>
        <w:ind w:firstLine="480" w:firstLineChars="200"/>
        <w:rPr>
          <w:rFonts w:ascii="宋体" w:hAnsi="宋体" w:eastAsia="宋体"/>
          <w:color w:val="auto"/>
          <w:sz w:val="24"/>
          <w:szCs w:val="24"/>
          <w:highlight w:val="none"/>
        </w:rPr>
      </w:pPr>
    </w:p>
    <w:p w14:paraId="73D4A1E5">
      <w:pPr>
        <w:spacing w:line="360" w:lineRule="auto"/>
        <w:ind w:firstLine="435"/>
        <w:rPr>
          <w:rFonts w:ascii="宋体" w:hAnsi="宋体" w:eastAsia="宋体"/>
          <w:b/>
          <w:color w:val="auto"/>
          <w:sz w:val="24"/>
          <w:szCs w:val="24"/>
          <w:highlight w:val="none"/>
        </w:rPr>
      </w:pPr>
      <w:r>
        <w:rPr>
          <w:rFonts w:hint="eastAsia" w:ascii="宋体" w:hAnsi="宋体" w:eastAsia="宋体"/>
          <w:b/>
          <w:color w:val="auto"/>
          <w:sz w:val="24"/>
          <w:szCs w:val="24"/>
          <w:highlight w:val="none"/>
        </w:rPr>
        <w:t>特别提示：</w:t>
      </w:r>
    </w:p>
    <w:p w14:paraId="342FF2A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供应商在响应文件制作时可在此栏内上传磋商文件</w:t>
      </w:r>
      <w:r>
        <w:rPr>
          <w:rFonts w:ascii="宋体" w:hAnsi="宋体" w:eastAsia="宋体"/>
          <w:color w:val="auto"/>
          <w:sz w:val="24"/>
          <w:szCs w:val="24"/>
          <w:highlight w:val="none"/>
        </w:rPr>
        <w:t>要求上传的证明资料</w:t>
      </w:r>
      <w:r>
        <w:rPr>
          <w:rFonts w:hint="eastAsia" w:ascii="宋体" w:hAnsi="宋体" w:eastAsia="宋体"/>
          <w:color w:val="auto"/>
          <w:sz w:val="24"/>
          <w:szCs w:val="24"/>
          <w:highlight w:val="none"/>
        </w:rPr>
        <w:t>，如营业执照、证书</w:t>
      </w:r>
      <w:r>
        <w:rPr>
          <w:rFonts w:ascii="宋体" w:hAnsi="宋体" w:eastAsia="宋体"/>
          <w:color w:val="auto"/>
          <w:sz w:val="24"/>
          <w:szCs w:val="24"/>
          <w:highlight w:val="none"/>
        </w:rPr>
        <w:t>等，应将上述证明材料制作成扫描件上传。</w:t>
      </w:r>
    </w:p>
    <w:p w14:paraId="0F54FFC4">
      <w:pPr>
        <w:pStyle w:val="50"/>
        <w:spacing w:before="0" w:beforeAutospacing="0" w:after="0" w:afterAutospacing="0" w:line="360" w:lineRule="auto"/>
        <w:ind w:firstLine="640"/>
        <w:jc w:val="both"/>
        <w:rPr>
          <w:color w:val="auto"/>
          <w:sz w:val="24"/>
          <w:szCs w:val="24"/>
          <w:highlight w:val="none"/>
        </w:rPr>
      </w:pPr>
      <w:r>
        <w:rPr>
          <w:rFonts w:ascii="宋体" w:hAnsi="宋体" w:eastAsia="宋体"/>
          <w:color w:val="auto"/>
          <w:sz w:val="24"/>
          <w:szCs w:val="24"/>
          <w:highlight w:val="none"/>
        </w:rPr>
        <w:br w:type="page"/>
      </w:r>
    </w:p>
    <w:p w14:paraId="6B38E8DF">
      <w:pPr>
        <w:widowControl/>
        <w:jc w:val="center"/>
        <w:outlineLvl w:val="0"/>
        <w:rPr>
          <w:b/>
          <w:bCs/>
          <w:color w:val="auto"/>
          <w:sz w:val="24"/>
          <w:szCs w:val="24"/>
          <w:highlight w:val="none"/>
        </w:rPr>
      </w:pPr>
      <w:bookmarkStart w:id="711" w:name="_Toc24879"/>
      <w:r>
        <w:rPr>
          <w:rFonts w:hint="eastAsia"/>
          <w:b/>
          <w:bCs/>
          <w:color w:val="auto"/>
          <w:sz w:val="24"/>
          <w:szCs w:val="24"/>
          <w:highlight w:val="none"/>
        </w:rPr>
        <w:t>第</w:t>
      </w:r>
      <w:r>
        <w:rPr>
          <w:rFonts w:hint="eastAsia"/>
          <w:b/>
          <w:bCs/>
          <w:color w:val="auto"/>
          <w:sz w:val="24"/>
          <w:szCs w:val="24"/>
          <w:highlight w:val="none"/>
          <w:lang w:val="en-US" w:eastAsia="zh-CN"/>
        </w:rPr>
        <w:t>七</w:t>
      </w:r>
      <w:r>
        <w:rPr>
          <w:rFonts w:hint="eastAsia"/>
          <w:b/>
          <w:bCs/>
          <w:color w:val="auto"/>
          <w:sz w:val="24"/>
          <w:szCs w:val="24"/>
          <w:highlight w:val="none"/>
        </w:rPr>
        <w:t>章  政府采购</w:t>
      </w:r>
      <w:r>
        <w:rPr>
          <w:rFonts w:hint="eastAsia" w:ascii="宋体" w:hAnsi="宋体" w:eastAsia="宋体"/>
          <w:b/>
          <w:color w:val="auto"/>
          <w:sz w:val="24"/>
          <w:szCs w:val="24"/>
          <w:highlight w:val="none"/>
        </w:rPr>
        <w:t>供应</w:t>
      </w:r>
      <w:r>
        <w:rPr>
          <w:rFonts w:hint="eastAsia"/>
          <w:b/>
          <w:bCs/>
          <w:color w:val="auto"/>
          <w:sz w:val="24"/>
          <w:szCs w:val="24"/>
          <w:highlight w:val="none"/>
        </w:rPr>
        <w:t>商询问函和质疑函范本</w:t>
      </w:r>
      <w:bookmarkEnd w:id="711"/>
    </w:p>
    <w:p w14:paraId="7A3CF2CE">
      <w:pPr>
        <w:spacing w:line="360" w:lineRule="auto"/>
        <w:jc w:val="center"/>
        <w:outlineLvl w:val="9"/>
        <w:rPr>
          <w:rFonts w:ascii="仿宋" w:hAnsi="仿宋" w:eastAsia="仿宋" w:cs="仿宋"/>
          <w:b/>
          <w:bCs/>
          <w:color w:val="auto"/>
          <w:sz w:val="24"/>
          <w:szCs w:val="24"/>
          <w:highlight w:val="none"/>
        </w:rPr>
      </w:pPr>
      <w:bookmarkStart w:id="712" w:name="_Toc2290"/>
      <w:bookmarkStart w:id="713" w:name="_Toc26448"/>
      <w:r>
        <w:rPr>
          <w:rFonts w:hint="eastAsia" w:ascii="仿宋" w:hAnsi="仿宋" w:eastAsia="仿宋" w:cs="仿宋"/>
          <w:b/>
          <w:bCs/>
          <w:color w:val="auto"/>
          <w:sz w:val="24"/>
          <w:szCs w:val="24"/>
          <w:highlight w:val="none"/>
        </w:rPr>
        <w:t>询问函范本</w:t>
      </w:r>
      <w:bookmarkEnd w:id="712"/>
      <w:bookmarkEnd w:id="713"/>
    </w:p>
    <w:p w14:paraId="56FB7C3A">
      <w:pPr>
        <w:adjustRightInd w:val="0"/>
        <w:snapToGrid w:val="0"/>
        <w:spacing w:line="360" w:lineRule="auto"/>
        <w:ind w:firstLine="480" w:firstLineChars="200"/>
        <w:jc w:val="center"/>
        <w:outlineLvl w:val="9"/>
        <w:rPr>
          <w:rFonts w:ascii="仿宋" w:hAnsi="仿宋" w:eastAsia="仿宋" w:cs="仿宋"/>
          <w:b/>
          <w:bCs/>
          <w:color w:val="auto"/>
          <w:sz w:val="24"/>
          <w:szCs w:val="24"/>
          <w:highlight w:val="none"/>
        </w:rPr>
      </w:pPr>
      <w:r>
        <w:rPr>
          <w:rFonts w:hint="eastAsia" w:ascii="宋体" w:hAnsi="宋体" w:eastAsia="宋体" w:cs="仿宋"/>
          <w:i/>
          <w:iCs/>
          <w:color w:val="auto"/>
          <w:sz w:val="24"/>
          <w:szCs w:val="24"/>
          <w:highlight w:val="none"/>
        </w:rPr>
        <w:t>（如为对采购文件或采购程序的询问或疑问，请按询问函范本或电子交易系统中网上询问格式附件进行提交）</w:t>
      </w:r>
    </w:p>
    <w:p w14:paraId="0D33FE42">
      <w:pPr>
        <w:adjustRightInd w:val="0"/>
        <w:snapToGrid w:val="0"/>
        <w:spacing w:line="360" w:lineRule="auto"/>
        <w:outlineLvl w:val="9"/>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lang w:val="en-US" w:eastAsia="zh-CN"/>
        </w:rPr>
        <w:t>致：</w:t>
      </w:r>
      <w:r>
        <w:rPr>
          <w:rFonts w:hint="eastAsia" w:ascii="宋体" w:hAnsi="宋体" w:eastAsia="宋体" w:cs="仿宋"/>
          <w:color w:val="auto"/>
          <w:sz w:val="24"/>
          <w:szCs w:val="24"/>
          <w:highlight w:val="none"/>
          <w:lang w:eastAsia="zh-CN"/>
        </w:rPr>
        <w:t>采购人</w:t>
      </w:r>
    </w:p>
    <w:p w14:paraId="779AAB76">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0317C4C9">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4" w:name="_Toc32070"/>
      <w:bookmarkStart w:id="715" w:name="_Toc14234"/>
      <w:r>
        <w:rPr>
          <w:rFonts w:hint="eastAsia" w:ascii="宋体" w:hAnsi="宋体" w:eastAsia="宋体" w:cs="仿宋"/>
          <w:color w:val="auto"/>
          <w:sz w:val="24"/>
          <w:szCs w:val="24"/>
          <w:highlight w:val="none"/>
        </w:rPr>
        <w:t>一、(事项一)</w:t>
      </w:r>
      <w:bookmarkEnd w:id="714"/>
      <w:bookmarkEnd w:id="715"/>
    </w:p>
    <w:p w14:paraId="11E865EB">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1FB11DB7">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301A3F84">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21E150D0">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6" w:name="_Toc16507"/>
      <w:bookmarkStart w:id="717" w:name="_Toc6489"/>
      <w:r>
        <w:rPr>
          <w:rFonts w:hint="eastAsia" w:ascii="宋体" w:hAnsi="宋体" w:eastAsia="宋体" w:cs="仿宋"/>
          <w:color w:val="auto"/>
          <w:sz w:val="24"/>
          <w:szCs w:val="24"/>
          <w:highlight w:val="none"/>
        </w:rPr>
        <w:t>二、(事项二)</w:t>
      </w:r>
      <w:bookmarkEnd w:id="716"/>
      <w:bookmarkEnd w:id="717"/>
    </w:p>
    <w:p w14:paraId="7FA55316">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1539D753">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5AF0DBDF">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 系 人：</w:t>
      </w:r>
      <w:r>
        <w:rPr>
          <w:rFonts w:hint="eastAsia" w:ascii="宋体" w:hAnsi="宋体" w:eastAsia="宋体"/>
          <w:color w:val="auto"/>
          <w:sz w:val="24"/>
          <w:szCs w:val="24"/>
          <w:highlight w:val="none"/>
          <w:u w:val="single"/>
        </w:rPr>
        <w:t xml:space="preserve">              </w:t>
      </w:r>
    </w:p>
    <w:p w14:paraId="03C1E424">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u w:val="single"/>
        </w:rPr>
        <w:t xml:space="preserve">              </w:t>
      </w:r>
    </w:p>
    <w:p w14:paraId="3EF2B12B">
      <w:pPr>
        <w:tabs>
          <w:tab w:val="left" w:pos="630"/>
        </w:tabs>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C3BF9E0">
      <w:pPr>
        <w:outlineLvl w:val="9"/>
        <w:rPr>
          <w:rFonts w:ascii="宋体" w:hAnsi="宋体" w:eastAsia="宋体"/>
          <w:b/>
          <w:color w:val="auto"/>
          <w:sz w:val="24"/>
          <w:szCs w:val="24"/>
          <w:highlight w:val="none"/>
        </w:rPr>
      </w:pPr>
      <w:r>
        <w:rPr>
          <w:rFonts w:hint="eastAsia" w:ascii="仿宋" w:hAnsi="仿宋" w:eastAsia="仿宋" w:cs="仿宋"/>
          <w:b/>
          <w:bCs/>
          <w:color w:val="auto"/>
          <w:sz w:val="24"/>
          <w:szCs w:val="24"/>
          <w:highlight w:val="none"/>
        </w:rPr>
        <w:br w:type="page"/>
      </w:r>
    </w:p>
    <w:p w14:paraId="324F1D7E">
      <w:pPr>
        <w:jc w:val="center"/>
        <w:outlineLvl w:val="9"/>
        <w:rPr>
          <w:rFonts w:ascii="仿宋" w:hAnsi="仿宋" w:eastAsia="仿宋" w:cs="仿宋"/>
          <w:b/>
          <w:bCs/>
          <w:color w:val="auto"/>
          <w:sz w:val="24"/>
          <w:szCs w:val="24"/>
          <w:highlight w:val="none"/>
        </w:rPr>
      </w:pPr>
      <w:bookmarkStart w:id="718" w:name="_Toc4923"/>
      <w:bookmarkStart w:id="719" w:name="_Toc26224"/>
      <w:r>
        <w:rPr>
          <w:rFonts w:hint="eastAsia" w:ascii="仿宋" w:hAnsi="仿宋" w:eastAsia="仿宋" w:cs="仿宋"/>
          <w:b/>
          <w:bCs/>
          <w:color w:val="auto"/>
          <w:sz w:val="24"/>
          <w:szCs w:val="24"/>
          <w:highlight w:val="none"/>
        </w:rPr>
        <w:t>质疑函范本</w:t>
      </w:r>
      <w:bookmarkEnd w:id="718"/>
      <w:bookmarkEnd w:id="719"/>
    </w:p>
    <w:p w14:paraId="1D753D58">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720" w:name="_Toc10663"/>
      <w:bookmarkStart w:id="721" w:name="_Toc3847"/>
      <w:r>
        <w:rPr>
          <w:rFonts w:hint="eastAsia" w:ascii="宋体" w:hAnsi="宋体" w:eastAsia="宋体" w:cs="仿宋"/>
          <w:b/>
          <w:bCs/>
          <w:color w:val="auto"/>
          <w:sz w:val="24"/>
          <w:szCs w:val="24"/>
          <w:highlight w:val="none"/>
        </w:rPr>
        <w:t>一、质疑供应商基本信息</w:t>
      </w:r>
      <w:bookmarkEnd w:id="720"/>
      <w:bookmarkEnd w:id="721"/>
    </w:p>
    <w:p w14:paraId="33453A03">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40AEEE52">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75AB258E">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09FE9C3C">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737DDA9F">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16A13655">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057117B7">
      <w:pPr>
        <w:adjustRightInd w:val="0"/>
        <w:snapToGrid w:val="0"/>
        <w:spacing w:line="360" w:lineRule="auto"/>
        <w:outlineLvl w:val="9"/>
        <w:rPr>
          <w:rFonts w:ascii="宋体" w:hAnsi="宋体" w:eastAsia="宋体" w:cs="仿宋"/>
          <w:b/>
          <w:bCs/>
          <w:color w:val="auto"/>
          <w:sz w:val="24"/>
          <w:szCs w:val="24"/>
          <w:highlight w:val="none"/>
        </w:rPr>
      </w:pPr>
      <w:bookmarkStart w:id="722" w:name="_Toc30012"/>
      <w:bookmarkStart w:id="723" w:name="_Toc19182"/>
      <w:r>
        <w:rPr>
          <w:rFonts w:hint="eastAsia" w:ascii="宋体" w:hAnsi="宋体" w:eastAsia="宋体" w:cs="仿宋"/>
          <w:b/>
          <w:bCs/>
          <w:color w:val="auto"/>
          <w:sz w:val="24"/>
          <w:szCs w:val="24"/>
          <w:highlight w:val="none"/>
        </w:rPr>
        <w:t>二、质疑项目基本情况</w:t>
      </w:r>
      <w:bookmarkEnd w:id="722"/>
      <w:bookmarkEnd w:id="723"/>
    </w:p>
    <w:p w14:paraId="4B16DF9E">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015B70D1">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206E1940">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411EFF42">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7341C97D">
      <w:pPr>
        <w:adjustRightInd w:val="0"/>
        <w:snapToGrid w:val="0"/>
        <w:spacing w:line="360" w:lineRule="auto"/>
        <w:outlineLvl w:val="9"/>
        <w:rPr>
          <w:rFonts w:ascii="宋体" w:hAnsi="宋体" w:eastAsia="宋体" w:cs="仿宋"/>
          <w:b/>
          <w:bCs/>
          <w:color w:val="auto"/>
          <w:sz w:val="24"/>
          <w:szCs w:val="24"/>
          <w:highlight w:val="none"/>
        </w:rPr>
      </w:pPr>
      <w:bookmarkStart w:id="724" w:name="_Toc21700"/>
      <w:bookmarkStart w:id="725" w:name="_Toc9989"/>
      <w:r>
        <w:rPr>
          <w:rFonts w:hint="eastAsia" w:ascii="宋体" w:hAnsi="宋体" w:eastAsia="宋体" w:cs="仿宋"/>
          <w:b/>
          <w:bCs/>
          <w:color w:val="auto"/>
          <w:sz w:val="24"/>
          <w:szCs w:val="24"/>
          <w:highlight w:val="none"/>
        </w:rPr>
        <w:t>三、质疑事项具体内容</w:t>
      </w:r>
      <w:bookmarkEnd w:id="724"/>
      <w:bookmarkEnd w:id="725"/>
    </w:p>
    <w:p w14:paraId="4E6F7AB5">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364E6A65">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4C20CE1A">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47D40E7B">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555A8276">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4B76747E">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788459CC">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1417926C">
      <w:pPr>
        <w:adjustRightInd w:val="0"/>
        <w:snapToGrid w:val="0"/>
        <w:spacing w:line="360" w:lineRule="auto"/>
        <w:outlineLvl w:val="9"/>
        <w:rPr>
          <w:rFonts w:ascii="宋体" w:hAnsi="宋体" w:eastAsia="宋体" w:cs="仿宋"/>
          <w:b/>
          <w:bCs/>
          <w:color w:val="auto"/>
          <w:sz w:val="24"/>
          <w:szCs w:val="24"/>
          <w:highlight w:val="none"/>
        </w:rPr>
      </w:pPr>
      <w:bookmarkStart w:id="726" w:name="_Toc10625"/>
      <w:bookmarkStart w:id="727" w:name="_Toc19016"/>
      <w:r>
        <w:rPr>
          <w:rFonts w:hint="eastAsia" w:ascii="宋体" w:hAnsi="宋体" w:eastAsia="宋体" w:cs="仿宋"/>
          <w:b/>
          <w:bCs/>
          <w:color w:val="auto"/>
          <w:sz w:val="24"/>
          <w:szCs w:val="24"/>
          <w:highlight w:val="none"/>
        </w:rPr>
        <w:t>四、与质疑事项相关的质疑请求</w:t>
      </w:r>
      <w:bookmarkEnd w:id="726"/>
      <w:bookmarkEnd w:id="727"/>
    </w:p>
    <w:p w14:paraId="36323EAD">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133B6651">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1D28EDDA">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782ED2BA">
      <w:pPr>
        <w:widowControl/>
        <w:jc w:val="left"/>
        <w:outlineLvl w:val="9"/>
        <w:rPr>
          <w:rFonts w:ascii="仿宋" w:hAnsi="仿宋" w:eastAsia="仿宋" w:cs="仿宋"/>
          <w:color w:val="auto"/>
          <w:sz w:val="24"/>
          <w:szCs w:val="24"/>
          <w:highlight w:val="none"/>
        </w:rPr>
      </w:pPr>
      <w:r>
        <w:rPr>
          <w:rFonts w:ascii="仿宋" w:hAnsi="仿宋" w:eastAsia="仿宋" w:cs="仿宋"/>
          <w:color w:val="auto"/>
          <w:sz w:val="24"/>
          <w:szCs w:val="24"/>
          <w:highlight w:val="none"/>
        </w:rPr>
        <w:br w:type="page"/>
      </w:r>
    </w:p>
    <w:p w14:paraId="0AACD544">
      <w:pPr>
        <w:outlineLvl w:val="9"/>
        <w:rPr>
          <w:rFonts w:ascii="宋体" w:hAnsi="宋体" w:eastAsia="宋体"/>
          <w:b/>
          <w:color w:val="auto"/>
          <w:sz w:val="24"/>
          <w:szCs w:val="24"/>
          <w:highlight w:val="none"/>
        </w:rPr>
      </w:pPr>
      <w:bookmarkStart w:id="728" w:name="_Toc17684"/>
      <w:bookmarkStart w:id="729" w:name="_Toc25274"/>
      <w:r>
        <w:rPr>
          <w:rFonts w:hint="eastAsia" w:ascii="宋体" w:hAnsi="宋体" w:eastAsia="宋体"/>
          <w:b/>
          <w:color w:val="auto"/>
          <w:sz w:val="24"/>
          <w:szCs w:val="24"/>
          <w:highlight w:val="none"/>
        </w:rPr>
        <w:t>质疑函制作说明：</w:t>
      </w:r>
      <w:bookmarkEnd w:id="728"/>
      <w:bookmarkEnd w:id="729"/>
    </w:p>
    <w:p w14:paraId="1DFB7463">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1.供应商提出质疑时，应提交质疑函和必要的证明材料。</w:t>
      </w:r>
    </w:p>
    <w:p w14:paraId="68FCBFF0">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6DE4F9E">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3.质疑供应商若对项目的某一分包进行质疑，质疑函中应列明具体分包号。</w:t>
      </w:r>
    </w:p>
    <w:p w14:paraId="70906A47">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4.质疑函的质疑事项应具体、明确，并有必要的事实依据和法律依据。</w:t>
      </w:r>
    </w:p>
    <w:p w14:paraId="4FD19B23">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5.质疑函的质疑请求应与质疑事项相关。</w:t>
      </w:r>
    </w:p>
    <w:p w14:paraId="769C95C6">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21A320E">
      <w:pPr>
        <w:spacing w:line="360" w:lineRule="auto"/>
        <w:ind w:firstLine="435"/>
        <w:outlineLvl w:val="9"/>
        <w:rPr>
          <w:rFonts w:ascii="宋体" w:hAnsi="宋体" w:eastAsia="宋体"/>
          <w:color w:val="auto"/>
          <w:sz w:val="24"/>
          <w:szCs w:val="24"/>
          <w:highlight w:val="none"/>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0000000000000000000"/>
    <w:charset w:val="00"/>
    <w:family w:val="auto"/>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11D3A">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BA593">
    <w:pPr>
      <w:pStyle w:val="33"/>
      <w:tabs>
        <w:tab w:val="clear" w:pos="4153"/>
      </w:tabs>
      <w:jc w:val="cente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42AB46C">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542AB46C">
                    <w:pPr>
                      <w:pStyle w:val="3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20832">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D502465">
                          <w:pPr>
                            <w:pStyle w:val="33"/>
                          </w:pPr>
                          <w:r>
                            <w:fldChar w:fldCharType="begin"/>
                          </w:r>
                          <w:r>
                            <w:instrText xml:space="preserve"> PAGE  \* MERGEFORMAT </w:instrText>
                          </w:r>
                          <w:r>
                            <w:fldChar w:fldCharType="separate"/>
                          </w:r>
                          <w:r>
                            <w:t>65</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3D502465">
                    <w:pPr>
                      <w:pStyle w:val="33"/>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A321E">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FDE193D">
                          <w:pPr>
                            <w:pStyle w:val="33"/>
                          </w:pPr>
                          <w:r>
                            <w:fldChar w:fldCharType="begin"/>
                          </w:r>
                          <w:r>
                            <w:instrText xml:space="preserve"> PAGE  \* MERGEFORMAT </w:instrText>
                          </w:r>
                          <w:r>
                            <w:fldChar w:fldCharType="separate"/>
                          </w:r>
                          <w:r>
                            <w:t>82</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14:paraId="2FDE193D">
                    <w:pPr>
                      <w:pStyle w:val="33"/>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74B02">
    <w:pPr>
      <w:pStyle w:val="34"/>
      <w:jc w:val="left"/>
      <w:rPr>
        <w:rFonts w:hint="eastAsia" w:eastAsia="宋体"/>
        <w:lang w:val="en-US"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77A3E">
    <w:pPr>
      <w:pStyle w:val="34"/>
      <w:jc w:val="left"/>
      <w:rPr>
        <w:rFonts w:hint="eastAsia"/>
        <w:lang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6869">
    <w:pPr>
      <w:pStyle w:val="34"/>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420"/>
        </w:tabs>
        <w:ind w:left="425" w:hanging="425"/>
      </w:pPr>
      <w:rPr>
        <w:rFonts w:hint="default"/>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7"/>
    <w:multiLevelType w:val="multilevel"/>
    <w:tmpl w:val="00000007"/>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abstractNum w:abstractNumId="6">
    <w:nsid w:val="3AD1F1CA"/>
    <w:multiLevelType w:val="singleLevel"/>
    <w:tmpl w:val="3AD1F1CA"/>
    <w:lvl w:ilvl="0" w:tentative="0">
      <w:start w:val="4"/>
      <w:numFmt w:val="decimal"/>
      <w:suff w:val="nothing"/>
      <w:lvlText w:val="（%1）"/>
      <w:lvlJc w:val="left"/>
    </w:lvl>
  </w:abstractNum>
  <w:abstractNum w:abstractNumId="7">
    <w:nsid w:val="5ED27EA5"/>
    <w:multiLevelType w:val="singleLevel"/>
    <w:tmpl w:val="5ED27EA5"/>
    <w:lvl w:ilvl="0" w:tentative="0">
      <w:start w:val="7"/>
      <w:numFmt w:val="chineseCounting"/>
      <w:suff w:val="nothing"/>
      <w:lvlText w:val="%1、"/>
      <w:lvlJc w:val="left"/>
      <w:rPr>
        <w:rFonts w:hint="eastAsia"/>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D3664"/>
    <w:rsid w:val="025A704C"/>
    <w:rsid w:val="02DA4630"/>
    <w:rsid w:val="032653DC"/>
    <w:rsid w:val="048D02BF"/>
    <w:rsid w:val="04DF2A81"/>
    <w:rsid w:val="062E189F"/>
    <w:rsid w:val="080A6DBC"/>
    <w:rsid w:val="083A2A24"/>
    <w:rsid w:val="08B423E9"/>
    <w:rsid w:val="08CB6F14"/>
    <w:rsid w:val="08E10A0F"/>
    <w:rsid w:val="08E239A4"/>
    <w:rsid w:val="08E56021"/>
    <w:rsid w:val="090856E1"/>
    <w:rsid w:val="09533F69"/>
    <w:rsid w:val="0A022DDA"/>
    <w:rsid w:val="0A145FCB"/>
    <w:rsid w:val="0A7E483A"/>
    <w:rsid w:val="0AED2637"/>
    <w:rsid w:val="0B116715"/>
    <w:rsid w:val="0B2F370F"/>
    <w:rsid w:val="0B4B5FDA"/>
    <w:rsid w:val="0C4B2BB2"/>
    <w:rsid w:val="0C847F71"/>
    <w:rsid w:val="0CBF5CFF"/>
    <w:rsid w:val="0CE265BB"/>
    <w:rsid w:val="0DC07915"/>
    <w:rsid w:val="0E1779ED"/>
    <w:rsid w:val="0E357D88"/>
    <w:rsid w:val="0EAF3046"/>
    <w:rsid w:val="0EE94469"/>
    <w:rsid w:val="0F2E45AD"/>
    <w:rsid w:val="102C3500"/>
    <w:rsid w:val="1049006E"/>
    <w:rsid w:val="110E3E23"/>
    <w:rsid w:val="122275CD"/>
    <w:rsid w:val="126B3818"/>
    <w:rsid w:val="129135AC"/>
    <w:rsid w:val="1378411F"/>
    <w:rsid w:val="140C03C2"/>
    <w:rsid w:val="143C61AE"/>
    <w:rsid w:val="150F0169"/>
    <w:rsid w:val="1537146E"/>
    <w:rsid w:val="161311CB"/>
    <w:rsid w:val="17E44251"/>
    <w:rsid w:val="19B64DBC"/>
    <w:rsid w:val="19C6163D"/>
    <w:rsid w:val="1A0E17EF"/>
    <w:rsid w:val="1A4A11A2"/>
    <w:rsid w:val="1AD40D1E"/>
    <w:rsid w:val="1B3924EE"/>
    <w:rsid w:val="1DB93368"/>
    <w:rsid w:val="1DBA30D8"/>
    <w:rsid w:val="1DF91E27"/>
    <w:rsid w:val="1E0C7783"/>
    <w:rsid w:val="1E9C5B42"/>
    <w:rsid w:val="1EB03079"/>
    <w:rsid w:val="1F204627"/>
    <w:rsid w:val="1F4A6596"/>
    <w:rsid w:val="2072424B"/>
    <w:rsid w:val="21CB697E"/>
    <w:rsid w:val="22250FCC"/>
    <w:rsid w:val="22691819"/>
    <w:rsid w:val="228E1C06"/>
    <w:rsid w:val="22A1482E"/>
    <w:rsid w:val="23471082"/>
    <w:rsid w:val="23943C60"/>
    <w:rsid w:val="23E97073"/>
    <w:rsid w:val="23F4427C"/>
    <w:rsid w:val="24C22608"/>
    <w:rsid w:val="24F84B8B"/>
    <w:rsid w:val="250370A1"/>
    <w:rsid w:val="25245F1B"/>
    <w:rsid w:val="256B319A"/>
    <w:rsid w:val="29D02A6C"/>
    <w:rsid w:val="29E737F6"/>
    <w:rsid w:val="29EE439A"/>
    <w:rsid w:val="2A3F69A3"/>
    <w:rsid w:val="2C2F0380"/>
    <w:rsid w:val="2C3F73B1"/>
    <w:rsid w:val="2CD568F6"/>
    <w:rsid w:val="2CE53C35"/>
    <w:rsid w:val="2DA735FD"/>
    <w:rsid w:val="2DB051B4"/>
    <w:rsid w:val="2DB51606"/>
    <w:rsid w:val="2DEF075F"/>
    <w:rsid w:val="2E84707B"/>
    <w:rsid w:val="2F3B1E2F"/>
    <w:rsid w:val="2F5C6851"/>
    <w:rsid w:val="2F6A2714"/>
    <w:rsid w:val="2F9B1013"/>
    <w:rsid w:val="35FC0DE6"/>
    <w:rsid w:val="360E61A2"/>
    <w:rsid w:val="36174084"/>
    <w:rsid w:val="365E4655"/>
    <w:rsid w:val="371F2392"/>
    <w:rsid w:val="375E1A65"/>
    <w:rsid w:val="3A0D1057"/>
    <w:rsid w:val="3BAE16E4"/>
    <w:rsid w:val="3E8970B8"/>
    <w:rsid w:val="41AE11D8"/>
    <w:rsid w:val="42141CDE"/>
    <w:rsid w:val="421B164C"/>
    <w:rsid w:val="42277873"/>
    <w:rsid w:val="42B70492"/>
    <w:rsid w:val="444A5139"/>
    <w:rsid w:val="451B597D"/>
    <w:rsid w:val="45765599"/>
    <w:rsid w:val="45900660"/>
    <w:rsid w:val="466D38C1"/>
    <w:rsid w:val="47D40C3A"/>
    <w:rsid w:val="48531B40"/>
    <w:rsid w:val="48DD2F81"/>
    <w:rsid w:val="494C7015"/>
    <w:rsid w:val="4A630CF5"/>
    <w:rsid w:val="4B331513"/>
    <w:rsid w:val="4C0813DE"/>
    <w:rsid w:val="4CE94753"/>
    <w:rsid w:val="4EAA6232"/>
    <w:rsid w:val="4ED163FB"/>
    <w:rsid w:val="4EFF089A"/>
    <w:rsid w:val="4F45133E"/>
    <w:rsid w:val="529B480F"/>
    <w:rsid w:val="52A77A34"/>
    <w:rsid w:val="53B35B89"/>
    <w:rsid w:val="53DE2020"/>
    <w:rsid w:val="54BD5224"/>
    <w:rsid w:val="554E6A19"/>
    <w:rsid w:val="56FA24BB"/>
    <w:rsid w:val="56FE7B2F"/>
    <w:rsid w:val="586631C9"/>
    <w:rsid w:val="5868777B"/>
    <w:rsid w:val="59486D73"/>
    <w:rsid w:val="596F60AE"/>
    <w:rsid w:val="5A292F62"/>
    <w:rsid w:val="5A90058F"/>
    <w:rsid w:val="5AD308BE"/>
    <w:rsid w:val="5B4B3F93"/>
    <w:rsid w:val="5BE6035B"/>
    <w:rsid w:val="5C012135"/>
    <w:rsid w:val="5C6D7CD7"/>
    <w:rsid w:val="5CD813D0"/>
    <w:rsid w:val="5DF179D9"/>
    <w:rsid w:val="5E417DB0"/>
    <w:rsid w:val="5F213A4F"/>
    <w:rsid w:val="5FB92779"/>
    <w:rsid w:val="603F4973"/>
    <w:rsid w:val="6063074D"/>
    <w:rsid w:val="60DD4245"/>
    <w:rsid w:val="61870FDD"/>
    <w:rsid w:val="61BF25E3"/>
    <w:rsid w:val="61E20FA4"/>
    <w:rsid w:val="633167EB"/>
    <w:rsid w:val="638E7A78"/>
    <w:rsid w:val="66233125"/>
    <w:rsid w:val="66410B68"/>
    <w:rsid w:val="6674191E"/>
    <w:rsid w:val="669A2BB6"/>
    <w:rsid w:val="675F3D36"/>
    <w:rsid w:val="67635269"/>
    <w:rsid w:val="67811A3E"/>
    <w:rsid w:val="67BA71CC"/>
    <w:rsid w:val="6942733B"/>
    <w:rsid w:val="69562DE6"/>
    <w:rsid w:val="69567B1D"/>
    <w:rsid w:val="697F21EF"/>
    <w:rsid w:val="6BB34D7C"/>
    <w:rsid w:val="6C7F17B6"/>
    <w:rsid w:val="6D0502F1"/>
    <w:rsid w:val="6D971D0A"/>
    <w:rsid w:val="6E182D60"/>
    <w:rsid w:val="6E2D583C"/>
    <w:rsid w:val="6ED42764"/>
    <w:rsid w:val="6F814935"/>
    <w:rsid w:val="6FFC7522"/>
    <w:rsid w:val="70436838"/>
    <w:rsid w:val="70936662"/>
    <w:rsid w:val="71D25B0E"/>
    <w:rsid w:val="71E23D92"/>
    <w:rsid w:val="731358A4"/>
    <w:rsid w:val="76335606"/>
    <w:rsid w:val="766D196F"/>
    <w:rsid w:val="769454A8"/>
    <w:rsid w:val="77085214"/>
    <w:rsid w:val="77581166"/>
    <w:rsid w:val="78290325"/>
    <w:rsid w:val="78592A66"/>
    <w:rsid w:val="785F094B"/>
    <w:rsid w:val="792F0F95"/>
    <w:rsid w:val="7932182E"/>
    <w:rsid w:val="79DC7338"/>
    <w:rsid w:val="7A011184"/>
    <w:rsid w:val="7A516655"/>
    <w:rsid w:val="7AD7365B"/>
    <w:rsid w:val="7AE51B70"/>
    <w:rsid w:val="7B0E5FA6"/>
    <w:rsid w:val="7B1B65C0"/>
    <w:rsid w:val="7B7D4841"/>
    <w:rsid w:val="7BCA7EAA"/>
    <w:rsid w:val="7C390107"/>
    <w:rsid w:val="7E5D012F"/>
    <w:rsid w:val="7E61689C"/>
    <w:rsid w:val="7EA70088"/>
    <w:rsid w:val="7EC871EC"/>
    <w:rsid w:val="7FBE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6"/>
    <w:qFormat/>
    <w:uiPriority w:val="0"/>
    <w:pPr>
      <w:keepNext/>
      <w:keepLines/>
      <w:spacing w:before="260" w:after="260" w:line="416" w:lineRule="auto"/>
      <w:outlineLvl w:val="2"/>
    </w:pPr>
    <w:rPr>
      <w:b/>
      <w:bCs/>
      <w:sz w:val="32"/>
      <w:szCs w:val="32"/>
    </w:rPr>
  </w:style>
  <w:style w:type="paragraph" w:styleId="5">
    <w:name w:val="heading 4"/>
    <w:basedOn w:val="1"/>
    <w:next w:val="1"/>
    <w:link w:val="91"/>
    <w:qFormat/>
    <w:uiPriority w:val="0"/>
    <w:pPr>
      <w:keepNext/>
      <w:keepLines/>
      <w:spacing w:before="280" w:after="290" w:line="376" w:lineRule="auto"/>
      <w:outlineLvl w:val="3"/>
    </w:pPr>
    <w:rPr>
      <w:b/>
      <w:bCs/>
      <w:sz w:val="28"/>
      <w:szCs w:val="28"/>
    </w:rPr>
  </w:style>
  <w:style w:type="paragraph" w:styleId="6">
    <w:name w:val="heading 5"/>
    <w:basedOn w:val="1"/>
    <w:next w:val="1"/>
    <w:link w:val="98"/>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9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0"/>
    <w:qFormat/>
    <w:uiPriority w:val="0"/>
    <w:pPr>
      <w:tabs>
        <w:tab w:val="clear" w:pos="1440"/>
      </w:tabs>
      <w:ind w:left="1276" w:hanging="1276"/>
      <w:outlineLvl w:val="6"/>
    </w:pPr>
  </w:style>
  <w:style w:type="paragraph" w:styleId="9">
    <w:name w:val="heading 8"/>
    <w:basedOn w:val="1"/>
    <w:next w:val="1"/>
    <w:link w:val="101"/>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2"/>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qFormat/>
    <w:uiPriority w:val="1"/>
  </w:style>
  <w:style w:type="table" w:default="1" w:styleId="55">
    <w:name w:val="Normal Table"/>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qFormat/>
    <w:uiPriority w:val="39"/>
    <w:pPr>
      <w:ind w:left="1260"/>
      <w:jc w:val="left"/>
    </w:pPr>
    <w:rPr>
      <w:rFonts w:ascii="Calibri" w:hAnsi="Calibri" w:cs="Calibri"/>
      <w:kern w:val="2"/>
      <w:sz w:val="18"/>
      <w:szCs w:val="18"/>
    </w:rPr>
  </w:style>
  <w:style w:type="paragraph" w:styleId="13">
    <w:name w:val="Normal Indent"/>
    <w:basedOn w:val="1"/>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qFormat/>
    <w:uiPriority w:val="0"/>
    <w:pPr>
      <w:spacing w:before="152" w:after="160"/>
    </w:pPr>
    <w:rPr>
      <w:rFonts w:ascii="Arial" w:hAnsi="Arial" w:eastAsia="黑体" w:cs="Arial"/>
      <w:kern w:val="2"/>
    </w:rPr>
  </w:style>
  <w:style w:type="paragraph" w:styleId="15">
    <w:name w:val="Document Map"/>
    <w:basedOn w:val="1"/>
    <w:link w:val="147"/>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3"/>
    <w:qFormat/>
    <w:uiPriority w:val="0"/>
    <w:pPr>
      <w:jc w:val="left"/>
    </w:pPr>
    <w:rPr>
      <w:rFonts w:ascii="Arial" w:hAnsi="Arial" w:eastAsia="黑体" w:cs="Arial"/>
    </w:rPr>
  </w:style>
  <w:style w:type="paragraph" w:styleId="17">
    <w:name w:val="Salutation"/>
    <w:basedOn w:val="1"/>
    <w:next w:val="1"/>
    <w:link w:val="113"/>
    <w:qFormat/>
    <w:uiPriority w:val="0"/>
    <w:rPr>
      <w:rFonts w:ascii="仿宋_GB2312" w:hAnsi="Times New Roman" w:eastAsia="仿宋_GB2312" w:cs="Times New Roman"/>
      <w:kern w:val="2"/>
      <w:sz w:val="28"/>
      <w:lang w:val="zh-CN"/>
    </w:rPr>
  </w:style>
  <w:style w:type="paragraph" w:styleId="18">
    <w:name w:val="Body Text 3"/>
    <w:basedOn w:val="1"/>
    <w:link w:val="133"/>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2"/>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07"/>
    <w:qFormat/>
    <w:uiPriority w:val="0"/>
    <w:pPr>
      <w:spacing w:after="120"/>
      <w:ind w:left="420" w:leftChars="200"/>
    </w:pPr>
    <w:rPr>
      <w:rFonts w:ascii="Calibri" w:hAnsi="Calibri"/>
      <w:kern w:val="2"/>
      <w:sz w:val="21"/>
      <w:szCs w:val="22"/>
    </w:r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rPr>
      <w:rFonts w:ascii="Calibri" w:hAnsi="Calibri" w:cs="Times New Roman"/>
      <w:kern w:val="2"/>
      <w:sz w:val="21"/>
      <w:szCs w:val="22"/>
    </w:rPr>
  </w:style>
  <w:style w:type="paragraph" w:styleId="23">
    <w:name w:val="List Continue"/>
    <w:basedOn w:val="1"/>
    <w:qFormat/>
    <w:uiPriority w:val="0"/>
    <w:pPr>
      <w:spacing w:after="120"/>
      <w:ind w:left="420" w:leftChars="200"/>
    </w:pPr>
    <w:rPr>
      <w:rFonts w:ascii="Calibri" w:hAnsi="Calibri" w:cs="Times New Roman"/>
      <w:kern w:val="2"/>
      <w:sz w:val="21"/>
      <w:szCs w:val="22"/>
    </w:rPr>
  </w:style>
  <w:style w:type="paragraph" w:styleId="24">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qFormat/>
    <w:uiPriority w:val="0"/>
    <w:pPr>
      <w:ind w:left="600" w:leftChars="600"/>
    </w:pPr>
    <w:rPr>
      <w:rFonts w:ascii="Times New Roman" w:hAnsi="Times New Roman" w:cs="Times New Roman"/>
      <w:kern w:val="2"/>
      <w:sz w:val="21"/>
      <w:szCs w:val="24"/>
    </w:rPr>
  </w:style>
  <w:style w:type="paragraph" w:styleId="26">
    <w:name w:val="toc 5"/>
    <w:basedOn w:val="1"/>
    <w:next w:val="1"/>
    <w:qFormat/>
    <w:uiPriority w:val="39"/>
    <w:pPr>
      <w:ind w:left="840"/>
      <w:jc w:val="left"/>
    </w:pPr>
    <w:rPr>
      <w:rFonts w:ascii="Calibri" w:hAnsi="Calibri" w:cs="Calibri"/>
      <w:kern w:val="2"/>
      <w:sz w:val="18"/>
      <w:szCs w:val="18"/>
    </w:rPr>
  </w:style>
  <w:style w:type="paragraph" w:styleId="27">
    <w:name w:val="toc 3"/>
    <w:basedOn w:val="1"/>
    <w:next w:val="1"/>
    <w:qFormat/>
    <w:uiPriority w:val="39"/>
    <w:pPr>
      <w:widowControl/>
      <w:spacing w:after="100" w:line="276" w:lineRule="auto"/>
      <w:ind w:left="440"/>
      <w:jc w:val="left"/>
    </w:pPr>
    <w:rPr>
      <w:rFonts w:ascii="Calibri" w:hAnsi="Calibri" w:eastAsia="宋体"/>
      <w:sz w:val="22"/>
      <w:szCs w:val="22"/>
    </w:rPr>
  </w:style>
  <w:style w:type="paragraph" w:styleId="28">
    <w:name w:val="Plain Text"/>
    <w:basedOn w:val="1"/>
    <w:link w:val="72"/>
    <w:qFormat/>
    <w:uiPriority w:val="0"/>
    <w:rPr>
      <w:rFonts w:hAnsi="Courier New" w:eastAsia="宋体"/>
      <w:szCs w:val="22"/>
    </w:rPr>
  </w:style>
  <w:style w:type="paragraph" w:styleId="29">
    <w:name w:val="toc 8"/>
    <w:basedOn w:val="1"/>
    <w:next w:val="1"/>
    <w:qFormat/>
    <w:uiPriority w:val="39"/>
    <w:pPr>
      <w:ind w:left="1470"/>
      <w:jc w:val="left"/>
    </w:pPr>
    <w:rPr>
      <w:rFonts w:ascii="Calibri" w:hAnsi="Calibri" w:cs="Calibri"/>
      <w:kern w:val="2"/>
      <w:sz w:val="18"/>
      <w:szCs w:val="18"/>
    </w:rPr>
  </w:style>
  <w:style w:type="paragraph" w:styleId="30">
    <w:name w:val="Date"/>
    <w:basedOn w:val="1"/>
    <w:next w:val="1"/>
    <w:link w:val="79"/>
    <w:qFormat/>
    <w:uiPriority w:val="0"/>
    <w:rPr>
      <w:rFonts w:ascii="Arial" w:hAnsi="Arial" w:cs="Arial"/>
      <w:b/>
      <w:sz w:val="28"/>
    </w:rPr>
  </w:style>
  <w:style w:type="paragraph" w:styleId="31">
    <w:name w:val="Body Text Indent 2"/>
    <w:basedOn w:val="1"/>
    <w:link w:val="129"/>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qFormat/>
    <w:uiPriority w:val="0"/>
    <w:rPr>
      <w:sz w:val="18"/>
      <w:szCs w:val="18"/>
    </w:rPr>
  </w:style>
  <w:style w:type="paragraph" w:styleId="33">
    <w:name w:val="footer"/>
    <w:basedOn w:val="1"/>
    <w:link w:val="71"/>
    <w:qFormat/>
    <w:uiPriority w:val="99"/>
    <w:pPr>
      <w:tabs>
        <w:tab w:val="center" w:pos="4153"/>
        <w:tab w:val="right" w:pos="8306"/>
      </w:tabs>
      <w:snapToGrid w:val="0"/>
      <w:jc w:val="left"/>
    </w:pPr>
    <w:rPr>
      <w:sz w:val="18"/>
      <w:szCs w:val="18"/>
    </w:rPr>
  </w:style>
  <w:style w:type="paragraph" w:styleId="34">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widowControl/>
      <w:spacing w:after="100" w:line="276" w:lineRule="auto"/>
      <w:jc w:val="left"/>
    </w:pPr>
    <w:rPr>
      <w:rFonts w:ascii="Calibri" w:hAnsi="Calibri" w:eastAsia="宋体"/>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qFormat/>
    <w:uiPriority w:val="39"/>
    <w:pPr>
      <w:ind w:left="630"/>
      <w:jc w:val="left"/>
    </w:pPr>
    <w:rPr>
      <w:rFonts w:ascii="Calibri" w:hAnsi="Calibri" w:cs="Calibri"/>
      <w:kern w:val="2"/>
      <w:sz w:val="18"/>
      <w:szCs w:val="18"/>
    </w:rPr>
  </w:style>
  <w:style w:type="paragraph" w:styleId="38">
    <w:name w:val="index heading"/>
    <w:basedOn w:val="1"/>
    <w:next w:val="39"/>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1"/>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09"/>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qFormat/>
    <w:uiPriority w:val="39"/>
    <w:pPr>
      <w:ind w:left="1050"/>
      <w:jc w:val="left"/>
    </w:pPr>
    <w:rPr>
      <w:rFonts w:ascii="Calibri" w:hAnsi="Calibri" w:cs="Calibri"/>
      <w:kern w:val="2"/>
      <w:sz w:val="18"/>
      <w:szCs w:val="18"/>
    </w:rPr>
  </w:style>
  <w:style w:type="paragraph" w:styleId="44">
    <w:name w:val="Body Text Indent 3"/>
    <w:basedOn w:val="1"/>
    <w:link w:val="128"/>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qFormat/>
    <w:uiPriority w:val="39"/>
    <w:pPr>
      <w:widowControl/>
      <w:spacing w:after="100" w:line="276" w:lineRule="auto"/>
      <w:ind w:left="220"/>
      <w:jc w:val="left"/>
    </w:pPr>
    <w:rPr>
      <w:rFonts w:ascii="Calibri" w:hAnsi="Calibri" w:eastAsia="宋体"/>
      <w:sz w:val="22"/>
      <w:szCs w:val="22"/>
    </w:rPr>
  </w:style>
  <w:style w:type="paragraph" w:styleId="46">
    <w:name w:val="toc 9"/>
    <w:basedOn w:val="1"/>
    <w:next w:val="1"/>
    <w:qFormat/>
    <w:uiPriority w:val="39"/>
    <w:pPr>
      <w:ind w:left="1680"/>
      <w:jc w:val="left"/>
    </w:pPr>
    <w:rPr>
      <w:rFonts w:ascii="Calibri" w:hAnsi="Calibri" w:cs="Calibri"/>
      <w:kern w:val="2"/>
      <w:sz w:val="18"/>
      <w:szCs w:val="18"/>
    </w:rPr>
  </w:style>
  <w:style w:type="paragraph" w:styleId="47">
    <w:name w:val="Body Text 2"/>
    <w:basedOn w:val="1"/>
    <w:link w:val="132"/>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Normal (Web)"/>
    <w:basedOn w:val="1"/>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36"/>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4"/>
    <w:qFormat/>
    <w:uiPriority w:val="0"/>
    <w:rPr>
      <w:rFonts w:ascii="宋体" w:hAnsi="宋体" w:eastAsia="宋体" w:cs="宋体"/>
      <w:b/>
      <w:bCs/>
    </w:rPr>
  </w:style>
  <w:style w:type="paragraph" w:styleId="53">
    <w:name w:val="Body Text First Indent"/>
    <w:basedOn w:val="19"/>
    <w:next w:val="54"/>
    <w:qFormat/>
    <w:uiPriority w:val="99"/>
    <w:pPr>
      <w:ind w:firstLine="420" w:firstLineChars="100"/>
    </w:pPr>
  </w:style>
  <w:style w:type="paragraph" w:styleId="54">
    <w:name w:val="Body Text First Indent 2"/>
    <w:basedOn w:val="20"/>
    <w:next w:val="1"/>
    <w:qFormat/>
    <w:uiPriority w:val="0"/>
    <w:pPr>
      <w:ind w:left="0" w:leftChars="0" w:firstLine="210"/>
    </w:pPr>
    <w:rPr>
      <w:rFonts w:ascii="宋体"/>
      <w:color w:val="auto"/>
      <w:sz w:val="24"/>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qFormat/>
    <w:uiPriority w:val="99"/>
    <w:rPr>
      <w:color w:val="800080"/>
      <w:u w:val="single"/>
    </w:rPr>
  </w:style>
  <w:style w:type="character" w:styleId="61">
    <w:name w:val="Emphasis"/>
    <w:qFormat/>
    <w:uiPriority w:val="0"/>
    <w:rPr>
      <w:color w:val="CC0033"/>
    </w:rPr>
  </w:style>
  <w:style w:type="character" w:styleId="62">
    <w:name w:val="Hyperlink"/>
    <w:basedOn w:val="57"/>
    <w:qFormat/>
    <w:uiPriority w:val="99"/>
    <w:rPr>
      <w:color w:val="0000FF"/>
      <w:u w:val="single"/>
    </w:rPr>
  </w:style>
  <w:style w:type="character" w:styleId="63">
    <w:name w:val="annotation reference"/>
    <w:basedOn w:val="57"/>
    <w:qFormat/>
    <w:uiPriority w:val="0"/>
    <w:rPr>
      <w:sz w:val="21"/>
      <w:szCs w:val="21"/>
    </w:rPr>
  </w:style>
  <w:style w:type="character" w:styleId="64">
    <w:name w:val="footnote reference"/>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批注框文本 Char"/>
    <w:basedOn w:val="57"/>
    <w:link w:val="32"/>
    <w:qFormat/>
    <w:uiPriority w:val="0"/>
    <w:rPr>
      <w:rFonts w:ascii="@仿宋_GB2312" w:hAnsi="@仿宋_GB2312" w:eastAsia="@仿宋_GB2312" w:cs="@仿宋_GB2312"/>
      <w:sz w:val="18"/>
      <w:szCs w:val="18"/>
    </w:rPr>
  </w:style>
  <w:style w:type="paragraph" w:customStyle="1" w:styleId="67">
    <w:name w:val="正文（缩进）"/>
    <w:basedOn w:val="1"/>
    <w:qFormat/>
    <w:uiPriority w:val="0"/>
    <w:pPr>
      <w:widowControl/>
      <w:spacing w:before="156" w:after="156"/>
      <w:ind w:firstLine="480" w:firstLineChars="200"/>
      <w:jc w:val="left"/>
    </w:pPr>
    <w:rPr>
      <w:sz w:val="24"/>
      <w:szCs w:val="24"/>
    </w:rPr>
  </w:style>
  <w:style w:type="paragraph" w:customStyle="1" w:styleId="68">
    <w:name w:val="xl31"/>
    <w:basedOn w:val="1"/>
    <w:qFormat/>
    <w:uiPriority w:val="0"/>
    <w:pPr>
      <w:widowControl/>
      <w:spacing w:before="100" w:beforeAutospacing="1" w:after="100" w:afterAutospacing="1"/>
      <w:jc w:val="center"/>
    </w:pPr>
    <w:rPr>
      <w:b/>
      <w:bCs/>
      <w:sz w:val="28"/>
      <w:szCs w:val="28"/>
    </w:rPr>
  </w:style>
  <w:style w:type="paragraph" w:customStyle="1" w:styleId="69">
    <w:name w:val="D&amp;L"/>
    <w:basedOn w:val="34"/>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qFormat/>
    <w:uiPriority w:val="99"/>
    <w:rPr>
      <w:rFonts w:ascii="@仿宋_GB2312" w:hAnsi="@仿宋_GB2312" w:eastAsia="@仿宋_GB2312" w:cs="@仿宋_GB2312"/>
      <w:sz w:val="18"/>
      <w:szCs w:val="18"/>
    </w:rPr>
  </w:style>
  <w:style w:type="character" w:customStyle="1" w:styleId="71">
    <w:name w:val="页脚 Char"/>
    <w:basedOn w:val="57"/>
    <w:link w:val="33"/>
    <w:qFormat/>
    <w:uiPriority w:val="99"/>
    <w:rPr>
      <w:rFonts w:ascii="@仿宋_GB2312" w:hAnsi="@仿宋_GB2312" w:eastAsia="@仿宋_GB2312" w:cs="@仿宋_GB2312"/>
      <w:sz w:val="18"/>
      <w:szCs w:val="18"/>
    </w:rPr>
  </w:style>
  <w:style w:type="character" w:customStyle="1" w:styleId="72">
    <w:name w:val="纯文本 Char"/>
    <w:link w:val="28"/>
    <w:qFormat/>
    <w:uiPriority w:val="0"/>
    <w:rPr>
      <w:rFonts w:ascii="宋体" w:hAnsi="Courier New"/>
    </w:rPr>
  </w:style>
  <w:style w:type="character" w:customStyle="1" w:styleId="73">
    <w:name w:val="纯文本 字符1"/>
    <w:basedOn w:val="57"/>
    <w:qFormat/>
    <w:uiPriority w:val="99"/>
    <w:rPr>
      <w:rFonts w:ascii="宋体" w:hAnsi="Courier New" w:cs="Courier New"/>
      <w:szCs w:val="20"/>
    </w:rPr>
  </w:style>
  <w:style w:type="character" w:customStyle="1" w:styleId="74">
    <w:name w:val="未处理的提及1"/>
    <w:basedOn w:val="57"/>
    <w:qFormat/>
    <w:uiPriority w:val="99"/>
    <w:rPr>
      <w:color w:val="605E5C"/>
      <w:shd w:val="clear" w:color="auto" w:fill="E1DFDD"/>
    </w:rPr>
  </w:style>
  <w:style w:type="paragraph" w:styleId="75">
    <w:name w:val="List Paragraph"/>
    <w:basedOn w:val="1"/>
    <w:qFormat/>
    <w:uiPriority w:val="34"/>
    <w:pPr>
      <w:ind w:firstLine="420" w:firstLineChars="200"/>
    </w:pPr>
  </w:style>
  <w:style w:type="paragraph" w:customStyle="1" w:styleId="76">
    <w:name w:val="Char Char Char Char Char Char Char1 Char"/>
    <w:basedOn w:val="1"/>
    <w:qFormat/>
    <w:uiPriority w:val="0"/>
    <w:rPr>
      <w:rFonts w:ascii="Arial" w:hAnsi="Arial" w:cs="Arial"/>
      <w:sz w:val="24"/>
    </w:rPr>
  </w:style>
  <w:style w:type="table" w:customStyle="1" w:styleId="77">
    <w:name w:val="网格表 1 浅色1"/>
    <w:basedOn w:val="55"/>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78">
    <w:name w:val="日期 字符"/>
    <w:basedOn w:val="57"/>
    <w:qFormat/>
    <w:uiPriority w:val="99"/>
    <w:rPr>
      <w:rFonts w:ascii="@仿宋_GB2312" w:hAnsi="@仿宋_GB2312" w:eastAsia="@仿宋_GB2312" w:cs="@仿宋_GB2312"/>
      <w:szCs w:val="20"/>
    </w:rPr>
  </w:style>
  <w:style w:type="character" w:customStyle="1" w:styleId="79">
    <w:name w:val="日期 Char"/>
    <w:link w:val="30"/>
    <w:qFormat/>
    <w:uiPriority w:val="0"/>
    <w:rPr>
      <w:rFonts w:ascii="Arial" w:hAnsi="Arial" w:eastAsia="宋体" w:cs="Arial"/>
      <w:b/>
      <w:sz w:val="28"/>
      <w:szCs w:val="20"/>
    </w:rPr>
  </w:style>
  <w:style w:type="character" w:customStyle="1" w:styleId="80">
    <w:name w:val="纯文本 Char1"/>
    <w:link w:val="81"/>
    <w:qFormat/>
    <w:uiPriority w:val="99"/>
    <w:rPr>
      <w:rFonts w:ascii="Arial" w:hAnsi="Arial" w:eastAsia="Arial"/>
      <w:kern w:val="2"/>
      <w:sz w:val="21"/>
      <w:lang w:val="en-US" w:eastAsia="zh-CN" w:bidi="ar-SA"/>
    </w:rPr>
  </w:style>
  <w:style w:type="paragraph" w:customStyle="1" w:styleId="81">
    <w:name w:val="纯文本1"/>
    <w:basedOn w:val="1"/>
    <w:link w:val="80"/>
    <w:qFormat/>
    <w:uiPriority w:val="0"/>
    <w:rPr>
      <w:rFonts w:ascii="Arial" w:hAnsi="Arial" w:eastAsia="Arial"/>
    </w:rPr>
  </w:style>
  <w:style w:type="character" w:customStyle="1" w:styleId="82">
    <w:name w:val="批注文字 Char"/>
    <w:basedOn w:val="57"/>
    <w:qFormat/>
    <w:uiPriority w:val="0"/>
    <w:rPr>
      <w:rFonts w:ascii="@仿宋_GB2312" w:hAnsi="@仿宋_GB2312" w:eastAsia="@仿宋_GB2312" w:cs="@仿宋_GB2312"/>
      <w:szCs w:val="20"/>
    </w:rPr>
  </w:style>
  <w:style w:type="character" w:customStyle="1" w:styleId="83">
    <w:name w:val="批注文字 Char1"/>
    <w:link w:val="16"/>
    <w:qFormat/>
    <w:uiPriority w:val="99"/>
    <w:rPr>
      <w:rFonts w:ascii="Arial" w:hAnsi="Arial" w:eastAsia="黑体" w:cs="Arial"/>
      <w:szCs w:val="20"/>
    </w:rPr>
  </w:style>
  <w:style w:type="character" w:customStyle="1" w:styleId="84">
    <w:name w:val="标题 1 Char"/>
    <w:basedOn w:val="57"/>
    <w:link w:val="2"/>
    <w:qFormat/>
    <w:uiPriority w:val="0"/>
    <w:rPr>
      <w:rFonts w:ascii="@仿宋_GB2312" w:hAnsi="@仿宋_GB2312" w:eastAsia="@仿宋_GB2312" w:cs="@仿宋_GB2312"/>
      <w:b/>
      <w:bCs/>
      <w:kern w:val="44"/>
      <w:sz w:val="44"/>
      <w:szCs w:val="44"/>
    </w:rPr>
  </w:style>
  <w:style w:type="paragraph" w:customStyle="1" w:styleId="85">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86">
    <w:name w:val="标题 3 Char"/>
    <w:basedOn w:val="57"/>
    <w:link w:val="4"/>
    <w:qFormat/>
    <w:uiPriority w:val="0"/>
    <w:rPr>
      <w:rFonts w:ascii="@仿宋_GB2312" w:hAnsi="@仿宋_GB2312" w:eastAsia="@仿宋_GB2312" w:cs="@仿宋_GB2312"/>
      <w:b/>
      <w:bCs/>
      <w:sz w:val="32"/>
      <w:szCs w:val="32"/>
    </w:rPr>
  </w:style>
  <w:style w:type="character" w:customStyle="1" w:styleId="87">
    <w:name w:val="fontstyle01"/>
    <w:basedOn w:val="57"/>
    <w:qFormat/>
    <w:uiPriority w:val="0"/>
    <w:rPr>
      <w:rFonts w:hint="eastAsia" w:ascii="宋体" w:hAnsi="宋体" w:eastAsia="宋体"/>
      <w:color w:val="000000"/>
      <w:sz w:val="22"/>
      <w:szCs w:val="22"/>
    </w:rPr>
  </w:style>
  <w:style w:type="character" w:customStyle="1" w:styleId="88">
    <w:name w:val="fontstyle21"/>
    <w:basedOn w:val="57"/>
    <w:qFormat/>
    <w:uiPriority w:val="0"/>
    <w:rPr>
      <w:rFonts w:hint="default" w:ascii="TimesNewRomanPSMT" w:hAnsi="TimesNewRomanPSMT"/>
      <w:color w:val="000000"/>
      <w:sz w:val="22"/>
      <w:szCs w:val="22"/>
    </w:rPr>
  </w:style>
  <w:style w:type="character" w:customStyle="1" w:styleId="8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qFormat/>
    <w:uiPriority w:val="9"/>
    <w:rPr>
      <w:rFonts w:ascii="Cambria" w:hAnsi="Cambria" w:eastAsia="宋体" w:cs="宋体"/>
      <w:b/>
      <w:bCs/>
      <w:sz w:val="28"/>
      <w:szCs w:val="28"/>
    </w:rPr>
  </w:style>
  <w:style w:type="character" w:customStyle="1" w:styleId="91">
    <w:name w:val="标题 4 Char"/>
    <w:link w:val="5"/>
    <w:qFormat/>
    <w:uiPriority w:val="0"/>
    <w:rPr>
      <w:rFonts w:ascii="@仿宋_GB2312" w:hAnsi="@仿宋_GB2312" w:eastAsia="@仿宋_GB2312" w:cs="@仿宋_GB2312"/>
      <w:b/>
      <w:bCs/>
      <w:sz w:val="28"/>
      <w:szCs w:val="28"/>
    </w:rPr>
  </w:style>
  <w:style w:type="character" w:customStyle="1" w:styleId="92">
    <w:name w:val="正文文本 Char"/>
    <w:basedOn w:val="57"/>
    <w:link w:val="19"/>
    <w:qFormat/>
    <w:uiPriority w:val="0"/>
    <w:rPr>
      <w:rFonts w:ascii="@微软简标宋" w:hAnsi="@微软简标宋" w:eastAsia="@微软简标宋" w:cs="@微软简标宋"/>
      <w:szCs w:val="24"/>
      <w:lang w:val="zh-CN" w:eastAsia="zh-CN"/>
    </w:rPr>
  </w:style>
  <w:style w:type="table" w:customStyle="1" w:styleId="93">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qFormat/>
    <w:uiPriority w:val="0"/>
    <w:rPr>
      <w:rFonts w:ascii="Arial" w:hAnsi="Arial" w:eastAsia="黑体" w:cs="Arial"/>
      <w:b/>
      <w:bCs/>
      <w:szCs w:val="20"/>
    </w:rPr>
  </w:style>
  <w:style w:type="paragraph" w:customStyle="1" w:styleId="95">
    <w:name w:val="普通 (Web)"/>
    <w:basedOn w:val="1"/>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3"/>
    <w:qFormat/>
    <w:uiPriority w:val="0"/>
    <w:rPr>
      <w:rFonts w:ascii="Cambria" w:hAnsi="Cambria" w:cs="Times New Roman"/>
      <w:b/>
      <w:bCs/>
      <w:kern w:val="2"/>
      <w:sz w:val="32"/>
      <w:szCs w:val="32"/>
      <w:lang w:val="zh-CN" w:eastAsia="zh-CN"/>
    </w:rPr>
  </w:style>
  <w:style w:type="character" w:customStyle="1" w:styleId="98">
    <w:name w:val="标题 5 Char"/>
    <w:basedOn w:val="57"/>
    <w:link w:val="6"/>
    <w:qFormat/>
    <w:uiPriority w:val="0"/>
    <w:rPr>
      <w:rFonts w:ascii="Calibri" w:hAnsi="Calibri" w:cs="Times New Roman"/>
      <w:b/>
      <w:bCs/>
      <w:kern w:val="2"/>
      <w:sz w:val="28"/>
      <w:szCs w:val="28"/>
      <w:lang w:val="zh-CN" w:eastAsia="zh-CN"/>
    </w:rPr>
  </w:style>
  <w:style w:type="character" w:customStyle="1" w:styleId="99">
    <w:name w:val="标题 6 Char"/>
    <w:basedOn w:val="57"/>
    <w:link w:val="7"/>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8"/>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9"/>
    <w:qFormat/>
    <w:uiPriority w:val="0"/>
    <w:rPr>
      <w:rFonts w:eastAsia="黑体" w:cs="Times New Roman"/>
      <w:kern w:val="2"/>
      <w:sz w:val="32"/>
      <w:szCs w:val="32"/>
      <w:lang w:val="zh-CN" w:eastAsia="zh-CN"/>
    </w:rPr>
  </w:style>
  <w:style w:type="character" w:customStyle="1" w:styleId="102">
    <w:name w:val="标题 9 Char"/>
    <w:basedOn w:val="57"/>
    <w:link w:val="10"/>
    <w:qFormat/>
    <w:uiPriority w:val="0"/>
    <w:rPr>
      <w:rFonts w:ascii="Cambria" w:hAnsi="Cambria" w:cs="Times New Roman"/>
      <w:kern w:val="2"/>
      <w:sz w:val="21"/>
      <w:szCs w:val="21"/>
      <w:lang w:val="zh-CN" w:eastAsia="zh-CN"/>
    </w:rPr>
  </w:style>
  <w:style w:type="character" w:customStyle="1" w:styleId="103">
    <w:name w:val="纯文本 Char2"/>
    <w:qFormat/>
    <w:uiPriority w:val="0"/>
    <w:rPr>
      <w:rFonts w:ascii="宋体" w:hAnsi="Courier New"/>
    </w:rPr>
  </w:style>
  <w:style w:type="table" w:customStyle="1" w:styleId="104">
    <w:name w:val="网格型3"/>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qFormat/>
    <w:uiPriority w:val="46"/>
    <w:rPr>
      <w:rFonts w:ascii="Calibri" w:hAnsi="Calibri" w:eastAsia="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06">
    <w:name w:val="TOC 标题2"/>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107">
    <w:name w:val="正文文本缩进 Char"/>
    <w:basedOn w:val="57"/>
    <w:link w:val="20"/>
    <w:qFormat/>
    <w:uiPriority w:val="0"/>
    <w:rPr>
      <w:rFonts w:ascii="Calibri" w:hAnsi="Calibri"/>
      <w:kern w:val="2"/>
      <w:sz w:val="21"/>
      <w:szCs w:val="22"/>
    </w:rPr>
  </w:style>
  <w:style w:type="paragraph" w:customStyle="1" w:styleId="108">
    <w:name w:val="Char"/>
    <w:basedOn w:val="1"/>
    <w:qFormat/>
    <w:uiPriority w:val="0"/>
    <w:rPr>
      <w:rFonts w:ascii="Tahoma" w:hAnsi="Tahoma" w:cs="Times New Roman"/>
      <w:sz w:val="24"/>
    </w:rPr>
  </w:style>
  <w:style w:type="character" w:customStyle="1" w:styleId="109">
    <w:name w:val="脚注文本 Char"/>
    <w:basedOn w:val="57"/>
    <w:link w:val="42"/>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4"/>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7"/>
    <w:qFormat/>
    <w:uiPriority w:val="0"/>
    <w:rPr>
      <w:rFonts w:ascii="仿宋_GB2312" w:hAnsi="Times New Roman" w:eastAsia="仿宋_GB2312" w:cs="Times New Roman"/>
      <w:kern w:val="2"/>
      <w:sz w:val="28"/>
      <w:lang w:val="zh-CN" w:eastAsia="zh-CN"/>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qFormat/>
    <w:uiPriority w:val="0"/>
    <w:rPr>
      <w:rFonts w:ascii="Times New Roman" w:hAnsi="Times New Roman" w:eastAsia="Times New Roman" w:cs="Times New Roman"/>
      <w:sz w:val="24"/>
      <w:szCs w:val="24"/>
      <w:lang w:val="en-US" w:eastAsia="zh-CN" w:bidi="ar-SA"/>
    </w:rPr>
  </w:style>
  <w:style w:type="paragraph" w:customStyle="1" w:styleId="120">
    <w:name w:val="Normal_3"/>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qFormat/>
    <w:uiPriority w:val="0"/>
    <w:rPr>
      <w:rFonts w:ascii="Tahoma" w:hAnsi="Tahoma" w:cs="Times New Roman"/>
      <w:kern w:val="2"/>
      <w:sz w:val="24"/>
    </w:rPr>
  </w:style>
  <w:style w:type="paragraph" w:customStyle="1" w:styleId="122">
    <w:name w:val="Blockquote"/>
    <w:basedOn w:val="1"/>
    <w:link w:val="123"/>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qFormat/>
    <w:uiPriority w:val="0"/>
    <w:rPr>
      <w:rFonts w:ascii="Times New Roman" w:hAnsi="Times New Roman" w:cs="Times New Roman"/>
      <w:sz w:val="24"/>
      <w:lang w:val="zh-CN" w:eastAsia="zh-CN"/>
    </w:rPr>
  </w:style>
  <w:style w:type="paragraph" w:customStyle="1" w:styleId="12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5"/>
    <w:qFormat/>
    <w:uiPriority w:val="0"/>
    <w:pPr>
      <w:spacing w:line="360" w:lineRule="auto"/>
      <w:ind w:firstLine="420" w:firstLineChars="200"/>
    </w:pPr>
    <w:rPr>
      <w:rFonts w:cs="Times New Roman"/>
      <w:kern w:val="2"/>
      <w:sz w:val="21"/>
      <w:szCs w:val="21"/>
    </w:rPr>
  </w:style>
  <w:style w:type="character" w:customStyle="1" w:styleId="126">
    <w:name w:val="tdrownotice1"/>
    <w:qFormat/>
    <w:uiPriority w:val="0"/>
    <w:rPr>
      <w:sz w:val="22"/>
    </w:rPr>
  </w:style>
  <w:style w:type="paragraph" w:customStyle="1" w:styleId="127">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qFormat/>
    <w:uiPriority w:val="0"/>
    <w:rPr>
      <w:rFonts w:hAnsi="MS Sans Serif" w:cs="Times New Roman"/>
      <w:bCs/>
      <w:color w:val="000000"/>
      <w:sz w:val="24"/>
      <w:lang w:val="zh-CN" w:eastAsia="zh-CN"/>
    </w:rPr>
  </w:style>
  <w:style w:type="character" w:customStyle="1" w:styleId="129">
    <w:name w:val="正文文本缩进 2 Char"/>
    <w:basedOn w:val="57"/>
    <w:link w:val="31"/>
    <w:qFormat/>
    <w:uiPriority w:val="0"/>
    <w:rPr>
      <w:rFonts w:hAnsi="MS Sans Serif" w:cs="Times New Roman"/>
      <w:bCs/>
      <w:spacing w:val="12"/>
      <w:sz w:val="24"/>
      <w:lang w:val="zh-CN" w:eastAsia="zh-CN"/>
    </w:rPr>
  </w:style>
  <w:style w:type="paragraph" w:customStyle="1" w:styleId="130">
    <w:name w:val="目录"/>
    <w:basedOn w:val="1"/>
    <w:qFormat/>
    <w:uiPriority w:val="0"/>
    <w:pPr>
      <w:widowControl/>
      <w:jc w:val="center"/>
    </w:pPr>
    <w:rPr>
      <w:rFonts w:hAnsi="Calibri" w:cs="Times New Roman"/>
      <w:b/>
      <w:sz w:val="36"/>
    </w:rPr>
  </w:style>
  <w:style w:type="paragraph" w:customStyle="1" w:styleId="131">
    <w:name w:val="目录文字"/>
    <w:basedOn w:val="1"/>
    <w:qFormat/>
    <w:uiPriority w:val="0"/>
    <w:pPr>
      <w:widowControl/>
      <w:spacing w:line="480" w:lineRule="auto"/>
      <w:jc w:val="left"/>
    </w:pPr>
    <w:rPr>
      <w:rFonts w:cs="Times New Roman"/>
      <w:sz w:val="24"/>
    </w:rPr>
  </w:style>
  <w:style w:type="character" w:customStyle="1" w:styleId="132">
    <w:name w:val="正文文本 2 Char"/>
    <w:basedOn w:val="57"/>
    <w:link w:val="47"/>
    <w:qFormat/>
    <w:uiPriority w:val="0"/>
    <w:rPr>
      <w:rFonts w:hAnsi="Times New Roman" w:cs="Times New Roman"/>
      <w:spacing w:val="-20"/>
      <w:kern w:val="2"/>
      <w:sz w:val="28"/>
      <w:lang w:val="zh-CN" w:eastAsia="zh-CN"/>
    </w:rPr>
  </w:style>
  <w:style w:type="character" w:customStyle="1" w:styleId="133">
    <w:name w:val="正文文本 3 Char"/>
    <w:basedOn w:val="57"/>
    <w:link w:val="18"/>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qFormat/>
    <w:uiPriority w:val="0"/>
    <w:rPr>
      <w:rFonts w:eastAsia="黑体" w:cs="Times New Roman"/>
      <w:b/>
      <w:smallCaps/>
      <w:snapToGrid w:val="0"/>
      <w:kern w:val="2"/>
      <w:sz w:val="44"/>
      <w:szCs w:val="24"/>
      <w:lang w:val="zh-CN" w:eastAsia="zh-CN"/>
    </w:rPr>
  </w:style>
  <w:style w:type="paragraph" w:customStyle="1" w:styleId="137">
    <w:name w:val="段落1 Char"/>
    <w:basedOn w:val="28"/>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qFormat/>
    <w:uiPriority w:val="0"/>
    <w:rPr>
      <w:rFonts w:ascii="Calibri" w:hAnsi="Calibri" w:cs="Times New Roman"/>
      <w:kern w:val="2"/>
      <w:sz w:val="21"/>
      <w:szCs w:val="22"/>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qFormat/>
    <w:uiPriority w:val="0"/>
  </w:style>
  <w:style w:type="table" w:customStyle="1" w:styleId="143">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qFormat/>
    <w:uiPriority w:val="0"/>
    <w:rPr>
      <w:rFonts w:ascii="Times New Roman" w:hAnsi="Times New Roman" w:eastAsia="宋体" w:cs="Times New Roman"/>
      <w:sz w:val="18"/>
      <w:szCs w:val="18"/>
    </w:rPr>
  </w:style>
  <w:style w:type="character" w:customStyle="1" w:styleId="145">
    <w:name w:val="批注主题 Char1"/>
    <w:basedOn w:val="83"/>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qFormat/>
    <w:uiPriority w:val="0"/>
    <w:rPr>
      <w:rFonts w:ascii="Calibri" w:hAnsi="Calibri" w:cs="Times New Roman"/>
      <w:kern w:val="2"/>
      <w:sz w:val="21"/>
      <w:szCs w:val="22"/>
    </w:rPr>
  </w:style>
  <w:style w:type="character" w:customStyle="1" w:styleId="147">
    <w:name w:val="文档结构图 Char"/>
    <w:basedOn w:val="57"/>
    <w:link w:val="15"/>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qFormat/>
    <w:uiPriority w:val="0"/>
    <w:rPr>
      <w:rFonts w:ascii="Calibri" w:hAnsi="Calibri" w:eastAsia="宋体"/>
      <w:b/>
      <w:kern w:val="44"/>
      <w:sz w:val="44"/>
      <w:szCs w:val="44"/>
    </w:rPr>
  </w:style>
  <w:style w:type="character" w:customStyle="1" w:styleId="149">
    <w:name w:val="标题 3 Char1"/>
    <w:qFormat/>
    <w:uiPriority w:val="0"/>
    <w:rPr>
      <w:rFonts w:ascii="Calibri" w:hAnsi="Calibri" w:eastAsia="宋体"/>
      <w:b/>
      <w:kern w:val="2"/>
      <w:sz w:val="32"/>
    </w:rPr>
  </w:style>
  <w:style w:type="character" w:customStyle="1" w:styleId="150">
    <w:name w:val="标题 4 Char1"/>
    <w:qFormat/>
    <w:uiPriority w:val="0"/>
    <w:rPr>
      <w:rFonts w:ascii="Cambria" w:hAnsi="Cambria" w:eastAsia="宋体"/>
      <w:b/>
      <w:kern w:val="2"/>
      <w:sz w:val="28"/>
      <w:szCs w:val="28"/>
    </w:rPr>
  </w:style>
  <w:style w:type="character" w:customStyle="1" w:styleId="151">
    <w:name w:val="标题 5 Char1"/>
    <w:qFormat/>
    <w:uiPriority w:val="0"/>
    <w:rPr>
      <w:rFonts w:ascii="Calibri" w:hAnsi="Calibri" w:eastAsia="宋体"/>
      <w:b/>
      <w:kern w:val="2"/>
      <w:sz w:val="28"/>
      <w:szCs w:val="28"/>
    </w:rPr>
  </w:style>
  <w:style w:type="character" w:customStyle="1" w:styleId="152">
    <w:name w:val="标题 6 Char1"/>
    <w:qFormat/>
    <w:uiPriority w:val="0"/>
    <w:rPr>
      <w:rFonts w:ascii="Cambria" w:hAnsi="Cambria" w:eastAsia="宋体"/>
      <w:b/>
      <w:kern w:val="2"/>
      <w:sz w:val="24"/>
      <w:szCs w:val="24"/>
    </w:rPr>
  </w:style>
  <w:style w:type="character" w:customStyle="1" w:styleId="153">
    <w:name w:val="标题 7 Char1"/>
    <w:qFormat/>
    <w:uiPriority w:val="0"/>
    <w:rPr>
      <w:rFonts w:ascii="Calibri" w:hAnsi="Calibri" w:eastAsia="宋体"/>
      <w:b/>
      <w:kern w:val="2"/>
      <w:sz w:val="24"/>
      <w:szCs w:val="24"/>
    </w:rPr>
  </w:style>
  <w:style w:type="character" w:customStyle="1" w:styleId="154">
    <w:name w:val="标题 8 Char1"/>
    <w:qFormat/>
    <w:uiPriority w:val="0"/>
    <w:rPr>
      <w:rFonts w:ascii="Cambria" w:hAnsi="Cambria" w:eastAsia="宋体"/>
      <w:kern w:val="2"/>
      <w:sz w:val="24"/>
      <w:szCs w:val="24"/>
    </w:rPr>
  </w:style>
  <w:style w:type="character" w:customStyle="1" w:styleId="155">
    <w:name w:val="标题 9 Char1"/>
    <w:qFormat/>
    <w:uiPriority w:val="0"/>
    <w:rPr>
      <w:rFonts w:ascii="Cambria" w:hAnsi="Cambria" w:eastAsia="宋体"/>
      <w:kern w:val="2"/>
      <w:sz w:val="21"/>
      <w:szCs w:val="21"/>
    </w:rPr>
  </w:style>
  <w:style w:type="paragraph" w:customStyle="1" w:styleId="156">
    <w:name w:val="MsoNormal"/>
    <w:basedOn w:val="157"/>
    <w:qFormat/>
    <w:uiPriority w:val="0"/>
    <w:rPr>
      <w:rFonts w:ascii="Calibri" w:hAnsi="Calibri" w:eastAsia="Calibri"/>
      <w:sz w:val="21"/>
    </w:rPr>
  </w:style>
  <w:style w:type="paragraph" w:customStyle="1" w:styleId="157">
    <w:name w:val="Normal_0"/>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qFormat/>
    <w:uiPriority w:val="99"/>
    <w:rPr>
      <w:rFonts w:ascii="宋体" w:hAnsi="Courier New"/>
      <w:szCs w:val="21"/>
    </w:rPr>
  </w:style>
  <w:style w:type="character" w:customStyle="1" w:styleId="163">
    <w:name w:val="Texte Char1"/>
    <w:link w:val="162"/>
    <w:qFormat/>
    <w:uiPriority w:val="99"/>
    <w:rPr>
      <w:rFonts w:hAnsi="Courier New" w:cs="Times New Roman"/>
      <w:kern w:val="2"/>
      <w:sz w:val="21"/>
      <w:szCs w:val="21"/>
    </w:rPr>
  </w:style>
  <w:style w:type="paragraph" w:customStyle="1" w:styleId="164">
    <w:name w:val="纯文本_1"/>
    <w:basedOn w:val="165"/>
    <w:link w:val="166"/>
    <w:qFormat/>
    <w:uiPriority w:val="0"/>
    <w:rPr>
      <w:rFonts w:ascii="宋体" w:hAnsi="Courier New"/>
      <w:szCs w:val="21"/>
      <w:lang w:val="zh-CN"/>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qFormat/>
    <w:uiPriority w:val="0"/>
    <w:rPr>
      <w:rFonts w:hAnsi="Courier New" w:cs="Times New Roman"/>
      <w:kern w:val="2"/>
      <w:sz w:val="21"/>
      <w:szCs w:val="21"/>
      <w:lang w:val="zh-CN" w:eastAsia="zh-CN"/>
    </w:rPr>
  </w:style>
  <w:style w:type="paragraph" w:customStyle="1" w:styleId="167">
    <w:name w:val="标题 3_0"/>
    <w:basedOn w:val="168"/>
    <w:next w:val="169"/>
    <w:link w:val="180"/>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qFormat/>
    <w:uiPriority w:val="0"/>
    <w:pPr>
      <w:ind w:firstLine="420" w:firstLineChars="200"/>
    </w:pPr>
    <w:rPr>
      <w:rFonts w:ascii="Calibri" w:hAnsi="Calibri"/>
      <w:bCs/>
      <w:szCs w:val="32"/>
    </w:rPr>
  </w:style>
  <w:style w:type="paragraph" w:customStyle="1" w:styleId="170">
    <w:name w:val="标题 1_0"/>
    <w:basedOn w:val="168"/>
    <w:next w:val="168"/>
    <w:link w:val="171"/>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qFormat/>
    <w:uiPriority w:val="0"/>
    <w:rPr>
      <w:rFonts w:ascii="黑体" w:hAnsi="Times New Roman" w:eastAsia="黑体" w:cs="Times New Roman"/>
      <w:sz w:val="52"/>
      <w:lang w:val="zh-CN" w:eastAsia="zh-CN"/>
    </w:rPr>
  </w:style>
  <w:style w:type="paragraph" w:customStyle="1" w:styleId="172">
    <w:name w:val="标题 6_0"/>
    <w:basedOn w:val="168"/>
    <w:next w:val="168"/>
    <w:link w:val="17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qFormat/>
    <w:uiPriority w:val="0"/>
    <w:rPr>
      <w:rFonts w:ascii="Arial" w:hAnsi="Arial" w:eastAsia="黑体" w:cs="Times New Roman"/>
      <w:sz w:val="21"/>
      <w:szCs w:val="21"/>
      <w:lang w:val="zh-CN" w:eastAsia="zh-CN"/>
    </w:rPr>
  </w:style>
  <w:style w:type="character" w:customStyle="1" w:styleId="180">
    <w:name w:val="标题 3 Char_0"/>
    <w:link w:val="167"/>
    <w:qFormat/>
    <w:uiPriority w:val="0"/>
    <w:rPr>
      <w:rFonts w:ascii="Times New Roman" w:hAnsi="Times New Roman" w:cs="Times New Roman"/>
      <w:b/>
      <w:sz w:val="32"/>
      <w:lang w:val="zh-CN" w:eastAsia="zh-CN"/>
    </w:rPr>
  </w:style>
  <w:style w:type="paragraph" w:customStyle="1" w:styleId="181">
    <w:name w:val="Blockquote_0"/>
    <w:basedOn w:val="168"/>
    <w:link w:val="182"/>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qFormat/>
    <w:uiPriority w:val="0"/>
    <w:rPr>
      <w:rFonts w:ascii="Times New Roman" w:hAnsi="Times New Roman" w:cs="Times New Roman"/>
      <w:sz w:val="24"/>
      <w:lang w:val="zh-CN" w:eastAsia="zh-CN"/>
    </w:rPr>
  </w:style>
  <w:style w:type="paragraph" w:customStyle="1" w:styleId="183">
    <w:name w:val="标题 4_0"/>
    <w:basedOn w:val="168"/>
    <w:next w:val="168"/>
    <w:link w:val="184"/>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qFormat/>
    <w:uiPriority w:val="0"/>
    <w:rPr>
      <w:rFonts w:ascii="Arial" w:hAnsi="Arial" w:eastAsia="黑体" w:cs="Times New Roman"/>
      <w:sz w:val="28"/>
      <w:lang w:val="zh-CN" w:eastAsia="zh-CN"/>
    </w:rPr>
  </w:style>
  <w:style w:type="paragraph" w:customStyle="1" w:styleId="185">
    <w:name w:val="纯文本_2"/>
    <w:basedOn w:val="168"/>
    <w:link w:val="186"/>
    <w:qFormat/>
    <w:uiPriority w:val="0"/>
    <w:rPr>
      <w:rFonts w:ascii="宋体" w:hAnsi="Courier New"/>
      <w:szCs w:val="21"/>
      <w:lang w:val="zh-CN"/>
    </w:rPr>
  </w:style>
  <w:style w:type="character" w:customStyle="1" w:styleId="186">
    <w:name w:val="纯文本 Char1_1"/>
    <w:link w:val="185"/>
    <w:qFormat/>
    <w:uiPriority w:val="0"/>
    <w:rPr>
      <w:rFonts w:hAnsi="Courier New" w:cs="Times New Roman"/>
      <w:kern w:val="2"/>
      <w:sz w:val="21"/>
      <w:szCs w:val="21"/>
      <w:lang w:val="zh-CN" w:eastAsia="zh-CN"/>
    </w:rPr>
  </w:style>
  <w:style w:type="paragraph" w:customStyle="1" w:styleId="187">
    <w:name w:val="Blockquote_0_1"/>
    <w:basedOn w:val="188"/>
    <w:link w:val="189"/>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qFormat/>
    <w:uiPriority w:val="0"/>
    <w:rPr>
      <w:rFonts w:ascii="Times New Roman" w:hAnsi="Times New Roman" w:cs="Times New Roman"/>
      <w:sz w:val="24"/>
      <w:lang w:val="zh-CN" w:eastAsia="zh-CN"/>
    </w:rPr>
  </w:style>
  <w:style w:type="paragraph" w:customStyle="1" w:styleId="190">
    <w:name w:val="正文文本_0"/>
    <w:basedOn w:val="168"/>
    <w:link w:val="191"/>
    <w:qFormat/>
    <w:uiPriority w:val="0"/>
    <w:pPr>
      <w:spacing w:after="120"/>
    </w:pPr>
    <w:rPr>
      <w:lang w:val="zh-CN"/>
    </w:rPr>
  </w:style>
  <w:style w:type="character" w:customStyle="1" w:styleId="191">
    <w:name w:val="正文文本 Char_0"/>
    <w:link w:val="190"/>
    <w:qFormat/>
    <w:uiPriority w:val="0"/>
    <w:rPr>
      <w:rFonts w:ascii="Times New Roman" w:hAnsi="Times New Roman" w:cs="Times New Roman"/>
      <w:kern w:val="2"/>
      <w:sz w:val="21"/>
      <w:szCs w:val="24"/>
      <w:lang w:val="zh-CN" w:eastAsia="zh-CN"/>
    </w:rPr>
  </w:style>
  <w:style w:type="paragraph" w:customStyle="1" w:styleId="192">
    <w:name w:val="普通(网站)_0"/>
    <w:basedOn w:val="168"/>
    <w:qFormat/>
    <w:uiPriority w:val="0"/>
    <w:pPr>
      <w:widowControl/>
      <w:spacing w:before="100" w:beforeAutospacing="1" w:after="100" w:afterAutospacing="1"/>
      <w:jc w:val="left"/>
    </w:pPr>
    <w:rPr>
      <w:rFonts w:ascii="宋体" w:hAnsi="宋体"/>
      <w:kern w:val="0"/>
      <w:sz w:val="24"/>
    </w:rPr>
  </w:style>
  <w:style w:type="paragraph" w:customStyle="1" w:styleId="1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qFormat/>
    <w:uiPriority w:val="0"/>
    <w:rPr>
      <w:rFonts w:ascii="Times New Roman" w:hAnsi="Times New Roman" w:cs="Times New Roman"/>
      <w:sz w:val="18"/>
      <w:lang w:val="zh-CN" w:eastAsia="zh-CN"/>
    </w:rPr>
  </w:style>
  <w:style w:type="paragraph" w:customStyle="1" w:styleId="197">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qFormat/>
    <w:uiPriority w:val="0"/>
    <w:rPr>
      <w:rFonts w:ascii="Tahoma" w:hAnsi="Tahoma" w:cs="Times New Roman"/>
      <w:kern w:val="2"/>
      <w:sz w:val="24"/>
    </w:rPr>
  </w:style>
  <w:style w:type="paragraph" w:customStyle="1" w:styleId="220">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qFormat/>
    <w:uiPriority w:val="0"/>
    <w:rPr>
      <w:rFonts w:ascii="Arial" w:hAnsi="Arial" w:cs="Times New Roman"/>
      <w:b/>
      <w:bCs/>
      <w:kern w:val="28"/>
      <w:sz w:val="32"/>
      <w:szCs w:val="32"/>
      <w:lang w:val="zh-CN" w:eastAsia="zh-CN"/>
    </w:rPr>
  </w:style>
  <w:style w:type="character" w:customStyle="1" w:styleId="222">
    <w:name w:val="Char Char"/>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qFormat/>
    <w:uiPriority w:val="0"/>
    <w:rPr>
      <w:rFonts w:ascii="Arial" w:hAnsi="Arial"/>
      <w:b/>
      <w:bCs/>
      <w:sz w:val="24"/>
      <w:szCs w:val="32"/>
    </w:rPr>
  </w:style>
  <w:style w:type="paragraph" w:customStyle="1" w:styleId="224">
    <w:name w:val="标题4"/>
    <w:basedOn w:val="3"/>
    <w:next w:val="25"/>
    <w:link w:val="223"/>
    <w:qFormat/>
    <w:uiPriority w:val="0"/>
    <w:pPr>
      <w:spacing w:before="0" w:after="0" w:line="413" w:lineRule="auto"/>
    </w:pPr>
    <w:rPr>
      <w:rFonts w:ascii="Arial" w:hAnsi="Arial" w:cs="宋体"/>
      <w:kern w:val="0"/>
      <w:sz w:val="24"/>
      <w:lang w:val="en-US"/>
    </w:rPr>
  </w:style>
  <w:style w:type="character" w:customStyle="1" w:styleId="225">
    <w:name w:val="明显引用 Char"/>
    <w:link w:val="226"/>
    <w:qFormat/>
    <w:uiPriority w:val="0"/>
    <w:rPr>
      <w:b/>
      <w:bCs/>
      <w:i/>
      <w:iCs/>
      <w:color w:val="4F81BD"/>
    </w:rPr>
  </w:style>
  <w:style w:type="paragraph" w:styleId="226">
    <w:name w:val="Intense Quote"/>
    <w:basedOn w:val="1"/>
    <w:next w:val="1"/>
    <w:link w:val="225"/>
    <w:qFormat/>
    <w:uiPriority w:val="0"/>
    <w:pPr>
      <w:pBdr>
        <w:bottom w:val="single" w:color="4F81BD" w:sz="4" w:space="4"/>
      </w:pBdr>
      <w:spacing w:before="200" w:after="280"/>
      <w:ind w:left="936" w:right="936"/>
    </w:pPr>
    <w:rPr>
      <w:b/>
      <w:bCs/>
      <w:i/>
      <w:iCs/>
      <w:color w:val="4F81BD"/>
    </w:rPr>
  </w:style>
  <w:style w:type="paragraph" w:customStyle="1" w:styleId="227">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qFormat/>
    <w:uiPriority w:val="30"/>
    <w:rPr>
      <w:rFonts w:ascii="Times New Roman" w:hAnsi="Times New Roman" w:eastAsia="宋体" w:cs="Times New Roman"/>
      <w:i/>
      <w:iCs/>
      <w:color w:val="5B9BD5"/>
      <w:szCs w:val="24"/>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4"/>
    <w:link w:val="229"/>
    <w:qFormat/>
    <w:uiPriority w:val="0"/>
    <w:pPr>
      <w:spacing w:line="413" w:lineRule="auto"/>
      <w:jc w:val="left"/>
    </w:pPr>
    <w:rPr>
      <w:rFonts w:ascii="Arial" w:hAnsi="Arial"/>
      <w:sz w:val="24"/>
    </w:rPr>
  </w:style>
  <w:style w:type="character" w:customStyle="1" w:styleId="231">
    <w:name w:val="引用 Char"/>
    <w:link w:val="232"/>
    <w:qFormat/>
    <w:uiPriority w:val="0"/>
    <w:rPr>
      <w:i/>
      <w:iCs/>
      <w:color w:val="000000"/>
    </w:rPr>
  </w:style>
  <w:style w:type="paragraph" w:styleId="232">
    <w:name w:val="Quote"/>
    <w:basedOn w:val="1"/>
    <w:next w:val="1"/>
    <w:link w:val="231"/>
    <w:qFormat/>
    <w:uiPriority w:val="0"/>
    <w:rPr>
      <w:i/>
      <w:iCs/>
      <w:color w:val="000000"/>
    </w:rPr>
  </w:style>
  <w:style w:type="paragraph" w:customStyle="1" w:styleId="233">
    <w:name w:val="引用1"/>
    <w:basedOn w:val="1"/>
    <w:next w:val="1"/>
    <w:qFormat/>
    <w:uiPriority w:val="0"/>
    <w:rPr>
      <w:rFonts w:ascii="Calibri" w:hAnsi="Calibri" w:cs="Times New Roman"/>
      <w:i/>
      <w:iCs/>
      <w:color w:val="000000"/>
      <w:kern w:val="2"/>
      <w:sz w:val="21"/>
      <w:szCs w:val="22"/>
    </w:rPr>
  </w:style>
  <w:style w:type="character" w:customStyle="1" w:styleId="234">
    <w:name w:val="引用 Char1"/>
    <w:basedOn w:val="57"/>
    <w:qFormat/>
    <w:uiPriority w:val="29"/>
    <w:rPr>
      <w:rFonts w:ascii="Times New Roman" w:hAnsi="Times New Roman" w:eastAsia="宋体" w:cs="Times New Roman"/>
      <w:i/>
      <w:iCs/>
      <w:color w:val="404040"/>
      <w:szCs w:val="24"/>
    </w:rPr>
  </w:style>
  <w:style w:type="character" w:customStyle="1" w:styleId="235">
    <w:name w:val="ask-title2"/>
    <w:qFormat/>
    <w:uiPriority w:val="0"/>
  </w:style>
  <w:style w:type="character" w:customStyle="1" w:styleId="236">
    <w:name w:val="正文文本 Char1"/>
    <w:qFormat/>
    <w:uiPriority w:val="0"/>
    <w:rPr>
      <w:kern w:val="2"/>
      <w:sz w:val="21"/>
      <w:szCs w:val="22"/>
    </w:rPr>
  </w:style>
  <w:style w:type="character" w:customStyle="1" w:styleId="237">
    <w:name w:val="不明显强调1"/>
    <w:qFormat/>
    <w:uiPriority w:val="0"/>
    <w:rPr>
      <w:i/>
      <w:iCs/>
      <w:color w:val="808080"/>
    </w:rPr>
  </w:style>
  <w:style w:type="character" w:customStyle="1" w:styleId="238">
    <w:name w:val="明显参考1"/>
    <w:qFormat/>
    <w:uiPriority w:val="0"/>
    <w:rPr>
      <w:b/>
      <w:bCs/>
      <w:smallCaps/>
      <w:color w:val="C0504D"/>
      <w:spacing w:val="5"/>
      <w:u w:val="single"/>
    </w:rPr>
  </w:style>
  <w:style w:type="character" w:customStyle="1" w:styleId="239">
    <w:name w:val="书籍标题1"/>
    <w:qFormat/>
    <w:uiPriority w:val="0"/>
    <w:rPr>
      <w:b/>
      <w:bCs/>
      <w:smallCaps/>
      <w:spacing w:val="5"/>
    </w:rPr>
  </w:style>
  <w:style w:type="character" w:customStyle="1" w:styleId="240">
    <w:name w:val="日期 Char1"/>
    <w:qFormat/>
    <w:uiPriority w:val="0"/>
    <w:rPr>
      <w:kern w:val="2"/>
      <w:sz w:val="21"/>
      <w:szCs w:val="22"/>
    </w:rPr>
  </w:style>
  <w:style w:type="character" w:customStyle="1" w:styleId="241">
    <w:name w:val="明显强调1"/>
    <w:qFormat/>
    <w:uiPriority w:val="0"/>
    <w:rPr>
      <w:b/>
      <w:bCs/>
      <w:i/>
      <w:iCs/>
      <w:color w:val="4F81BD"/>
    </w:rPr>
  </w:style>
  <w:style w:type="character" w:customStyle="1" w:styleId="242">
    <w:name w:val="textcontents"/>
    <w:qFormat/>
    <w:uiPriority w:val="0"/>
    <w:rPr>
      <w:rFonts w:cs="Times New Roman"/>
    </w:rPr>
  </w:style>
  <w:style w:type="character" w:customStyle="1" w:styleId="243">
    <w:name w:val="不明显参考1"/>
    <w:qFormat/>
    <w:uiPriority w:val="0"/>
    <w:rPr>
      <w:smallCaps/>
      <w:color w:val="C0504D"/>
      <w:u w:val="single"/>
    </w:rPr>
  </w:style>
  <w:style w:type="character" w:customStyle="1" w:styleId="244">
    <w:name w:val="批注文字 Char Char"/>
    <w:qFormat/>
    <w:uiPriority w:val="0"/>
    <w:rPr>
      <w:rFonts w:ascii="宋体" w:hAnsi="Times New Roman" w:eastAsia="宋体" w:cs="Times New Roman"/>
      <w:sz w:val="28"/>
      <w:szCs w:val="20"/>
    </w:rPr>
  </w:style>
  <w:style w:type="character" w:customStyle="1" w:styleId="245">
    <w:name w:val="文档结构图 Char1"/>
    <w:qFormat/>
    <w:uiPriority w:val="0"/>
    <w:rPr>
      <w:rFonts w:ascii="宋体"/>
      <w:kern w:val="2"/>
      <w:sz w:val="18"/>
      <w:szCs w:val="18"/>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character" w:customStyle="1" w:styleId="247">
    <w:name w:val="页脚 Char1"/>
    <w:qFormat/>
    <w:uiPriority w:val="99"/>
    <w:rPr>
      <w:kern w:val="2"/>
      <w:sz w:val="18"/>
      <w:szCs w:val="18"/>
    </w:rPr>
  </w:style>
  <w:style w:type="character" w:customStyle="1" w:styleId="248">
    <w:name w:val="批注框文本 Char2"/>
    <w:qFormat/>
    <w:uiPriority w:val="99"/>
    <w:rPr>
      <w:kern w:val="2"/>
      <w:sz w:val="18"/>
      <w:szCs w:val="18"/>
    </w:rPr>
  </w:style>
  <w:style w:type="character" w:customStyle="1" w:styleId="249">
    <w:name w:val="批注主题 Char2"/>
    <w:qFormat/>
    <w:uiPriority w:val="99"/>
    <w:rPr>
      <w:b/>
      <w:bCs/>
      <w:kern w:val="2"/>
      <w:sz w:val="21"/>
      <w:szCs w:val="22"/>
    </w:rPr>
  </w:style>
  <w:style w:type="character" w:customStyle="1" w:styleId="250">
    <w:name w:val="文档结构图 Char2"/>
    <w:qFormat/>
    <w:uiPriority w:val="99"/>
    <w:rPr>
      <w:rFonts w:ascii="宋体"/>
      <w:kern w:val="2"/>
      <w:sz w:val="18"/>
      <w:szCs w:val="18"/>
    </w:rPr>
  </w:style>
  <w:style w:type="character" w:customStyle="1" w:styleId="251">
    <w:name w:val="页眉 Char1"/>
    <w:qFormat/>
    <w:uiPriority w:val="99"/>
    <w:rPr>
      <w:kern w:val="2"/>
      <w:sz w:val="18"/>
      <w:szCs w:val="18"/>
    </w:rPr>
  </w:style>
  <w:style w:type="character" w:customStyle="1" w:styleId="252">
    <w:name w:val="日期 Char2"/>
    <w:qFormat/>
    <w:uiPriority w:val="99"/>
    <w:rPr>
      <w:kern w:val="2"/>
      <w:sz w:val="21"/>
      <w:szCs w:val="22"/>
    </w:rPr>
  </w:style>
  <w:style w:type="character" w:customStyle="1" w:styleId="253">
    <w:name w:val="正文文本 Char2"/>
    <w:qFormat/>
    <w:uiPriority w:val="99"/>
    <w:rPr>
      <w:kern w:val="2"/>
      <w:sz w:val="21"/>
      <w:szCs w:val="22"/>
    </w:rPr>
  </w:style>
  <w:style w:type="character" w:customStyle="1" w:styleId="254">
    <w:name w:val="标题 Char1"/>
    <w:qFormat/>
    <w:uiPriority w:val="10"/>
    <w:rPr>
      <w:rFonts w:ascii="Cambria" w:hAnsi="Cambria" w:cs="Times New Roman"/>
      <w:b/>
      <w:bCs/>
      <w:kern w:val="2"/>
      <w:sz w:val="32"/>
      <w:szCs w:val="32"/>
    </w:rPr>
  </w:style>
  <w:style w:type="character" w:customStyle="1" w:styleId="255">
    <w:name w:val="副标题 Char1"/>
    <w:qFormat/>
    <w:uiPriority w:val="11"/>
    <w:rPr>
      <w:rFonts w:ascii="Cambria" w:hAnsi="Cambria" w:cs="Times New Roman"/>
      <w:b/>
      <w:bCs/>
      <w:kern w:val="28"/>
      <w:sz w:val="32"/>
      <w:szCs w:val="32"/>
    </w:rPr>
  </w:style>
  <w:style w:type="paragraph" w:customStyle="1" w:styleId="256">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qFormat/>
    <w:uiPriority w:val="0"/>
    <w:rPr>
      <w:rFonts w:ascii="楷体" w:eastAsia="楷体"/>
      <w:b/>
      <w:color w:val="0000FF"/>
    </w:rPr>
  </w:style>
  <w:style w:type="paragraph" w:customStyle="1" w:styleId="260">
    <w:name w:val="正文2"/>
    <w:link w:val="259"/>
    <w:qFormat/>
    <w:uiPriority w:val="0"/>
    <w:pPr>
      <w:widowControl w:val="0"/>
      <w:adjustRightInd w:val="0"/>
      <w:snapToGrid w:val="0"/>
      <w:spacing w:line="360" w:lineRule="auto"/>
      <w:ind w:firstLine="200" w:firstLineChars="200"/>
      <w:jc w:val="both"/>
      <w:textAlignment w:val="baseline"/>
    </w:pPr>
    <w:rPr>
      <w:rFonts w:ascii="楷体" w:hAnsi="宋体" w:eastAsia="楷体" w:cs="宋体"/>
      <w:b/>
      <w:color w:val="0000FF"/>
      <w:lang w:val="en-US" w:eastAsia="zh-CN" w:bidi="ar-SA"/>
    </w:rPr>
  </w:style>
  <w:style w:type="paragraph" w:customStyle="1" w:styleId="261">
    <w:name w:val="p0"/>
    <w:basedOn w:val="1"/>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qFormat/>
    <w:uiPriority w:val="99"/>
    <w:rPr>
      <w:rFonts w:ascii="MingLiU" w:eastAsia="MingLiU" w:cs="MingLiU"/>
      <w:spacing w:val="20"/>
      <w:sz w:val="22"/>
      <w:shd w:val="clear" w:color="auto" w:fill="FFFFFF"/>
    </w:rPr>
  </w:style>
  <w:style w:type="paragraph" w:customStyle="1" w:styleId="263">
    <w:name w:val="正文文本 (2)1"/>
    <w:basedOn w:val="1"/>
    <w:link w:val="262"/>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qFormat/>
    <w:uiPriority w:val="99"/>
    <w:rPr>
      <w:rFonts w:ascii="MingLiU" w:eastAsia="MingLiU" w:cs="MingLiU"/>
      <w:spacing w:val="0"/>
      <w:sz w:val="22"/>
      <w:shd w:val="clear" w:color="auto" w:fill="FFFFFF"/>
    </w:rPr>
  </w:style>
  <w:style w:type="character" w:customStyle="1" w:styleId="265">
    <w:name w:val="访问过的超链接1"/>
    <w:basedOn w:val="57"/>
    <w:qFormat/>
    <w:uiPriority w:val="99"/>
    <w:rPr>
      <w:color w:val="954F72"/>
      <w:u w:val="single"/>
    </w:rPr>
  </w:style>
  <w:style w:type="character" w:customStyle="1" w:styleId="266">
    <w:name w:val="明显引用 Char2"/>
    <w:basedOn w:val="57"/>
    <w:qFormat/>
    <w:uiPriority w:val="30"/>
    <w:rPr>
      <w:b/>
      <w:bCs/>
      <w:i/>
      <w:iCs/>
      <w:color w:val="4F81BD"/>
    </w:rPr>
  </w:style>
  <w:style w:type="character" w:customStyle="1" w:styleId="267">
    <w:name w:val="引用 Char2"/>
    <w:basedOn w:val="57"/>
    <w:qFormat/>
    <w:uiPriority w:val="29"/>
    <w:rPr>
      <w:i/>
      <w:iCs/>
      <w:color w:val="000000"/>
    </w:rPr>
  </w:style>
  <w:style w:type="table" w:customStyle="1" w:styleId="268">
    <w:name w:val="网格型4"/>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qFormat/>
    <w:uiPriority w:val="0"/>
    <w:tblPr>
      <w:tblCellMar>
        <w:top w:w="0" w:type="dxa"/>
        <w:left w:w="0" w:type="dxa"/>
        <w:bottom w:w="0" w:type="dxa"/>
        <w:right w:w="0" w:type="dxa"/>
      </w:tblCellMar>
    </w:tblPr>
  </w:style>
  <w:style w:type="paragraph" w:customStyle="1" w:styleId="270">
    <w:name w:val="Table Text"/>
    <w:basedOn w:val="1"/>
    <w:qFormat/>
    <w:uiPriority w:val="0"/>
    <w:rPr>
      <w:rFonts w:ascii="Arial" w:hAnsi="Arial" w:eastAsia="Arial" w:cs="Arial"/>
      <w:sz w:val="21"/>
      <w:szCs w:val="21"/>
      <w:lang w:val="en-US" w:eastAsia="en-US" w:bidi="ar-SA"/>
    </w:rPr>
  </w:style>
  <w:style w:type="character" w:customStyle="1" w:styleId="271">
    <w:name w:val="NormalCharacter"/>
    <w:qFormat/>
    <w:uiPriority w:val="99"/>
  </w:style>
  <w:style w:type="paragraph" w:customStyle="1" w:styleId="272">
    <w:name w:val="样式 样式 正文文本缩进正文文字缩进 + 首行缩进:  2 字符2 + 首行缩进:  2 字符"/>
    <w:basedOn w:val="1"/>
    <w:qFormat/>
    <w:uiPriority w:val="0"/>
    <w:pPr>
      <w:ind w:left="100" w:leftChars="100" w:right="100" w:rightChars="100" w:firstLine="200" w:firstLineChars="100"/>
    </w:pPr>
    <w:rPr>
      <w:rFonts w:hAnsi="Arial"/>
      <w:szCs w:val="22"/>
    </w:rPr>
  </w:style>
  <w:style w:type="paragraph" w:customStyle="1" w:styleId="273">
    <w:name w:val="Body text|1"/>
    <w:basedOn w:val="1"/>
    <w:qFormat/>
    <w:uiPriority w:val="0"/>
    <w:pPr>
      <w:spacing w:line="398" w:lineRule="auto"/>
      <w:ind w:firstLine="400"/>
    </w:pPr>
    <w:rPr>
      <w:rFonts w:ascii="宋体" w:hAnsi="宋体" w:cs="宋体"/>
      <w:sz w:val="30"/>
      <w:szCs w:val="30"/>
      <w:lang w:val="zh-TW" w:eastAsia="zh-TW" w:bidi="zh-TW"/>
    </w:rPr>
  </w:style>
  <w:style w:type="paragraph" w:customStyle="1" w:styleId="274">
    <w:name w:val="Body text|3"/>
    <w:basedOn w:val="1"/>
    <w:qFormat/>
    <w:uiPriority w:val="0"/>
    <w:pPr>
      <w:spacing w:after="630"/>
      <w:ind w:firstLine="200"/>
      <w:jc w:val="center"/>
    </w:pPr>
    <w:rPr>
      <w:rFonts w:ascii="MingLiU" w:hAnsi="MingLiU" w:eastAsia="MingLiU" w:cs="MingLiU"/>
      <w:kern w:val="0"/>
      <w:sz w:val="28"/>
      <w:szCs w:val="28"/>
      <w:lang w:val="zh-TW" w:eastAsia="zh-TW" w:bidi="zh-TW"/>
    </w:rPr>
  </w:style>
  <w:style w:type="character" w:customStyle="1" w:styleId="275">
    <w:name w:val="font51"/>
    <w:basedOn w:val="57"/>
    <w:qFormat/>
    <w:uiPriority w:val="0"/>
    <w:rPr>
      <w:rFonts w:hint="default" w:ascii="DejaVu Sans" w:hAnsi="DejaVu Sans" w:eastAsia="DejaVu Sans" w:cs="DejaVu Sans"/>
      <w:color w:val="000000"/>
      <w:sz w:val="22"/>
      <w:szCs w:val="22"/>
      <w:u w:val="none"/>
    </w:rPr>
  </w:style>
  <w:style w:type="character" w:customStyle="1" w:styleId="276">
    <w:name w:val="font41"/>
    <w:basedOn w:val="57"/>
    <w:qFormat/>
    <w:uiPriority w:val="0"/>
    <w:rPr>
      <w:rFonts w:hint="eastAsia" w:ascii="宋体" w:hAnsi="宋体" w:eastAsia="宋体" w:cs="宋体"/>
      <w:color w:val="000000"/>
      <w:sz w:val="22"/>
      <w:szCs w:val="22"/>
      <w:u w:val="none"/>
    </w:rPr>
  </w:style>
  <w:style w:type="character" w:customStyle="1" w:styleId="277">
    <w:name w:val="font21"/>
    <w:basedOn w:val="57"/>
    <w:qFormat/>
    <w:uiPriority w:val="0"/>
    <w:rPr>
      <w:rFonts w:ascii="Droid Sans Fallback" w:hAnsi="Droid Sans Fallback" w:eastAsia="Droid Sans Fallback" w:cs="Droid Sans Fallback"/>
      <w:color w:val="000000"/>
      <w:sz w:val="22"/>
      <w:szCs w:val="22"/>
      <w:u w:val="none"/>
    </w:rPr>
  </w:style>
  <w:style w:type="character" w:customStyle="1" w:styleId="278">
    <w:name w:val="font61"/>
    <w:basedOn w:val="57"/>
    <w:qFormat/>
    <w:uiPriority w:val="0"/>
    <w:rPr>
      <w:rFonts w:hint="default" w:ascii="方正书宋_GBK" w:hAnsi="方正书宋_GBK" w:eastAsia="方正书宋_GBK" w:cs="方正书宋_GBK"/>
      <w:color w:val="000000"/>
      <w:sz w:val="22"/>
      <w:szCs w:val="22"/>
      <w:u w:val="none"/>
    </w:rPr>
  </w:style>
  <w:style w:type="character" w:customStyle="1" w:styleId="279">
    <w:name w:val="font01"/>
    <w:basedOn w:val="57"/>
    <w:qFormat/>
    <w:uiPriority w:val="0"/>
    <w:rPr>
      <w:rFonts w:hint="eastAsia" w:ascii="宋体" w:hAnsi="宋体" w:eastAsia="宋体" w:cs="宋体"/>
      <w:b/>
      <w:bCs/>
      <w:color w:val="000000"/>
      <w:sz w:val="22"/>
      <w:szCs w:val="22"/>
      <w:u w:val="none"/>
    </w:rPr>
  </w:style>
  <w:style w:type="character" w:customStyle="1" w:styleId="280">
    <w:name w:val="font11"/>
    <w:basedOn w:val="57"/>
    <w:qFormat/>
    <w:uiPriority w:val="0"/>
    <w:rPr>
      <w:rFonts w:hint="eastAsia" w:ascii="宋体" w:hAnsi="宋体" w:eastAsia="宋体" w:cs="宋体"/>
      <w:color w:val="000000"/>
      <w:sz w:val="22"/>
      <w:szCs w:val="22"/>
      <w:u w:val="none"/>
    </w:rPr>
  </w:style>
  <w:style w:type="character" w:customStyle="1" w:styleId="281">
    <w:name w:val="font31"/>
    <w:basedOn w:val="57"/>
    <w:qFormat/>
    <w:uiPriority w:val="0"/>
    <w:rPr>
      <w:rFonts w:ascii="DejaVu Sans" w:hAnsi="DejaVu Sans" w:eastAsia="DejaVu Sans" w:cs="DejaVu Sans"/>
      <w:color w:val="000000"/>
      <w:sz w:val="22"/>
      <w:szCs w:val="22"/>
      <w:u w:val="none"/>
    </w:rPr>
  </w:style>
  <w:style w:type="character" w:customStyle="1" w:styleId="282">
    <w:name w:val="font71"/>
    <w:basedOn w:val="57"/>
    <w:qFormat/>
    <w:uiPriority w:val="0"/>
    <w:rPr>
      <w:rFonts w:hint="eastAsia" w:ascii="宋体" w:hAnsi="宋体" w:eastAsia="宋体" w:cs="宋体"/>
      <w:color w:val="000000"/>
      <w:sz w:val="22"/>
      <w:szCs w:val="22"/>
      <w:u w:val="none"/>
    </w:rPr>
  </w:style>
  <w:style w:type="character" w:customStyle="1" w:styleId="283">
    <w:name w:val="font81"/>
    <w:basedOn w:val="57"/>
    <w:qFormat/>
    <w:uiPriority w:val="0"/>
    <w:rPr>
      <w:rFonts w:ascii="DejaVu Sans" w:hAnsi="DejaVu Sans" w:eastAsia="DejaVu Sans" w:cs="DejaVu Sans"/>
      <w:color w:val="000000"/>
      <w:sz w:val="22"/>
      <w:szCs w:val="22"/>
      <w:u w:val="none"/>
    </w:rPr>
  </w:style>
  <w:style w:type="character" w:customStyle="1" w:styleId="284">
    <w:name w:val="font121"/>
    <w:basedOn w:val="57"/>
    <w:qFormat/>
    <w:uiPriority w:val="0"/>
    <w:rPr>
      <w:rFonts w:hint="eastAsia" w:ascii="宋体" w:hAnsi="宋体" w:eastAsia="宋体" w:cs="宋体"/>
      <w:color w:val="000000"/>
      <w:sz w:val="22"/>
      <w:szCs w:val="22"/>
      <w:u w:val="none"/>
    </w:rPr>
  </w:style>
  <w:style w:type="character" w:customStyle="1" w:styleId="285">
    <w:name w:val="font91"/>
    <w:basedOn w:val="57"/>
    <w:qFormat/>
    <w:uiPriority w:val="0"/>
    <w:rPr>
      <w:rFonts w:hint="eastAsia" w:ascii="宋体" w:hAnsi="宋体" w:eastAsia="宋体" w:cs="宋体"/>
      <w:color w:val="000000"/>
      <w:sz w:val="22"/>
      <w:szCs w:val="22"/>
      <w:u w:val="none"/>
    </w:rPr>
  </w:style>
  <w:style w:type="character" w:customStyle="1" w:styleId="286">
    <w:name w:val="font161"/>
    <w:basedOn w:val="57"/>
    <w:qFormat/>
    <w:uiPriority w:val="0"/>
    <w:rPr>
      <w:rFonts w:ascii="DejaVu Sans" w:hAnsi="DejaVu Sans" w:eastAsia="DejaVu Sans" w:cs="DejaVu Sans"/>
      <w:color w:val="000000"/>
      <w:sz w:val="22"/>
      <w:szCs w:val="22"/>
      <w:u w:val="none"/>
    </w:rPr>
  </w:style>
  <w:style w:type="paragraph" w:customStyle="1" w:styleId="287">
    <w:name w:val="正文（路桥）"/>
    <w:basedOn w:val="1"/>
    <w:qFormat/>
    <w:uiPriority w:val="0"/>
    <w:rPr>
      <w:szCs w:val="20"/>
    </w:rPr>
  </w:style>
  <w:style w:type="paragraph" w:customStyle="1" w:styleId="288">
    <w:name w:val="表格小四"/>
    <w:qFormat/>
    <w:uiPriority w:val="1"/>
    <w:pPr>
      <w:widowControl w:val="0"/>
      <w:spacing w:line="360" w:lineRule="auto"/>
      <w:jc w:val="center"/>
    </w:pPr>
    <w:rPr>
      <w:rFonts w:ascii="Times New Roman" w:hAnsi="Times New Roman" w:eastAsia="仿宋_GB2312" w:cs="Times New Roman"/>
      <w:bCs/>
      <w:kern w:val="2"/>
      <w:sz w:val="24"/>
      <w:szCs w:val="28"/>
      <w:lang w:val="en-US" w:eastAsia="zh-CN" w:bidi="ar-SA"/>
    </w:rPr>
  </w:style>
  <w:style w:type="paragraph" w:customStyle="1" w:styleId="289">
    <w:name w:val=" Char"/>
    <w:basedOn w:val="1"/>
    <w:qFormat/>
    <w:uiPriority w:val="0"/>
    <w:pPr>
      <w:tabs>
        <w:tab w:val="left" w:pos="360"/>
      </w:tabs>
      <w:ind w:firstLine="420" w:firstLineChars="15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94</Pages>
  <Words>680</Words>
  <Characters>723</Characters>
  <Paragraphs>3472</Paragraphs>
  <TotalTime>2</TotalTime>
  <ScaleCrop>false</ScaleCrop>
  <LinksUpToDate>false</LinksUpToDate>
  <CharactersWithSpaces>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薛</cp:lastModifiedBy>
  <cp:lastPrinted>2019-12-07T15:20:00Z</cp:lastPrinted>
  <dcterms:modified xsi:type="dcterms:W3CDTF">2025-08-07T15:33:58Z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DD301399DD0F41B8946A15F4F8848554_13</vt:lpwstr>
  </property>
  <property fmtid="{D5CDD505-2E9C-101B-9397-08002B2CF9AE}" pid="4" name="KSOTemplateDocerSaveRecord">
    <vt:lpwstr>eyJoZGlkIjoiODkyYjc0MzE2ZWExODM3MjhiYjE2YzBhNWFmZTU4YjEiLCJ1c2VySWQiOiIxMjMyMDYzNDI1In0=</vt:lpwstr>
  </property>
</Properties>
</file>